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E8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hAnsi="宋体" w:cs="宋体"/>
          <w:b/>
          <w:bCs/>
          <w:sz w:val="44"/>
          <w:szCs w:val="44"/>
        </w:rPr>
      </w:pPr>
      <w:r>
        <w:rPr>
          <w:rFonts w:hint="eastAsia" w:hAnsi="宋体" w:cs="宋体"/>
          <w:b/>
          <w:bCs/>
          <w:sz w:val="44"/>
          <w:szCs w:val="44"/>
        </w:rPr>
        <w:t>宜良县瓦渡水库、架格水库坝顶道路生命安全</w:t>
      </w:r>
    </w:p>
    <w:p w14:paraId="399436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Theme="minorEastAsia" w:hAnsiTheme="minorEastAsia"/>
          <w:b/>
          <w:sz w:val="44"/>
          <w:szCs w:val="44"/>
        </w:rPr>
      </w:pPr>
      <w:r>
        <w:rPr>
          <w:rFonts w:hint="eastAsia" w:hAnsi="宋体" w:cs="宋体"/>
          <w:b/>
          <w:bCs/>
          <w:sz w:val="44"/>
          <w:szCs w:val="44"/>
        </w:rPr>
        <w:t>防护栏</w:t>
      </w:r>
      <w:r>
        <w:rPr>
          <w:rFonts w:hint="eastAsia" w:hAnsi="宋体" w:cs="宋体"/>
          <w:b/>
          <w:bCs/>
          <w:sz w:val="44"/>
          <w:szCs w:val="44"/>
          <w:lang w:val="en-US" w:eastAsia="zh-CN"/>
        </w:rPr>
        <w:t>工程</w:t>
      </w:r>
      <w:r>
        <w:rPr>
          <w:rFonts w:hint="eastAsia" w:hAnsi="宋体" w:cs="宋体"/>
          <w:b/>
          <w:bCs/>
          <w:sz w:val="44"/>
          <w:szCs w:val="44"/>
        </w:rPr>
        <w:t>施工比选</w:t>
      </w:r>
      <w:r>
        <w:rPr>
          <w:rFonts w:hint="eastAsia" w:asciiTheme="minorEastAsia" w:hAnsiTheme="minorEastAsia"/>
          <w:b/>
          <w:sz w:val="44"/>
          <w:szCs w:val="44"/>
        </w:rPr>
        <w:t>办法</w:t>
      </w:r>
    </w:p>
    <w:p w14:paraId="332FF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</w:p>
    <w:p w14:paraId="22895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根据招投标公开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比</w:t>
      </w:r>
      <w:r>
        <w:rPr>
          <w:rFonts w:hint="eastAsia" w:asciiTheme="minorEastAsia" w:hAnsiTheme="minorEastAsia"/>
          <w:sz w:val="28"/>
          <w:szCs w:val="28"/>
        </w:rPr>
        <w:t>选的相关法律法规，</w:t>
      </w:r>
      <w:r>
        <w:rPr>
          <w:rFonts w:hint="eastAsia" w:asciiTheme="minorEastAsia" w:hAnsiTheme="minorEastAsia"/>
          <w:kern w:val="0"/>
          <w:sz w:val="28"/>
          <w:szCs w:val="28"/>
        </w:rPr>
        <w:t>遵</w:t>
      </w:r>
      <w:r>
        <w:rPr>
          <w:rFonts w:hint="eastAsia" w:asciiTheme="minorEastAsia" w:hAnsiTheme="minorEastAsia"/>
          <w:kern w:val="0"/>
          <w:sz w:val="28"/>
          <w:szCs w:val="28"/>
          <w:lang w:val="en-US" w:eastAsia="zh-CN"/>
        </w:rPr>
        <w:t>照</w:t>
      </w:r>
      <w:r>
        <w:rPr>
          <w:rFonts w:hint="eastAsia" w:asciiTheme="minorEastAsia" w:hAnsiTheme="minorEastAsia"/>
          <w:kern w:val="0"/>
          <w:sz w:val="28"/>
          <w:szCs w:val="28"/>
        </w:rPr>
        <w:t>《中华人民共和国招标投标法》</w:t>
      </w:r>
      <w:r>
        <w:rPr>
          <w:rFonts w:ascii="宋体" w:hAnsi="宋体" w:eastAsia="宋体" w:cs="宋体"/>
          <w:sz w:val="28"/>
          <w:szCs w:val="28"/>
        </w:rPr>
        <w:t>及其实施条例相关精神开展比选工作</w:t>
      </w:r>
      <w:r>
        <w:rPr>
          <w:rFonts w:hint="eastAsia" w:eastAsia="宋体" w:asciiTheme="minorEastAsia" w:hAnsiTheme="minorEastAsia"/>
          <w:kern w:val="0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kern w:val="0"/>
          <w:sz w:val="28"/>
          <w:szCs w:val="28"/>
        </w:rPr>
        <w:t>结合我</w:t>
      </w:r>
      <w:r>
        <w:rPr>
          <w:rFonts w:hint="eastAsia" w:asciiTheme="minorEastAsia" w:hAnsiTheme="minorEastAsia"/>
          <w:kern w:val="0"/>
          <w:sz w:val="28"/>
          <w:szCs w:val="28"/>
          <w:lang w:val="en-US" w:eastAsia="zh-CN"/>
        </w:rPr>
        <w:t>单位</w:t>
      </w:r>
      <w:r>
        <w:rPr>
          <w:rFonts w:hint="eastAsia" w:asciiTheme="minorEastAsia" w:hAnsiTheme="minorEastAsia"/>
          <w:kern w:val="0"/>
          <w:sz w:val="28"/>
          <w:szCs w:val="28"/>
        </w:rPr>
        <w:t>实际情况，</w:t>
      </w:r>
      <w:r>
        <w:rPr>
          <w:rFonts w:hint="eastAsia" w:asciiTheme="minorEastAsia" w:hAnsiTheme="minorEastAsia"/>
          <w:sz w:val="28"/>
          <w:szCs w:val="28"/>
        </w:rPr>
        <w:t>现将宜良县瓦渡水库、架格水库坝顶道路生命安全防护栏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工程</w:t>
      </w:r>
      <w:r>
        <w:rPr>
          <w:rFonts w:hint="eastAsia" w:asciiTheme="minorEastAsia" w:hAnsiTheme="minorEastAsia"/>
          <w:sz w:val="28"/>
          <w:szCs w:val="28"/>
        </w:rPr>
        <w:t>施工比选的评选办法制定如下：</w:t>
      </w:r>
    </w:p>
    <w:p w14:paraId="157FC6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一、项目概况</w:t>
      </w:r>
    </w:p>
    <w:p w14:paraId="71B5C9E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1. 项目名称：</w:t>
      </w:r>
      <w:r>
        <w:rPr>
          <w:rFonts w:hint="eastAsia" w:asciiTheme="minorEastAsia" w:hAnsiTheme="minorEastAsia"/>
          <w:sz w:val="28"/>
          <w:szCs w:val="28"/>
        </w:rPr>
        <w:t>瓦渡水库、架格</w:t>
      </w:r>
      <w:r>
        <w:rPr>
          <w:rStyle w:val="10"/>
          <w:sz w:val="28"/>
          <w:szCs w:val="28"/>
        </w:rPr>
        <w:t>水库坝顶道路生命安全防护栏工程</w:t>
      </w:r>
      <w:r>
        <w:rPr>
          <w:rStyle w:val="10"/>
          <w:rFonts w:hint="eastAsia"/>
          <w:sz w:val="28"/>
          <w:szCs w:val="28"/>
          <w:lang w:eastAsia="zh-CN"/>
        </w:rPr>
        <w:t>。</w:t>
      </w:r>
      <w:r>
        <w:rPr>
          <w:sz w:val="28"/>
          <w:szCs w:val="28"/>
        </w:rPr>
        <w:t xml:space="preserve"> </w:t>
      </w:r>
    </w:p>
    <w:p w14:paraId="154B480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>2. 建设地点：</w:t>
      </w:r>
      <w:r>
        <w:rPr>
          <w:rFonts w:hint="eastAsia"/>
          <w:sz w:val="28"/>
          <w:szCs w:val="28"/>
          <w:lang w:val="en-US" w:eastAsia="zh-CN"/>
        </w:rPr>
        <w:t>宜良县北古城镇</w:t>
      </w:r>
      <w:r>
        <w:rPr>
          <w:rFonts w:hint="eastAsia" w:asciiTheme="minorEastAsia" w:hAnsiTheme="minorEastAsia"/>
          <w:sz w:val="28"/>
          <w:szCs w:val="28"/>
        </w:rPr>
        <w:t>瓦渡水库、架格</w:t>
      </w:r>
      <w:r>
        <w:rPr>
          <w:sz w:val="28"/>
          <w:szCs w:val="28"/>
        </w:rPr>
        <w:t>水库坝顶道路</w:t>
      </w:r>
      <w:r>
        <w:rPr>
          <w:rFonts w:hint="eastAsia"/>
          <w:sz w:val="28"/>
          <w:szCs w:val="28"/>
          <w:lang w:eastAsia="zh-CN"/>
        </w:rPr>
        <w:t>。</w:t>
      </w:r>
    </w:p>
    <w:p w14:paraId="39DDEDE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3. 建设内容：坝顶道路生命安全防护栏采购、安装、基础开挖浇筑、防腐处理、警示标识设置等全部施工内容。</w:t>
      </w:r>
    </w:p>
    <w:p w14:paraId="5B599C0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 xml:space="preserve">4. 资金来源：财政资金 </w:t>
      </w:r>
      <w:r>
        <w:rPr>
          <w:rFonts w:hint="eastAsia"/>
          <w:sz w:val="28"/>
          <w:szCs w:val="28"/>
          <w:lang w:eastAsia="zh-CN"/>
        </w:rPr>
        <w:t>。</w:t>
      </w:r>
    </w:p>
    <w:p w14:paraId="7C848EE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5. 最高投标限价：￥_</w:t>
      </w:r>
      <w:r>
        <w:rPr>
          <w:rFonts w:hint="eastAsia"/>
          <w:sz w:val="28"/>
          <w:szCs w:val="28"/>
          <w:u w:val="single"/>
          <w:lang w:val="en-US" w:eastAsia="zh-CN"/>
        </w:rPr>
        <w:t>137851.00</w:t>
      </w:r>
      <w:r>
        <w:rPr>
          <w:sz w:val="28"/>
          <w:szCs w:val="28"/>
          <w:u w:val="single"/>
        </w:rPr>
        <w:t>_</w:t>
      </w:r>
      <w:r>
        <w:rPr>
          <w:sz w:val="28"/>
          <w:szCs w:val="28"/>
        </w:rPr>
        <w:t xml:space="preserve">元，所有投标报价不得高于最高限价，高于限价的响应文件按无效文件处理。 </w:t>
      </w:r>
    </w:p>
    <w:p w14:paraId="03BCC6C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6. 工期要求：合同签订后</w:t>
      </w:r>
      <w:r>
        <w:rPr>
          <w:rFonts w:hint="eastAsia"/>
          <w:sz w:val="28"/>
          <w:szCs w:val="28"/>
          <w:lang w:val="en-US" w:eastAsia="zh-CN"/>
        </w:rPr>
        <w:t>40</w:t>
      </w:r>
      <w:r>
        <w:rPr>
          <w:sz w:val="28"/>
          <w:szCs w:val="28"/>
        </w:rPr>
        <w:t xml:space="preserve">日历天内完成全部施工并竣工验收。 </w:t>
      </w:r>
    </w:p>
    <w:p w14:paraId="77C1275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7. 质量标准：符合国家、行业现行规范标准，一次性验收合格。</w:t>
      </w:r>
    </w:p>
    <w:p w14:paraId="53AB8F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二、投标人资格条件（资格后审）</w:t>
      </w:r>
    </w:p>
    <w:p w14:paraId="252AEC2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参与本项目比选的投标人须同时满足以下全部条件，不满足任意一项，资格审查不予通过。 </w:t>
      </w:r>
    </w:p>
    <w:p w14:paraId="4232D3E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具有独立法人资格，持有有效的营业执照；具备</w:t>
      </w:r>
      <w:r>
        <w:rPr>
          <w:rStyle w:val="10"/>
          <w:sz w:val="28"/>
          <w:szCs w:val="28"/>
        </w:rPr>
        <w:t>公路交通工程（公路安全设施分项）专业承包二级及以上资质</w:t>
      </w:r>
      <w:r>
        <w:rPr>
          <w:sz w:val="28"/>
          <w:szCs w:val="28"/>
        </w:rPr>
        <w:t>，持有有效的</w:t>
      </w:r>
      <w:r>
        <w:rPr>
          <w:rStyle w:val="10"/>
          <w:sz w:val="28"/>
          <w:szCs w:val="28"/>
        </w:rPr>
        <w:t>安全生产许可证</w:t>
      </w:r>
      <w:r>
        <w:rPr>
          <w:sz w:val="28"/>
          <w:szCs w:val="28"/>
        </w:rPr>
        <w:t xml:space="preserve">。 </w:t>
      </w:r>
    </w:p>
    <w:p w14:paraId="02D0078E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right="0" w:righ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拟派项目负责人具备二级注册建造师证书，具备有效的安全生产考核合格证书（B证）。 </w:t>
      </w:r>
    </w:p>
    <w:p w14:paraId="610DAB77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right="0" w:righ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投标人未被列入失信被执行人；未被列入重大失信主体名单。信用信息以 “信用中国” 平台查询结果为准。 </w:t>
      </w:r>
    </w:p>
    <w:p w14:paraId="4145E547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right="0" w:righ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近 3 年内（自本比选公告发布之日往前推算36个月），没有发生重大质量、安全事故。</w:t>
      </w:r>
    </w:p>
    <w:p w14:paraId="0F693FE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right="0" w:righ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本项目</w:t>
      </w:r>
      <w:r>
        <w:rPr>
          <w:rStyle w:val="10"/>
          <w:sz w:val="28"/>
          <w:szCs w:val="28"/>
        </w:rPr>
        <w:t>不接受联合体投标</w:t>
      </w:r>
      <w:r>
        <w:rPr>
          <w:sz w:val="28"/>
          <w:szCs w:val="28"/>
        </w:rPr>
        <w:t>。</w:t>
      </w:r>
    </w:p>
    <w:p w14:paraId="45CE267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0" w:righ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6. 投标人须提交投标资料真实性承诺，若存在弄虚作假，直接取消参选资格，并承担相应责任。</w:t>
      </w:r>
    </w:p>
    <w:p w14:paraId="4A49E19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720" w:firstLine="560" w:firstLineChars="200"/>
        <w:textAlignment w:val="auto"/>
        <w:rPr>
          <w:sz w:val="28"/>
          <w:szCs w:val="28"/>
        </w:rPr>
      </w:pPr>
    </w:p>
    <w:p w14:paraId="3F116F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三、比选响应文件递交</w:t>
      </w:r>
    </w:p>
    <w:p w14:paraId="1FA813B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响应文件份数：正本 1 份，副本 2 份，密封包装，封面注明项目名称、投标人名称。 </w:t>
      </w:r>
    </w:p>
    <w:p w14:paraId="1FBEC7B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sz w:val="28"/>
          <w:szCs w:val="28"/>
        </w:rPr>
        <w:t>2. 递交截止时间：</w:t>
      </w:r>
      <w:r>
        <w:rPr>
          <w:rFonts w:hint="eastAsia"/>
          <w:sz w:val="28"/>
          <w:szCs w:val="28"/>
          <w:lang w:val="en-US" w:eastAsia="zh-CN"/>
        </w:rPr>
        <w:t>2026</w:t>
      </w:r>
      <w:r>
        <w:rPr>
          <w:rStyle w:val="10"/>
          <w:sz w:val="28"/>
          <w:szCs w:val="28"/>
        </w:rPr>
        <w:t>年</w:t>
      </w:r>
      <w:r>
        <w:rPr>
          <w:rStyle w:val="10"/>
          <w:rFonts w:hint="eastAsia"/>
          <w:sz w:val="28"/>
          <w:szCs w:val="28"/>
          <w:lang w:val="en-US" w:eastAsia="zh-CN"/>
        </w:rPr>
        <w:t>10</w:t>
      </w:r>
      <w:r>
        <w:rPr>
          <w:rStyle w:val="10"/>
          <w:sz w:val="28"/>
          <w:szCs w:val="28"/>
        </w:rPr>
        <w:t>月</w:t>
      </w:r>
      <w:r>
        <w:rPr>
          <w:rStyle w:val="10"/>
          <w:rFonts w:hint="eastAsia"/>
          <w:sz w:val="28"/>
          <w:szCs w:val="28"/>
          <w:lang w:val="en-US" w:eastAsia="zh-CN"/>
        </w:rPr>
        <w:t>23</w:t>
      </w:r>
      <w:r>
        <w:rPr>
          <w:rStyle w:val="10"/>
          <w:sz w:val="28"/>
          <w:szCs w:val="28"/>
        </w:rPr>
        <w:t>日</w:t>
      </w:r>
      <w:r>
        <w:rPr>
          <w:rStyle w:val="10"/>
          <w:rFonts w:hint="eastAsia"/>
          <w:sz w:val="28"/>
          <w:szCs w:val="28"/>
          <w:lang w:val="en-US" w:eastAsia="zh-CN"/>
        </w:rPr>
        <w:t>15</w:t>
      </w:r>
      <w:r>
        <w:rPr>
          <w:rStyle w:val="10"/>
          <w:sz w:val="28"/>
          <w:szCs w:val="28"/>
        </w:rPr>
        <w:t xml:space="preserve">时；逾期递交的文件不予接收。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 w14:paraId="6520221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. 响应文件主要组成：营业执照、资质证书、安全生产许可证、项目负责人证书、人员证书、业绩材料、机械设备情况、报价函、施工方案、信用查询截图、真实性承诺等。</w:t>
      </w:r>
    </w:p>
    <w:p w14:paraId="4C5624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四、评审组织</w:t>
      </w:r>
    </w:p>
    <w:p w14:paraId="6525150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组建比选评审小组，共 3 人，其中至少包含 1 名外部行业技术专家，其余为建设单位相关业务人员。评审小组成员与投标人存在利害关系的应当回避。 </w:t>
      </w:r>
    </w:p>
    <w:p w14:paraId="5BE2C80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评审小组按照本比选办法统一标准独立评审，各评委打分后取算术平均值作为该投标人最终得分。 </w:t>
      </w:r>
    </w:p>
    <w:p w14:paraId="17A6335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3. 全程接受纪检部门监督。 </w:t>
      </w:r>
    </w:p>
    <w:p w14:paraId="5A7A1E5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4. 递交有效响应文件不足3家的，本次比选终止，可重新组织比选。</w:t>
      </w:r>
    </w:p>
    <w:p w14:paraId="669DA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sz w:val="28"/>
          <w:szCs w:val="28"/>
        </w:rPr>
        <w:t>、</w:t>
      </w:r>
      <w:r>
        <w:rPr>
          <w:rFonts w:hint="eastAsia" w:ascii="黑体" w:hAnsi="黑体" w:eastAsia="黑体" w:cs="黑体"/>
          <w:sz w:val="28"/>
          <w:szCs w:val="28"/>
        </w:rPr>
        <w:t>评审办法（综合评分法，总分 100 分）</w:t>
      </w:r>
    </w:p>
    <w:tbl>
      <w:tblPr>
        <w:tblStyle w:val="8"/>
        <w:tblpPr w:leftFromText="180" w:rightFromText="180" w:vertAnchor="text" w:horzAnchor="page" w:tblpX="1369" w:tblpY="178"/>
        <w:tblOverlap w:val="never"/>
        <w:tblW w:w="9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488"/>
        <w:gridCol w:w="900"/>
        <w:gridCol w:w="6237"/>
      </w:tblGrid>
      <w:tr w14:paraId="5AD72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430DD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488" w:type="dxa"/>
            <w:vAlign w:val="center"/>
          </w:tcPr>
          <w:p w14:paraId="10FDB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评审项目</w:t>
            </w:r>
          </w:p>
        </w:tc>
        <w:tc>
          <w:tcPr>
            <w:tcW w:w="900" w:type="dxa"/>
            <w:vAlign w:val="center"/>
          </w:tcPr>
          <w:p w14:paraId="77F82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分值</w:t>
            </w:r>
          </w:p>
        </w:tc>
        <w:tc>
          <w:tcPr>
            <w:tcW w:w="6237" w:type="dxa"/>
            <w:vAlign w:val="center"/>
          </w:tcPr>
          <w:p w14:paraId="76C30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2530" w:firstLineChars="900"/>
              <w:textAlignment w:val="auto"/>
              <w:rPr>
                <w:rFonts w:hint="default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评审标准</w:t>
            </w:r>
          </w:p>
        </w:tc>
      </w:tr>
      <w:tr w14:paraId="6F0B8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0041D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bookmarkStart w:id="0" w:name="_Hlk201618819"/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88" w:type="dxa"/>
            <w:vAlign w:val="center"/>
          </w:tcPr>
          <w:p w14:paraId="36633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投标报价</w:t>
            </w:r>
          </w:p>
        </w:tc>
        <w:tc>
          <w:tcPr>
            <w:tcW w:w="900" w:type="dxa"/>
            <w:vAlign w:val="center"/>
          </w:tcPr>
          <w:p w14:paraId="3E438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30分</w:t>
            </w:r>
          </w:p>
        </w:tc>
        <w:tc>
          <w:tcPr>
            <w:tcW w:w="6237" w:type="dxa"/>
            <w:vAlign w:val="center"/>
          </w:tcPr>
          <w:p w14:paraId="21343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评标基准价 = 所有有效投标文件中的最低投标报价；投标报价得分 =(评标基准价 ÷ 投标报价)×30；报价高于最高限价为无效响应。当评审小组发现报价存在明显偏低、可能低于项目成本风险时，应当要求投标人作出书面澄清说明并提供成本佐证材料；投标人不能合理说明或不能提供佐证材料的，按无效响应处理。</w:t>
            </w:r>
          </w:p>
        </w:tc>
      </w:tr>
      <w:tr w14:paraId="1055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426A6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88" w:type="dxa"/>
            <w:vAlign w:val="center"/>
          </w:tcPr>
          <w:p w14:paraId="33E9A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项目负责人</w:t>
            </w:r>
          </w:p>
        </w:tc>
        <w:tc>
          <w:tcPr>
            <w:tcW w:w="900" w:type="dxa"/>
            <w:vAlign w:val="center"/>
          </w:tcPr>
          <w:p w14:paraId="0F199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15分</w:t>
            </w:r>
          </w:p>
        </w:tc>
        <w:tc>
          <w:tcPr>
            <w:tcW w:w="6237" w:type="dxa"/>
            <w:vAlign w:val="center"/>
          </w:tcPr>
          <w:p w14:paraId="28EFD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同时具备二级注册建造师 + 中级及以上职称，且 B 证齐全得 15 分；具备二级注册建造师无中级职称得 10 分；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</w:t>
            </w:r>
            <w:r>
              <w:rPr>
                <w:rFonts w:ascii="宋体" w:hAnsi="宋体" w:eastAsia="宋体" w:cs="宋体"/>
                <w:sz w:val="28"/>
                <w:szCs w:val="28"/>
              </w:rPr>
              <w:t>中级职称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</w:t>
            </w:r>
            <w:r>
              <w:rPr>
                <w:rFonts w:ascii="宋体" w:hAnsi="宋体" w:eastAsia="宋体" w:cs="宋体"/>
                <w:sz w:val="28"/>
                <w:szCs w:val="28"/>
              </w:rPr>
              <w:t>建造师得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分。</w:t>
            </w:r>
          </w:p>
        </w:tc>
      </w:tr>
      <w:tr w14:paraId="30A8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41C2F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88" w:type="dxa"/>
            <w:vAlign w:val="center"/>
          </w:tcPr>
          <w:p w14:paraId="5CEF1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人员配备</w:t>
            </w:r>
          </w:p>
        </w:tc>
        <w:tc>
          <w:tcPr>
            <w:tcW w:w="900" w:type="dxa"/>
            <w:vAlign w:val="center"/>
          </w:tcPr>
          <w:p w14:paraId="50D10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15分</w:t>
            </w:r>
          </w:p>
        </w:tc>
        <w:tc>
          <w:tcPr>
            <w:tcW w:w="6237" w:type="dxa"/>
            <w:vAlign w:val="center"/>
          </w:tcPr>
          <w:p w14:paraId="325C0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配置安全员、施工员、质检员，证书齐全有效得 15 分；缺 1 个岗位扣 5 分，扣完为止；未提供相关证书不得分。</w:t>
            </w:r>
          </w:p>
        </w:tc>
      </w:tr>
      <w:tr w14:paraId="09191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558CD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88" w:type="dxa"/>
            <w:vAlign w:val="center"/>
          </w:tcPr>
          <w:p w14:paraId="61D7D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机械设备配备</w:t>
            </w:r>
          </w:p>
        </w:tc>
        <w:tc>
          <w:tcPr>
            <w:tcW w:w="900" w:type="dxa"/>
            <w:vAlign w:val="center"/>
          </w:tcPr>
          <w:p w14:paraId="1AD3A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15分</w:t>
            </w:r>
          </w:p>
        </w:tc>
        <w:tc>
          <w:tcPr>
            <w:tcW w:w="6237" w:type="dxa"/>
            <w:vAlign w:val="center"/>
          </w:tcPr>
          <w:p w14:paraId="50FEF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具备本项目施工所需切割机、焊机、运输设备等全套设备，提供设备证明材料得 15 分；主要设备缺 1 项扣 5 分，扣完为止；无设备证明材料不得分。</w:t>
            </w:r>
          </w:p>
        </w:tc>
      </w:tr>
      <w:tr w14:paraId="088D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37639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88" w:type="dxa"/>
            <w:vAlign w:val="center"/>
          </w:tcPr>
          <w:p w14:paraId="3DE52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企业业绩</w:t>
            </w:r>
          </w:p>
        </w:tc>
        <w:tc>
          <w:tcPr>
            <w:tcW w:w="900" w:type="dxa"/>
            <w:vAlign w:val="center"/>
          </w:tcPr>
          <w:p w14:paraId="559B6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10分</w:t>
            </w:r>
          </w:p>
        </w:tc>
        <w:tc>
          <w:tcPr>
            <w:tcW w:w="6237" w:type="dxa"/>
            <w:vAlign w:val="center"/>
          </w:tcPr>
          <w:p w14:paraId="52C15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近 3 年同类防护栏 / 公路交安设施项目业绩，提供合同或中标通知书；有 1 项得基本分 4 分，每增加 1 项加 2 分，最高 10 分；业绩时间以合同签订时间为准；无业绩 0 分。</w:t>
            </w:r>
          </w:p>
        </w:tc>
      </w:tr>
      <w:tr w14:paraId="4C0E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2" w:type="dxa"/>
            <w:vAlign w:val="center"/>
          </w:tcPr>
          <w:p w14:paraId="7D3DD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88" w:type="dxa"/>
            <w:vAlign w:val="center"/>
          </w:tcPr>
          <w:p w14:paraId="7D93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投标人信誉</w:t>
            </w:r>
          </w:p>
        </w:tc>
        <w:tc>
          <w:tcPr>
            <w:tcW w:w="900" w:type="dxa"/>
            <w:vAlign w:val="center"/>
          </w:tcPr>
          <w:p w14:paraId="392F5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15分</w:t>
            </w:r>
          </w:p>
        </w:tc>
        <w:tc>
          <w:tcPr>
            <w:tcW w:w="6237" w:type="dxa"/>
            <w:vAlign w:val="center"/>
          </w:tcPr>
          <w:p w14:paraId="0FBE8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无不良信用记录得 15 分；信用中国每存在 1 条一般不良记录扣 2 分，扣完为止；未提供信用查询截图本项不得分。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进</w:t>
            </w:r>
            <w:r>
              <w:rPr>
                <w:rFonts w:ascii="宋体" w:hAnsi="宋体" w:eastAsia="宋体" w:cs="宋体"/>
                <w:sz w:val="28"/>
                <w:szCs w:val="28"/>
              </w:rPr>
              <w:t>重大失信主体名单直接资格否决。</w:t>
            </w:r>
          </w:p>
        </w:tc>
      </w:tr>
      <w:bookmarkEnd w:id="0"/>
    </w:tbl>
    <w:p w14:paraId="34EB9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备注：得分相同的，以投标报价低的优先；报价也相同的，以企业业绩多的优先。</w:t>
      </w:r>
    </w:p>
    <w:p w14:paraId="2C0027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六、取消参选资格（响应无效）情形</w:t>
      </w:r>
    </w:p>
    <w:p w14:paraId="51CAF17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有下列情形之一，评审小组应当判定该投标人响应无效，取消参选资格：</w:t>
      </w:r>
    </w:p>
    <w:p w14:paraId="47C1178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响应文件未按要求密封、逾期送达； </w:t>
      </w:r>
    </w:p>
    <w:p w14:paraId="63F379EB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投标报价高于本项目最高限价； </w:t>
      </w:r>
    </w:p>
    <w:p w14:paraId="1AE3CF16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资格审查不满足本办法第二条任意一项资格条件； </w:t>
      </w:r>
    </w:p>
    <w:p w14:paraId="5488797D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存在围标、串标、弄虚作假，提供虚假材料；</w:t>
      </w:r>
    </w:p>
    <w:p w14:paraId="1AFB5C06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被要求对异常低价进行澄清，不能提供合理成本说明及佐证材料；</w:t>
      </w:r>
    </w:p>
    <w:p w14:paraId="6FAAC4D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0" w:rightChars="0"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6.</w:t>
      </w:r>
      <w:r>
        <w:rPr>
          <w:sz w:val="28"/>
          <w:szCs w:val="28"/>
        </w:rPr>
        <w:t>法律、法规规定其他无效情形。</w:t>
      </w:r>
    </w:p>
    <w:p w14:paraId="6EE248E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七、中选候选人确定及公示</w:t>
      </w:r>
    </w:p>
    <w:p w14:paraId="178FA53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1. 评审小组按照综合得分从高到低排序，推荐第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 xml:space="preserve">名为第一中选候选人，依次推荐后续候选人。 </w:t>
      </w:r>
    </w:p>
    <w:p w14:paraId="0F69BA7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2. 比选结果在单位公示栏或相关平台进行公示，公示期不少于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个工作日，公示内容包含候选人名称、得分、报价等信息，公示期间接受社会监督。</w:t>
      </w:r>
    </w:p>
    <w:p w14:paraId="795D7D4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3. 公示无异议后，建设单位向第一中选候选人发出中选通知书；第一中选候选人放弃中选的，依次递补下一名候选人。</w:t>
      </w:r>
    </w:p>
    <w:p w14:paraId="19DADF1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2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八、其他约定</w:t>
      </w:r>
    </w:p>
    <w:p w14:paraId="638F246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559" w:leftChars="266" w:firstLine="0" w:firstLine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 xml:space="preserve">. 本项目比选办法、响应文件、中选通知书均作为后续施工合同组成部分。 </w:t>
      </w:r>
    </w:p>
    <w:p w14:paraId="3B6D602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exact"/>
        <w:ind w:firstLine="560" w:firstLineChars="200"/>
        <w:jc w:val="both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sz w:val="28"/>
          <w:szCs w:val="28"/>
        </w:rPr>
        <w:t>. 各投标人自行承担参与本次比选全部费用，无论中选与否，建设单位不补偿任何费用。</w:t>
      </w:r>
    </w:p>
    <w:p w14:paraId="3F40C70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exact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. 本项目不收取投标保证金。 </w:t>
      </w:r>
    </w:p>
    <w:p w14:paraId="7E8B400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exact"/>
        <w:ind w:firstLine="560" w:firstLineChars="200"/>
        <w:jc w:val="both"/>
        <w:rPr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. 采购人有权对本项目情况进行现场踏勘，投标人可自行前往现场踏勘，踏勘产生费用自行承担。</w:t>
      </w:r>
    </w:p>
    <w:p w14:paraId="3D0FCBD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. 本比选办法由</w:t>
      </w:r>
      <w:r>
        <w:rPr>
          <w:rFonts w:hint="eastAsia"/>
          <w:sz w:val="28"/>
          <w:szCs w:val="28"/>
          <w:lang w:val="en-US" w:eastAsia="zh-CN"/>
        </w:rPr>
        <w:t>宜良县</w:t>
      </w:r>
      <w:r>
        <w:rPr>
          <w:sz w:val="28"/>
          <w:szCs w:val="28"/>
        </w:rPr>
        <w:t>水务局负责解释。</w:t>
      </w:r>
    </w:p>
    <w:p w14:paraId="70319C9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6</w:t>
      </w:r>
      <w:r>
        <w:rPr>
          <w:sz w:val="28"/>
          <w:szCs w:val="28"/>
        </w:rPr>
        <w:t>. 本办法经集体研究审定后执行。</w:t>
      </w:r>
    </w:p>
    <w:p w14:paraId="0ED08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</w:p>
    <w:p w14:paraId="7BF36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</w:p>
    <w:p w14:paraId="62B21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</w:p>
    <w:p w14:paraId="369D4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</w:p>
    <w:p w14:paraId="74607D8A">
      <w:pPr>
        <w:rPr>
          <w:rFonts w:asciiTheme="minorEastAsia" w:hAnsiTheme="minorEastAsia"/>
          <w:sz w:val="28"/>
          <w:szCs w:val="28"/>
        </w:rPr>
      </w:pPr>
    </w:p>
    <w:p w14:paraId="330BA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Theme="minorEastAsia" w:hAnsiTheme="minorEastAsia"/>
          <w:sz w:val="28"/>
          <w:szCs w:val="28"/>
        </w:rPr>
      </w:pPr>
    </w:p>
    <w:p w14:paraId="72596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6440" w:firstLineChars="2300"/>
        <w:textAlignment w:val="auto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宜良县水务局</w:t>
      </w:r>
    </w:p>
    <w:p w14:paraId="57E08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6160" w:firstLineChars="2200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16</w:t>
      </w:r>
      <w:r>
        <w:rPr>
          <w:rFonts w:hint="eastAsia" w:asciiTheme="minorEastAsia" w:hAnsiTheme="minorEastAsia"/>
          <w:sz w:val="28"/>
          <w:szCs w:val="28"/>
        </w:rPr>
        <w:t>日</w:t>
      </w:r>
      <w:bookmarkStart w:id="1" w:name="_GoBack"/>
      <w:bookmarkEnd w:id="1"/>
    </w:p>
    <w:p w14:paraId="7F2039A7"/>
    <w:sectPr>
      <w:footerReference r:id="rId3" w:type="default"/>
      <w:pgSz w:w="11906" w:h="16838"/>
      <w:pgMar w:top="1021" w:right="1021" w:bottom="1021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541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94AFA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94AFA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1C548C"/>
    <w:multiLevelType w:val="singleLevel"/>
    <w:tmpl w:val="541C548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D92D8B"/>
    <w:multiLevelType w:val="singleLevel"/>
    <w:tmpl w:val="65D92D8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267"/>
    <w:rsid w:val="002951B4"/>
    <w:rsid w:val="00394BF2"/>
    <w:rsid w:val="003952E5"/>
    <w:rsid w:val="003D385D"/>
    <w:rsid w:val="006D7C91"/>
    <w:rsid w:val="007F4309"/>
    <w:rsid w:val="00854BC9"/>
    <w:rsid w:val="00935D8C"/>
    <w:rsid w:val="00A81267"/>
    <w:rsid w:val="00B26ACE"/>
    <w:rsid w:val="00D81044"/>
    <w:rsid w:val="00D979AA"/>
    <w:rsid w:val="00F27D88"/>
    <w:rsid w:val="00FE7A5A"/>
    <w:rsid w:val="01420A8B"/>
    <w:rsid w:val="018D7AAE"/>
    <w:rsid w:val="02396C22"/>
    <w:rsid w:val="072A342C"/>
    <w:rsid w:val="08996BC7"/>
    <w:rsid w:val="0CCB4C1C"/>
    <w:rsid w:val="10294865"/>
    <w:rsid w:val="151E6A87"/>
    <w:rsid w:val="15701EA1"/>
    <w:rsid w:val="167504A0"/>
    <w:rsid w:val="17555BDC"/>
    <w:rsid w:val="179F7C4F"/>
    <w:rsid w:val="1ED336BB"/>
    <w:rsid w:val="1F142C89"/>
    <w:rsid w:val="1F501AAA"/>
    <w:rsid w:val="206369A2"/>
    <w:rsid w:val="23975CF1"/>
    <w:rsid w:val="24AF4B7D"/>
    <w:rsid w:val="24B97AC7"/>
    <w:rsid w:val="26CB159A"/>
    <w:rsid w:val="27EF2113"/>
    <w:rsid w:val="28B217F8"/>
    <w:rsid w:val="295E5B6D"/>
    <w:rsid w:val="2A4931EC"/>
    <w:rsid w:val="2A7B3C07"/>
    <w:rsid w:val="2AD731FF"/>
    <w:rsid w:val="2C224E55"/>
    <w:rsid w:val="2D925252"/>
    <w:rsid w:val="30AD41EB"/>
    <w:rsid w:val="312B3E90"/>
    <w:rsid w:val="35225A22"/>
    <w:rsid w:val="358E506D"/>
    <w:rsid w:val="35CA2C65"/>
    <w:rsid w:val="3872562D"/>
    <w:rsid w:val="39DE27E9"/>
    <w:rsid w:val="3BFF2436"/>
    <w:rsid w:val="3DDA7C95"/>
    <w:rsid w:val="3E7F6C11"/>
    <w:rsid w:val="3F360C86"/>
    <w:rsid w:val="3F717956"/>
    <w:rsid w:val="3FA83455"/>
    <w:rsid w:val="40A9648B"/>
    <w:rsid w:val="41CA61D6"/>
    <w:rsid w:val="428A38B6"/>
    <w:rsid w:val="43A8497D"/>
    <w:rsid w:val="47E07536"/>
    <w:rsid w:val="48C070B7"/>
    <w:rsid w:val="4A281D02"/>
    <w:rsid w:val="51334745"/>
    <w:rsid w:val="517D51AA"/>
    <w:rsid w:val="52533650"/>
    <w:rsid w:val="52904CED"/>
    <w:rsid w:val="549C486F"/>
    <w:rsid w:val="551B39E5"/>
    <w:rsid w:val="567A07EF"/>
    <w:rsid w:val="58150BC0"/>
    <w:rsid w:val="58F3217D"/>
    <w:rsid w:val="59684316"/>
    <w:rsid w:val="5B420748"/>
    <w:rsid w:val="5D2E3DD1"/>
    <w:rsid w:val="642F7AEC"/>
    <w:rsid w:val="683F7593"/>
    <w:rsid w:val="6893310E"/>
    <w:rsid w:val="696403F8"/>
    <w:rsid w:val="6A7E632E"/>
    <w:rsid w:val="6CF4154E"/>
    <w:rsid w:val="6DC53E25"/>
    <w:rsid w:val="6DD91AE9"/>
    <w:rsid w:val="6E46167B"/>
    <w:rsid w:val="6EF6549B"/>
    <w:rsid w:val="7082380F"/>
    <w:rsid w:val="70A73F27"/>
    <w:rsid w:val="716A559E"/>
    <w:rsid w:val="759F454E"/>
    <w:rsid w:val="76104953"/>
    <w:rsid w:val="76685F07"/>
    <w:rsid w:val="797926D7"/>
    <w:rsid w:val="7A893B99"/>
    <w:rsid w:val="7ED6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2041</Words>
  <Characters>2105</Characters>
  <Lines>12</Lines>
  <Paragraphs>3</Paragraphs>
  <TotalTime>21</TotalTime>
  <ScaleCrop>false</ScaleCrop>
  <LinksUpToDate>false</LinksUpToDate>
  <CharactersWithSpaces>2214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2025-06-23T15:38:00Z</dcterms:created>
  <dc:creator>Administrator</dc:creator>
  <cp:lastModifiedBy>孙锐文</cp:lastModifiedBy>
  <dcterms:modified xsi:type="dcterms:W3CDTF">2026-10-15T02:27:53Z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eyJoZGlkIjoiNmZjMTc3MGM3ODEwNzE4Njg3OTUwZDYzZjliNWM4YTkiLCJ1c2VySWQiOiIyMjg2NjQ0MjkifQ==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3EC28EF98F414BF28E2D3BD5A9CF895D_13</vt:lpwstr>
  </property>
</Properties>
</file>