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rPr>
          <w:rFonts w:eastAsia="仿宋_GB2312"/>
          <w:color w:val="auto"/>
          <w:sz w:val="36"/>
          <w:szCs w:val="36"/>
        </w:rPr>
      </w:pPr>
      <w:bookmarkStart w:id="0" w:name="_Hlk57883707"/>
    </w:p>
    <w:p>
      <w:pPr>
        <w:spacing w:line="276" w:lineRule="auto"/>
        <w:rPr>
          <w:rFonts w:eastAsia="仿宋_GB2312"/>
          <w:color w:val="auto"/>
          <w:sz w:val="36"/>
          <w:szCs w:val="36"/>
        </w:rPr>
      </w:pPr>
    </w:p>
    <w:p>
      <w:pPr>
        <w:spacing w:line="276" w:lineRule="auto"/>
        <w:rPr>
          <w:rFonts w:eastAsia="仿宋_GB2312"/>
          <w:color w:val="auto"/>
          <w:sz w:val="36"/>
          <w:szCs w:val="36"/>
        </w:rPr>
      </w:pPr>
    </w:p>
    <w:bookmarkEnd w:id="0"/>
    <w:p>
      <w:pPr>
        <w:adjustRightInd w:val="0"/>
        <w:snapToGrid w:val="0"/>
        <w:jc w:val="center"/>
        <w:outlineLvl w:val="0"/>
        <w:rPr>
          <w:rFonts w:eastAsia="方正小标宋_GBK"/>
          <w:bCs/>
          <w:color w:val="auto"/>
          <w:sz w:val="72"/>
          <w:szCs w:val="72"/>
        </w:rPr>
      </w:pPr>
      <w:bookmarkStart w:id="1" w:name="_Toc163725972"/>
      <w:r>
        <w:rPr>
          <w:rFonts w:eastAsia="方正小标宋_GBK"/>
          <w:bCs/>
          <w:color w:val="auto"/>
          <w:sz w:val="72"/>
          <w:szCs w:val="72"/>
        </w:rPr>
        <w:t>建设项目环境影响报告表</w:t>
      </w:r>
      <w:bookmarkEnd w:id="1"/>
    </w:p>
    <w:p>
      <w:pPr>
        <w:adjustRightInd w:val="0"/>
        <w:snapToGrid w:val="0"/>
        <w:spacing w:before="192" w:beforeLines="80"/>
        <w:jc w:val="center"/>
        <w:rPr>
          <w:rFonts w:eastAsia="楷体_GB2312"/>
          <w:bCs/>
          <w:color w:val="auto"/>
          <w:sz w:val="48"/>
          <w:szCs w:val="48"/>
        </w:rPr>
      </w:pPr>
      <w:r>
        <w:rPr>
          <w:rFonts w:eastAsia="楷体_GB2312"/>
          <w:bCs/>
          <w:color w:val="auto"/>
          <w:sz w:val="48"/>
          <w:szCs w:val="48"/>
        </w:rPr>
        <w:t>（污染影响类）</w:t>
      </w:r>
    </w:p>
    <w:p>
      <w:pPr>
        <w:autoSpaceDE w:val="0"/>
        <w:autoSpaceDN w:val="0"/>
        <w:adjustRightInd w:val="0"/>
        <w:spacing w:line="500" w:lineRule="atLeast"/>
        <w:jc w:val="center"/>
        <w:rPr>
          <w:bCs/>
          <w:color w:val="auto"/>
          <w:sz w:val="36"/>
          <w:szCs w:val="28"/>
        </w:rPr>
      </w:pPr>
      <w:bookmarkStart w:id="2" w:name="_Hlk57883728"/>
    </w:p>
    <w:p>
      <w:pPr>
        <w:autoSpaceDE w:val="0"/>
        <w:autoSpaceDN w:val="0"/>
        <w:adjustRightInd w:val="0"/>
        <w:spacing w:line="500" w:lineRule="atLeast"/>
        <w:jc w:val="center"/>
        <w:rPr>
          <w:bCs/>
          <w:color w:val="auto"/>
          <w:sz w:val="36"/>
          <w:szCs w:val="28"/>
        </w:rPr>
      </w:pPr>
    </w:p>
    <w:p>
      <w:pPr>
        <w:spacing w:line="276" w:lineRule="auto"/>
        <w:jc w:val="center"/>
        <w:rPr>
          <w:rFonts w:eastAsia="仿宋"/>
          <w:color w:val="auto"/>
          <w:sz w:val="52"/>
          <w:szCs w:val="52"/>
        </w:rPr>
      </w:pPr>
    </w:p>
    <w:p>
      <w:pPr>
        <w:spacing w:line="276" w:lineRule="auto"/>
        <w:ind w:firstLine="1040"/>
        <w:rPr>
          <w:rFonts w:eastAsia="仿宋"/>
          <w:color w:val="auto"/>
          <w:sz w:val="44"/>
          <w:szCs w:val="44"/>
        </w:rPr>
      </w:pPr>
    </w:p>
    <w:p>
      <w:pPr>
        <w:spacing w:line="276" w:lineRule="auto"/>
        <w:ind w:firstLine="1040"/>
        <w:rPr>
          <w:rFonts w:eastAsia="仿宋"/>
          <w:color w:val="auto"/>
          <w:sz w:val="44"/>
          <w:szCs w:val="44"/>
        </w:rPr>
      </w:pPr>
    </w:p>
    <w:p>
      <w:pPr>
        <w:spacing w:line="276" w:lineRule="auto"/>
        <w:ind w:firstLine="1040"/>
        <w:rPr>
          <w:rFonts w:eastAsia="仿宋"/>
          <w:color w:val="auto"/>
          <w:sz w:val="44"/>
          <w:szCs w:val="44"/>
        </w:rPr>
      </w:pPr>
    </w:p>
    <w:p>
      <w:pPr>
        <w:spacing w:line="276" w:lineRule="auto"/>
        <w:ind w:firstLine="1040"/>
        <w:rPr>
          <w:rFonts w:eastAsia="仿宋"/>
          <w:color w:val="auto"/>
          <w:sz w:val="44"/>
          <w:szCs w:val="44"/>
        </w:rPr>
      </w:pPr>
    </w:p>
    <w:bookmarkEnd w:id="2"/>
    <w:p>
      <w:pPr>
        <w:adjustRightInd w:val="0"/>
        <w:snapToGrid w:val="0"/>
        <w:spacing w:line="288" w:lineRule="auto"/>
        <w:ind w:firstLine="720" w:firstLineChars="200"/>
        <w:rPr>
          <w:rFonts w:hint="eastAsia"/>
          <w:color w:val="auto"/>
          <w:sz w:val="36"/>
          <w:szCs w:val="36"/>
          <w:u w:val="single"/>
        </w:rPr>
      </w:pPr>
      <w:r>
        <w:rPr>
          <w:color w:val="auto"/>
          <w:sz w:val="36"/>
          <w:szCs w:val="36"/>
        </w:rPr>
        <w:t>项目名称：</w:t>
      </w:r>
      <w:r>
        <w:rPr>
          <w:rFonts w:hint="eastAsia"/>
          <w:color w:val="auto"/>
          <w:sz w:val="36"/>
          <w:szCs w:val="36"/>
          <w:u w:val="single"/>
        </w:rPr>
        <w:t>昆明温嘉环保科技有限公司年处理9万吨</w:t>
      </w:r>
    </w:p>
    <w:p>
      <w:pPr>
        <w:adjustRightInd w:val="0"/>
        <w:snapToGrid w:val="0"/>
        <w:spacing w:line="288" w:lineRule="auto"/>
        <w:ind w:firstLine="2520" w:firstLineChars="700"/>
        <w:rPr>
          <w:rFonts w:hint="eastAsia" w:eastAsia="宋体"/>
          <w:color w:val="auto"/>
          <w:sz w:val="36"/>
          <w:szCs w:val="36"/>
          <w:u w:val="single"/>
          <w:lang w:eastAsia="zh-CN"/>
        </w:rPr>
      </w:pPr>
      <w:r>
        <w:rPr>
          <w:rFonts w:hint="eastAsia"/>
          <w:color w:val="auto"/>
          <w:sz w:val="36"/>
          <w:szCs w:val="36"/>
          <w:u w:val="single"/>
        </w:rPr>
        <w:t>废塑料综合利用建设项目（一期）</w:t>
      </w:r>
    </w:p>
    <w:p>
      <w:pPr>
        <w:adjustRightInd w:val="0"/>
        <w:snapToGrid w:val="0"/>
        <w:spacing w:line="288" w:lineRule="auto"/>
        <w:ind w:firstLine="720" w:firstLineChars="200"/>
        <w:rPr>
          <w:rFonts w:eastAsia="仿宋_GB2312"/>
          <w:color w:val="auto"/>
          <w:sz w:val="36"/>
          <w:szCs w:val="36"/>
          <w:u w:val="single"/>
        </w:rPr>
      </w:pPr>
      <w:r>
        <w:rPr>
          <w:color w:val="auto"/>
          <w:sz w:val="36"/>
          <w:szCs w:val="36"/>
        </w:rPr>
        <w:t>建设单位（盖章）：</w:t>
      </w:r>
      <w:r>
        <w:rPr>
          <w:rFonts w:hint="eastAsia"/>
          <w:color w:val="auto"/>
          <w:sz w:val="36"/>
          <w:szCs w:val="36"/>
          <w:u w:val="single"/>
          <w:lang w:eastAsia="zh-CN"/>
        </w:rPr>
        <w:t>昆明温嘉环保科技有限公司</w:t>
      </w:r>
      <w:r>
        <w:rPr>
          <w:color w:val="auto"/>
          <w:sz w:val="36"/>
          <w:szCs w:val="36"/>
          <w:u w:val="single"/>
        </w:rPr>
        <w:t xml:space="preserve">   </w:t>
      </w:r>
    </w:p>
    <w:p>
      <w:pPr>
        <w:adjustRightInd w:val="0"/>
        <w:snapToGrid w:val="0"/>
        <w:spacing w:line="288" w:lineRule="auto"/>
        <w:ind w:firstLine="720" w:firstLineChars="200"/>
        <w:rPr>
          <w:rFonts w:eastAsia="仿宋_GB2312"/>
          <w:color w:val="auto"/>
          <w:sz w:val="36"/>
          <w:szCs w:val="36"/>
          <w:u w:val="single"/>
        </w:rPr>
      </w:pPr>
      <w:r>
        <w:rPr>
          <w:color w:val="auto"/>
          <w:sz w:val="36"/>
          <w:szCs w:val="36"/>
        </w:rPr>
        <w:t>编制日期：</w:t>
      </w:r>
      <w:r>
        <w:rPr>
          <w:rFonts w:eastAsia="仿宋_GB2312"/>
          <w:color w:val="auto"/>
          <w:sz w:val="36"/>
          <w:szCs w:val="36"/>
          <w:u w:val="single"/>
        </w:rPr>
        <w:t xml:space="preserve">           202</w:t>
      </w:r>
      <w:r>
        <w:rPr>
          <w:rFonts w:hint="eastAsia" w:eastAsia="仿宋_GB2312"/>
          <w:color w:val="auto"/>
          <w:sz w:val="36"/>
          <w:szCs w:val="36"/>
          <w:u w:val="single"/>
          <w:lang w:val="en-US" w:eastAsia="zh-CN"/>
        </w:rPr>
        <w:t>6</w:t>
      </w:r>
      <w:r>
        <w:rPr>
          <w:color w:val="auto"/>
          <w:sz w:val="36"/>
          <w:szCs w:val="36"/>
          <w:u w:val="single"/>
        </w:rPr>
        <w:t>年</w:t>
      </w:r>
      <w:r>
        <w:rPr>
          <w:rFonts w:hint="eastAsia" w:eastAsia="仿宋_GB2312"/>
          <w:color w:val="auto"/>
          <w:sz w:val="36"/>
          <w:szCs w:val="36"/>
          <w:u w:val="single"/>
          <w:lang w:val="en-US" w:eastAsia="zh-CN"/>
        </w:rPr>
        <w:t>8</w:t>
      </w:r>
      <w:r>
        <w:rPr>
          <w:color w:val="auto"/>
          <w:sz w:val="36"/>
          <w:szCs w:val="36"/>
          <w:u w:val="single"/>
        </w:rPr>
        <w:t xml:space="preserve">月          </w:t>
      </w:r>
      <w:r>
        <w:rPr>
          <w:rFonts w:hint="eastAsia"/>
          <w:color w:val="auto"/>
          <w:sz w:val="36"/>
          <w:szCs w:val="36"/>
          <w:u w:val="single"/>
          <w:lang w:val="en-US" w:eastAsia="zh-CN"/>
        </w:rPr>
        <w:t xml:space="preserve">  </w:t>
      </w:r>
      <w:r>
        <w:rPr>
          <w:rFonts w:hint="eastAsia"/>
          <w:color w:val="auto"/>
          <w:sz w:val="36"/>
          <w:szCs w:val="36"/>
          <w:u w:val="single"/>
        </w:rPr>
        <w:t xml:space="preserve"> </w:t>
      </w:r>
      <w:r>
        <w:rPr>
          <w:color w:val="auto"/>
          <w:sz w:val="18"/>
          <w:szCs w:val="18"/>
          <w:u w:val="single"/>
        </w:rPr>
        <w:t xml:space="preserve"> </w:t>
      </w:r>
    </w:p>
    <w:p>
      <w:pPr>
        <w:adjustRightInd w:val="0"/>
        <w:snapToGrid w:val="0"/>
        <w:spacing w:line="288" w:lineRule="auto"/>
        <w:ind w:firstLine="1040"/>
        <w:rPr>
          <w:rFonts w:eastAsia="仿宋_GB2312"/>
          <w:color w:val="auto"/>
          <w:sz w:val="36"/>
          <w:szCs w:val="36"/>
          <w:u w:val="single"/>
        </w:rPr>
      </w:pPr>
    </w:p>
    <w:p>
      <w:pPr>
        <w:adjustRightInd w:val="0"/>
        <w:snapToGrid w:val="0"/>
        <w:spacing w:line="288" w:lineRule="auto"/>
        <w:ind w:firstLine="1040"/>
        <w:rPr>
          <w:rFonts w:eastAsia="仿宋_GB2312"/>
          <w:color w:val="auto"/>
          <w:sz w:val="36"/>
          <w:szCs w:val="36"/>
        </w:rPr>
      </w:pPr>
    </w:p>
    <w:p>
      <w:pPr>
        <w:adjustRightInd w:val="0"/>
        <w:snapToGrid w:val="0"/>
        <w:spacing w:line="288" w:lineRule="auto"/>
        <w:ind w:firstLine="1040"/>
        <w:rPr>
          <w:rFonts w:eastAsia="仿宋_GB2312"/>
          <w:color w:val="auto"/>
          <w:sz w:val="36"/>
          <w:szCs w:val="36"/>
        </w:rPr>
      </w:pPr>
    </w:p>
    <w:p>
      <w:pPr>
        <w:adjustRightInd w:val="0"/>
        <w:snapToGrid w:val="0"/>
        <w:spacing w:line="288" w:lineRule="auto"/>
        <w:ind w:firstLine="1040"/>
        <w:rPr>
          <w:rFonts w:eastAsia="仿宋_GB2312"/>
          <w:color w:val="auto"/>
          <w:sz w:val="36"/>
          <w:szCs w:val="36"/>
        </w:rPr>
      </w:pPr>
    </w:p>
    <w:p>
      <w:pPr>
        <w:adjustRightInd w:val="0"/>
        <w:snapToGrid w:val="0"/>
        <w:spacing w:line="288" w:lineRule="auto"/>
        <w:jc w:val="center"/>
        <w:rPr>
          <w:rFonts w:eastAsia="楷体_GB2312"/>
          <w:color w:val="auto"/>
          <w:sz w:val="36"/>
          <w:szCs w:val="36"/>
        </w:rPr>
      </w:pPr>
      <w:r>
        <w:rPr>
          <w:rFonts w:eastAsia="楷体_GB2312"/>
          <w:color w:val="auto"/>
          <w:sz w:val="36"/>
          <w:szCs w:val="36"/>
        </w:rPr>
        <w:t>中华人民共和国生态环境部制</w:t>
      </w:r>
    </w:p>
    <w:p>
      <w:pPr>
        <w:adjustRightInd w:val="0"/>
        <w:snapToGrid w:val="0"/>
        <w:spacing w:line="288" w:lineRule="auto"/>
        <w:rPr>
          <w:rFonts w:eastAsia="楷体_GB2312"/>
          <w:color w:val="auto"/>
          <w:sz w:val="36"/>
          <w:szCs w:val="36"/>
        </w:rPr>
      </w:pPr>
    </w:p>
    <w:p>
      <w:pPr>
        <w:adjustRightInd w:val="0"/>
        <w:snapToGrid w:val="0"/>
        <w:spacing w:line="288" w:lineRule="auto"/>
        <w:ind w:firstLine="1040"/>
        <w:rPr>
          <w:rFonts w:eastAsia="仿宋_GB2312"/>
          <w:color w:val="auto"/>
          <w:sz w:val="36"/>
          <w:szCs w:val="36"/>
        </w:rPr>
        <w:sectPr>
          <w:footerReference r:id="rId3" w:type="default"/>
          <w:footerReference r:id="rId4" w:type="even"/>
          <w:pgSz w:w="11906" w:h="16838"/>
          <w:pgMar w:top="1701" w:right="1531" w:bottom="1701" w:left="1531" w:header="851" w:footer="1077" w:gutter="0"/>
          <w:pgNumType w:start="3"/>
          <w:cols w:space="720" w:num="1"/>
          <w:docGrid w:linePitch="312" w:charSpace="0"/>
        </w:sectPr>
      </w:pPr>
    </w:p>
    <w:p>
      <w:pPr>
        <w:pStyle w:val="57"/>
        <w:spacing w:line="360" w:lineRule="auto"/>
        <w:jc w:val="center"/>
        <w:rPr>
          <w:rFonts w:ascii="Times New Roman" w:hAnsi="Times New Roman"/>
          <w:b/>
          <w:color w:val="auto"/>
          <w:sz w:val="36"/>
          <w:szCs w:val="36"/>
        </w:rPr>
      </w:pPr>
      <w:r>
        <w:rPr>
          <w:rFonts w:ascii="Times New Roman" w:hAnsi="Times New Roman"/>
          <w:b/>
          <w:color w:val="auto"/>
          <w:sz w:val="36"/>
          <w:szCs w:val="36"/>
          <w:lang w:val="zh-CN"/>
        </w:rPr>
        <w:t>目  录</w:t>
      </w:r>
    </w:p>
    <w:p>
      <w:pPr>
        <w:pStyle w:val="58"/>
        <w:tabs>
          <w:tab w:val="right" w:leader="dot" w:pos="8834"/>
        </w:tabs>
        <w:spacing w:line="360" w:lineRule="auto"/>
        <w:rPr>
          <w:color w:val="auto"/>
          <w:szCs w:val="22"/>
        </w:rPr>
      </w:pPr>
      <w:r>
        <w:rPr>
          <w:b/>
          <w:bCs/>
          <w:color w:val="auto"/>
          <w:lang w:val="zh-CN"/>
        </w:rPr>
        <w:fldChar w:fldCharType="begin"/>
      </w:r>
      <w:r>
        <w:rPr>
          <w:b/>
          <w:bCs/>
          <w:color w:val="auto"/>
          <w:lang w:val="zh-CN"/>
        </w:rPr>
        <w:instrText xml:space="preserve"> TOC \o "1-3" \h \z \u </w:instrText>
      </w:r>
      <w:r>
        <w:rPr>
          <w:b/>
          <w:bCs/>
          <w:color w:val="auto"/>
          <w:lang w:val="zh-CN"/>
        </w:rPr>
        <w:fldChar w:fldCharType="separate"/>
      </w:r>
    </w:p>
    <w:p>
      <w:pPr>
        <w:pStyle w:val="58"/>
        <w:widowControl/>
        <w:tabs>
          <w:tab w:val="right" w:leader="dot" w:pos="8834"/>
        </w:tabs>
        <w:spacing w:line="360" w:lineRule="auto"/>
        <w:rPr>
          <w:color w:val="auto"/>
          <w:sz w:val="24"/>
        </w:rPr>
      </w:pPr>
      <w:r>
        <w:rPr>
          <w:color w:val="auto"/>
        </w:rPr>
        <w:fldChar w:fldCharType="begin"/>
      </w:r>
      <w:r>
        <w:rPr>
          <w:color w:val="auto"/>
        </w:rPr>
        <w:instrText xml:space="preserve"> HYPERLINK \l "_Toc163725973" </w:instrText>
      </w:r>
      <w:r>
        <w:rPr>
          <w:color w:val="auto"/>
        </w:rPr>
        <w:fldChar w:fldCharType="separate"/>
      </w:r>
      <w:r>
        <w:rPr>
          <w:rStyle w:val="28"/>
          <w:snapToGrid w:val="0"/>
          <w:color w:val="auto"/>
          <w:sz w:val="24"/>
        </w:rPr>
        <w:t>一、建设项目基本情况</w:t>
      </w:r>
      <w:r>
        <w:rPr>
          <w:color w:val="auto"/>
          <w:sz w:val="24"/>
        </w:rPr>
        <w:tab/>
      </w:r>
      <w:r>
        <w:rPr>
          <w:color w:val="auto"/>
          <w:sz w:val="24"/>
        </w:rPr>
        <w:fldChar w:fldCharType="begin"/>
      </w:r>
      <w:r>
        <w:rPr>
          <w:color w:val="auto"/>
          <w:sz w:val="24"/>
        </w:rPr>
        <w:instrText xml:space="preserve"> PAGEREF _Toc163725973 \h </w:instrText>
      </w:r>
      <w:r>
        <w:rPr>
          <w:color w:val="auto"/>
          <w:sz w:val="24"/>
        </w:rPr>
        <w:fldChar w:fldCharType="separate"/>
      </w:r>
      <w:r>
        <w:rPr>
          <w:color w:val="auto"/>
          <w:sz w:val="24"/>
        </w:rPr>
        <w:t>1</w:t>
      </w:r>
      <w:r>
        <w:rPr>
          <w:color w:val="auto"/>
          <w:sz w:val="24"/>
        </w:rPr>
        <w:fldChar w:fldCharType="end"/>
      </w:r>
      <w:r>
        <w:rPr>
          <w:color w:val="auto"/>
          <w:sz w:val="24"/>
        </w:rPr>
        <w:fldChar w:fldCharType="end"/>
      </w:r>
    </w:p>
    <w:p>
      <w:pPr>
        <w:pStyle w:val="58"/>
        <w:widowControl/>
        <w:tabs>
          <w:tab w:val="right" w:leader="dot" w:pos="8834"/>
        </w:tabs>
        <w:spacing w:line="360" w:lineRule="auto"/>
        <w:rPr>
          <w:color w:val="auto"/>
          <w:sz w:val="24"/>
        </w:rPr>
      </w:pPr>
      <w:r>
        <w:rPr>
          <w:color w:val="auto"/>
        </w:rPr>
        <w:fldChar w:fldCharType="begin"/>
      </w:r>
      <w:r>
        <w:rPr>
          <w:color w:val="auto"/>
        </w:rPr>
        <w:instrText xml:space="preserve"> HYPERLINK \l "_Toc163725974" </w:instrText>
      </w:r>
      <w:r>
        <w:rPr>
          <w:color w:val="auto"/>
        </w:rPr>
        <w:fldChar w:fldCharType="separate"/>
      </w:r>
      <w:r>
        <w:rPr>
          <w:rStyle w:val="28"/>
          <w:snapToGrid w:val="0"/>
          <w:color w:val="auto"/>
          <w:sz w:val="24"/>
        </w:rPr>
        <w:t>二、建设项目工程分析</w:t>
      </w:r>
      <w:r>
        <w:rPr>
          <w:color w:val="auto"/>
          <w:sz w:val="24"/>
        </w:rPr>
        <w:tab/>
      </w:r>
      <w:r>
        <w:rPr>
          <w:color w:val="auto"/>
          <w:sz w:val="24"/>
        </w:rPr>
        <w:fldChar w:fldCharType="begin"/>
      </w:r>
      <w:r>
        <w:rPr>
          <w:color w:val="auto"/>
          <w:sz w:val="24"/>
        </w:rPr>
        <w:instrText xml:space="preserve"> PAGEREF _Toc163725974 \h </w:instrText>
      </w:r>
      <w:r>
        <w:rPr>
          <w:color w:val="auto"/>
          <w:sz w:val="24"/>
        </w:rPr>
        <w:fldChar w:fldCharType="separate"/>
      </w:r>
      <w:r>
        <w:rPr>
          <w:color w:val="auto"/>
          <w:sz w:val="24"/>
        </w:rPr>
        <w:t>34</w:t>
      </w:r>
      <w:r>
        <w:rPr>
          <w:color w:val="auto"/>
          <w:sz w:val="24"/>
        </w:rPr>
        <w:fldChar w:fldCharType="end"/>
      </w:r>
      <w:r>
        <w:rPr>
          <w:color w:val="auto"/>
          <w:sz w:val="24"/>
        </w:rPr>
        <w:fldChar w:fldCharType="end"/>
      </w:r>
    </w:p>
    <w:p>
      <w:pPr>
        <w:pStyle w:val="58"/>
        <w:widowControl/>
        <w:tabs>
          <w:tab w:val="right" w:leader="dot" w:pos="8834"/>
        </w:tabs>
        <w:spacing w:line="360" w:lineRule="auto"/>
        <w:rPr>
          <w:color w:val="auto"/>
          <w:sz w:val="24"/>
        </w:rPr>
      </w:pPr>
      <w:r>
        <w:rPr>
          <w:color w:val="auto"/>
        </w:rPr>
        <w:fldChar w:fldCharType="begin"/>
      </w:r>
      <w:r>
        <w:rPr>
          <w:color w:val="auto"/>
        </w:rPr>
        <w:instrText xml:space="preserve"> HYPERLINK \l "_Toc163725975" </w:instrText>
      </w:r>
      <w:r>
        <w:rPr>
          <w:color w:val="auto"/>
        </w:rPr>
        <w:fldChar w:fldCharType="separate"/>
      </w:r>
      <w:r>
        <w:rPr>
          <w:rStyle w:val="28"/>
          <w:snapToGrid w:val="0"/>
          <w:color w:val="auto"/>
          <w:sz w:val="24"/>
        </w:rPr>
        <w:t>三、区域环境质量现状、环境保护目标及评价标准</w:t>
      </w:r>
      <w:r>
        <w:rPr>
          <w:color w:val="auto"/>
          <w:sz w:val="24"/>
        </w:rPr>
        <w:tab/>
      </w:r>
      <w:r>
        <w:rPr>
          <w:color w:val="auto"/>
          <w:sz w:val="24"/>
        </w:rPr>
        <w:fldChar w:fldCharType="begin"/>
      </w:r>
      <w:r>
        <w:rPr>
          <w:color w:val="auto"/>
          <w:sz w:val="24"/>
        </w:rPr>
        <w:instrText xml:space="preserve"> PAGEREF _Toc163725975 \h </w:instrText>
      </w:r>
      <w:r>
        <w:rPr>
          <w:color w:val="auto"/>
          <w:sz w:val="24"/>
        </w:rPr>
        <w:fldChar w:fldCharType="separate"/>
      </w:r>
      <w:r>
        <w:rPr>
          <w:color w:val="auto"/>
          <w:sz w:val="24"/>
        </w:rPr>
        <w:t>45</w:t>
      </w:r>
      <w:r>
        <w:rPr>
          <w:color w:val="auto"/>
          <w:sz w:val="24"/>
        </w:rPr>
        <w:fldChar w:fldCharType="end"/>
      </w:r>
      <w:r>
        <w:rPr>
          <w:color w:val="auto"/>
          <w:sz w:val="24"/>
        </w:rPr>
        <w:fldChar w:fldCharType="end"/>
      </w:r>
    </w:p>
    <w:p>
      <w:pPr>
        <w:pStyle w:val="58"/>
        <w:widowControl/>
        <w:tabs>
          <w:tab w:val="right" w:leader="dot" w:pos="8834"/>
        </w:tabs>
        <w:spacing w:line="360" w:lineRule="auto"/>
        <w:rPr>
          <w:color w:val="auto"/>
          <w:sz w:val="24"/>
        </w:rPr>
      </w:pPr>
      <w:r>
        <w:rPr>
          <w:color w:val="auto"/>
        </w:rPr>
        <w:fldChar w:fldCharType="begin"/>
      </w:r>
      <w:r>
        <w:rPr>
          <w:color w:val="auto"/>
        </w:rPr>
        <w:instrText xml:space="preserve"> HYPERLINK \l "_Toc163725976" </w:instrText>
      </w:r>
      <w:r>
        <w:rPr>
          <w:color w:val="auto"/>
        </w:rPr>
        <w:fldChar w:fldCharType="separate"/>
      </w:r>
      <w:r>
        <w:rPr>
          <w:rStyle w:val="28"/>
          <w:snapToGrid w:val="0"/>
          <w:color w:val="auto"/>
          <w:sz w:val="24"/>
        </w:rPr>
        <w:t>四、主要环境影响和保护措施</w:t>
      </w:r>
      <w:r>
        <w:rPr>
          <w:color w:val="auto"/>
          <w:sz w:val="24"/>
        </w:rPr>
        <w:tab/>
      </w:r>
      <w:r>
        <w:rPr>
          <w:color w:val="auto"/>
          <w:sz w:val="24"/>
        </w:rPr>
        <w:fldChar w:fldCharType="begin"/>
      </w:r>
      <w:r>
        <w:rPr>
          <w:color w:val="auto"/>
          <w:sz w:val="24"/>
        </w:rPr>
        <w:instrText xml:space="preserve"> PAGEREF _Toc163725976 \h </w:instrText>
      </w:r>
      <w:r>
        <w:rPr>
          <w:color w:val="auto"/>
          <w:sz w:val="24"/>
        </w:rPr>
        <w:fldChar w:fldCharType="separate"/>
      </w:r>
      <w:r>
        <w:rPr>
          <w:color w:val="auto"/>
          <w:sz w:val="24"/>
        </w:rPr>
        <w:t>52</w:t>
      </w:r>
      <w:r>
        <w:rPr>
          <w:color w:val="auto"/>
          <w:sz w:val="24"/>
        </w:rPr>
        <w:fldChar w:fldCharType="end"/>
      </w:r>
      <w:r>
        <w:rPr>
          <w:color w:val="auto"/>
          <w:sz w:val="24"/>
        </w:rPr>
        <w:fldChar w:fldCharType="end"/>
      </w:r>
    </w:p>
    <w:p>
      <w:pPr>
        <w:pStyle w:val="58"/>
        <w:widowControl/>
        <w:tabs>
          <w:tab w:val="right" w:leader="dot" w:pos="8834"/>
        </w:tabs>
        <w:spacing w:line="360" w:lineRule="auto"/>
        <w:rPr>
          <w:color w:val="auto"/>
          <w:sz w:val="24"/>
        </w:rPr>
      </w:pPr>
      <w:r>
        <w:rPr>
          <w:color w:val="auto"/>
        </w:rPr>
        <w:fldChar w:fldCharType="begin"/>
      </w:r>
      <w:r>
        <w:rPr>
          <w:color w:val="auto"/>
        </w:rPr>
        <w:instrText xml:space="preserve"> HYPERLINK \l "_Toc163725997" </w:instrText>
      </w:r>
      <w:r>
        <w:rPr>
          <w:color w:val="auto"/>
        </w:rPr>
        <w:fldChar w:fldCharType="separate"/>
      </w:r>
      <w:r>
        <w:rPr>
          <w:rStyle w:val="28"/>
          <w:snapToGrid w:val="0"/>
          <w:color w:val="auto"/>
          <w:sz w:val="24"/>
        </w:rPr>
        <w:t>五、环境保护措施监督检查清单</w:t>
      </w:r>
      <w:r>
        <w:rPr>
          <w:color w:val="auto"/>
          <w:sz w:val="24"/>
        </w:rPr>
        <w:tab/>
      </w:r>
      <w:r>
        <w:rPr>
          <w:color w:val="auto"/>
          <w:sz w:val="24"/>
        </w:rPr>
        <w:fldChar w:fldCharType="begin"/>
      </w:r>
      <w:r>
        <w:rPr>
          <w:color w:val="auto"/>
          <w:sz w:val="24"/>
        </w:rPr>
        <w:instrText xml:space="preserve"> PAGEREF _Toc163725997 \h </w:instrText>
      </w:r>
      <w:r>
        <w:rPr>
          <w:color w:val="auto"/>
          <w:sz w:val="24"/>
        </w:rPr>
        <w:fldChar w:fldCharType="separate"/>
      </w:r>
      <w:r>
        <w:rPr>
          <w:color w:val="auto"/>
          <w:sz w:val="24"/>
        </w:rPr>
        <w:t>81</w:t>
      </w:r>
      <w:r>
        <w:rPr>
          <w:color w:val="auto"/>
          <w:sz w:val="24"/>
        </w:rPr>
        <w:fldChar w:fldCharType="end"/>
      </w:r>
      <w:r>
        <w:rPr>
          <w:color w:val="auto"/>
          <w:sz w:val="24"/>
        </w:rPr>
        <w:fldChar w:fldCharType="end"/>
      </w:r>
    </w:p>
    <w:p>
      <w:pPr>
        <w:pStyle w:val="58"/>
        <w:widowControl/>
        <w:tabs>
          <w:tab w:val="right" w:leader="dot" w:pos="8834"/>
        </w:tabs>
        <w:spacing w:line="360" w:lineRule="auto"/>
        <w:rPr>
          <w:color w:val="auto"/>
          <w:sz w:val="24"/>
        </w:rPr>
      </w:pPr>
      <w:r>
        <w:rPr>
          <w:color w:val="auto"/>
        </w:rPr>
        <w:fldChar w:fldCharType="begin"/>
      </w:r>
      <w:r>
        <w:rPr>
          <w:color w:val="auto"/>
        </w:rPr>
        <w:instrText xml:space="preserve"> HYPERLINK \l "_Toc163725998" </w:instrText>
      </w:r>
      <w:r>
        <w:rPr>
          <w:color w:val="auto"/>
        </w:rPr>
        <w:fldChar w:fldCharType="separate"/>
      </w:r>
      <w:r>
        <w:rPr>
          <w:rStyle w:val="28"/>
          <w:snapToGrid w:val="0"/>
          <w:color w:val="auto"/>
          <w:sz w:val="24"/>
        </w:rPr>
        <w:t>六、结论</w:t>
      </w:r>
      <w:r>
        <w:rPr>
          <w:color w:val="auto"/>
          <w:sz w:val="24"/>
        </w:rPr>
        <w:tab/>
      </w:r>
      <w:r>
        <w:rPr>
          <w:color w:val="auto"/>
          <w:sz w:val="24"/>
        </w:rPr>
        <w:fldChar w:fldCharType="begin"/>
      </w:r>
      <w:r>
        <w:rPr>
          <w:color w:val="auto"/>
          <w:sz w:val="24"/>
        </w:rPr>
        <w:instrText xml:space="preserve"> PAGEREF _Toc163725998 \h </w:instrText>
      </w:r>
      <w:r>
        <w:rPr>
          <w:color w:val="auto"/>
          <w:sz w:val="24"/>
        </w:rPr>
        <w:fldChar w:fldCharType="separate"/>
      </w:r>
      <w:r>
        <w:rPr>
          <w:color w:val="auto"/>
          <w:sz w:val="24"/>
        </w:rPr>
        <w:t>84</w:t>
      </w:r>
      <w:r>
        <w:rPr>
          <w:color w:val="auto"/>
          <w:sz w:val="24"/>
        </w:rPr>
        <w:fldChar w:fldCharType="end"/>
      </w:r>
      <w:r>
        <w:rPr>
          <w:color w:val="auto"/>
          <w:sz w:val="24"/>
        </w:rPr>
        <w:fldChar w:fldCharType="end"/>
      </w:r>
    </w:p>
    <w:p>
      <w:pPr>
        <w:spacing w:line="480" w:lineRule="auto"/>
        <w:rPr>
          <w:b/>
          <w:bCs/>
          <w:color w:val="auto"/>
          <w:lang w:val="zh-CN"/>
        </w:rPr>
      </w:pPr>
      <w:r>
        <w:rPr>
          <w:b/>
          <w:bCs/>
          <w:color w:val="auto"/>
          <w:lang w:val="zh-CN"/>
        </w:rPr>
        <w:fldChar w:fldCharType="end"/>
      </w:r>
    </w:p>
    <w:p>
      <w:pPr>
        <w:spacing w:line="480" w:lineRule="auto"/>
        <w:rPr>
          <w:b/>
          <w:bCs/>
          <w:color w:val="auto"/>
          <w:sz w:val="24"/>
          <w:lang w:val="zh-CN"/>
        </w:rPr>
      </w:pPr>
      <w:r>
        <w:rPr>
          <w:b/>
          <w:bCs/>
          <w:color w:val="auto"/>
          <w:sz w:val="24"/>
          <w:lang w:val="zh-CN"/>
        </w:rPr>
        <w:t>附表：</w:t>
      </w:r>
    </w:p>
    <w:p>
      <w:pPr>
        <w:spacing w:line="360" w:lineRule="auto"/>
        <w:ind w:firstLine="480" w:firstLineChars="200"/>
        <w:rPr>
          <w:bCs/>
          <w:color w:val="auto"/>
          <w:sz w:val="24"/>
          <w:lang w:val="zh-CN"/>
        </w:rPr>
      </w:pPr>
      <w:r>
        <w:rPr>
          <w:bCs/>
          <w:color w:val="auto"/>
          <w:sz w:val="24"/>
          <w:lang w:val="zh-CN"/>
        </w:rPr>
        <w:t>建设项目污染物排放量汇总表</w:t>
      </w:r>
    </w:p>
    <w:p>
      <w:pPr>
        <w:spacing w:line="360" w:lineRule="auto"/>
        <w:rPr>
          <w:b/>
          <w:bCs/>
          <w:color w:val="auto"/>
          <w:sz w:val="24"/>
          <w:lang w:val="zh-CN"/>
        </w:rPr>
      </w:pPr>
      <w:r>
        <w:rPr>
          <w:b/>
          <w:bCs/>
          <w:color w:val="auto"/>
          <w:sz w:val="24"/>
          <w:lang w:val="zh-CN"/>
        </w:rPr>
        <w:t>附件：</w:t>
      </w:r>
    </w:p>
    <w:p>
      <w:pPr>
        <w:spacing w:line="360" w:lineRule="auto"/>
        <w:ind w:firstLine="480" w:firstLineChars="200"/>
        <w:rPr>
          <w:bCs/>
          <w:color w:val="auto"/>
          <w:sz w:val="24"/>
          <w:lang w:val="zh-CN"/>
        </w:rPr>
      </w:pPr>
      <w:r>
        <w:rPr>
          <w:bCs/>
          <w:color w:val="auto"/>
          <w:sz w:val="24"/>
          <w:lang w:val="zh-CN"/>
        </w:rPr>
        <w:t>附件1</w:t>
      </w:r>
      <w:r>
        <w:rPr>
          <w:rFonts w:hint="eastAsia"/>
          <w:bCs/>
          <w:color w:val="auto"/>
          <w:sz w:val="24"/>
          <w:lang w:val="en-US" w:eastAsia="zh-CN"/>
        </w:rPr>
        <w:t xml:space="preserve"> </w:t>
      </w:r>
      <w:r>
        <w:rPr>
          <w:bCs/>
          <w:color w:val="auto"/>
          <w:sz w:val="24"/>
          <w:lang w:val="zh-CN"/>
        </w:rPr>
        <w:t>委托书；</w:t>
      </w:r>
    </w:p>
    <w:p>
      <w:pPr>
        <w:spacing w:line="360" w:lineRule="auto"/>
        <w:ind w:firstLine="480" w:firstLineChars="200"/>
        <w:rPr>
          <w:bCs/>
          <w:color w:val="auto"/>
          <w:sz w:val="24"/>
          <w:lang w:val="zh-CN"/>
        </w:rPr>
      </w:pPr>
      <w:r>
        <w:rPr>
          <w:bCs/>
          <w:color w:val="auto"/>
          <w:sz w:val="24"/>
          <w:lang w:val="zh-CN"/>
        </w:rPr>
        <w:t>附件2</w:t>
      </w:r>
      <w:r>
        <w:rPr>
          <w:rFonts w:hint="eastAsia"/>
          <w:bCs/>
          <w:color w:val="auto"/>
          <w:sz w:val="24"/>
          <w:lang w:val="en-US" w:eastAsia="zh-CN"/>
        </w:rPr>
        <w:t xml:space="preserve"> </w:t>
      </w:r>
      <w:r>
        <w:rPr>
          <w:bCs/>
          <w:color w:val="auto"/>
          <w:sz w:val="24"/>
          <w:lang w:val="zh-CN"/>
        </w:rPr>
        <w:t>投资备案证</w:t>
      </w:r>
      <w:r>
        <w:rPr>
          <w:rFonts w:hint="eastAsia"/>
          <w:bCs/>
          <w:color w:val="auto"/>
          <w:sz w:val="24"/>
          <w:lang w:val="zh-CN"/>
        </w:rPr>
        <w:t>；</w:t>
      </w:r>
    </w:p>
    <w:p>
      <w:pPr>
        <w:spacing w:line="360" w:lineRule="auto"/>
        <w:ind w:firstLine="480" w:firstLineChars="200"/>
        <w:rPr>
          <w:bCs/>
          <w:color w:val="auto"/>
          <w:sz w:val="24"/>
          <w:lang w:val="zh-CN"/>
        </w:rPr>
      </w:pPr>
      <w:r>
        <w:rPr>
          <w:rFonts w:hint="eastAsia"/>
          <w:bCs/>
          <w:color w:val="auto"/>
          <w:sz w:val="24"/>
          <w:lang w:val="zh-CN"/>
        </w:rPr>
        <w:t>附件3 营业执照及法人身份证复印件</w:t>
      </w:r>
      <w:r>
        <w:rPr>
          <w:bCs/>
          <w:color w:val="auto"/>
          <w:sz w:val="24"/>
          <w:lang w:val="zh-CN"/>
        </w:rPr>
        <w:t>；</w:t>
      </w:r>
    </w:p>
    <w:p>
      <w:pPr>
        <w:spacing w:line="360" w:lineRule="auto"/>
        <w:ind w:firstLine="480" w:firstLineChars="200"/>
        <w:rPr>
          <w:bCs/>
          <w:color w:val="auto"/>
          <w:sz w:val="24"/>
          <w:lang w:val="zh-CN"/>
        </w:rPr>
      </w:pPr>
      <w:r>
        <w:rPr>
          <w:rFonts w:hint="eastAsia"/>
          <w:bCs/>
          <w:color w:val="auto"/>
          <w:sz w:val="24"/>
          <w:lang w:val="zh-CN"/>
        </w:rPr>
        <w:t>附件4 厂房租赁合同</w:t>
      </w:r>
      <w:r>
        <w:rPr>
          <w:bCs/>
          <w:color w:val="auto"/>
          <w:sz w:val="24"/>
          <w:lang w:val="zh-CN"/>
        </w:rPr>
        <w:t>；</w:t>
      </w:r>
    </w:p>
    <w:p>
      <w:pPr>
        <w:spacing w:line="360" w:lineRule="auto"/>
        <w:ind w:firstLine="480" w:firstLineChars="200"/>
        <w:rPr>
          <w:bCs/>
          <w:color w:val="auto"/>
          <w:sz w:val="24"/>
          <w:lang w:val="zh-CN"/>
        </w:rPr>
      </w:pPr>
      <w:r>
        <w:rPr>
          <w:rFonts w:hint="eastAsia"/>
          <w:bCs/>
          <w:color w:val="auto"/>
          <w:sz w:val="24"/>
          <w:lang w:val="zh-CN"/>
        </w:rPr>
        <w:t>附件5 原料收购协议</w:t>
      </w:r>
      <w:r>
        <w:rPr>
          <w:bCs/>
          <w:color w:val="auto"/>
          <w:sz w:val="24"/>
          <w:lang w:val="zh-CN"/>
        </w:rPr>
        <w:t>；</w:t>
      </w:r>
    </w:p>
    <w:p>
      <w:pPr>
        <w:spacing w:line="360" w:lineRule="auto"/>
        <w:ind w:firstLine="480" w:firstLineChars="200"/>
        <w:rPr>
          <w:bCs/>
          <w:color w:val="auto"/>
          <w:sz w:val="24"/>
          <w:lang w:val="zh-CN"/>
        </w:rPr>
      </w:pPr>
      <w:r>
        <w:rPr>
          <w:rFonts w:hint="eastAsia"/>
          <w:bCs/>
          <w:color w:val="auto"/>
          <w:sz w:val="24"/>
          <w:lang w:val="zh-CN"/>
        </w:rPr>
        <w:t>附件6 收购原料成分说明及</w:t>
      </w:r>
      <w:r>
        <w:rPr>
          <w:rFonts w:hint="eastAsia"/>
          <w:bCs/>
          <w:color w:val="auto"/>
          <w:sz w:val="24"/>
          <w:lang w:val="en-US" w:eastAsia="zh-CN"/>
        </w:rPr>
        <w:t>运营</w:t>
      </w:r>
      <w:r>
        <w:rPr>
          <w:rFonts w:hint="eastAsia"/>
          <w:bCs/>
          <w:color w:val="auto"/>
          <w:sz w:val="24"/>
          <w:lang w:val="zh-CN"/>
        </w:rPr>
        <w:t>名称变更说明</w:t>
      </w:r>
    </w:p>
    <w:p>
      <w:pPr>
        <w:spacing w:line="360" w:lineRule="auto"/>
        <w:ind w:firstLine="480" w:firstLineChars="200"/>
        <w:rPr>
          <w:bCs/>
          <w:color w:val="auto"/>
          <w:sz w:val="24"/>
          <w:lang w:val="zh-CN"/>
        </w:rPr>
      </w:pPr>
      <w:r>
        <w:rPr>
          <w:rFonts w:hint="eastAsia"/>
          <w:bCs/>
          <w:color w:val="auto"/>
          <w:sz w:val="24"/>
          <w:lang w:val="zh-CN"/>
        </w:rPr>
        <w:t>附件7 化粪池委托清掏协议</w:t>
      </w:r>
    </w:p>
    <w:p>
      <w:pPr>
        <w:spacing w:line="360" w:lineRule="auto"/>
        <w:ind w:firstLine="480" w:firstLineChars="200"/>
        <w:rPr>
          <w:bCs/>
          <w:color w:val="auto"/>
          <w:sz w:val="24"/>
          <w:lang w:val="zh-CN"/>
        </w:rPr>
      </w:pPr>
      <w:r>
        <w:rPr>
          <w:rFonts w:hint="eastAsia"/>
          <w:bCs/>
          <w:color w:val="auto"/>
          <w:sz w:val="24"/>
          <w:lang w:val="zh-CN"/>
        </w:rPr>
        <w:t>附件8 管控单元查询报告</w:t>
      </w:r>
    </w:p>
    <w:p>
      <w:pPr>
        <w:spacing w:line="360" w:lineRule="auto"/>
        <w:ind w:firstLine="480" w:firstLineChars="200"/>
        <w:rPr>
          <w:bCs/>
          <w:color w:val="auto"/>
          <w:sz w:val="24"/>
          <w:lang w:val="zh-CN"/>
        </w:rPr>
      </w:pPr>
      <w:r>
        <w:rPr>
          <w:rFonts w:hint="eastAsia"/>
          <w:bCs/>
          <w:color w:val="auto"/>
          <w:sz w:val="24"/>
          <w:lang w:val="zh-CN"/>
        </w:rPr>
        <w:t>附件9 入园意见</w:t>
      </w:r>
    </w:p>
    <w:p>
      <w:pPr>
        <w:spacing w:line="360" w:lineRule="auto"/>
        <w:ind w:firstLine="480" w:firstLineChars="200"/>
        <w:rPr>
          <w:bCs/>
          <w:color w:val="auto"/>
          <w:sz w:val="24"/>
          <w:lang w:val="zh-CN"/>
        </w:rPr>
      </w:pPr>
      <w:r>
        <w:rPr>
          <w:bCs/>
          <w:color w:val="auto"/>
          <w:sz w:val="24"/>
          <w:lang w:val="zh-CN"/>
        </w:rPr>
        <w:t>附件</w:t>
      </w:r>
      <w:r>
        <w:rPr>
          <w:rFonts w:hint="eastAsia"/>
          <w:bCs/>
          <w:color w:val="auto"/>
          <w:sz w:val="24"/>
          <w:lang w:val="en-US" w:eastAsia="zh-CN"/>
        </w:rPr>
        <w:t>10</w:t>
      </w:r>
      <w:r>
        <w:rPr>
          <w:bCs/>
          <w:color w:val="auto"/>
          <w:sz w:val="24"/>
          <w:lang w:val="zh-CN"/>
        </w:rPr>
        <w:t>环评合同；</w:t>
      </w:r>
    </w:p>
    <w:p>
      <w:pPr>
        <w:spacing w:line="360" w:lineRule="auto"/>
        <w:ind w:firstLine="480" w:firstLineChars="200"/>
        <w:rPr>
          <w:bCs/>
          <w:color w:val="auto"/>
          <w:sz w:val="24"/>
          <w:lang w:val="zh-CN"/>
        </w:rPr>
      </w:pPr>
      <w:r>
        <w:rPr>
          <w:bCs/>
          <w:color w:val="auto"/>
          <w:sz w:val="24"/>
          <w:lang w:val="zh-CN"/>
        </w:rPr>
        <w:t>附件</w:t>
      </w:r>
      <w:r>
        <w:rPr>
          <w:rFonts w:hint="eastAsia"/>
          <w:bCs/>
          <w:color w:val="auto"/>
          <w:sz w:val="24"/>
          <w:lang w:val="en-US" w:eastAsia="zh-CN"/>
        </w:rPr>
        <w:t>11 进度表及</w:t>
      </w:r>
      <w:r>
        <w:rPr>
          <w:bCs/>
          <w:color w:val="auto"/>
          <w:sz w:val="24"/>
          <w:lang w:val="zh-CN"/>
        </w:rPr>
        <w:t>三级审核意见表</w:t>
      </w:r>
      <w:r>
        <w:rPr>
          <w:rFonts w:hint="eastAsia"/>
          <w:bCs/>
          <w:color w:val="auto"/>
          <w:sz w:val="24"/>
          <w:lang w:val="zh-CN"/>
        </w:rPr>
        <w:t>；</w:t>
      </w:r>
    </w:p>
    <w:p>
      <w:pPr>
        <w:spacing w:line="360" w:lineRule="auto"/>
        <w:rPr>
          <w:b/>
          <w:bCs/>
          <w:color w:val="auto"/>
          <w:sz w:val="24"/>
          <w:lang w:val="zh-CN"/>
        </w:rPr>
      </w:pPr>
      <w:r>
        <w:rPr>
          <w:b/>
          <w:bCs/>
          <w:color w:val="auto"/>
          <w:sz w:val="24"/>
          <w:lang w:val="zh-CN"/>
        </w:rPr>
        <w:t>附图：</w:t>
      </w:r>
    </w:p>
    <w:p>
      <w:pPr>
        <w:spacing w:line="360" w:lineRule="auto"/>
        <w:ind w:firstLine="480" w:firstLineChars="200"/>
        <w:rPr>
          <w:color w:val="auto"/>
          <w:sz w:val="24"/>
        </w:rPr>
      </w:pPr>
      <w:r>
        <w:rPr>
          <w:bCs/>
          <w:color w:val="auto"/>
          <w:sz w:val="24"/>
          <w:lang w:val="zh-CN"/>
        </w:rPr>
        <w:t>附图1</w:t>
      </w:r>
      <w:r>
        <w:rPr>
          <w:rFonts w:hint="eastAsia"/>
          <w:bCs/>
          <w:color w:val="auto"/>
          <w:sz w:val="24"/>
          <w:lang w:val="en-US" w:eastAsia="zh-CN"/>
        </w:rPr>
        <w:t xml:space="preserve"> </w:t>
      </w:r>
      <w:r>
        <w:rPr>
          <w:color w:val="auto"/>
          <w:sz w:val="24"/>
        </w:rPr>
        <w:t>项目地理位置图</w:t>
      </w:r>
    </w:p>
    <w:p>
      <w:pPr>
        <w:adjustRightInd w:val="0"/>
        <w:snapToGrid w:val="0"/>
        <w:spacing w:line="360" w:lineRule="auto"/>
        <w:ind w:firstLine="480" w:firstLineChars="200"/>
        <w:rPr>
          <w:color w:val="auto"/>
          <w:sz w:val="24"/>
        </w:rPr>
      </w:pPr>
      <w:r>
        <w:rPr>
          <w:color w:val="auto"/>
          <w:sz w:val="24"/>
        </w:rPr>
        <w:t>附图2</w:t>
      </w:r>
      <w:r>
        <w:rPr>
          <w:rFonts w:hint="eastAsia"/>
          <w:color w:val="auto"/>
          <w:sz w:val="24"/>
          <w:lang w:val="en-US" w:eastAsia="zh-CN"/>
        </w:rPr>
        <w:t xml:space="preserve"> </w:t>
      </w:r>
      <w:r>
        <w:rPr>
          <w:color w:val="auto"/>
          <w:sz w:val="24"/>
        </w:rPr>
        <w:t>项目区水系图</w:t>
      </w:r>
    </w:p>
    <w:p>
      <w:pPr>
        <w:adjustRightInd w:val="0"/>
        <w:snapToGrid w:val="0"/>
        <w:spacing w:line="360" w:lineRule="auto"/>
        <w:ind w:firstLine="480" w:firstLineChars="200"/>
        <w:rPr>
          <w:color w:val="auto"/>
          <w:sz w:val="24"/>
        </w:rPr>
      </w:pPr>
      <w:r>
        <w:rPr>
          <w:color w:val="auto"/>
          <w:sz w:val="24"/>
        </w:rPr>
        <w:t>附图3</w:t>
      </w:r>
      <w:r>
        <w:rPr>
          <w:rFonts w:hint="eastAsia"/>
          <w:color w:val="auto"/>
          <w:sz w:val="24"/>
          <w:lang w:val="en-US" w:eastAsia="zh-CN"/>
        </w:rPr>
        <w:t xml:space="preserve"> </w:t>
      </w:r>
      <w:r>
        <w:rPr>
          <w:color w:val="auto"/>
          <w:sz w:val="24"/>
        </w:rPr>
        <w:t>项目总平面布置图</w:t>
      </w:r>
    </w:p>
    <w:p>
      <w:pPr>
        <w:adjustRightInd w:val="0"/>
        <w:snapToGrid w:val="0"/>
        <w:spacing w:line="360" w:lineRule="auto"/>
        <w:ind w:firstLine="480" w:firstLineChars="200"/>
        <w:rPr>
          <w:color w:val="auto"/>
          <w:sz w:val="24"/>
        </w:rPr>
      </w:pPr>
      <w:r>
        <w:rPr>
          <w:color w:val="auto"/>
          <w:sz w:val="24"/>
        </w:rPr>
        <w:t>附图4</w:t>
      </w:r>
      <w:r>
        <w:rPr>
          <w:rFonts w:hint="eastAsia"/>
          <w:color w:val="auto"/>
          <w:sz w:val="24"/>
          <w:lang w:val="en-US" w:eastAsia="zh-CN"/>
        </w:rPr>
        <w:t xml:space="preserve"> </w:t>
      </w:r>
      <w:r>
        <w:rPr>
          <w:color w:val="auto"/>
          <w:sz w:val="24"/>
        </w:rPr>
        <w:t>项目周边环境关系图</w:t>
      </w:r>
    </w:p>
    <w:p>
      <w:pPr>
        <w:spacing w:line="360" w:lineRule="auto"/>
        <w:ind w:firstLine="480" w:firstLineChars="200"/>
        <w:rPr>
          <w:bCs/>
          <w:color w:val="auto"/>
          <w:sz w:val="24"/>
        </w:rPr>
      </w:pPr>
      <w:r>
        <w:rPr>
          <w:rFonts w:hint="eastAsia"/>
          <w:bCs/>
          <w:color w:val="auto"/>
          <w:sz w:val="24"/>
        </w:rPr>
        <w:t>附图5 项目与云南省主体功能区关系图</w:t>
      </w:r>
    </w:p>
    <w:p>
      <w:pPr>
        <w:spacing w:line="360" w:lineRule="auto"/>
        <w:ind w:firstLine="480" w:firstLineChars="200"/>
        <w:rPr>
          <w:bCs/>
          <w:color w:val="auto"/>
          <w:sz w:val="24"/>
        </w:rPr>
      </w:pPr>
      <w:r>
        <w:rPr>
          <w:rFonts w:hint="eastAsia"/>
          <w:bCs/>
          <w:color w:val="auto"/>
          <w:sz w:val="24"/>
        </w:rPr>
        <w:t>附图6 项目监测点位图</w:t>
      </w:r>
    </w:p>
    <w:p>
      <w:pPr>
        <w:spacing w:line="360" w:lineRule="auto"/>
        <w:ind w:firstLine="480" w:firstLineChars="200"/>
        <w:rPr>
          <w:rFonts w:hint="eastAsia"/>
          <w:bCs/>
          <w:color w:val="auto"/>
          <w:sz w:val="24"/>
        </w:rPr>
      </w:pPr>
      <w:r>
        <w:rPr>
          <w:rFonts w:hint="eastAsia"/>
          <w:bCs/>
          <w:color w:val="auto"/>
          <w:sz w:val="24"/>
        </w:rPr>
        <w:t>附图7 项目与宜良县产业园区控制性详细规划位置关系图</w:t>
      </w:r>
    </w:p>
    <w:p>
      <w:pPr>
        <w:adjustRightInd w:val="0"/>
        <w:snapToGrid w:val="0"/>
        <w:spacing w:line="288" w:lineRule="auto"/>
        <w:ind w:firstLine="1040"/>
        <w:rPr>
          <w:rFonts w:eastAsia="仿宋_GB2312"/>
          <w:color w:val="auto"/>
          <w:sz w:val="36"/>
          <w:szCs w:val="36"/>
        </w:rPr>
        <w:sectPr>
          <w:pgSz w:w="11906" w:h="16838"/>
          <w:pgMar w:top="1701" w:right="1531" w:bottom="1701" w:left="1531" w:header="851" w:footer="1077" w:gutter="0"/>
          <w:pgNumType w:start="3"/>
          <w:cols w:space="720" w:num="1"/>
          <w:docGrid w:linePitch="312" w:charSpace="0"/>
        </w:sectPr>
      </w:pPr>
    </w:p>
    <w:p>
      <w:pPr>
        <w:pStyle w:val="20"/>
        <w:jc w:val="center"/>
        <w:outlineLvl w:val="0"/>
        <w:rPr>
          <w:rFonts w:ascii="Times New Roman" w:hAnsi="Times New Roman" w:eastAsia="黑体"/>
          <w:snapToGrid w:val="0"/>
          <w:color w:val="auto"/>
          <w:sz w:val="30"/>
          <w:szCs w:val="30"/>
        </w:rPr>
      </w:pPr>
      <w:bookmarkStart w:id="3" w:name="_Toc163725973"/>
      <w:r>
        <w:rPr>
          <w:rFonts w:ascii="Times New Roman" w:hAnsi="Times New Roman" w:eastAsia="黑体"/>
          <w:snapToGrid w:val="0"/>
          <w:color w:val="auto"/>
          <w:sz w:val="30"/>
          <w:szCs w:val="30"/>
        </w:rPr>
        <w:t>一、建设项目基本情况</w:t>
      </w:r>
      <w:bookmarkEnd w:id="3"/>
    </w:p>
    <w:tbl>
      <w:tblPr>
        <w:tblStyle w:val="23"/>
        <w:tblW w:w="887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573"/>
        <w:gridCol w:w="2446"/>
        <w:gridCol w:w="1948"/>
        <w:gridCol w:w="290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573" w:type="dxa"/>
            <w:tcMar>
              <w:top w:w="16" w:type="dxa"/>
              <w:left w:w="16" w:type="dxa"/>
              <w:right w:w="16" w:type="dxa"/>
            </w:tcMar>
            <w:vAlign w:val="center"/>
          </w:tcPr>
          <w:p>
            <w:pPr>
              <w:adjustRightInd w:val="0"/>
              <w:snapToGrid w:val="0"/>
              <w:jc w:val="center"/>
              <w:rPr>
                <w:color w:val="auto"/>
                <w:sz w:val="24"/>
                <w:szCs w:val="24"/>
              </w:rPr>
            </w:pPr>
            <w:r>
              <w:rPr>
                <w:color w:val="auto"/>
                <w:sz w:val="24"/>
                <w:szCs w:val="24"/>
              </w:rPr>
              <w:t>建设项目名称</w:t>
            </w:r>
          </w:p>
        </w:tc>
        <w:tc>
          <w:tcPr>
            <w:tcW w:w="7297" w:type="dxa"/>
            <w:gridSpan w:val="3"/>
            <w:vAlign w:val="center"/>
          </w:tcPr>
          <w:p>
            <w:pPr>
              <w:adjustRightInd w:val="0"/>
              <w:snapToGrid w:val="0"/>
              <w:jc w:val="center"/>
              <w:rPr>
                <w:rFonts w:hint="default" w:eastAsia="宋体"/>
                <w:color w:val="auto"/>
                <w:sz w:val="24"/>
                <w:szCs w:val="24"/>
                <w:lang w:val="en-US" w:eastAsia="zh-CN"/>
              </w:rPr>
            </w:pPr>
            <w:r>
              <w:rPr>
                <w:rFonts w:hint="eastAsia"/>
                <w:color w:val="auto"/>
                <w:sz w:val="24"/>
                <w:szCs w:val="24"/>
                <w:lang w:eastAsia="zh-CN"/>
              </w:rPr>
              <w:t>昆明温嘉环保科技有限公司年处理9万吨废塑料综合利用建设项目（</w:t>
            </w:r>
            <w:r>
              <w:rPr>
                <w:rFonts w:hint="eastAsia"/>
                <w:color w:val="auto"/>
                <w:sz w:val="24"/>
                <w:szCs w:val="24"/>
                <w:lang w:val="en-US" w:eastAsia="zh-CN"/>
              </w:rPr>
              <w:t>一期</w:t>
            </w:r>
            <w:r>
              <w:rPr>
                <w:rFonts w:hint="eastAsia"/>
                <w:color w:val="auto"/>
                <w:sz w:val="24"/>
                <w:szCs w:val="24"/>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1573" w:type="dxa"/>
            <w:tcMar>
              <w:top w:w="16" w:type="dxa"/>
              <w:left w:w="16" w:type="dxa"/>
              <w:right w:w="16" w:type="dxa"/>
            </w:tcMar>
            <w:vAlign w:val="center"/>
          </w:tcPr>
          <w:p>
            <w:pPr>
              <w:adjustRightInd w:val="0"/>
              <w:snapToGrid w:val="0"/>
              <w:jc w:val="center"/>
              <w:rPr>
                <w:color w:val="auto"/>
                <w:sz w:val="24"/>
                <w:szCs w:val="24"/>
              </w:rPr>
            </w:pPr>
            <w:r>
              <w:rPr>
                <w:color w:val="auto"/>
                <w:sz w:val="24"/>
                <w:szCs w:val="24"/>
              </w:rPr>
              <w:t>项目代码</w:t>
            </w:r>
          </w:p>
        </w:tc>
        <w:tc>
          <w:tcPr>
            <w:tcW w:w="7297" w:type="dxa"/>
            <w:gridSpan w:val="3"/>
            <w:vAlign w:val="center"/>
          </w:tcPr>
          <w:p>
            <w:pPr>
              <w:adjustRightInd w:val="0"/>
              <w:snapToGrid w:val="0"/>
              <w:jc w:val="center"/>
              <w:rPr>
                <w:color w:val="auto"/>
                <w:sz w:val="24"/>
                <w:szCs w:val="24"/>
              </w:rPr>
            </w:pPr>
            <w:r>
              <w:rPr>
                <w:rFonts w:hint="eastAsia"/>
                <w:color w:val="auto"/>
                <w:sz w:val="24"/>
                <w:szCs w:val="24"/>
              </w:rPr>
              <w:t>2606-530125-04-01-650847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1573" w:type="dxa"/>
            <w:tcMar>
              <w:top w:w="16" w:type="dxa"/>
              <w:left w:w="16" w:type="dxa"/>
              <w:right w:w="16" w:type="dxa"/>
            </w:tcMar>
            <w:vAlign w:val="center"/>
          </w:tcPr>
          <w:p>
            <w:pPr>
              <w:adjustRightInd w:val="0"/>
              <w:snapToGrid w:val="0"/>
              <w:jc w:val="center"/>
              <w:rPr>
                <w:color w:val="auto"/>
                <w:sz w:val="24"/>
                <w:szCs w:val="24"/>
              </w:rPr>
            </w:pPr>
            <w:r>
              <w:rPr>
                <w:color w:val="auto"/>
                <w:sz w:val="24"/>
                <w:szCs w:val="24"/>
              </w:rPr>
              <w:t>建设单位联系人</w:t>
            </w:r>
          </w:p>
        </w:tc>
        <w:tc>
          <w:tcPr>
            <w:tcW w:w="2446" w:type="dxa"/>
            <w:vAlign w:val="center"/>
          </w:tcPr>
          <w:p>
            <w:pPr>
              <w:adjustRightInd w:val="0"/>
              <w:snapToGrid w:val="0"/>
              <w:jc w:val="center"/>
              <w:rPr>
                <w:rFonts w:hint="eastAsia" w:eastAsia="宋体"/>
                <w:color w:val="auto"/>
                <w:sz w:val="24"/>
                <w:szCs w:val="24"/>
                <w:lang w:val="en-US" w:eastAsia="zh-CN"/>
              </w:rPr>
            </w:pPr>
            <w:r>
              <w:rPr>
                <w:rFonts w:hint="eastAsia"/>
                <w:color w:val="auto"/>
                <w:sz w:val="24"/>
                <w:szCs w:val="24"/>
              </w:rPr>
              <w:t>朱</w:t>
            </w:r>
            <w:r>
              <w:rPr>
                <w:rFonts w:hint="eastAsia"/>
                <w:color w:val="auto"/>
                <w:sz w:val="24"/>
                <w:szCs w:val="24"/>
                <w:lang w:val="en-US" w:eastAsia="zh-CN"/>
              </w:rPr>
              <w:t>*</w:t>
            </w:r>
          </w:p>
        </w:tc>
        <w:tc>
          <w:tcPr>
            <w:tcW w:w="1948" w:type="dxa"/>
            <w:vAlign w:val="center"/>
          </w:tcPr>
          <w:p>
            <w:pPr>
              <w:adjustRightInd w:val="0"/>
              <w:snapToGrid w:val="0"/>
              <w:jc w:val="center"/>
              <w:rPr>
                <w:color w:val="auto"/>
                <w:sz w:val="24"/>
                <w:szCs w:val="24"/>
              </w:rPr>
            </w:pPr>
            <w:r>
              <w:rPr>
                <w:color w:val="auto"/>
                <w:sz w:val="24"/>
                <w:szCs w:val="24"/>
              </w:rPr>
              <w:t>联系方式</w:t>
            </w:r>
          </w:p>
        </w:tc>
        <w:tc>
          <w:tcPr>
            <w:tcW w:w="2903" w:type="dxa"/>
            <w:vAlign w:val="center"/>
          </w:tcPr>
          <w:p>
            <w:pPr>
              <w:adjustRightInd w:val="0"/>
              <w:snapToGrid w:val="0"/>
              <w:jc w:val="center"/>
              <w:rPr>
                <w:rFonts w:hint="default" w:eastAsia="宋体"/>
                <w:color w:val="auto"/>
                <w:sz w:val="24"/>
                <w:szCs w:val="24"/>
                <w:lang w:val="en-US" w:eastAsia="zh-CN"/>
              </w:rPr>
            </w:pPr>
            <w:r>
              <w:rPr>
                <w:rFonts w:hint="eastAsia"/>
                <w:color w:val="auto"/>
                <w:sz w:val="24"/>
                <w:szCs w:val="24"/>
              </w:rPr>
              <w:t>152</w:t>
            </w:r>
            <w:r>
              <w:rPr>
                <w:rFonts w:hint="eastAsia"/>
                <w:color w:val="auto"/>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573" w:type="dxa"/>
            <w:tcMar>
              <w:top w:w="16" w:type="dxa"/>
              <w:left w:w="16" w:type="dxa"/>
              <w:right w:w="16" w:type="dxa"/>
            </w:tcMar>
            <w:vAlign w:val="center"/>
          </w:tcPr>
          <w:p>
            <w:pPr>
              <w:adjustRightInd w:val="0"/>
              <w:snapToGrid w:val="0"/>
              <w:jc w:val="center"/>
              <w:rPr>
                <w:color w:val="auto"/>
                <w:sz w:val="24"/>
                <w:szCs w:val="24"/>
              </w:rPr>
            </w:pPr>
            <w:r>
              <w:rPr>
                <w:color w:val="auto"/>
                <w:sz w:val="24"/>
                <w:szCs w:val="24"/>
              </w:rPr>
              <w:t>建设地点</w:t>
            </w:r>
          </w:p>
        </w:tc>
        <w:tc>
          <w:tcPr>
            <w:tcW w:w="7297" w:type="dxa"/>
            <w:gridSpan w:val="3"/>
            <w:vAlign w:val="center"/>
          </w:tcPr>
          <w:p>
            <w:pPr>
              <w:adjustRightInd w:val="0"/>
              <w:snapToGrid w:val="0"/>
              <w:jc w:val="center"/>
              <w:rPr>
                <w:color w:val="auto"/>
                <w:sz w:val="24"/>
                <w:szCs w:val="24"/>
              </w:rPr>
            </w:pPr>
            <w:r>
              <w:rPr>
                <w:rFonts w:hint="eastAsia"/>
                <w:color w:val="auto"/>
                <w:sz w:val="24"/>
                <w:szCs w:val="24"/>
              </w:rPr>
              <w:t>云南省昆明市宜良产业园区云南宝塑塑料管业有限公司厂房内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4" w:hRule="atLeast"/>
          <w:jc w:val="center"/>
        </w:trPr>
        <w:tc>
          <w:tcPr>
            <w:tcW w:w="1573" w:type="dxa"/>
            <w:tcMar>
              <w:top w:w="16" w:type="dxa"/>
              <w:left w:w="16" w:type="dxa"/>
              <w:right w:w="16" w:type="dxa"/>
            </w:tcMar>
            <w:vAlign w:val="center"/>
          </w:tcPr>
          <w:p>
            <w:pPr>
              <w:adjustRightInd w:val="0"/>
              <w:snapToGrid w:val="0"/>
              <w:jc w:val="center"/>
              <w:rPr>
                <w:color w:val="auto"/>
                <w:sz w:val="24"/>
                <w:szCs w:val="24"/>
              </w:rPr>
            </w:pPr>
            <w:r>
              <w:rPr>
                <w:color w:val="auto"/>
                <w:sz w:val="24"/>
                <w:szCs w:val="24"/>
              </w:rPr>
              <w:t>地理坐标</w:t>
            </w:r>
          </w:p>
        </w:tc>
        <w:tc>
          <w:tcPr>
            <w:tcW w:w="7297" w:type="dxa"/>
            <w:gridSpan w:val="3"/>
            <w:vAlign w:val="center"/>
          </w:tcPr>
          <w:p>
            <w:pPr>
              <w:adjustRightInd w:val="0"/>
              <w:snapToGrid w:val="0"/>
              <w:jc w:val="center"/>
              <w:rPr>
                <w:color w:val="auto"/>
                <w:sz w:val="24"/>
                <w:szCs w:val="24"/>
              </w:rPr>
            </w:pPr>
            <w:r>
              <w:rPr>
                <w:rFonts w:hint="eastAsia"/>
                <w:color w:val="auto"/>
                <w:sz w:val="24"/>
                <w:szCs w:val="24"/>
                <w:u w:val="none"/>
                <w:vertAlign w:val="baseline"/>
                <w:lang w:val="en-US" w:eastAsia="zh-CN"/>
              </w:rPr>
              <w:t>东经</w:t>
            </w:r>
            <w:r>
              <w:rPr>
                <w:color w:val="auto"/>
                <w:sz w:val="24"/>
                <w:szCs w:val="24"/>
                <w:u w:val="single"/>
              </w:rPr>
              <w:t>103</w:t>
            </w:r>
            <w:r>
              <w:rPr>
                <w:color w:val="auto"/>
                <w:sz w:val="24"/>
                <w:szCs w:val="24"/>
              </w:rPr>
              <w:t>度</w:t>
            </w:r>
            <w:r>
              <w:rPr>
                <w:color w:val="auto"/>
                <w:sz w:val="24"/>
                <w:szCs w:val="24"/>
                <w:u w:val="single"/>
              </w:rPr>
              <w:t>12</w:t>
            </w:r>
            <w:r>
              <w:rPr>
                <w:color w:val="auto"/>
                <w:sz w:val="24"/>
                <w:szCs w:val="24"/>
              </w:rPr>
              <w:t>分</w:t>
            </w:r>
            <w:r>
              <w:rPr>
                <w:rFonts w:hint="eastAsia"/>
                <w:color w:val="auto"/>
                <w:sz w:val="24"/>
                <w:szCs w:val="24"/>
                <w:u w:val="single"/>
                <w:lang w:val="en-US" w:eastAsia="zh-CN"/>
              </w:rPr>
              <w:t>45.761</w:t>
            </w:r>
            <w:r>
              <w:rPr>
                <w:color w:val="auto"/>
                <w:sz w:val="24"/>
                <w:szCs w:val="24"/>
              </w:rPr>
              <w:t>秒，</w:t>
            </w:r>
            <w:r>
              <w:rPr>
                <w:rFonts w:hint="eastAsia"/>
                <w:color w:val="auto"/>
                <w:sz w:val="24"/>
                <w:szCs w:val="24"/>
                <w:lang w:val="en-US" w:eastAsia="zh-CN"/>
              </w:rPr>
              <w:t>北纬</w:t>
            </w:r>
            <w:r>
              <w:rPr>
                <w:color w:val="auto"/>
                <w:sz w:val="24"/>
                <w:szCs w:val="24"/>
                <w:u w:val="single"/>
              </w:rPr>
              <w:t>25</w:t>
            </w:r>
            <w:r>
              <w:rPr>
                <w:color w:val="auto"/>
                <w:sz w:val="24"/>
                <w:szCs w:val="24"/>
              </w:rPr>
              <w:t>度</w:t>
            </w:r>
            <w:r>
              <w:rPr>
                <w:color w:val="auto"/>
                <w:sz w:val="24"/>
                <w:szCs w:val="24"/>
                <w:u w:val="single"/>
              </w:rPr>
              <w:t>0</w:t>
            </w:r>
            <w:r>
              <w:rPr>
                <w:color w:val="auto"/>
                <w:sz w:val="24"/>
                <w:szCs w:val="24"/>
              </w:rPr>
              <w:t>分</w:t>
            </w:r>
            <w:r>
              <w:rPr>
                <w:rFonts w:hint="eastAsia"/>
                <w:color w:val="auto"/>
                <w:sz w:val="24"/>
                <w:szCs w:val="24"/>
                <w:u w:val="single"/>
                <w:lang w:val="en-US" w:eastAsia="zh-CN"/>
              </w:rPr>
              <w:t>24.163</w:t>
            </w:r>
            <w:r>
              <w:rPr>
                <w:color w:val="auto"/>
                <w:sz w:val="24"/>
                <w:szCs w:val="24"/>
              </w:rPr>
              <w:t>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573" w:type="dxa"/>
            <w:tcMar>
              <w:top w:w="16" w:type="dxa"/>
              <w:left w:w="16" w:type="dxa"/>
              <w:right w:w="16" w:type="dxa"/>
            </w:tcMar>
            <w:vAlign w:val="center"/>
          </w:tcPr>
          <w:p>
            <w:pPr>
              <w:adjustRightInd w:val="0"/>
              <w:snapToGrid w:val="0"/>
              <w:jc w:val="center"/>
              <w:rPr>
                <w:color w:val="auto"/>
                <w:sz w:val="24"/>
                <w:szCs w:val="24"/>
              </w:rPr>
            </w:pPr>
            <w:r>
              <w:rPr>
                <w:color w:val="auto"/>
                <w:sz w:val="24"/>
                <w:szCs w:val="24"/>
              </w:rPr>
              <w:t>国民经济</w:t>
            </w:r>
          </w:p>
          <w:p>
            <w:pPr>
              <w:adjustRightInd w:val="0"/>
              <w:snapToGrid w:val="0"/>
              <w:jc w:val="center"/>
              <w:rPr>
                <w:color w:val="auto"/>
                <w:sz w:val="24"/>
                <w:szCs w:val="24"/>
              </w:rPr>
            </w:pPr>
            <w:r>
              <w:rPr>
                <w:color w:val="auto"/>
                <w:sz w:val="24"/>
                <w:szCs w:val="24"/>
              </w:rPr>
              <w:t>行业类别</w:t>
            </w:r>
          </w:p>
        </w:tc>
        <w:tc>
          <w:tcPr>
            <w:tcW w:w="2446" w:type="dxa"/>
            <w:vAlign w:val="center"/>
          </w:tcPr>
          <w:p>
            <w:pPr>
              <w:adjustRightInd w:val="0"/>
              <w:snapToGrid w:val="0"/>
              <w:jc w:val="center"/>
              <w:rPr>
                <w:color w:val="auto"/>
                <w:sz w:val="24"/>
                <w:szCs w:val="24"/>
              </w:rPr>
            </w:pPr>
            <w:r>
              <w:rPr>
                <w:color w:val="auto"/>
                <w:sz w:val="24"/>
                <w:szCs w:val="24"/>
              </w:rPr>
              <w:t>C4420非金属废料和碎屑加工处理</w:t>
            </w:r>
          </w:p>
        </w:tc>
        <w:tc>
          <w:tcPr>
            <w:tcW w:w="1948" w:type="dxa"/>
            <w:vAlign w:val="center"/>
          </w:tcPr>
          <w:p>
            <w:pPr>
              <w:adjustRightInd w:val="0"/>
              <w:snapToGrid w:val="0"/>
              <w:jc w:val="center"/>
              <w:rPr>
                <w:color w:val="auto"/>
                <w:sz w:val="24"/>
                <w:szCs w:val="24"/>
              </w:rPr>
            </w:pPr>
            <w:bookmarkStart w:id="4" w:name="_Hlk49843745"/>
            <w:r>
              <w:rPr>
                <w:color w:val="auto"/>
                <w:sz w:val="24"/>
                <w:szCs w:val="24"/>
              </w:rPr>
              <w:t>建设项目</w:t>
            </w:r>
          </w:p>
          <w:p>
            <w:pPr>
              <w:adjustRightInd w:val="0"/>
              <w:snapToGrid w:val="0"/>
              <w:jc w:val="center"/>
              <w:rPr>
                <w:color w:val="auto"/>
                <w:sz w:val="24"/>
                <w:szCs w:val="24"/>
              </w:rPr>
            </w:pPr>
            <w:r>
              <w:rPr>
                <w:color w:val="auto"/>
                <w:sz w:val="24"/>
                <w:szCs w:val="24"/>
              </w:rPr>
              <w:t>行业类别</w:t>
            </w:r>
            <w:bookmarkEnd w:id="4"/>
          </w:p>
        </w:tc>
        <w:tc>
          <w:tcPr>
            <w:tcW w:w="2903" w:type="dxa"/>
            <w:vAlign w:val="center"/>
          </w:tcPr>
          <w:p>
            <w:pPr>
              <w:adjustRightInd w:val="0"/>
              <w:snapToGrid w:val="0"/>
              <w:rPr>
                <w:rFonts w:hint="eastAsia" w:eastAsia="宋体"/>
                <w:color w:val="auto"/>
                <w:sz w:val="24"/>
                <w:szCs w:val="24"/>
                <w:lang w:eastAsia="zh-CN"/>
              </w:rPr>
            </w:pPr>
            <w:r>
              <w:rPr>
                <w:color w:val="auto"/>
                <w:sz w:val="24"/>
                <w:szCs w:val="24"/>
              </w:rPr>
              <w:t>三十九、废弃资源综合利用业42中85.金属废料和碎屑加工处理421；非金属废料和碎屑加工处理422（421和422均不含原料为危险废物的，均不含仅分拣、破碎的）</w:t>
            </w:r>
            <w:r>
              <w:rPr>
                <w:rFonts w:hint="eastAsia"/>
                <w:color w:val="auto"/>
                <w:sz w:val="24"/>
                <w:szCs w:val="24"/>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573" w:type="dxa"/>
            <w:tcMar>
              <w:top w:w="16" w:type="dxa"/>
              <w:left w:w="16" w:type="dxa"/>
              <w:right w:w="16" w:type="dxa"/>
            </w:tcMar>
            <w:vAlign w:val="center"/>
          </w:tcPr>
          <w:p>
            <w:pPr>
              <w:adjustRightInd w:val="0"/>
              <w:snapToGrid w:val="0"/>
              <w:jc w:val="center"/>
              <w:rPr>
                <w:color w:val="auto"/>
                <w:sz w:val="24"/>
                <w:szCs w:val="24"/>
              </w:rPr>
            </w:pPr>
            <w:r>
              <w:rPr>
                <w:color w:val="auto"/>
                <w:sz w:val="24"/>
                <w:szCs w:val="24"/>
              </w:rPr>
              <w:t>建设性质</w:t>
            </w:r>
          </w:p>
        </w:tc>
        <w:tc>
          <w:tcPr>
            <w:tcW w:w="2446" w:type="dxa"/>
            <w:vAlign w:val="center"/>
          </w:tcPr>
          <w:p>
            <w:pPr>
              <w:adjustRightInd w:val="0"/>
              <w:snapToGrid w:val="0"/>
              <w:jc w:val="left"/>
              <w:rPr>
                <w:color w:val="auto"/>
                <w:sz w:val="24"/>
                <w:szCs w:val="24"/>
              </w:rPr>
            </w:pPr>
            <w:r>
              <w:rPr>
                <w:color w:val="auto"/>
                <w:sz w:val="24"/>
                <w:szCs w:val="24"/>
                <w:shd w:val="clear" w:color="auto" w:fill="FFFFFF"/>
              </w:rPr>
              <w:sym w:font="Wingdings 2" w:char="F052"/>
            </w:r>
            <w:r>
              <w:rPr>
                <w:color w:val="auto"/>
                <w:sz w:val="24"/>
                <w:szCs w:val="24"/>
              </w:rPr>
              <w:t>新建（迁建）</w:t>
            </w:r>
          </w:p>
          <w:p>
            <w:pPr>
              <w:adjustRightInd w:val="0"/>
              <w:snapToGrid w:val="0"/>
              <w:jc w:val="left"/>
              <w:rPr>
                <w:color w:val="auto"/>
                <w:sz w:val="24"/>
                <w:szCs w:val="24"/>
              </w:rPr>
            </w:pPr>
            <w:r>
              <w:rPr>
                <w:color w:val="auto"/>
                <w:sz w:val="24"/>
                <w:szCs w:val="24"/>
              </w:rPr>
              <w:sym w:font="Wingdings 2" w:char="00A3"/>
            </w:r>
            <w:r>
              <w:rPr>
                <w:color w:val="auto"/>
                <w:sz w:val="24"/>
                <w:szCs w:val="24"/>
              </w:rPr>
              <w:t>改建</w:t>
            </w:r>
          </w:p>
          <w:p>
            <w:pPr>
              <w:adjustRightInd w:val="0"/>
              <w:snapToGrid w:val="0"/>
              <w:jc w:val="left"/>
              <w:rPr>
                <w:color w:val="auto"/>
                <w:sz w:val="24"/>
                <w:szCs w:val="24"/>
              </w:rPr>
            </w:pPr>
            <w:r>
              <w:rPr>
                <w:color w:val="auto"/>
                <w:sz w:val="24"/>
                <w:szCs w:val="24"/>
              </w:rPr>
              <w:sym w:font="Wingdings 2" w:char="00A3"/>
            </w:r>
            <w:r>
              <w:rPr>
                <w:color w:val="auto"/>
                <w:sz w:val="24"/>
                <w:szCs w:val="24"/>
              </w:rPr>
              <w:t>扩建</w:t>
            </w:r>
          </w:p>
          <w:p>
            <w:pPr>
              <w:adjustRightInd w:val="0"/>
              <w:snapToGrid w:val="0"/>
              <w:jc w:val="left"/>
              <w:rPr>
                <w:color w:val="auto"/>
                <w:sz w:val="24"/>
                <w:szCs w:val="24"/>
              </w:rPr>
            </w:pPr>
            <w:r>
              <w:rPr>
                <w:color w:val="auto"/>
                <w:sz w:val="24"/>
                <w:szCs w:val="24"/>
              </w:rPr>
              <w:sym w:font="Wingdings 2" w:char="00A3"/>
            </w:r>
            <w:r>
              <w:rPr>
                <w:color w:val="auto"/>
                <w:sz w:val="24"/>
                <w:szCs w:val="24"/>
              </w:rPr>
              <w:t>技术改造</w:t>
            </w:r>
          </w:p>
        </w:tc>
        <w:tc>
          <w:tcPr>
            <w:tcW w:w="1948" w:type="dxa"/>
            <w:vAlign w:val="center"/>
          </w:tcPr>
          <w:p>
            <w:pPr>
              <w:adjustRightInd w:val="0"/>
              <w:snapToGrid w:val="0"/>
              <w:jc w:val="center"/>
              <w:rPr>
                <w:color w:val="auto"/>
                <w:sz w:val="24"/>
                <w:szCs w:val="24"/>
              </w:rPr>
            </w:pPr>
            <w:r>
              <w:rPr>
                <w:color w:val="auto"/>
                <w:sz w:val="24"/>
                <w:szCs w:val="24"/>
              </w:rPr>
              <w:t>建设项目</w:t>
            </w:r>
          </w:p>
          <w:p>
            <w:pPr>
              <w:adjustRightInd w:val="0"/>
              <w:snapToGrid w:val="0"/>
              <w:jc w:val="center"/>
              <w:rPr>
                <w:color w:val="auto"/>
                <w:sz w:val="24"/>
                <w:szCs w:val="24"/>
              </w:rPr>
            </w:pPr>
            <w:r>
              <w:rPr>
                <w:color w:val="auto"/>
                <w:sz w:val="24"/>
                <w:szCs w:val="24"/>
              </w:rPr>
              <w:t>申报情形</w:t>
            </w:r>
          </w:p>
        </w:tc>
        <w:tc>
          <w:tcPr>
            <w:tcW w:w="2903" w:type="dxa"/>
            <w:vAlign w:val="center"/>
          </w:tcPr>
          <w:p>
            <w:pPr>
              <w:adjustRightInd w:val="0"/>
              <w:snapToGrid w:val="0"/>
              <w:jc w:val="left"/>
              <w:rPr>
                <w:color w:val="auto"/>
                <w:sz w:val="24"/>
                <w:szCs w:val="24"/>
              </w:rPr>
            </w:pPr>
            <w:r>
              <w:rPr>
                <w:color w:val="auto"/>
                <w:sz w:val="24"/>
                <w:szCs w:val="24"/>
                <w:shd w:val="clear" w:color="auto" w:fill="FFFFFF"/>
              </w:rPr>
              <w:sym w:font="Wingdings 2" w:char="F052"/>
            </w:r>
            <w:r>
              <w:rPr>
                <w:color w:val="auto"/>
                <w:sz w:val="24"/>
                <w:szCs w:val="24"/>
              </w:rPr>
              <w:t>首次申报项目</w:t>
            </w:r>
          </w:p>
          <w:p>
            <w:pPr>
              <w:adjustRightInd w:val="0"/>
              <w:snapToGrid w:val="0"/>
              <w:jc w:val="left"/>
              <w:rPr>
                <w:color w:val="auto"/>
                <w:sz w:val="24"/>
                <w:szCs w:val="24"/>
              </w:rPr>
            </w:pPr>
            <w:r>
              <w:rPr>
                <w:color w:val="auto"/>
                <w:sz w:val="24"/>
                <w:szCs w:val="24"/>
              </w:rPr>
              <w:sym w:font="Wingdings 2" w:char="00A3"/>
            </w:r>
            <w:r>
              <w:rPr>
                <w:color w:val="auto"/>
                <w:sz w:val="24"/>
                <w:szCs w:val="24"/>
              </w:rPr>
              <w:t>不予批准后再次申报项目</w:t>
            </w:r>
          </w:p>
          <w:p>
            <w:pPr>
              <w:adjustRightInd w:val="0"/>
              <w:snapToGrid w:val="0"/>
              <w:jc w:val="left"/>
              <w:rPr>
                <w:color w:val="auto"/>
                <w:sz w:val="24"/>
                <w:szCs w:val="24"/>
              </w:rPr>
            </w:pPr>
            <w:r>
              <w:rPr>
                <w:color w:val="auto"/>
                <w:sz w:val="24"/>
                <w:szCs w:val="24"/>
              </w:rPr>
              <w:sym w:font="Wingdings 2" w:char="00A3"/>
            </w:r>
            <w:r>
              <w:rPr>
                <w:color w:val="auto"/>
                <w:sz w:val="24"/>
                <w:szCs w:val="24"/>
              </w:rPr>
              <w:t>超五年重新审核项目</w:t>
            </w:r>
          </w:p>
          <w:p>
            <w:pPr>
              <w:adjustRightInd w:val="0"/>
              <w:snapToGrid w:val="0"/>
              <w:jc w:val="left"/>
              <w:rPr>
                <w:color w:val="auto"/>
                <w:sz w:val="24"/>
                <w:szCs w:val="24"/>
              </w:rPr>
            </w:pPr>
            <w:r>
              <w:rPr>
                <w:color w:val="auto"/>
                <w:sz w:val="24"/>
                <w:szCs w:val="24"/>
              </w:rPr>
              <w:sym w:font="Wingdings 2" w:char="00A3"/>
            </w:r>
            <w:r>
              <w:rPr>
                <w:color w:val="auto"/>
                <w:sz w:val="24"/>
                <w:szCs w:val="24"/>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573" w:type="dxa"/>
            <w:tcMar>
              <w:top w:w="16" w:type="dxa"/>
              <w:left w:w="16" w:type="dxa"/>
              <w:right w:w="16" w:type="dxa"/>
            </w:tcMar>
            <w:vAlign w:val="center"/>
          </w:tcPr>
          <w:p>
            <w:pPr>
              <w:adjustRightInd w:val="0"/>
              <w:snapToGrid w:val="0"/>
              <w:jc w:val="center"/>
              <w:rPr>
                <w:color w:val="auto"/>
                <w:sz w:val="24"/>
                <w:szCs w:val="24"/>
              </w:rPr>
            </w:pPr>
            <w:r>
              <w:rPr>
                <w:color w:val="auto"/>
                <w:sz w:val="24"/>
                <w:szCs w:val="24"/>
              </w:rPr>
              <w:t>项目审批（核准/备案）部门（选填）</w:t>
            </w:r>
          </w:p>
        </w:tc>
        <w:tc>
          <w:tcPr>
            <w:tcW w:w="2446" w:type="dxa"/>
            <w:vAlign w:val="center"/>
          </w:tcPr>
          <w:p>
            <w:pPr>
              <w:adjustRightInd w:val="0"/>
              <w:snapToGrid w:val="0"/>
              <w:jc w:val="center"/>
              <w:rPr>
                <w:color w:val="auto"/>
                <w:sz w:val="24"/>
                <w:szCs w:val="24"/>
              </w:rPr>
            </w:pPr>
            <w:r>
              <w:rPr>
                <w:color w:val="auto"/>
                <w:sz w:val="24"/>
                <w:szCs w:val="24"/>
              </w:rPr>
              <w:t>宜良县发展和改革局</w:t>
            </w:r>
          </w:p>
        </w:tc>
        <w:tc>
          <w:tcPr>
            <w:tcW w:w="1948" w:type="dxa"/>
            <w:vAlign w:val="center"/>
          </w:tcPr>
          <w:p>
            <w:pPr>
              <w:adjustRightInd w:val="0"/>
              <w:snapToGrid w:val="0"/>
              <w:jc w:val="center"/>
              <w:rPr>
                <w:color w:val="auto"/>
                <w:sz w:val="24"/>
                <w:szCs w:val="24"/>
              </w:rPr>
            </w:pPr>
            <w:r>
              <w:rPr>
                <w:color w:val="auto"/>
                <w:sz w:val="24"/>
                <w:szCs w:val="24"/>
              </w:rPr>
              <w:t>项目审批（核准/备案）文号（选填）</w:t>
            </w:r>
          </w:p>
        </w:tc>
        <w:tc>
          <w:tcPr>
            <w:tcW w:w="2903" w:type="dxa"/>
            <w:vAlign w:val="center"/>
          </w:tcPr>
          <w:p>
            <w:pPr>
              <w:adjustRightInd w:val="0"/>
              <w:snapToGrid w:val="0"/>
              <w:jc w:val="center"/>
              <w:rPr>
                <w:rFonts w:hint="eastAsia" w:eastAsia="宋体"/>
                <w:color w:val="auto"/>
                <w:sz w:val="24"/>
                <w:szCs w:val="24"/>
                <w:lang w:eastAsia="zh-CN"/>
              </w:rPr>
            </w:pPr>
            <w:r>
              <w:rPr>
                <w:rFonts w:hint="eastAsia"/>
                <w:color w:val="auto"/>
                <w:sz w:val="24"/>
                <w:szCs w:val="24"/>
              </w:rPr>
              <w:t>2606-530125-04-01-650847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573" w:type="dxa"/>
            <w:tcMar>
              <w:top w:w="16" w:type="dxa"/>
              <w:left w:w="16" w:type="dxa"/>
              <w:right w:w="16" w:type="dxa"/>
            </w:tcMar>
            <w:vAlign w:val="center"/>
          </w:tcPr>
          <w:p>
            <w:pPr>
              <w:adjustRightInd w:val="0"/>
              <w:snapToGrid w:val="0"/>
              <w:jc w:val="center"/>
              <w:rPr>
                <w:color w:val="auto"/>
                <w:sz w:val="24"/>
                <w:szCs w:val="24"/>
              </w:rPr>
            </w:pPr>
            <w:r>
              <w:rPr>
                <w:color w:val="auto"/>
                <w:sz w:val="24"/>
                <w:szCs w:val="24"/>
              </w:rPr>
              <w:t>总投资（万元）</w:t>
            </w:r>
          </w:p>
        </w:tc>
        <w:tc>
          <w:tcPr>
            <w:tcW w:w="2446" w:type="dxa"/>
            <w:vAlign w:val="center"/>
          </w:tcPr>
          <w:p>
            <w:pPr>
              <w:adjustRightInd w:val="0"/>
              <w:snapToGrid w:val="0"/>
              <w:jc w:val="center"/>
              <w:rPr>
                <w:rFonts w:hint="default" w:eastAsia="宋体"/>
                <w:color w:val="auto"/>
                <w:sz w:val="24"/>
                <w:szCs w:val="24"/>
                <w:lang w:val="en-US" w:eastAsia="zh-CN"/>
              </w:rPr>
            </w:pPr>
            <w:r>
              <w:rPr>
                <w:rFonts w:hint="eastAsia"/>
                <w:color w:val="auto"/>
                <w:sz w:val="24"/>
                <w:szCs w:val="24"/>
                <w:lang w:val="en-US" w:eastAsia="zh-CN"/>
              </w:rPr>
              <w:t>2500</w:t>
            </w:r>
          </w:p>
        </w:tc>
        <w:tc>
          <w:tcPr>
            <w:tcW w:w="1948" w:type="dxa"/>
            <w:tcMar>
              <w:top w:w="16" w:type="dxa"/>
              <w:left w:w="16" w:type="dxa"/>
              <w:right w:w="16" w:type="dxa"/>
            </w:tcMar>
            <w:vAlign w:val="center"/>
          </w:tcPr>
          <w:p>
            <w:pPr>
              <w:adjustRightInd w:val="0"/>
              <w:snapToGrid w:val="0"/>
              <w:jc w:val="center"/>
              <w:rPr>
                <w:color w:val="auto"/>
                <w:sz w:val="24"/>
                <w:szCs w:val="24"/>
              </w:rPr>
            </w:pPr>
            <w:r>
              <w:rPr>
                <w:color w:val="auto"/>
                <w:sz w:val="24"/>
                <w:szCs w:val="24"/>
              </w:rPr>
              <w:t>环保投资（万元）</w:t>
            </w:r>
          </w:p>
        </w:tc>
        <w:tc>
          <w:tcPr>
            <w:tcW w:w="2903" w:type="dxa"/>
            <w:vAlign w:val="center"/>
          </w:tcPr>
          <w:p>
            <w:pPr>
              <w:adjustRightInd w:val="0"/>
              <w:snapToGrid w:val="0"/>
              <w:jc w:val="center"/>
              <w:rPr>
                <w:rFonts w:hint="default" w:eastAsia="宋体"/>
                <w:color w:val="auto"/>
                <w:sz w:val="24"/>
                <w:szCs w:val="24"/>
                <w:lang w:val="en-US" w:eastAsia="zh-CN"/>
              </w:rPr>
            </w:pPr>
            <w:r>
              <w:rPr>
                <w:rFonts w:hint="eastAsia"/>
                <w:color w:val="auto"/>
                <w:sz w:val="24"/>
                <w:szCs w:val="24"/>
                <w:lang w:val="en-US" w:eastAsia="zh-CN"/>
              </w:rPr>
              <w:t>25.2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573" w:type="dxa"/>
            <w:tcMar>
              <w:top w:w="16" w:type="dxa"/>
              <w:left w:w="16" w:type="dxa"/>
              <w:right w:w="16" w:type="dxa"/>
            </w:tcMar>
            <w:vAlign w:val="center"/>
          </w:tcPr>
          <w:p>
            <w:pPr>
              <w:adjustRightInd w:val="0"/>
              <w:snapToGrid w:val="0"/>
              <w:jc w:val="center"/>
              <w:rPr>
                <w:color w:val="auto"/>
                <w:sz w:val="24"/>
                <w:szCs w:val="24"/>
              </w:rPr>
            </w:pPr>
            <w:r>
              <w:rPr>
                <w:color w:val="auto"/>
                <w:sz w:val="24"/>
                <w:szCs w:val="24"/>
              </w:rPr>
              <w:t>环保投资占比（%）</w:t>
            </w:r>
          </w:p>
        </w:tc>
        <w:tc>
          <w:tcPr>
            <w:tcW w:w="2446" w:type="dxa"/>
            <w:vAlign w:val="center"/>
          </w:tcPr>
          <w:p>
            <w:pPr>
              <w:adjustRightInd w:val="0"/>
              <w:snapToGrid w:val="0"/>
              <w:jc w:val="center"/>
              <w:rPr>
                <w:rFonts w:hint="default" w:eastAsia="宋体"/>
                <w:color w:val="auto"/>
                <w:sz w:val="24"/>
                <w:szCs w:val="24"/>
                <w:lang w:val="en-US" w:eastAsia="zh-CN"/>
              </w:rPr>
            </w:pPr>
            <w:r>
              <w:rPr>
                <w:rFonts w:hint="eastAsia"/>
                <w:color w:val="auto"/>
                <w:sz w:val="24"/>
                <w:szCs w:val="24"/>
                <w:lang w:val="en-US" w:eastAsia="zh-CN"/>
              </w:rPr>
              <w:t>1.008</w:t>
            </w:r>
          </w:p>
        </w:tc>
        <w:tc>
          <w:tcPr>
            <w:tcW w:w="1948" w:type="dxa"/>
            <w:tcMar>
              <w:top w:w="16" w:type="dxa"/>
              <w:left w:w="16" w:type="dxa"/>
              <w:right w:w="16" w:type="dxa"/>
            </w:tcMar>
            <w:vAlign w:val="center"/>
          </w:tcPr>
          <w:p>
            <w:pPr>
              <w:adjustRightInd w:val="0"/>
              <w:snapToGrid w:val="0"/>
              <w:jc w:val="center"/>
              <w:rPr>
                <w:color w:val="auto"/>
                <w:sz w:val="24"/>
                <w:szCs w:val="24"/>
              </w:rPr>
            </w:pPr>
            <w:r>
              <w:rPr>
                <w:color w:val="auto"/>
                <w:sz w:val="24"/>
                <w:szCs w:val="24"/>
              </w:rPr>
              <w:t>施工工期</w:t>
            </w:r>
          </w:p>
        </w:tc>
        <w:tc>
          <w:tcPr>
            <w:tcW w:w="2903" w:type="dxa"/>
            <w:vAlign w:val="center"/>
          </w:tcPr>
          <w:p>
            <w:pPr>
              <w:adjustRightInd w:val="0"/>
              <w:snapToGrid w:val="0"/>
              <w:jc w:val="center"/>
              <w:rPr>
                <w:color w:val="auto"/>
                <w:sz w:val="24"/>
                <w:szCs w:val="24"/>
              </w:rPr>
            </w:pPr>
            <w:r>
              <w:rPr>
                <w:color w:val="auto"/>
                <w:sz w:val="24"/>
                <w:szCs w:val="24"/>
              </w:rPr>
              <w:t>2个月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573" w:type="dxa"/>
            <w:tcMar>
              <w:top w:w="16" w:type="dxa"/>
              <w:left w:w="16" w:type="dxa"/>
              <w:right w:w="16" w:type="dxa"/>
            </w:tcMar>
            <w:vAlign w:val="center"/>
          </w:tcPr>
          <w:p>
            <w:pPr>
              <w:adjustRightInd w:val="0"/>
              <w:snapToGrid w:val="0"/>
              <w:jc w:val="center"/>
              <w:rPr>
                <w:color w:val="auto"/>
                <w:sz w:val="24"/>
                <w:szCs w:val="24"/>
              </w:rPr>
            </w:pPr>
            <w:r>
              <w:rPr>
                <w:color w:val="auto"/>
                <w:sz w:val="24"/>
                <w:szCs w:val="24"/>
              </w:rPr>
              <w:t>是否开工建设</w:t>
            </w:r>
          </w:p>
        </w:tc>
        <w:tc>
          <w:tcPr>
            <w:tcW w:w="2446" w:type="dxa"/>
            <w:vAlign w:val="center"/>
          </w:tcPr>
          <w:p>
            <w:pPr>
              <w:adjustRightInd w:val="0"/>
              <w:snapToGrid w:val="0"/>
              <w:rPr>
                <w:color w:val="auto"/>
                <w:sz w:val="24"/>
                <w:szCs w:val="24"/>
              </w:rPr>
            </w:pPr>
            <w:r>
              <w:rPr>
                <w:color w:val="auto"/>
                <w:sz w:val="24"/>
                <w:szCs w:val="24"/>
                <w:shd w:val="clear" w:color="auto" w:fill="FFFFFF"/>
              </w:rPr>
              <w:sym w:font="Wingdings 2" w:char="F052"/>
            </w:r>
            <w:r>
              <w:rPr>
                <w:color w:val="auto"/>
                <w:sz w:val="24"/>
                <w:szCs w:val="24"/>
              </w:rPr>
              <w:t>否</w:t>
            </w:r>
          </w:p>
          <w:p>
            <w:pPr>
              <w:adjustRightInd w:val="0"/>
              <w:snapToGrid w:val="0"/>
              <w:rPr>
                <w:color w:val="auto"/>
                <w:sz w:val="24"/>
                <w:szCs w:val="24"/>
              </w:rPr>
            </w:pPr>
            <w:r>
              <w:rPr>
                <w:color w:val="auto"/>
                <w:sz w:val="24"/>
                <w:szCs w:val="24"/>
              </w:rPr>
              <w:sym w:font="Wingdings 2" w:char="00A3"/>
            </w:r>
            <w:r>
              <w:rPr>
                <w:color w:val="auto"/>
                <w:sz w:val="24"/>
                <w:szCs w:val="24"/>
              </w:rPr>
              <w:t>是：</w:t>
            </w:r>
            <w:r>
              <w:rPr>
                <w:color w:val="auto"/>
                <w:sz w:val="24"/>
                <w:szCs w:val="24"/>
                <w:u w:val="single"/>
              </w:rPr>
              <w:t xml:space="preserve">         。</w:t>
            </w:r>
          </w:p>
        </w:tc>
        <w:tc>
          <w:tcPr>
            <w:tcW w:w="1948" w:type="dxa"/>
            <w:tcMar>
              <w:top w:w="16" w:type="dxa"/>
              <w:left w:w="16" w:type="dxa"/>
              <w:right w:w="16" w:type="dxa"/>
            </w:tcMar>
            <w:vAlign w:val="center"/>
          </w:tcPr>
          <w:p>
            <w:pPr>
              <w:adjustRightInd w:val="0"/>
              <w:snapToGrid w:val="0"/>
              <w:jc w:val="center"/>
              <w:rPr>
                <w:color w:val="auto"/>
                <w:sz w:val="24"/>
                <w:szCs w:val="24"/>
              </w:rPr>
            </w:pPr>
            <w:r>
              <w:rPr>
                <w:color w:val="auto"/>
                <w:sz w:val="24"/>
                <w:szCs w:val="24"/>
              </w:rPr>
              <w:t>用地（用海）</w:t>
            </w:r>
          </w:p>
          <w:p>
            <w:pPr>
              <w:adjustRightInd w:val="0"/>
              <w:snapToGrid w:val="0"/>
              <w:jc w:val="center"/>
              <w:rPr>
                <w:color w:val="auto"/>
                <w:sz w:val="24"/>
                <w:szCs w:val="24"/>
              </w:rPr>
            </w:pPr>
            <w:r>
              <w:rPr>
                <w:color w:val="auto"/>
                <w:sz w:val="24"/>
                <w:szCs w:val="24"/>
              </w:rPr>
              <w:t>面积（m</w:t>
            </w:r>
            <w:r>
              <w:rPr>
                <w:color w:val="auto"/>
                <w:sz w:val="24"/>
                <w:szCs w:val="24"/>
                <w:vertAlign w:val="superscript"/>
              </w:rPr>
              <w:t>2</w:t>
            </w:r>
            <w:r>
              <w:rPr>
                <w:color w:val="auto"/>
                <w:sz w:val="24"/>
                <w:szCs w:val="24"/>
              </w:rPr>
              <w:t>）</w:t>
            </w:r>
          </w:p>
        </w:tc>
        <w:tc>
          <w:tcPr>
            <w:tcW w:w="2903" w:type="dxa"/>
            <w:vAlign w:val="center"/>
          </w:tcPr>
          <w:p>
            <w:pPr>
              <w:pStyle w:val="66"/>
              <w:snapToGrid w:val="0"/>
              <w:jc w:val="center"/>
              <w:rPr>
                <w:rFonts w:hint="default" w:eastAsia="宋体"/>
                <w:color w:val="auto"/>
                <w:sz w:val="24"/>
                <w:szCs w:val="24"/>
                <w:lang w:val="en-US" w:eastAsia="zh-CN"/>
              </w:rPr>
            </w:pPr>
            <w:r>
              <w:rPr>
                <w:rFonts w:hint="eastAsia"/>
                <w:color w:val="auto"/>
                <w:sz w:val="24"/>
                <w:szCs w:val="24"/>
                <w:lang w:val="en-US" w:eastAsia="zh-CN"/>
              </w:rPr>
              <w:t>3780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573" w:type="dxa"/>
            <w:vAlign w:val="center"/>
          </w:tcPr>
          <w:p>
            <w:pPr>
              <w:autoSpaceDE w:val="0"/>
              <w:autoSpaceDN w:val="0"/>
              <w:adjustRightInd w:val="0"/>
              <w:snapToGrid w:val="0"/>
              <w:spacing w:line="360" w:lineRule="auto"/>
              <w:jc w:val="center"/>
              <w:rPr>
                <w:color w:val="auto"/>
                <w:kern w:val="0"/>
                <w:sz w:val="24"/>
                <w:szCs w:val="24"/>
              </w:rPr>
            </w:pPr>
            <w:r>
              <w:rPr>
                <w:color w:val="auto"/>
                <w:kern w:val="0"/>
                <w:sz w:val="24"/>
                <w:szCs w:val="24"/>
              </w:rPr>
              <w:t>专项评价设置情况</w:t>
            </w:r>
          </w:p>
        </w:tc>
        <w:tc>
          <w:tcPr>
            <w:tcW w:w="7297" w:type="dxa"/>
            <w:gridSpan w:val="3"/>
            <w:vAlign w:val="center"/>
          </w:tcPr>
          <w:p>
            <w:pPr>
              <w:adjustRightInd w:val="0"/>
              <w:snapToGrid w:val="0"/>
              <w:spacing w:line="360" w:lineRule="auto"/>
              <w:ind w:firstLine="480" w:firstLineChars="200"/>
              <w:rPr>
                <w:color w:val="auto"/>
                <w:sz w:val="24"/>
                <w:szCs w:val="24"/>
              </w:rPr>
            </w:pPr>
            <w:r>
              <w:rPr>
                <w:color w:val="auto"/>
                <w:sz w:val="24"/>
                <w:szCs w:val="24"/>
              </w:rPr>
              <w:t>根据《建设项目环境影响报告表编制技术指南（污染影响类）</w:t>
            </w:r>
            <w:r>
              <w:rPr>
                <w:rFonts w:hint="eastAsia"/>
                <w:color w:val="auto"/>
                <w:sz w:val="24"/>
                <w:szCs w:val="24"/>
                <w:lang w:eastAsia="zh-CN"/>
              </w:rPr>
              <w:t>（试行）》</w:t>
            </w:r>
            <w:r>
              <w:rPr>
                <w:color w:val="auto"/>
                <w:sz w:val="24"/>
                <w:szCs w:val="24"/>
              </w:rPr>
              <w:t>污染类专项评价设置要求如下：</w:t>
            </w:r>
          </w:p>
          <w:p>
            <w:pPr>
              <w:pStyle w:val="68"/>
              <w:tabs>
                <w:tab w:val="left" w:pos="420"/>
              </w:tabs>
              <w:spacing w:before="120"/>
              <w:rPr>
                <w:rFonts w:hint="default"/>
                <w:color w:val="auto"/>
              </w:rPr>
            </w:pPr>
            <w:r>
              <w:rPr>
                <w:rFonts w:hint="eastAsia"/>
                <w:color w:val="auto"/>
                <w:lang w:val="en-US" w:eastAsia="zh-CN"/>
              </w:rPr>
              <w:t xml:space="preserve"> </w:t>
            </w:r>
            <w:r>
              <w:rPr>
                <w:rFonts w:hint="default"/>
                <w:color w:val="auto"/>
              </w:rPr>
              <w:t>专项评价设置情况表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
              <w:gridCol w:w="2544"/>
              <w:gridCol w:w="2546"/>
              <w:gridCol w:w="1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2" w:type="pct"/>
                  <w:vAlign w:val="center"/>
                </w:tcPr>
                <w:p>
                  <w:pPr>
                    <w:widowControl/>
                    <w:jc w:val="center"/>
                    <w:rPr>
                      <w:color w:val="auto"/>
                      <w:kern w:val="0"/>
                      <w:szCs w:val="21"/>
                    </w:rPr>
                  </w:pPr>
                  <w:r>
                    <w:rPr>
                      <w:b/>
                      <w:bCs/>
                      <w:color w:val="auto"/>
                      <w:kern w:val="0"/>
                      <w:szCs w:val="21"/>
                    </w:rPr>
                    <w:t>专项评价类别</w:t>
                  </w:r>
                </w:p>
              </w:tc>
              <w:tc>
                <w:tcPr>
                  <w:tcW w:w="1799" w:type="pct"/>
                  <w:vAlign w:val="center"/>
                </w:tcPr>
                <w:p>
                  <w:pPr>
                    <w:adjustRightInd w:val="0"/>
                    <w:snapToGrid w:val="0"/>
                    <w:jc w:val="center"/>
                    <w:rPr>
                      <w:color w:val="auto"/>
                      <w:szCs w:val="21"/>
                    </w:rPr>
                  </w:pPr>
                  <w:r>
                    <w:rPr>
                      <w:b/>
                      <w:bCs/>
                      <w:color w:val="auto"/>
                      <w:szCs w:val="21"/>
                    </w:rPr>
                    <w:t>设置原则</w:t>
                  </w:r>
                </w:p>
              </w:tc>
              <w:tc>
                <w:tcPr>
                  <w:tcW w:w="1800" w:type="pct"/>
                  <w:vAlign w:val="center"/>
                </w:tcPr>
                <w:p>
                  <w:pPr>
                    <w:adjustRightInd w:val="0"/>
                    <w:snapToGrid w:val="0"/>
                    <w:jc w:val="center"/>
                    <w:rPr>
                      <w:color w:val="auto"/>
                      <w:szCs w:val="21"/>
                    </w:rPr>
                  </w:pPr>
                  <w:r>
                    <w:rPr>
                      <w:b/>
                      <w:bCs/>
                      <w:color w:val="auto"/>
                      <w:szCs w:val="21"/>
                    </w:rPr>
                    <w:t>项目情况</w:t>
                  </w:r>
                </w:p>
              </w:tc>
              <w:tc>
                <w:tcPr>
                  <w:tcW w:w="769" w:type="pct"/>
                  <w:vAlign w:val="center"/>
                </w:tcPr>
                <w:p>
                  <w:pPr>
                    <w:widowControl/>
                    <w:jc w:val="center"/>
                    <w:rPr>
                      <w:color w:val="auto"/>
                      <w:kern w:val="0"/>
                      <w:szCs w:val="21"/>
                    </w:rPr>
                  </w:pPr>
                  <w:r>
                    <w:rPr>
                      <w:b/>
                      <w:bCs/>
                      <w:color w:val="auto"/>
                      <w:kern w:val="0"/>
                      <w:szCs w:val="21"/>
                    </w:rPr>
                    <w:t>是否设置专项评价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2" w:type="pct"/>
                  <w:vAlign w:val="center"/>
                </w:tcPr>
                <w:p>
                  <w:pPr>
                    <w:adjustRightInd w:val="0"/>
                    <w:snapToGrid w:val="0"/>
                    <w:jc w:val="center"/>
                    <w:rPr>
                      <w:color w:val="auto"/>
                      <w:szCs w:val="21"/>
                    </w:rPr>
                  </w:pPr>
                  <w:r>
                    <w:rPr>
                      <w:color w:val="auto"/>
                      <w:szCs w:val="21"/>
                    </w:rPr>
                    <w:t>大气</w:t>
                  </w:r>
                </w:p>
              </w:tc>
              <w:tc>
                <w:tcPr>
                  <w:tcW w:w="1799" w:type="pct"/>
                  <w:vAlign w:val="center"/>
                </w:tcPr>
                <w:p>
                  <w:pPr>
                    <w:widowControl/>
                    <w:jc w:val="center"/>
                    <w:rPr>
                      <w:color w:val="auto"/>
                      <w:kern w:val="0"/>
                      <w:szCs w:val="21"/>
                    </w:rPr>
                  </w:pPr>
                  <w:r>
                    <w:rPr>
                      <w:color w:val="auto"/>
                      <w:kern w:val="0"/>
                      <w:szCs w:val="21"/>
                    </w:rPr>
                    <w:t>排放废气含有毒有害污染物、二噁英、苯并[a]芘、氰化物、氯气且厂界外500米范围内有环境空气保护目标的建设项目。</w:t>
                  </w:r>
                </w:p>
              </w:tc>
              <w:tc>
                <w:tcPr>
                  <w:tcW w:w="1800" w:type="pct"/>
                  <w:vAlign w:val="center"/>
                </w:tcPr>
                <w:p>
                  <w:pPr>
                    <w:widowControl/>
                    <w:jc w:val="center"/>
                    <w:rPr>
                      <w:color w:val="auto"/>
                      <w:kern w:val="0"/>
                      <w:szCs w:val="21"/>
                    </w:rPr>
                  </w:pPr>
                  <w:r>
                    <w:rPr>
                      <w:color w:val="auto"/>
                      <w:kern w:val="0"/>
                      <w:szCs w:val="21"/>
                    </w:rPr>
                    <w:t>本项目厂界外500米范围内无环境空气保护目标且本项目排放的废气主要为非甲烷总烃、颗粒物、臭气浓度</w:t>
                  </w:r>
                  <w:r>
                    <w:rPr>
                      <w:rFonts w:hint="eastAsia"/>
                      <w:color w:val="auto"/>
                      <w:kern w:val="0"/>
                      <w:szCs w:val="21"/>
                      <w:lang w:eastAsia="zh-CN"/>
                    </w:rPr>
                    <w:t>，</w:t>
                  </w:r>
                  <w:r>
                    <w:rPr>
                      <w:color w:val="auto"/>
                      <w:kern w:val="0"/>
                      <w:szCs w:val="21"/>
                    </w:rPr>
                    <w:t>不含有毒有害污染物、二噁英、苯并[a]芘、氰化物、氯气。</w:t>
                  </w:r>
                </w:p>
              </w:tc>
              <w:tc>
                <w:tcPr>
                  <w:tcW w:w="769" w:type="pct"/>
                  <w:vAlign w:val="center"/>
                </w:tcPr>
                <w:p>
                  <w:pPr>
                    <w:adjustRightInd w:val="0"/>
                    <w:snapToGrid w:val="0"/>
                    <w:jc w:val="center"/>
                    <w:rPr>
                      <w:color w:val="auto"/>
                      <w:szCs w:val="21"/>
                    </w:rPr>
                  </w:pPr>
                  <w:r>
                    <w:rPr>
                      <w:color w:val="auto"/>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2" w:type="pct"/>
                  <w:vAlign w:val="center"/>
                </w:tcPr>
                <w:p>
                  <w:pPr>
                    <w:adjustRightInd w:val="0"/>
                    <w:snapToGrid w:val="0"/>
                    <w:jc w:val="center"/>
                    <w:rPr>
                      <w:color w:val="auto"/>
                      <w:szCs w:val="21"/>
                    </w:rPr>
                  </w:pPr>
                  <w:r>
                    <w:rPr>
                      <w:color w:val="auto"/>
                      <w:szCs w:val="21"/>
                    </w:rPr>
                    <w:t>地表水</w:t>
                  </w:r>
                </w:p>
              </w:tc>
              <w:tc>
                <w:tcPr>
                  <w:tcW w:w="1799" w:type="pct"/>
                  <w:vAlign w:val="center"/>
                </w:tcPr>
                <w:p>
                  <w:pPr>
                    <w:widowControl/>
                    <w:jc w:val="center"/>
                    <w:rPr>
                      <w:color w:val="auto"/>
                      <w:kern w:val="0"/>
                      <w:szCs w:val="21"/>
                    </w:rPr>
                  </w:pPr>
                  <w:r>
                    <w:rPr>
                      <w:color w:val="auto"/>
                      <w:kern w:val="0"/>
                      <w:szCs w:val="21"/>
                    </w:rPr>
                    <w:t>新增工业废水直排建设项目（槽罐车外送污水处理厂的除外）；新增废水直排的污水处理厂。</w:t>
                  </w:r>
                </w:p>
              </w:tc>
              <w:tc>
                <w:tcPr>
                  <w:tcW w:w="1800" w:type="pct"/>
                  <w:vAlign w:val="center"/>
                </w:tcPr>
                <w:p>
                  <w:pPr>
                    <w:widowControl/>
                    <w:jc w:val="center"/>
                    <w:rPr>
                      <w:color w:val="auto"/>
                      <w:kern w:val="0"/>
                      <w:szCs w:val="21"/>
                    </w:rPr>
                  </w:pPr>
                  <w:r>
                    <w:rPr>
                      <w:color w:val="auto"/>
                      <w:kern w:val="0"/>
                      <w:szCs w:val="21"/>
                    </w:rPr>
                    <w:t>本项目不属于新增工业废水直排建设项目，也不属于污水处理厂建设项目。</w:t>
                  </w:r>
                </w:p>
              </w:tc>
              <w:tc>
                <w:tcPr>
                  <w:tcW w:w="769" w:type="pct"/>
                  <w:vAlign w:val="center"/>
                </w:tcPr>
                <w:p>
                  <w:pPr>
                    <w:adjustRightInd w:val="0"/>
                    <w:snapToGrid w:val="0"/>
                    <w:jc w:val="center"/>
                    <w:rPr>
                      <w:color w:val="auto"/>
                      <w:szCs w:val="21"/>
                    </w:rPr>
                  </w:pPr>
                  <w:r>
                    <w:rPr>
                      <w:color w:val="auto"/>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2" w:type="pct"/>
                  <w:vAlign w:val="center"/>
                </w:tcPr>
                <w:p>
                  <w:pPr>
                    <w:widowControl/>
                    <w:jc w:val="center"/>
                    <w:rPr>
                      <w:color w:val="auto"/>
                      <w:kern w:val="0"/>
                      <w:szCs w:val="21"/>
                    </w:rPr>
                  </w:pPr>
                  <w:r>
                    <w:rPr>
                      <w:color w:val="auto"/>
                      <w:kern w:val="0"/>
                      <w:szCs w:val="21"/>
                    </w:rPr>
                    <w:t>环境风险</w:t>
                  </w:r>
                </w:p>
              </w:tc>
              <w:tc>
                <w:tcPr>
                  <w:tcW w:w="1799" w:type="pct"/>
                  <w:vAlign w:val="center"/>
                </w:tcPr>
                <w:p>
                  <w:pPr>
                    <w:widowControl/>
                    <w:jc w:val="center"/>
                    <w:rPr>
                      <w:color w:val="auto"/>
                      <w:kern w:val="0"/>
                      <w:szCs w:val="21"/>
                    </w:rPr>
                  </w:pPr>
                  <w:r>
                    <w:rPr>
                      <w:color w:val="auto"/>
                      <w:kern w:val="0"/>
                      <w:szCs w:val="21"/>
                    </w:rPr>
                    <w:t>有毒有害和易燃易爆危险物质存储量超过临界量的建设项目。</w:t>
                  </w:r>
                </w:p>
              </w:tc>
              <w:tc>
                <w:tcPr>
                  <w:tcW w:w="1800" w:type="pct"/>
                  <w:vAlign w:val="center"/>
                </w:tcPr>
                <w:p>
                  <w:pPr>
                    <w:widowControl/>
                    <w:jc w:val="center"/>
                    <w:rPr>
                      <w:color w:val="auto"/>
                      <w:kern w:val="0"/>
                      <w:szCs w:val="21"/>
                    </w:rPr>
                  </w:pPr>
                  <w:r>
                    <w:rPr>
                      <w:color w:val="auto"/>
                      <w:kern w:val="0"/>
                      <w:szCs w:val="21"/>
                    </w:rPr>
                    <w:t>本项目涉及的有毒有害和易燃易爆危险物质存储量未超过临界量。</w:t>
                  </w:r>
                </w:p>
              </w:tc>
              <w:tc>
                <w:tcPr>
                  <w:tcW w:w="769" w:type="pct"/>
                  <w:vAlign w:val="center"/>
                </w:tcPr>
                <w:p>
                  <w:pPr>
                    <w:adjustRightInd w:val="0"/>
                    <w:snapToGrid w:val="0"/>
                    <w:jc w:val="center"/>
                    <w:rPr>
                      <w:color w:val="auto"/>
                      <w:szCs w:val="21"/>
                    </w:rPr>
                  </w:pPr>
                  <w:r>
                    <w:rPr>
                      <w:color w:val="auto"/>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632" w:type="pct"/>
                  <w:vAlign w:val="center"/>
                </w:tcPr>
                <w:p>
                  <w:pPr>
                    <w:widowControl/>
                    <w:jc w:val="center"/>
                    <w:rPr>
                      <w:color w:val="auto"/>
                      <w:kern w:val="0"/>
                      <w:szCs w:val="21"/>
                    </w:rPr>
                  </w:pPr>
                  <w:r>
                    <w:rPr>
                      <w:color w:val="auto"/>
                      <w:kern w:val="0"/>
                      <w:szCs w:val="21"/>
                    </w:rPr>
                    <w:t>生态</w:t>
                  </w:r>
                </w:p>
              </w:tc>
              <w:tc>
                <w:tcPr>
                  <w:tcW w:w="1799" w:type="pct"/>
                  <w:vAlign w:val="center"/>
                </w:tcPr>
                <w:p>
                  <w:pPr>
                    <w:widowControl/>
                    <w:jc w:val="center"/>
                    <w:rPr>
                      <w:color w:val="auto"/>
                      <w:kern w:val="0"/>
                      <w:szCs w:val="21"/>
                    </w:rPr>
                  </w:pPr>
                  <w:r>
                    <w:rPr>
                      <w:color w:val="auto"/>
                      <w:kern w:val="0"/>
                      <w:szCs w:val="21"/>
                    </w:rPr>
                    <w:t>取水口下游500米范围内有重要水生生物的自然产卵场、索饵场、越冬场和洄游通道的新增河道取水的污染类建设项目。</w:t>
                  </w:r>
                </w:p>
              </w:tc>
              <w:tc>
                <w:tcPr>
                  <w:tcW w:w="1800" w:type="pct"/>
                  <w:vAlign w:val="center"/>
                </w:tcPr>
                <w:p>
                  <w:pPr>
                    <w:widowControl/>
                    <w:jc w:val="center"/>
                    <w:rPr>
                      <w:color w:val="auto"/>
                      <w:kern w:val="0"/>
                      <w:szCs w:val="21"/>
                    </w:rPr>
                  </w:pPr>
                  <w:r>
                    <w:rPr>
                      <w:color w:val="auto"/>
                      <w:kern w:val="0"/>
                      <w:szCs w:val="21"/>
                    </w:rPr>
                    <w:t>项目无取水口，不涉及河道取水，采用周边自来水供给。</w:t>
                  </w:r>
                </w:p>
              </w:tc>
              <w:tc>
                <w:tcPr>
                  <w:tcW w:w="769" w:type="pct"/>
                  <w:vAlign w:val="center"/>
                </w:tcPr>
                <w:p>
                  <w:pPr>
                    <w:adjustRightInd w:val="0"/>
                    <w:snapToGrid w:val="0"/>
                    <w:jc w:val="center"/>
                    <w:rPr>
                      <w:color w:val="auto"/>
                      <w:szCs w:val="21"/>
                    </w:rPr>
                  </w:pPr>
                  <w:r>
                    <w:rPr>
                      <w:color w:val="auto"/>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2" w:type="pct"/>
                  <w:vAlign w:val="center"/>
                </w:tcPr>
                <w:p>
                  <w:pPr>
                    <w:autoSpaceDE w:val="0"/>
                    <w:autoSpaceDN w:val="0"/>
                    <w:jc w:val="center"/>
                    <w:rPr>
                      <w:color w:val="auto"/>
                      <w:szCs w:val="21"/>
                    </w:rPr>
                  </w:pPr>
                  <w:r>
                    <w:rPr>
                      <w:color w:val="auto"/>
                      <w:szCs w:val="21"/>
                    </w:rPr>
                    <w:t>海洋</w:t>
                  </w:r>
                </w:p>
              </w:tc>
              <w:tc>
                <w:tcPr>
                  <w:tcW w:w="1799" w:type="pct"/>
                  <w:vAlign w:val="center"/>
                </w:tcPr>
                <w:p>
                  <w:pPr>
                    <w:autoSpaceDE w:val="0"/>
                    <w:autoSpaceDN w:val="0"/>
                    <w:jc w:val="center"/>
                    <w:rPr>
                      <w:color w:val="auto"/>
                      <w:szCs w:val="21"/>
                    </w:rPr>
                  </w:pPr>
                  <w:r>
                    <w:rPr>
                      <w:color w:val="auto"/>
                      <w:szCs w:val="21"/>
                    </w:rPr>
                    <w:t>直接向海排放污染物的海洋工程建设项目。</w:t>
                  </w:r>
                </w:p>
              </w:tc>
              <w:tc>
                <w:tcPr>
                  <w:tcW w:w="1800" w:type="pct"/>
                  <w:vAlign w:val="center"/>
                </w:tcPr>
                <w:p>
                  <w:pPr>
                    <w:autoSpaceDE w:val="0"/>
                    <w:autoSpaceDN w:val="0"/>
                    <w:jc w:val="center"/>
                    <w:rPr>
                      <w:color w:val="auto"/>
                      <w:szCs w:val="21"/>
                    </w:rPr>
                  </w:pPr>
                  <w:r>
                    <w:rPr>
                      <w:color w:val="auto"/>
                      <w:szCs w:val="21"/>
                    </w:rPr>
                    <w:t>本项目不涉及向海排放污染物。</w:t>
                  </w:r>
                </w:p>
              </w:tc>
              <w:tc>
                <w:tcPr>
                  <w:tcW w:w="769" w:type="pct"/>
                  <w:vAlign w:val="center"/>
                </w:tcPr>
                <w:p>
                  <w:pPr>
                    <w:autoSpaceDE w:val="0"/>
                    <w:autoSpaceDN w:val="0"/>
                    <w:jc w:val="center"/>
                    <w:rPr>
                      <w:color w:val="auto"/>
                      <w:szCs w:val="21"/>
                    </w:rPr>
                  </w:pPr>
                  <w:r>
                    <w:rPr>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4"/>
                  <w:vAlign w:val="center"/>
                </w:tcPr>
                <w:p>
                  <w:pPr>
                    <w:autoSpaceDE w:val="0"/>
                    <w:autoSpaceDN w:val="0"/>
                    <w:rPr>
                      <w:color w:val="auto"/>
                      <w:szCs w:val="21"/>
                    </w:rPr>
                  </w:pPr>
                  <w:r>
                    <w:rPr>
                      <w:color w:val="auto"/>
                      <w:szCs w:val="21"/>
                    </w:rPr>
                    <w:t>注：1.废气中有毒有害污染物指纳入《有毒有害大气污染物名录》的污染物（不包括无排放标准的污染物）。</w:t>
                  </w:r>
                </w:p>
                <w:p>
                  <w:pPr>
                    <w:autoSpaceDE w:val="0"/>
                    <w:autoSpaceDN w:val="0"/>
                    <w:rPr>
                      <w:color w:val="auto"/>
                      <w:szCs w:val="21"/>
                    </w:rPr>
                  </w:pPr>
                  <w:r>
                    <w:rPr>
                      <w:color w:val="auto"/>
                      <w:szCs w:val="21"/>
                    </w:rPr>
                    <w:t>2.环境空气保护目标指自然保护区、风景名胜区、居住区、文化区和农村地区中人群较集中的区域。</w:t>
                  </w:r>
                </w:p>
                <w:p>
                  <w:pPr>
                    <w:autoSpaceDE w:val="0"/>
                    <w:autoSpaceDN w:val="0"/>
                    <w:rPr>
                      <w:color w:val="auto"/>
                      <w:szCs w:val="21"/>
                    </w:rPr>
                  </w:pPr>
                  <w:r>
                    <w:rPr>
                      <w:color w:val="auto"/>
                      <w:szCs w:val="21"/>
                    </w:rPr>
                    <w:t>3.临界量及其计算方法可参考《建设项目环境风险评价技术导则》（HJ169）附录B、附录C。</w:t>
                  </w:r>
                </w:p>
              </w:tc>
            </w:tr>
          </w:tbl>
          <w:p>
            <w:pPr>
              <w:adjustRightInd w:val="0"/>
              <w:snapToGrid w:val="0"/>
              <w:spacing w:line="360" w:lineRule="auto"/>
              <w:ind w:firstLine="420" w:firstLineChars="200"/>
              <w:rPr>
                <w:color w:val="auto"/>
                <w:szCs w:val="21"/>
              </w:rPr>
            </w:pPr>
            <w:r>
              <w:rPr>
                <w:color w:val="auto"/>
                <w:szCs w:val="21"/>
              </w:rPr>
              <w:t>因此，本项目不设置专项评价。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73" w:type="dxa"/>
            <w:vAlign w:val="center"/>
          </w:tcPr>
          <w:p>
            <w:pPr>
              <w:autoSpaceDE w:val="0"/>
              <w:autoSpaceDN w:val="0"/>
              <w:adjustRightInd w:val="0"/>
              <w:snapToGrid w:val="0"/>
              <w:jc w:val="center"/>
              <w:rPr>
                <w:color w:val="auto"/>
                <w:kern w:val="0"/>
                <w:sz w:val="24"/>
                <w:szCs w:val="24"/>
              </w:rPr>
            </w:pPr>
            <w:r>
              <w:rPr>
                <w:color w:val="auto"/>
                <w:sz w:val="24"/>
                <w:szCs w:val="24"/>
              </w:rPr>
              <w:t>规划情况</w:t>
            </w:r>
          </w:p>
        </w:tc>
        <w:tc>
          <w:tcPr>
            <w:tcW w:w="7297" w:type="dxa"/>
            <w:gridSpan w:val="3"/>
            <w:vAlign w:val="center"/>
          </w:tcPr>
          <w:p>
            <w:pPr>
              <w:topLinePunct/>
              <w:adjustRightInd w:val="0"/>
              <w:snapToGrid w:val="0"/>
              <w:spacing w:line="360" w:lineRule="auto"/>
              <w:jc w:val="left"/>
              <w:rPr>
                <w:color w:val="auto"/>
                <w:kern w:val="0"/>
                <w:sz w:val="24"/>
                <w:szCs w:val="24"/>
              </w:rPr>
            </w:pPr>
            <w:r>
              <w:rPr>
                <w:b/>
                <w:bCs/>
                <w:color w:val="auto"/>
                <w:kern w:val="0"/>
                <w:sz w:val="24"/>
                <w:szCs w:val="24"/>
              </w:rPr>
              <w:t>规划名称：</w:t>
            </w:r>
            <w:bookmarkStart w:id="5" w:name="OLE_LINK1"/>
            <w:r>
              <w:rPr>
                <w:color w:val="auto"/>
                <w:kern w:val="0"/>
                <w:sz w:val="24"/>
                <w:szCs w:val="24"/>
              </w:rPr>
              <w:t>《云南宜良产业园区总体规划（2021</w:t>
            </w:r>
            <w:r>
              <w:rPr>
                <w:rFonts w:hint="eastAsia"/>
                <w:color w:val="auto"/>
                <w:kern w:val="0"/>
                <w:sz w:val="24"/>
                <w:szCs w:val="24"/>
                <w:lang w:eastAsia="zh-CN"/>
              </w:rPr>
              <w:t>—</w:t>
            </w:r>
            <w:r>
              <w:rPr>
                <w:color w:val="auto"/>
                <w:kern w:val="0"/>
                <w:sz w:val="24"/>
                <w:szCs w:val="24"/>
              </w:rPr>
              <w:t>2035年）》</w:t>
            </w:r>
            <w:bookmarkEnd w:id="5"/>
          </w:p>
          <w:p>
            <w:pPr>
              <w:topLinePunct/>
              <w:adjustRightInd w:val="0"/>
              <w:snapToGrid w:val="0"/>
              <w:spacing w:line="360" w:lineRule="auto"/>
              <w:jc w:val="left"/>
              <w:rPr>
                <w:color w:val="auto"/>
                <w:kern w:val="0"/>
                <w:sz w:val="24"/>
                <w:szCs w:val="24"/>
              </w:rPr>
            </w:pPr>
            <w:r>
              <w:rPr>
                <w:b/>
                <w:bCs/>
                <w:color w:val="auto"/>
                <w:kern w:val="0"/>
                <w:sz w:val="24"/>
                <w:szCs w:val="24"/>
              </w:rPr>
              <w:t>审批机关：</w:t>
            </w:r>
            <w:r>
              <w:rPr>
                <w:color w:val="auto"/>
                <w:kern w:val="0"/>
                <w:sz w:val="24"/>
                <w:szCs w:val="24"/>
              </w:rPr>
              <w:t>昆明市人民政府</w:t>
            </w:r>
          </w:p>
          <w:p>
            <w:pPr>
              <w:autoSpaceDE w:val="0"/>
              <w:autoSpaceDN w:val="0"/>
              <w:adjustRightInd w:val="0"/>
              <w:snapToGrid w:val="0"/>
              <w:spacing w:line="360" w:lineRule="auto"/>
              <w:jc w:val="both"/>
              <w:rPr>
                <w:bCs/>
                <w:color w:val="auto"/>
                <w:sz w:val="24"/>
                <w:szCs w:val="24"/>
              </w:rPr>
            </w:pPr>
            <w:r>
              <w:rPr>
                <w:b/>
                <w:bCs/>
                <w:color w:val="auto"/>
                <w:kern w:val="0"/>
                <w:sz w:val="24"/>
                <w:szCs w:val="24"/>
              </w:rPr>
              <w:t>审批文件名称及文号：</w:t>
            </w:r>
            <w:r>
              <w:rPr>
                <w:color w:val="auto"/>
                <w:kern w:val="0"/>
                <w:sz w:val="24"/>
                <w:szCs w:val="24"/>
              </w:rPr>
              <w:t>《昆明市人民政府关于云南宜良产业园区总体规划（2021</w:t>
            </w:r>
            <w:r>
              <w:rPr>
                <w:rFonts w:hint="eastAsia"/>
                <w:color w:val="auto"/>
                <w:kern w:val="0"/>
                <w:sz w:val="24"/>
                <w:szCs w:val="24"/>
                <w:lang w:eastAsia="zh-CN"/>
              </w:rPr>
              <w:t>—</w:t>
            </w:r>
            <w:r>
              <w:rPr>
                <w:color w:val="auto"/>
                <w:kern w:val="0"/>
                <w:sz w:val="24"/>
                <w:szCs w:val="24"/>
              </w:rPr>
              <w:t>2035年）的批复》（昆政复〔2024〕6号）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73" w:type="dxa"/>
            <w:vAlign w:val="center"/>
          </w:tcPr>
          <w:p>
            <w:pPr>
              <w:adjustRightInd w:val="0"/>
              <w:snapToGrid w:val="0"/>
              <w:jc w:val="center"/>
              <w:rPr>
                <w:color w:val="auto"/>
                <w:sz w:val="24"/>
                <w:szCs w:val="24"/>
              </w:rPr>
            </w:pPr>
            <w:r>
              <w:rPr>
                <w:color w:val="auto"/>
                <w:sz w:val="24"/>
                <w:szCs w:val="24"/>
              </w:rPr>
              <w:t>规划环境影响评价情况</w:t>
            </w:r>
          </w:p>
        </w:tc>
        <w:tc>
          <w:tcPr>
            <w:tcW w:w="7297" w:type="dxa"/>
            <w:gridSpan w:val="3"/>
            <w:vAlign w:val="center"/>
          </w:tcPr>
          <w:p>
            <w:pPr>
              <w:topLinePunct/>
              <w:adjustRightInd w:val="0"/>
              <w:snapToGrid w:val="0"/>
              <w:spacing w:line="360" w:lineRule="auto"/>
              <w:jc w:val="left"/>
              <w:rPr>
                <w:color w:val="auto"/>
                <w:kern w:val="0"/>
                <w:sz w:val="24"/>
                <w:szCs w:val="24"/>
              </w:rPr>
            </w:pPr>
            <w:r>
              <w:rPr>
                <w:b/>
                <w:bCs/>
                <w:color w:val="auto"/>
                <w:kern w:val="0"/>
                <w:sz w:val="24"/>
                <w:szCs w:val="24"/>
              </w:rPr>
              <w:t>规划环评名称：</w:t>
            </w:r>
            <w:r>
              <w:rPr>
                <w:color w:val="auto"/>
                <w:kern w:val="0"/>
                <w:sz w:val="24"/>
                <w:szCs w:val="24"/>
              </w:rPr>
              <w:t>《云南宜良产业园区总体规划（2021</w:t>
            </w:r>
            <w:r>
              <w:rPr>
                <w:rFonts w:hint="eastAsia"/>
                <w:color w:val="auto"/>
                <w:kern w:val="0"/>
                <w:sz w:val="24"/>
                <w:szCs w:val="24"/>
                <w:lang w:eastAsia="zh-CN"/>
              </w:rPr>
              <w:t>—</w:t>
            </w:r>
            <w:r>
              <w:rPr>
                <w:color w:val="auto"/>
                <w:kern w:val="0"/>
                <w:sz w:val="24"/>
                <w:szCs w:val="24"/>
              </w:rPr>
              <w:t>2035年）环境影响报告书》</w:t>
            </w:r>
          </w:p>
          <w:p>
            <w:pPr>
              <w:topLinePunct/>
              <w:adjustRightInd w:val="0"/>
              <w:snapToGrid w:val="0"/>
              <w:spacing w:line="360" w:lineRule="auto"/>
              <w:jc w:val="left"/>
              <w:rPr>
                <w:color w:val="auto"/>
                <w:kern w:val="0"/>
                <w:sz w:val="24"/>
                <w:szCs w:val="24"/>
              </w:rPr>
            </w:pPr>
            <w:r>
              <w:rPr>
                <w:b/>
                <w:bCs/>
                <w:color w:val="auto"/>
                <w:kern w:val="0"/>
                <w:sz w:val="24"/>
                <w:szCs w:val="24"/>
              </w:rPr>
              <w:t>召集审查机关：</w:t>
            </w:r>
            <w:r>
              <w:rPr>
                <w:color w:val="auto"/>
                <w:kern w:val="0"/>
                <w:sz w:val="24"/>
                <w:szCs w:val="24"/>
              </w:rPr>
              <w:t>昆明市生态环境局</w:t>
            </w:r>
          </w:p>
          <w:p>
            <w:pPr>
              <w:autoSpaceDE w:val="0"/>
              <w:autoSpaceDN w:val="0"/>
              <w:adjustRightInd w:val="0"/>
              <w:snapToGrid w:val="0"/>
              <w:spacing w:line="360" w:lineRule="auto"/>
              <w:jc w:val="left"/>
              <w:rPr>
                <w:rFonts w:hint="eastAsia" w:eastAsia="宋体"/>
                <w:color w:val="auto"/>
                <w:kern w:val="0"/>
                <w:sz w:val="24"/>
                <w:szCs w:val="24"/>
                <w:lang w:eastAsia="zh-CN"/>
              </w:rPr>
            </w:pPr>
            <w:r>
              <w:rPr>
                <w:b/>
                <w:bCs/>
                <w:color w:val="auto"/>
                <w:kern w:val="0"/>
                <w:sz w:val="24"/>
                <w:szCs w:val="24"/>
              </w:rPr>
              <w:t>审查文件名称及文号：</w:t>
            </w:r>
            <w:r>
              <w:rPr>
                <w:color w:val="auto"/>
                <w:kern w:val="0"/>
                <w:sz w:val="24"/>
                <w:szCs w:val="24"/>
              </w:rPr>
              <w:t>《昆明市生态环境局关于</w:t>
            </w:r>
            <w:r>
              <w:rPr>
                <w:rFonts w:hint="eastAsia"/>
                <w:color w:val="auto"/>
                <w:kern w:val="0"/>
                <w:sz w:val="24"/>
                <w:szCs w:val="24"/>
                <w:lang w:eastAsia="zh-CN"/>
              </w:rPr>
              <w:t>〈</w:t>
            </w:r>
            <w:r>
              <w:rPr>
                <w:color w:val="auto"/>
                <w:kern w:val="0"/>
                <w:sz w:val="24"/>
                <w:szCs w:val="24"/>
              </w:rPr>
              <w:t>云南宜良产业园区总体规划（2021</w:t>
            </w:r>
            <w:r>
              <w:rPr>
                <w:rFonts w:hint="eastAsia"/>
                <w:color w:val="auto"/>
                <w:kern w:val="0"/>
                <w:sz w:val="24"/>
                <w:szCs w:val="24"/>
                <w:lang w:eastAsia="zh-CN"/>
              </w:rPr>
              <w:t>—</w:t>
            </w:r>
            <w:r>
              <w:rPr>
                <w:color w:val="auto"/>
                <w:kern w:val="0"/>
                <w:sz w:val="24"/>
                <w:szCs w:val="24"/>
              </w:rPr>
              <w:t>2035年）环境影响报告书</w:t>
            </w:r>
            <w:r>
              <w:rPr>
                <w:rFonts w:hint="eastAsia"/>
                <w:color w:val="auto"/>
                <w:kern w:val="0"/>
                <w:sz w:val="24"/>
                <w:szCs w:val="24"/>
                <w:lang w:eastAsia="zh-CN"/>
              </w:rPr>
              <w:t>〉</w:t>
            </w:r>
            <w:r>
              <w:rPr>
                <w:color w:val="auto"/>
                <w:kern w:val="0"/>
                <w:sz w:val="24"/>
                <w:szCs w:val="24"/>
              </w:rPr>
              <w:t>审查意见的函》（昆环审〔2023〕12号）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73" w:type="dxa"/>
            <w:vAlign w:val="center"/>
          </w:tcPr>
          <w:p>
            <w:pPr>
              <w:autoSpaceDE w:val="0"/>
              <w:autoSpaceDN w:val="0"/>
              <w:adjustRightInd w:val="0"/>
              <w:snapToGrid w:val="0"/>
              <w:jc w:val="center"/>
              <w:rPr>
                <w:color w:val="auto"/>
                <w:kern w:val="0"/>
                <w:sz w:val="24"/>
                <w:szCs w:val="24"/>
              </w:rPr>
            </w:pPr>
            <w:r>
              <w:rPr>
                <w:color w:val="auto"/>
                <w:kern w:val="0"/>
                <w:sz w:val="24"/>
                <w:szCs w:val="24"/>
              </w:rPr>
              <w:t>规划及规划环境影响评价符合性分析</w:t>
            </w:r>
          </w:p>
        </w:tc>
        <w:tc>
          <w:tcPr>
            <w:tcW w:w="7297" w:type="dxa"/>
            <w:gridSpan w:val="3"/>
            <w:vAlign w:val="center"/>
          </w:tcPr>
          <w:p>
            <w:pPr>
              <w:widowControl/>
              <w:adjustRightInd w:val="0"/>
              <w:snapToGrid w:val="0"/>
              <w:spacing w:line="360" w:lineRule="auto"/>
              <w:ind w:firstLine="482" w:firstLineChars="200"/>
              <w:jc w:val="left"/>
              <w:rPr>
                <w:b/>
                <w:bCs/>
                <w:color w:val="auto"/>
                <w:kern w:val="0"/>
                <w:sz w:val="24"/>
                <w:szCs w:val="24"/>
              </w:rPr>
            </w:pPr>
            <w:r>
              <w:rPr>
                <w:b/>
                <w:bCs/>
                <w:color w:val="auto"/>
                <w:kern w:val="0"/>
                <w:sz w:val="24"/>
                <w:szCs w:val="24"/>
              </w:rPr>
              <w:t>（一）与《云南宜良产业园区总体规划（2021</w:t>
            </w:r>
            <w:r>
              <w:rPr>
                <w:rFonts w:hint="eastAsia"/>
                <w:b/>
                <w:bCs/>
                <w:color w:val="auto"/>
                <w:kern w:val="0"/>
                <w:sz w:val="24"/>
                <w:szCs w:val="24"/>
                <w:lang w:eastAsia="zh-CN"/>
              </w:rPr>
              <w:t>—</w:t>
            </w:r>
            <w:r>
              <w:rPr>
                <w:b/>
                <w:bCs/>
                <w:color w:val="auto"/>
                <w:kern w:val="0"/>
                <w:sz w:val="24"/>
                <w:szCs w:val="24"/>
              </w:rPr>
              <w:t>2035年）》相符性分析</w:t>
            </w:r>
          </w:p>
          <w:p>
            <w:pPr>
              <w:widowControl/>
              <w:adjustRightInd w:val="0"/>
              <w:snapToGrid w:val="0"/>
              <w:spacing w:line="360" w:lineRule="auto"/>
              <w:ind w:firstLine="482" w:firstLineChars="200"/>
              <w:jc w:val="left"/>
              <w:rPr>
                <w:b/>
                <w:bCs/>
                <w:color w:val="auto"/>
                <w:kern w:val="0"/>
                <w:sz w:val="24"/>
                <w:szCs w:val="24"/>
              </w:rPr>
            </w:pPr>
            <w:r>
              <w:rPr>
                <w:b/>
                <w:bCs/>
                <w:color w:val="auto"/>
                <w:kern w:val="0"/>
                <w:sz w:val="24"/>
                <w:szCs w:val="24"/>
              </w:rPr>
              <w:t>1、总体规划概况</w:t>
            </w:r>
          </w:p>
          <w:p>
            <w:pPr>
              <w:spacing w:line="360" w:lineRule="auto"/>
              <w:ind w:firstLine="480" w:firstLineChars="200"/>
              <w:rPr>
                <w:color w:val="auto"/>
                <w:kern w:val="0"/>
                <w:sz w:val="24"/>
                <w:szCs w:val="24"/>
              </w:rPr>
            </w:pPr>
            <w:r>
              <w:rPr>
                <w:color w:val="auto"/>
                <w:kern w:val="0"/>
                <w:sz w:val="24"/>
                <w:szCs w:val="24"/>
              </w:rPr>
              <w:t>根据《云南宜良产业园区总体规划（2021</w:t>
            </w:r>
            <w:r>
              <w:rPr>
                <w:rFonts w:hint="eastAsia"/>
                <w:color w:val="auto"/>
                <w:kern w:val="0"/>
                <w:sz w:val="24"/>
                <w:szCs w:val="24"/>
                <w:lang w:eastAsia="zh-CN"/>
              </w:rPr>
              <w:t>—</w:t>
            </w:r>
            <w:r>
              <w:rPr>
                <w:color w:val="auto"/>
                <w:kern w:val="0"/>
                <w:sz w:val="24"/>
                <w:szCs w:val="24"/>
              </w:rPr>
              <w:t>2035年）》，园区规划范围为：北至西南水泥厂及饲料片区一线，南至柴石滩东灌渠南侧一线，西至南昆铁路沿线，东至獐子坝河及木龙村一线，总规划面积为10.18平方公里，规划期限为2021</w:t>
            </w:r>
            <w:r>
              <w:rPr>
                <w:rFonts w:hint="eastAsia"/>
                <w:color w:val="auto"/>
                <w:kern w:val="0"/>
                <w:sz w:val="24"/>
                <w:szCs w:val="24"/>
                <w:lang w:eastAsia="zh-CN"/>
              </w:rPr>
              <w:t>—</w:t>
            </w:r>
            <w:r>
              <w:rPr>
                <w:color w:val="auto"/>
                <w:kern w:val="0"/>
                <w:sz w:val="24"/>
                <w:szCs w:val="24"/>
              </w:rPr>
              <w:t>2035年。</w:t>
            </w:r>
          </w:p>
          <w:p>
            <w:pPr>
              <w:spacing w:line="360" w:lineRule="auto"/>
              <w:ind w:firstLine="480" w:firstLineChars="200"/>
              <w:rPr>
                <w:color w:val="auto"/>
                <w:sz w:val="24"/>
                <w:szCs w:val="32"/>
              </w:rPr>
            </w:pPr>
            <w:r>
              <w:rPr>
                <w:color w:val="auto"/>
                <w:sz w:val="24"/>
                <w:szCs w:val="32"/>
              </w:rPr>
              <w:t>规划确定“1+2”产业发展方向，即1个主导产业，新材料产业（重点发展黑色、有色金属新材料及半导体产业。依托巨利达黑色金属冶炼及压延加工产业基础升级发展黑色金属新材料。基于建材产业基础做大、做强新型建材产业）；2个辅助产业，包括生物医药产业（以现代中药生产，工业大麻、香精香料等植物提取与合成及健康产品生产为主）和食品与消费品制造业（重点以农副食品精深加工、功能性保健食品、旅游文化商品加工为主），延伸发展医疗健康、节能环保、物流等先进装备产业，为省市先进装备制造业预留发展空间。对现状板材、箱板纸包装、造纸、玻璃制品等产业进行扩量提质增效。</w:t>
            </w:r>
          </w:p>
          <w:p>
            <w:pPr>
              <w:widowControl/>
              <w:adjustRightInd w:val="0"/>
              <w:snapToGrid w:val="0"/>
              <w:spacing w:line="360" w:lineRule="auto"/>
              <w:ind w:firstLine="480" w:firstLineChars="200"/>
              <w:jc w:val="left"/>
              <w:rPr>
                <w:color w:val="auto"/>
                <w:kern w:val="0"/>
                <w:sz w:val="24"/>
                <w:szCs w:val="24"/>
              </w:rPr>
            </w:pPr>
            <w:r>
              <w:rPr>
                <w:color w:val="auto"/>
                <w:kern w:val="0"/>
                <w:sz w:val="24"/>
                <w:szCs w:val="24"/>
              </w:rPr>
              <w:t>云南宜良产业园区规划范围构建“一轴、两心、两片区”的生态化、开放化的园区用地布局结构。一轴：依托北古城片区建设基础，引导园区建设向南部木龙片区推进，形成南北向的园区发展主轴线。两心：结合地形、对外交通条件和产业布局情况，选择北古城片区中部地区打造服务整个园区公共服务与管理核心；在木龙片区北部建设一个园区服务次级中心。两片区：结合适宜建设用地分布，集中建设北古城、木龙两个产业发展片区。规划引导园区产业形成“六片”的产业空间布局：</w:t>
            </w:r>
          </w:p>
          <w:p>
            <w:pPr>
              <w:spacing w:line="360" w:lineRule="auto"/>
              <w:ind w:firstLine="480" w:firstLineChars="200"/>
              <w:rPr>
                <w:color w:val="auto"/>
                <w:sz w:val="24"/>
                <w:szCs w:val="32"/>
              </w:rPr>
            </w:pPr>
            <w:r>
              <w:rPr>
                <w:color w:val="auto"/>
                <w:sz w:val="24"/>
                <w:szCs w:val="32"/>
              </w:rPr>
              <w:t>（1）新材料及先进装备制造产业园区：木龙组团北部以发展新材料、先进装备制造集群为主。</w:t>
            </w:r>
          </w:p>
          <w:p>
            <w:pPr>
              <w:spacing w:line="360" w:lineRule="auto"/>
              <w:ind w:firstLine="480" w:firstLineChars="200"/>
              <w:rPr>
                <w:color w:val="auto"/>
                <w:sz w:val="24"/>
                <w:szCs w:val="32"/>
              </w:rPr>
            </w:pPr>
            <w:r>
              <w:rPr>
                <w:color w:val="auto"/>
                <w:sz w:val="24"/>
                <w:szCs w:val="32"/>
              </w:rPr>
              <w:t>（2）生物医药产业区：木龙组团南部以发展生物医药产业集群为主。</w:t>
            </w:r>
          </w:p>
          <w:p>
            <w:pPr>
              <w:spacing w:line="360" w:lineRule="auto"/>
              <w:ind w:firstLine="480" w:firstLineChars="200"/>
              <w:rPr>
                <w:color w:val="auto"/>
                <w:sz w:val="24"/>
                <w:szCs w:val="32"/>
              </w:rPr>
            </w:pPr>
            <w:r>
              <w:rPr>
                <w:color w:val="auto"/>
                <w:sz w:val="24"/>
                <w:szCs w:val="32"/>
              </w:rPr>
              <w:t>（3）绿色建材及配套物流区：北古城组团中、东部以发展绿色建材及配套物流产业为主。</w:t>
            </w:r>
          </w:p>
          <w:p>
            <w:pPr>
              <w:spacing w:line="360" w:lineRule="auto"/>
              <w:ind w:firstLine="480" w:firstLineChars="200"/>
              <w:rPr>
                <w:color w:val="auto"/>
                <w:sz w:val="24"/>
                <w:szCs w:val="32"/>
              </w:rPr>
            </w:pPr>
            <w:r>
              <w:rPr>
                <w:color w:val="auto"/>
                <w:sz w:val="24"/>
                <w:szCs w:val="32"/>
              </w:rPr>
              <w:t>（4）黑色金属冶炼及压延加工产业区：北古城组团中部以发展黑色金属冶炼及压延加工产业为主。</w:t>
            </w:r>
          </w:p>
          <w:p>
            <w:pPr>
              <w:spacing w:line="360" w:lineRule="auto"/>
              <w:ind w:firstLine="480" w:firstLineChars="200"/>
              <w:rPr>
                <w:color w:val="auto"/>
                <w:sz w:val="24"/>
                <w:szCs w:val="32"/>
              </w:rPr>
            </w:pPr>
            <w:r>
              <w:rPr>
                <w:color w:val="auto"/>
                <w:sz w:val="24"/>
                <w:szCs w:val="32"/>
              </w:rPr>
              <w:t>（5）特色轻工产业区：北古城组团西北部以发展特色轻工业产业集群为主。</w:t>
            </w:r>
          </w:p>
          <w:p>
            <w:pPr>
              <w:spacing w:line="360" w:lineRule="auto"/>
              <w:ind w:firstLine="480" w:firstLineChars="200"/>
              <w:rPr>
                <w:color w:val="auto"/>
                <w:sz w:val="24"/>
                <w:szCs w:val="32"/>
              </w:rPr>
            </w:pPr>
            <w:r>
              <w:rPr>
                <w:color w:val="auto"/>
                <w:sz w:val="24"/>
                <w:szCs w:val="32"/>
              </w:rPr>
              <w:t>（6）物流及加工制造产业区：北古城组团西南部以发展物流及加工制造产业区为主。</w:t>
            </w:r>
          </w:p>
          <w:p>
            <w:pPr>
              <w:widowControl/>
              <w:adjustRightInd w:val="0"/>
              <w:snapToGrid w:val="0"/>
              <w:spacing w:line="360" w:lineRule="auto"/>
              <w:ind w:firstLine="482" w:firstLineChars="200"/>
              <w:jc w:val="left"/>
              <w:rPr>
                <w:b/>
                <w:bCs/>
                <w:color w:val="auto"/>
                <w:kern w:val="0"/>
                <w:sz w:val="24"/>
                <w:szCs w:val="24"/>
              </w:rPr>
            </w:pPr>
            <w:r>
              <w:rPr>
                <w:b/>
                <w:bCs/>
                <w:color w:val="auto"/>
                <w:kern w:val="0"/>
                <w:sz w:val="24"/>
                <w:szCs w:val="24"/>
              </w:rPr>
              <w:t>2、项目与《云南宜良产业园区总体规划（2021</w:t>
            </w:r>
            <w:r>
              <w:rPr>
                <w:rFonts w:hint="eastAsia"/>
                <w:b/>
                <w:bCs/>
                <w:color w:val="auto"/>
                <w:kern w:val="0"/>
                <w:sz w:val="24"/>
                <w:szCs w:val="24"/>
                <w:lang w:eastAsia="zh-CN"/>
              </w:rPr>
              <w:t>—</w:t>
            </w:r>
            <w:r>
              <w:rPr>
                <w:b/>
                <w:bCs/>
                <w:color w:val="auto"/>
                <w:kern w:val="0"/>
                <w:sz w:val="24"/>
                <w:szCs w:val="24"/>
              </w:rPr>
              <w:t>2035年）》相符性</w:t>
            </w:r>
          </w:p>
          <w:p>
            <w:pPr>
              <w:widowControl/>
              <w:adjustRightInd w:val="0"/>
              <w:snapToGrid w:val="0"/>
              <w:spacing w:line="360" w:lineRule="auto"/>
              <w:ind w:firstLine="480" w:firstLineChars="200"/>
              <w:jc w:val="left"/>
              <w:rPr>
                <w:color w:val="auto"/>
                <w:sz w:val="24"/>
                <w:szCs w:val="24"/>
              </w:rPr>
            </w:pPr>
            <w:r>
              <w:rPr>
                <w:color w:val="auto"/>
                <w:kern w:val="0"/>
                <w:sz w:val="24"/>
                <w:szCs w:val="24"/>
              </w:rPr>
              <w:t>本项目位于云南宜良产业园区北古城组团</w:t>
            </w:r>
            <w:r>
              <w:rPr>
                <w:rFonts w:hint="eastAsia"/>
                <w:color w:val="auto"/>
                <w:kern w:val="0"/>
                <w:sz w:val="24"/>
                <w:szCs w:val="24"/>
              </w:rPr>
              <w:t>绿色建材及配套物流区</w:t>
            </w:r>
            <w:r>
              <w:rPr>
                <w:color w:val="auto"/>
                <w:kern w:val="0"/>
                <w:sz w:val="24"/>
                <w:szCs w:val="24"/>
              </w:rPr>
              <w:t>，对照宜良工业园区总体规划功能分区图，北古城组团以发展绿色建材及配套物流产业为主，本项目为</w:t>
            </w:r>
            <w:r>
              <w:rPr>
                <w:color w:val="auto"/>
                <w:sz w:val="24"/>
                <w:szCs w:val="24"/>
              </w:rPr>
              <w:t>非金属废料和碎屑加工处理</w:t>
            </w:r>
            <w:r>
              <w:rPr>
                <w:color w:val="auto"/>
                <w:kern w:val="0"/>
                <w:sz w:val="24"/>
                <w:szCs w:val="24"/>
              </w:rPr>
              <w:t>，与产业发展方向及相关规划不冲突。</w:t>
            </w:r>
          </w:p>
          <w:p>
            <w:pPr>
              <w:widowControl/>
              <w:adjustRightInd w:val="0"/>
              <w:snapToGrid w:val="0"/>
              <w:spacing w:line="360" w:lineRule="auto"/>
              <w:ind w:firstLine="480" w:firstLineChars="200"/>
              <w:jc w:val="left"/>
              <w:rPr>
                <w:color w:val="auto"/>
                <w:sz w:val="24"/>
                <w:szCs w:val="24"/>
              </w:rPr>
            </w:pPr>
            <w:r>
              <w:rPr>
                <w:rFonts w:hint="eastAsia"/>
                <w:color w:val="auto"/>
                <w:kern w:val="0"/>
                <w:sz w:val="24"/>
                <w:szCs w:val="24"/>
              </w:rPr>
              <w:t>根据《云南宜良产业园区总体规划（2021</w:t>
            </w:r>
            <w:r>
              <w:rPr>
                <w:rFonts w:hint="eastAsia"/>
                <w:color w:val="auto"/>
                <w:kern w:val="0"/>
                <w:sz w:val="24"/>
                <w:szCs w:val="24"/>
                <w:lang w:eastAsia="zh-CN"/>
              </w:rPr>
              <w:t>—</w:t>
            </w:r>
            <w:r>
              <w:rPr>
                <w:rFonts w:hint="eastAsia"/>
                <w:color w:val="auto"/>
                <w:kern w:val="0"/>
                <w:sz w:val="24"/>
                <w:szCs w:val="24"/>
              </w:rPr>
              <w:t>2035年）环境影响报告书》要求，“入园企业需满足规划区产业定位，且不属于《产业结构调整指导目录（202</w:t>
            </w:r>
            <w:r>
              <w:rPr>
                <w:rFonts w:hint="eastAsia"/>
                <w:color w:val="auto"/>
                <w:kern w:val="0"/>
                <w:sz w:val="24"/>
                <w:szCs w:val="24"/>
                <w:lang w:val="en-US" w:eastAsia="zh-CN"/>
              </w:rPr>
              <w:t>4</w:t>
            </w:r>
            <w:r>
              <w:rPr>
                <w:rFonts w:hint="eastAsia"/>
                <w:color w:val="auto"/>
                <w:kern w:val="0"/>
                <w:sz w:val="24"/>
                <w:szCs w:val="24"/>
              </w:rPr>
              <w:t>年）》《市场准入负面清单（2020）》中限制类和淘汰类”。</w:t>
            </w:r>
            <w:r>
              <w:rPr>
                <w:color w:val="auto"/>
                <w:sz w:val="24"/>
                <w:szCs w:val="24"/>
              </w:rPr>
              <w:t>根据《产业结构调整指导目录（</w:t>
            </w:r>
            <w:r>
              <w:rPr>
                <w:rFonts w:eastAsia="Times New Roman"/>
                <w:color w:val="auto"/>
                <w:sz w:val="24"/>
                <w:szCs w:val="24"/>
              </w:rPr>
              <w:t>2024</w:t>
            </w:r>
            <w:r>
              <w:rPr>
                <w:color w:val="auto"/>
                <w:sz w:val="24"/>
                <w:szCs w:val="24"/>
              </w:rPr>
              <w:t>年本）》，本项目属于鼓励类项目</w:t>
            </w:r>
            <w:r>
              <w:rPr>
                <w:rFonts w:hint="eastAsia"/>
                <w:color w:val="auto"/>
                <w:sz w:val="24"/>
                <w:szCs w:val="24"/>
              </w:rPr>
              <w:t>；</w:t>
            </w:r>
            <w:r>
              <w:rPr>
                <w:color w:val="auto"/>
                <w:sz w:val="24"/>
                <w:szCs w:val="24"/>
              </w:rPr>
              <w:t>本项目不属于《国家发展改革委商务部关于印发〈市场准入负面清单（2025年版）〉的通知》（发改体改规〔2025〕466号）中禁止准入事项</w:t>
            </w:r>
            <w:r>
              <w:rPr>
                <w:rFonts w:hint="eastAsia"/>
                <w:color w:val="auto"/>
                <w:sz w:val="24"/>
                <w:szCs w:val="24"/>
              </w:rPr>
              <w:t>；</w:t>
            </w:r>
            <w:r>
              <w:rPr>
                <w:color w:val="auto"/>
                <w:sz w:val="24"/>
                <w:szCs w:val="24"/>
              </w:rPr>
              <w:t>项目周边主要为生产加工型企业</w:t>
            </w:r>
            <w:r>
              <w:rPr>
                <w:rFonts w:hint="eastAsia"/>
                <w:color w:val="auto"/>
                <w:sz w:val="24"/>
                <w:szCs w:val="24"/>
              </w:rPr>
              <w:t>；项目</w:t>
            </w:r>
            <w:r>
              <w:rPr>
                <w:color w:val="auto"/>
                <w:sz w:val="24"/>
                <w:szCs w:val="24"/>
              </w:rPr>
              <w:t>位于</w:t>
            </w:r>
            <w:r>
              <w:rPr>
                <w:rFonts w:hint="eastAsia"/>
                <w:color w:val="auto"/>
                <w:sz w:val="24"/>
                <w:szCs w:val="24"/>
                <w:lang w:val="en-US" w:eastAsia="zh-CN"/>
              </w:rPr>
              <w:t>工业园区，用地性质为二类工业用地</w:t>
            </w:r>
            <w:r>
              <w:rPr>
                <w:color w:val="auto"/>
                <w:sz w:val="24"/>
                <w:szCs w:val="24"/>
              </w:rPr>
              <w:t>，不</w:t>
            </w:r>
            <w:r>
              <w:rPr>
                <w:rFonts w:hint="eastAsia"/>
                <w:color w:val="auto"/>
                <w:sz w:val="24"/>
                <w:szCs w:val="24"/>
              </w:rPr>
              <w:t>涉及</w:t>
            </w:r>
            <w:r>
              <w:rPr>
                <w:color w:val="auto"/>
                <w:sz w:val="24"/>
                <w:szCs w:val="24"/>
              </w:rPr>
              <w:t>永久基本农田、生态保护红线范围。</w:t>
            </w:r>
          </w:p>
          <w:p>
            <w:pPr>
              <w:widowControl/>
              <w:adjustRightInd w:val="0"/>
              <w:snapToGrid w:val="0"/>
              <w:spacing w:line="360" w:lineRule="auto"/>
              <w:ind w:firstLine="480" w:firstLineChars="200"/>
              <w:jc w:val="left"/>
              <w:rPr>
                <w:color w:val="auto"/>
                <w:kern w:val="0"/>
                <w:sz w:val="24"/>
                <w:szCs w:val="24"/>
              </w:rPr>
            </w:pPr>
            <w:r>
              <w:rPr>
                <w:color w:val="auto"/>
                <w:kern w:val="0"/>
                <w:sz w:val="24"/>
                <w:szCs w:val="24"/>
              </w:rPr>
              <w:t>项目租用</w:t>
            </w:r>
            <w:r>
              <w:rPr>
                <w:rFonts w:hint="eastAsia"/>
                <w:color w:val="auto"/>
                <w:kern w:val="0"/>
                <w:sz w:val="24"/>
                <w:szCs w:val="24"/>
                <w:lang w:eastAsia="zh-CN"/>
              </w:rPr>
              <w:t>云南宝塑塑料管业有限公司</w:t>
            </w:r>
            <w:r>
              <w:rPr>
                <w:color w:val="auto"/>
                <w:kern w:val="0"/>
                <w:sz w:val="24"/>
                <w:szCs w:val="24"/>
              </w:rPr>
              <w:t>的闲置厂房，</w:t>
            </w:r>
            <w:r>
              <w:rPr>
                <w:rFonts w:hint="eastAsia"/>
                <w:color w:val="auto"/>
                <w:kern w:val="0"/>
                <w:sz w:val="24"/>
                <w:szCs w:val="24"/>
              </w:rPr>
              <w:t>规划用地性质为二类工业用地，</w:t>
            </w:r>
            <w:r>
              <w:rPr>
                <w:color w:val="auto"/>
                <w:kern w:val="0"/>
                <w:sz w:val="24"/>
                <w:szCs w:val="24"/>
              </w:rPr>
              <w:t>符合土地利用规划要求。</w:t>
            </w:r>
            <w:r>
              <w:rPr>
                <w:rFonts w:hint="eastAsia"/>
                <w:color w:val="auto"/>
                <w:kern w:val="0"/>
                <w:sz w:val="24"/>
                <w:szCs w:val="24"/>
              </w:rPr>
              <w:t>根据云南宜良产业园区管理委员会出具的《入园</w:t>
            </w:r>
            <w:r>
              <w:rPr>
                <w:rFonts w:hint="eastAsia"/>
                <w:color w:val="auto"/>
                <w:kern w:val="0"/>
                <w:sz w:val="24"/>
                <w:szCs w:val="24"/>
                <w:lang w:val="en-US" w:eastAsia="zh-CN"/>
              </w:rPr>
              <w:t>通知</w:t>
            </w:r>
            <w:r>
              <w:rPr>
                <w:rFonts w:hint="eastAsia"/>
                <w:color w:val="auto"/>
                <w:kern w:val="0"/>
                <w:sz w:val="24"/>
                <w:szCs w:val="24"/>
              </w:rPr>
              <w:t>》，项目用地位于宜良产业园区范围内，同意项目入园。</w:t>
            </w:r>
          </w:p>
          <w:p>
            <w:pPr>
              <w:widowControl/>
              <w:adjustRightInd w:val="0"/>
              <w:snapToGrid w:val="0"/>
              <w:spacing w:line="360" w:lineRule="auto"/>
              <w:ind w:firstLine="480" w:firstLineChars="200"/>
              <w:jc w:val="left"/>
              <w:rPr>
                <w:color w:val="auto"/>
                <w:kern w:val="0"/>
                <w:sz w:val="24"/>
                <w:szCs w:val="24"/>
              </w:rPr>
            </w:pPr>
            <w:r>
              <w:rPr>
                <w:rFonts w:hint="eastAsia"/>
                <w:color w:val="auto"/>
                <w:kern w:val="0"/>
                <w:sz w:val="24"/>
                <w:szCs w:val="24"/>
              </w:rPr>
              <w:t>项目</w:t>
            </w:r>
            <w:r>
              <w:rPr>
                <w:color w:val="auto"/>
                <w:kern w:val="0"/>
                <w:sz w:val="24"/>
                <w:szCs w:val="24"/>
              </w:rPr>
              <w:t>综上所述，项目与《云南宜良产业园区总体规划（2021</w:t>
            </w:r>
            <w:r>
              <w:rPr>
                <w:rFonts w:hint="eastAsia"/>
                <w:color w:val="auto"/>
                <w:kern w:val="0"/>
                <w:sz w:val="24"/>
                <w:szCs w:val="24"/>
                <w:lang w:eastAsia="zh-CN"/>
              </w:rPr>
              <w:t>—</w:t>
            </w:r>
            <w:r>
              <w:rPr>
                <w:color w:val="auto"/>
                <w:kern w:val="0"/>
                <w:sz w:val="24"/>
                <w:szCs w:val="24"/>
              </w:rPr>
              <w:t>2035年）》产业发展方向及相关规划不冲突。</w:t>
            </w:r>
          </w:p>
          <w:p>
            <w:pPr>
              <w:numPr>
                <w:ilvl w:val="0"/>
                <w:numId w:val="2"/>
              </w:numPr>
              <w:adjustRightInd w:val="0"/>
              <w:snapToGrid w:val="0"/>
              <w:spacing w:line="360" w:lineRule="auto"/>
              <w:ind w:firstLine="482" w:firstLineChars="200"/>
              <w:jc w:val="left"/>
              <w:rPr>
                <w:b/>
                <w:bCs/>
                <w:color w:val="auto"/>
                <w:kern w:val="0"/>
                <w:sz w:val="24"/>
                <w:szCs w:val="24"/>
              </w:rPr>
            </w:pPr>
            <w:r>
              <w:rPr>
                <w:b/>
                <w:bCs/>
                <w:color w:val="auto"/>
                <w:kern w:val="0"/>
                <w:sz w:val="24"/>
                <w:szCs w:val="24"/>
              </w:rPr>
              <w:t>与《云南宜良产业园区总体规划（2021</w:t>
            </w:r>
            <w:r>
              <w:rPr>
                <w:rFonts w:hint="eastAsia"/>
                <w:b/>
                <w:bCs/>
                <w:color w:val="auto"/>
                <w:kern w:val="0"/>
                <w:sz w:val="24"/>
                <w:szCs w:val="24"/>
                <w:lang w:eastAsia="zh-CN"/>
              </w:rPr>
              <w:t>—</w:t>
            </w:r>
            <w:r>
              <w:rPr>
                <w:b/>
                <w:bCs/>
                <w:color w:val="auto"/>
                <w:kern w:val="0"/>
                <w:sz w:val="24"/>
                <w:szCs w:val="24"/>
              </w:rPr>
              <w:t>2035年）环境影响报告书》符合性分析</w:t>
            </w:r>
          </w:p>
          <w:p>
            <w:pPr>
              <w:adjustRightInd w:val="0"/>
              <w:snapToGrid w:val="0"/>
              <w:spacing w:line="360" w:lineRule="auto"/>
              <w:ind w:firstLine="480" w:firstLineChars="200"/>
              <w:jc w:val="both"/>
              <w:rPr>
                <w:color w:val="auto"/>
                <w:kern w:val="0"/>
                <w:sz w:val="24"/>
                <w:szCs w:val="24"/>
              </w:rPr>
            </w:pPr>
            <w:r>
              <w:rPr>
                <w:color w:val="auto"/>
                <w:kern w:val="0"/>
                <w:sz w:val="24"/>
                <w:szCs w:val="24"/>
              </w:rPr>
              <w:t>云南绿色环境科技开发有限公司于2023年11月编制完成了《云南宜良产业园区总体规划</w:t>
            </w:r>
            <w:r>
              <w:rPr>
                <w:rFonts w:hint="eastAsia"/>
                <w:color w:val="auto"/>
                <w:kern w:val="0"/>
                <w:sz w:val="24"/>
                <w:szCs w:val="24"/>
                <w:lang w:eastAsia="zh-CN"/>
              </w:rPr>
              <w:t>（</w:t>
            </w:r>
            <w:r>
              <w:rPr>
                <w:color w:val="auto"/>
                <w:kern w:val="0"/>
                <w:sz w:val="24"/>
                <w:szCs w:val="24"/>
              </w:rPr>
              <w:t>2021~2035</w:t>
            </w:r>
            <w:r>
              <w:rPr>
                <w:rFonts w:hint="eastAsia"/>
                <w:color w:val="auto"/>
                <w:kern w:val="0"/>
                <w:sz w:val="24"/>
                <w:szCs w:val="24"/>
                <w:lang w:eastAsia="zh-CN"/>
              </w:rPr>
              <w:t>）</w:t>
            </w:r>
            <w:r>
              <w:rPr>
                <w:color w:val="auto"/>
                <w:kern w:val="0"/>
                <w:sz w:val="24"/>
                <w:szCs w:val="24"/>
              </w:rPr>
              <w:t>环境影响报告书》，根据《云南宜良产业园区总体规划（2021</w:t>
            </w:r>
            <w:r>
              <w:rPr>
                <w:rFonts w:hint="eastAsia"/>
                <w:color w:val="auto"/>
                <w:kern w:val="0"/>
                <w:sz w:val="24"/>
                <w:szCs w:val="24"/>
                <w:lang w:eastAsia="zh-CN"/>
              </w:rPr>
              <w:t>—</w:t>
            </w:r>
            <w:r>
              <w:rPr>
                <w:color w:val="auto"/>
                <w:kern w:val="0"/>
                <w:sz w:val="24"/>
                <w:szCs w:val="24"/>
              </w:rPr>
              <w:t>2035年）环境影响报告书》中对入园项目的限制要求分析如下表：</w:t>
            </w:r>
          </w:p>
          <w:p>
            <w:pPr>
              <w:pStyle w:val="68"/>
              <w:tabs>
                <w:tab w:val="left" w:pos="420"/>
              </w:tabs>
              <w:spacing w:before="120"/>
              <w:ind w:left="0" w:firstLine="0"/>
              <w:jc w:val="both"/>
              <w:rPr>
                <w:rFonts w:hint="default"/>
                <w:color w:val="auto"/>
                <w:sz w:val="24"/>
                <w:szCs w:val="24"/>
              </w:rPr>
            </w:pPr>
            <w:r>
              <w:rPr>
                <w:rFonts w:hint="default"/>
                <w:color w:val="auto"/>
                <w:sz w:val="24"/>
                <w:szCs w:val="24"/>
              </w:rPr>
              <w:t>本项目与规划环评（2021</w:t>
            </w:r>
            <w:r>
              <w:rPr>
                <w:rFonts w:hint="eastAsia"/>
                <w:color w:val="auto"/>
                <w:sz w:val="24"/>
                <w:szCs w:val="24"/>
                <w:lang w:eastAsia="zh-CN"/>
              </w:rPr>
              <w:t>—</w:t>
            </w:r>
            <w:r>
              <w:rPr>
                <w:rFonts w:hint="default"/>
                <w:color w:val="auto"/>
                <w:sz w:val="24"/>
                <w:szCs w:val="24"/>
              </w:rPr>
              <w:t>2035年）生态环境准入清单符合性分析</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3016"/>
              <w:gridCol w:w="2800"/>
              <w:gridCol w:w="5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bCs/>
                      <w:color w:val="auto"/>
                      <w:kern w:val="0"/>
                      <w:szCs w:val="21"/>
                    </w:rPr>
                  </w:pPr>
                  <w:r>
                    <w:rPr>
                      <w:rFonts w:hint="default" w:ascii="Times New Roman" w:hAnsi="Times New Roman" w:cs="Times New Roman"/>
                      <w:b/>
                      <w:bCs/>
                      <w:color w:val="auto"/>
                      <w:kern w:val="0"/>
                      <w:szCs w:val="21"/>
                    </w:rPr>
                    <w:t>类别</w:t>
                  </w:r>
                </w:p>
              </w:tc>
              <w:tc>
                <w:tcPr>
                  <w:tcW w:w="2133"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bCs/>
                      <w:color w:val="auto"/>
                      <w:kern w:val="0"/>
                      <w:szCs w:val="21"/>
                    </w:rPr>
                  </w:pPr>
                  <w:r>
                    <w:rPr>
                      <w:rFonts w:hint="default" w:ascii="Times New Roman" w:hAnsi="Times New Roman" w:cs="Times New Roman"/>
                      <w:b/>
                      <w:bCs/>
                      <w:color w:val="auto"/>
                      <w:kern w:val="0"/>
                      <w:szCs w:val="21"/>
                    </w:rPr>
                    <w:t>准入要求</w:t>
                  </w:r>
                </w:p>
              </w:tc>
              <w:tc>
                <w:tcPr>
                  <w:tcW w:w="198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bCs/>
                      <w:color w:val="auto"/>
                      <w:kern w:val="0"/>
                      <w:szCs w:val="21"/>
                    </w:rPr>
                  </w:pPr>
                  <w:r>
                    <w:rPr>
                      <w:rFonts w:hint="default" w:ascii="Times New Roman" w:hAnsi="Times New Roman" w:cs="Times New Roman"/>
                      <w:b/>
                      <w:bCs/>
                      <w:color w:val="auto"/>
                      <w:kern w:val="0"/>
                      <w:szCs w:val="21"/>
                    </w:rPr>
                    <w:t>项目情况</w:t>
                  </w:r>
                </w:p>
              </w:tc>
              <w:tc>
                <w:tcPr>
                  <w:tcW w:w="413"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bCs/>
                      <w:color w:val="auto"/>
                      <w:kern w:val="0"/>
                      <w:szCs w:val="21"/>
                    </w:rPr>
                  </w:pPr>
                  <w:r>
                    <w:rPr>
                      <w:rFonts w:hint="default" w:ascii="Times New Roman" w:hAnsi="Times New Roman" w:cs="Times New Roman"/>
                      <w:b/>
                      <w:bCs/>
                      <w:color w:val="auto"/>
                      <w:kern w:val="0"/>
                      <w:szCs w:val="21"/>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空间布局</w:t>
                  </w:r>
                </w:p>
              </w:tc>
              <w:tc>
                <w:tcPr>
                  <w:tcW w:w="2133"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①禁止不符合产业政策、不符合片区产业定位企业入驻。</w:t>
                  </w:r>
                </w:p>
                <w:p>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②黑色金属冶炼项目应符合《国家发展改革委关于钢铁冶炼项目备案管理的意见》（发改产业〔2021〕594号）、《</w:t>
                  </w:r>
                  <w:bookmarkStart w:id="27" w:name="_GoBack"/>
                  <w:bookmarkEnd w:id="27"/>
                  <w:r>
                    <w:rPr>
                      <w:rFonts w:hint="default" w:ascii="Times New Roman" w:hAnsi="Times New Roman" w:cs="Times New Roman"/>
                      <w:color w:val="auto"/>
                      <w:kern w:val="0"/>
                      <w:szCs w:val="21"/>
                    </w:rPr>
                    <w:t>工业和信息化部关于印发钢铁行业产能置换实施办法的通知》（工信部原〔2021〕46号）、《关于促进钢铁工业高质量发展的指导意见》（工信部联原〔2022〕6号）、《工业重点领域能效标杆水平和基准水平（2023年版）》（发改产业〔2023〕723号）</w:t>
                  </w:r>
                  <w:r>
                    <w:rPr>
                      <w:rFonts w:hint="eastAsia" w:cs="Times New Roman"/>
                      <w:color w:val="auto"/>
                      <w:kern w:val="0"/>
                      <w:szCs w:val="21"/>
                      <w:lang w:eastAsia="zh-CN"/>
                    </w:rPr>
                    <w:t>等</w:t>
                  </w:r>
                  <w:r>
                    <w:rPr>
                      <w:rFonts w:hint="default" w:ascii="Times New Roman" w:hAnsi="Times New Roman" w:cs="Times New Roman"/>
                      <w:color w:val="auto"/>
                      <w:kern w:val="0"/>
                      <w:szCs w:val="21"/>
                    </w:rPr>
                    <w:t>要求。</w:t>
                  </w:r>
                </w:p>
                <w:p>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③北古城组团禁止发展农林、房地产（规划居住区除外）、食品、医药等易受冶金、化工、建材行业污染影响的行业；农产品加工园区禁止发展易对食品加工生产造成污染影响的冶金、化工、建材等行业。</w:t>
                  </w:r>
                </w:p>
                <w:p>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④限制机电产品制造等高耗水和水污染严重企业。</w:t>
                  </w:r>
                </w:p>
              </w:tc>
              <w:tc>
                <w:tcPr>
                  <w:tcW w:w="198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cs="Times New Roman"/>
                      <w:color w:val="auto"/>
                      <w:kern w:val="0"/>
                      <w:szCs w:val="21"/>
                    </w:rPr>
                  </w:pPr>
                  <w:bookmarkStart w:id="6" w:name="OLE_LINK4"/>
                  <w:r>
                    <w:rPr>
                      <w:rFonts w:hint="default" w:ascii="Times New Roman" w:hAnsi="Times New Roman" w:cs="Times New Roman"/>
                      <w:color w:val="auto"/>
                      <w:szCs w:val="21"/>
                    </w:rPr>
                    <w:t>①</w:t>
                  </w:r>
                  <w:bookmarkEnd w:id="6"/>
                  <w:r>
                    <w:rPr>
                      <w:rFonts w:hint="default" w:ascii="Times New Roman" w:hAnsi="Times New Roman" w:cs="Times New Roman"/>
                      <w:color w:val="auto"/>
                      <w:szCs w:val="21"/>
                    </w:rPr>
                    <w:t>本项目属于非金属废料和碎屑加工处理，根据《产业结构调整指导目录（</w:t>
                  </w:r>
                  <w:r>
                    <w:rPr>
                      <w:rFonts w:hint="default" w:ascii="Times New Roman" w:hAnsi="Times New Roman" w:eastAsia="Times New Roman" w:cs="Times New Roman"/>
                      <w:color w:val="auto"/>
                      <w:szCs w:val="21"/>
                    </w:rPr>
                    <w:t>2024</w:t>
                  </w:r>
                  <w:r>
                    <w:rPr>
                      <w:rFonts w:hint="default" w:ascii="Times New Roman" w:hAnsi="Times New Roman" w:cs="Times New Roman"/>
                      <w:color w:val="auto"/>
                      <w:szCs w:val="21"/>
                    </w:rPr>
                    <w:t>年本）》，本项目属于鼓励类项目。</w:t>
                  </w:r>
                  <w:r>
                    <w:rPr>
                      <w:rFonts w:hint="default" w:ascii="Times New Roman" w:hAnsi="Times New Roman" w:cs="Times New Roman"/>
                      <w:color w:val="auto"/>
                      <w:kern w:val="0"/>
                      <w:szCs w:val="21"/>
                    </w:rPr>
                    <w:t>项目位于宜良产业园区北古城片区，对照宜良工业园区总体规划功能分区图，</w:t>
                  </w:r>
                  <w:bookmarkStart w:id="7" w:name="OLE_LINK3"/>
                  <w:r>
                    <w:rPr>
                      <w:rFonts w:hint="default" w:ascii="Times New Roman" w:hAnsi="Times New Roman" w:cs="Times New Roman"/>
                      <w:color w:val="auto"/>
                      <w:kern w:val="0"/>
                      <w:szCs w:val="21"/>
                    </w:rPr>
                    <w:t>北古城片区以发展绿色建材及配套物流产业为主，</w:t>
                  </w:r>
                  <w:bookmarkStart w:id="8" w:name="OLE_LINK10"/>
                  <w:r>
                    <w:rPr>
                      <w:rFonts w:hint="default" w:ascii="Times New Roman" w:hAnsi="Times New Roman" w:cs="Times New Roman"/>
                      <w:color w:val="auto"/>
                      <w:kern w:val="0"/>
                      <w:szCs w:val="21"/>
                    </w:rPr>
                    <w:t>与产业发展方向及相关规划不冲突。</w:t>
                  </w:r>
                  <w:bookmarkEnd w:id="7"/>
                  <w:bookmarkEnd w:id="8"/>
                  <w:r>
                    <w:rPr>
                      <w:rFonts w:hint="default" w:ascii="Times New Roman" w:hAnsi="Times New Roman" w:cs="Times New Roman"/>
                      <w:color w:val="auto"/>
                      <w:szCs w:val="21"/>
                    </w:rPr>
                    <w:t>项目租用</w:t>
                  </w:r>
                  <w:r>
                    <w:rPr>
                      <w:rFonts w:hint="default" w:ascii="Times New Roman" w:hAnsi="Times New Roman" w:cs="Times New Roman"/>
                      <w:color w:val="auto"/>
                      <w:szCs w:val="21"/>
                      <w:lang w:eastAsia="zh-CN"/>
                    </w:rPr>
                    <w:t>云南宝塑塑料管业有限公司</w:t>
                  </w:r>
                  <w:r>
                    <w:rPr>
                      <w:rFonts w:hint="default" w:ascii="Times New Roman" w:hAnsi="Times New Roman" w:cs="Times New Roman"/>
                      <w:color w:val="auto"/>
                      <w:szCs w:val="21"/>
                    </w:rPr>
                    <w:t>的闲置厂房及土地，规划用地性质为二类工业用地，符合土地利用规划要求</w:t>
                  </w:r>
                  <w:r>
                    <w:rPr>
                      <w:rFonts w:hint="default" w:ascii="Times New Roman" w:hAnsi="Times New Roman" w:cs="Times New Roman"/>
                      <w:color w:val="auto"/>
                      <w:kern w:val="0"/>
                      <w:szCs w:val="21"/>
                    </w:rPr>
                    <w:t>。</w:t>
                  </w:r>
                </w:p>
                <w:p>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②</w:t>
                  </w:r>
                  <w:r>
                    <w:rPr>
                      <w:rFonts w:hint="default" w:ascii="Times New Roman" w:hAnsi="Times New Roman" w:cs="Times New Roman"/>
                      <w:color w:val="auto"/>
                      <w:szCs w:val="21"/>
                    </w:rPr>
                    <w:t>本项目属于非金属废料和碎屑加工处理，不属于</w:t>
                  </w:r>
                  <w:r>
                    <w:rPr>
                      <w:rFonts w:hint="default" w:ascii="Times New Roman" w:hAnsi="Times New Roman" w:cs="Times New Roman"/>
                      <w:color w:val="auto"/>
                      <w:kern w:val="0"/>
                      <w:szCs w:val="21"/>
                    </w:rPr>
                    <w:t>黑色金属冶炼项目。</w:t>
                  </w:r>
                </w:p>
                <w:p>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③项目位于宜良产业园区北古城组团绿色建材及配套物流区，不属于北古城组团禁止发展农林、房地产（规划居住区除外）、食品、医药等易受冶金、化工、建材行业污染影响的行业。</w:t>
                  </w:r>
                </w:p>
                <w:p>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④</w:t>
                  </w:r>
                  <w:r>
                    <w:rPr>
                      <w:rFonts w:hint="default" w:ascii="Times New Roman" w:hAnsi="Times New Roman" w:cs="Times New Roman"/>
                      <w:color w:val="auto"/>
                      <w:szCs w:val="21"/>
                    </w:rPr>
                    <w:t>本项目属于非金属废料和碎屑加工处理，不属于</w:t>
                  </w:r>
                  <w:r>
                    <w:rPr>
                      <w:rFonts w:hint="default" w:ascii="Times New Roman" w:hAnsi="Times New Roman" w:cs="Times New Roman"/>
                      <w:color w:val="auto"/>
                      <w:kern w:val="0"/>
                      <w:szCs w:val="21"/>
                    </w:rPr>
                    <w:t>机电产品制造等高耗水和水污染严重企业。</w:t>
                  </w:r>
                </w:p>
              </w:tc>
              <w:tc>
                <w:tcPr>
                  <w:tcW w:w="413"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auto"/>
                      <w:kern w:val="0"/>
                      <w:szCs w:val="21"/>
                    </w:rPr>
                  </w:pPr>
                  <w:r>
                    <w:rPr>
                      <w:rFonts w:hint="default" w:ascii="Times New Roman" w:hAnsi="Times New Roman" w:cs="Times New Roman"/>
                      <w:color w:val="auto"/>
                      <w:szCs w:val="21"/>
                    </w:rPr>
                    <w:t>污染物排放管控</w:t>
                  </w:r>
                </w:p>
              </w:tc>
              <w:tc>
                <w:tcPr>
                  <w:tcW w:w="2133"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①在南盘江水质达标前，规划区涉及重点行业和“两高”行业项目新增废水主要污染物排放总量，实行超标污染物倍量削减替代，未超标污染物等量削减替代；其他行业新增废水主要污染物排放总量，应按照区域管控要求进行污染物削减替代。</w:t>
                  </w:r>
                </w:p>
                <w:p>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②规划区涉及重点行业和“两高”行业项目新增废气主要污染物排放总量，实行超标污染物倍量削减替代，未超标污染物等量削减替代；其他行业新增废气主要污染物排放总量，应按照区域管控要求进行污染物削减替代。</w:t>
                  </w:r>
                </w:p>
                <w:p>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③黑色金属冶炼、水泥项目排放水平需满足超低排放要求。</w:t>
                  </w:r>
                </w:p>
                <w:p>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④保证污染物达标排放，同时满足规划区总量控制要求。在南盘江水质达标前，废水污染物排放维持现状水平。</w:t>
                  </w:r>
                </w:p>
                <w:p>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⑤属于地下水岩溶发育区项目入驻时，项目环评加强地下水评价，严格落实地下水防护，按照《地下水管理条例》等相关要求落实相关防护措施。</w:t>
                  </w:r>
                </w:p>
                <w:p>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cs="Times New Roman"/>
                      <w:color w:val="auto"/>
                      <w:kern w:val="0"/>
                      <w:szCs w:val="21"/>
                    </w:rPr>
                  </w:pPr>
                  <w:r>
                    <w:rPr>
                      <w:rFonts w:hint="default" w:ascii="Times New Roman" w:hAnsi="Times New Roman" w:cs="Times New Roman"/>
                      <w:color w:val="auto"/>
                      <w:szCs w:val="21"/>
                    </w:rPr>
                    <w:t>⑥入驻企业产生的各种工业固体废物，应满足“减量化、资源化、无害化”要求，实现废物的综合利用。</w:t>
                  </w:r>
                </w:p>
              </w:tc>
              <w:tc>
                <w:tcPr>
                  <w:tcW w:w="198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①根据《2024年度昆明市生态环境状况公报》，南盘江水质现状达到《地表水环境质量标准》（GB3838-2002）Ⅲ类标准要求。项目生产废水经处理后循环使用，不外排；生活污水</w:t>
                  </w:r>
                  <w:r>
                    <w:rPr>
                      <w:rFonts w:hint="default" w:ascii="Times New Roman" w:hAnsi="Times New Roman" w:cs="Times New Roman"/>
                      <w:color w:val="auto"/>
                      <w:kern w:val="0"/>
                      <w:szCs w:val="21"/>
                      <w:lang w:val="en-US" w:eastAsia="zh-CN"/>
                    </w:rPr>
                    <w:t>暂存化粪池后委托清掏，</w:t>
                  </w:r>
                  <w:r>
                    <w:rPr>
                      <w:rFonts w:hint="default" w:ascii="Times New Roman" w:hAnsi="Times New Roman" w:cs="Times New Roman"/>
                      <w:color w:val="auto"/>
                      <w:kern w:val="0"/>
                      <w:szCs w:val="21"/>
                    </w:rPr>
                    <w:t>不外排。</w:t>
                  </w:r>
                </w:p>
                <w:p>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②根据《2024年度昆明市生态环境状况公报》，宜良县2024年环境空气质量总体保持良好，各项污染物平均浓度均达到《环境空气质量标准》（GB3095-2012）二级标准。本项目不属于重点行业及“两高”行业，废气污染物主要为颗粒物、非甲烷总烃、臭气浓度，废气经“过滤棉+</w:t>
                  </w:r>
                  <w:r>
                    <w:rPr>
                      <w:rFonts w:hint="default" w:ascii="Times New Roman" w:hAnsi="Times New Roman" w:cs="Times New Roman"/>
                      <w:color w:val="auto"/>
                      <w:kern w:val="0"/>
                      <w:szCs w:val="21"/>
                      <w:lang w:val="en-US" w:eastAsia="zh-CN"/>
                    </w:rPr>
                    <w:t>三级</w:t>
                  </w:r>
                  <w:r>
                    <w:rPr>
                      <w:rFonts w:hint="default" w:ascii="Times New Roman" w:hAnsi="Times New Roman" w:cs="Times New Roman"/>
                      <w:color w:val="auto"/>
                      <w:kern w:val="0"/>
                      <w:szCs w:val="21"/>
                    </w:rPr>
                    <w:t>活性炭吸附装置”处理后经1根</w:t>
                  </w:r>
                  <w:r>
                    <w:rPr>
                      <w:rFonts w:hint="default" w:ascii="Times New Roman" w:hAnsi="Times New Roman" w:cs="Times New Roman"/>
                      <w:color w:val="auto"/>
                      <w:kern w:val="0"/>
                      <w:szCs w:val="21"/>
                      <w:lang w:eastAsia="zh-CN"/>
                    </w:rPr>
                    <w:t>15m高</w:t>
                  </w:r>
                  <w:r>
                    <w:rPr>
                      <w:rFonts w:hint="default" w:ascii="Times New Roman" w:hAnsi="Times New Roman" w:cs="Times New Roman"/>
                      <w:color w:val="auto"/>
                      <w:kern w:val="0"/>
                      <w:szCs w:val="21"/>
                    </w:rPr>
                    <w:t>排气筒排放。云南宜良产业园区管委会已委托编制了《宜良县区域主要污染物消减方案》，本项目满足规划区总量控制要求。</w:t>
                  </w:r>
                </w:p>
                <w:p>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③</w:t>
                  </w:r>
                  <w:r>
                    <w:rPr>
                      <w:rFonts w:hint="default" w:ascii="Times New Roman" w:hAnsi="Times New Roman" w:cs="Times New Roman"/>
                      <w:color w:val="auto"/>
                      <w:szCs w:val="21"/>
                    </w:rPr>
                    <w:t>本项目属于非金属废料和碎屑加工处理，不属于黑色金属冶炼、水泥项目</w:t>
                  </w:r>
                  <w:r>
                    <w:rPr>
                      <w:rFonts w:hint="default" w:ascii="Times New Roman" w:hAnsi="Times New Roman" w:cs="Times New Roman"/>
                      <w:color w:val="auto"/>
                      <w:kern w:val="0"/>
                      <w:szCs w:val="21"/>
                    </w:rPr>
                    <w:t>。</w:t>
                  </w:r>
                </w:p>
                <w:p>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④本项目废气污染物主要为颗粒物、非甲烷总烃、臭气浓度，热熔挤出等生产过</w:t>
                  </w:r>
                  <w:r>
                    <w:rPr>
                      <w:rFonts w:hint="eastAsia" w:cs="Times New Roman"/>
                      <w:color w:val="auto"/>
                      <w:kern w:val="0"/>
                      <w:szCs w:val="21"/>
                      <w:lang w:eastAsia="zh-CN"/>
                    </w:rPr>
                    <w:t>程中</w:t>
                  </w:r>
                  <w:r>
                    <w:rPr>
                      <w:rFonts w:hint="default" w:ascii="Times New Roman" w:hAnsi="Times New Roman" w:cs="Times New Roman"/>
                      <w:color w:val="auto"/>
                      <w:kern w:val="0"/>
                      <w:szCs w:val="21"/>
                    </w:rPr>
                    <w:t>产生的颗粒物、有机废气（以非甲烷总烃计）经“过滤棉+</w:t>
                  </w:r>
                  <w:r>
                    <w:rPr>
                      <w:rFonts w:hint="default" w:ascii="Times New Roman" w:hAnsi="Times New Roman" w:cs="Times New Roman"/>
                      <w:color w:val="auto"/>
                      <w:kern w:val="0"/>
                      <w:szCs w:val="21"/>
                      <w:lang w:eastAsia="zh-CN"/>
                    </w:rPr>
                    <w:t>三级活性炭</w:t>
                  </w:r>
                  <w:r>
                    <w:rPr>
                      <w:rFonts w:hint="default" w:ascii="Times New Roman" w:hAnsi="Times New Roman" w:cs="Times New Roman"/>
                      <w:color w:val="auto"/>
                      <w:kern w:val="0"/>
                      <w:szCs w:val="21"/>
                    </w:rPr>
                    <w:t>吸附装置”处理后经1根</w:t>
                  </w:r>
                  <w:r>
                    <w:rPr>
                      <w:rFonts w:hint="default" w:ascii="Times New Roman" w:hAnsi="Times New Roman" w:cs="Times New Roman"/>
                      <w:color w:val="auto"/>
                      <w:kern w:val="0"/>
                      <w:szCs w:val="21"/>
                      <w:lang w:eastAsia="zh-CN"/>
                    </w:rPr>
                    <w:t>15m高</w:t>
                  </w:r>
                  <w:r>
                    <w:rPr>
                      <w:rFonts w:hint="default" w:ascii="Times New Roman" w:hAnsi="Times New Roman" w:cs="Times New Roman"/>
                      <w:color w:val="auto"/>
                      <w:kern w:val="0"/>
                      <w:szCs w:val="21"/>
                    </w:rPr>
                    <w:t>排气筒排放，满足规划区总量控制要求；</w:t>
                  </w:r>
                  <w:r>
                    <w:rPr>
                      <w:rFonts w:hint="default" w:ascii="Times New Roman" w:hAnsi="Times New Roman" w:cs="Times New Roman"/>
                      <w:color w:val="auto"/>
                    </w:rPr>
                    <w:t>项目</w:t>
                  </w:r>
                  <w:r>
                    <w:rPr>
                      <w:rFonts w:hint="default" w:ascii="Times New Roman" w:hAnsi="Times New Roman" w:cs="Times New Roman"/>
                      <w:color w:val="auto"/>
                      <w:kern w:val="0"/>
                      <w:szCs w:val="21"/>
                    </w:rPr>
                    <w:t>生产冷却水循环使用不外排</w:t>
                  </w:r>
                  <w:r>
                    <w:rPr>
                      <w:rFonts w:hint="default" w:ascii="Times New Roman" w:hAnsi="Times New Roman" w:cs="Times New Roman"/>
                      <w:color w:val="auto"/>
                    </w:rPr>
                    <w:t>；</w:t>
                  </w:r>
                  <w:r>
                    <w:rPr>
                      <w:rFonts w:hint="default" w:ascii="Times New Roman" w:hAnsi="Times New Roman" w:cs="Times New Roman"/>
                      <w:color w:val="auto"/>
                      <w:kern w:val="0"/>
                      <w:szCs w:val="21"/>
                    </w:rPr>
                    <w:t>生活污水</w:t>
                  </w:r>
                  <w:r>
                    <w:rPr>
                      <w:rFonts w:hint="default" w:ascii="Times New Roman" w:hAnsi="Times New Roman" w:cs="Times New Roman"/>
                      <w:color w:val="auto"/>
                      <w:kern w:val="0"/>
                      <w:szCs w:val="21"/>
                      <w:lang w:val="en-US" w:eastAsia="zh-CN"/>
                    </w:rPr>
                    <w:t>暂存化粪池后委托清掏，</w:t>
                  </w:r>
                  <w:r>
                    <w:rPr>
                      <w:rFonts w:hint="default" w:ascii="Times New Roman" w:hAnsi="Times New Roman" w:cs="Times New Roman"/>
                      <w:color w:val="auto"/>
                      <w:kern w:val="0"/>
                      <w:szCs w:val="21"/>
                    </w:rPr>
                    <w:t>不外排。</w:t>
                  </w:r>
                  <w:r>
                    <w:rPr>
                      <w:rFonts w:hint="default" w:ascii="Times New Roman" w:hAnsi="Times New Roman" w:cs="Times New Roman"/>
                      <w:color w:val="auto"/>
                      <w:szCs w:val="21"/>
                    </w:rPr>
                    <w:t>根据《2024年度昆明市生态环境状况公报》，南盘江水质现状达到《地表水环境质量标准》（GB3838-2002）Ⅲ类标准要求。</w:t>
                  </w:r>
                </w:p>
                <w:p>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⑤本项目不位于地下水岩溶发育区。</w:t>
                  </w:r>
                </w:p>
                <w:p>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⑥</w:t>
                  </w:r>
                  <w:r>
                    <w:rPr>
                      <w:rFonts w:hint="default" w:ascii="Times New Roman" w:hAnsi="Times New Roman" w:cs="Times New Roman"/>
                      <w:color w:val="auto"/>
                      <w:szCs w:val="21"/>
                    </w:rPr>
                    <w:t>本项目产生的各种工业固体废物，满足“减量化、资源化、无害化”要求，实现废物的综合利用。</w:t>
                  </w:r>
                </w:p>
              </w:tc>
              <w:tc>
                <w:tcPr>
                  <w:tcW w:w="413"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环境风险防控</w:t>
                  </w:r>
                </w:p>
              </w:tc>
              <w:tc>
                <w:tcPr>
                  <w:tcW w:w="2133"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①园区内企业入驻项目需与敏感点保持相关法律法规等要求的环境防护距离。</w:t>
                  </w:r>
                </w:p>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②制定突发环境事件应急预案，完善风险管理机制，加强风险控制防范。建立区域环境监测制度，加强规划实施的跟踪监测与管理。对园区地表水、地下水、空气、土壤、噪声等进行系统监测，适时跟踪环境质量变化情况，根据监测情况及时采取相应环保措施。</w:t>
                  </w:r>
                </w:p>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③工业企业应有完善的风险防范措施，原则上规划区项目周围超过大气毒性终点浓度-1范围内不应分布有村庄或居民区。重污染企业周边合理设置环境防护距离，保障居民生活环境的安全。</w:t>
                  </w:r>
                </w:p>
              </w:tc>
              <w:tc>
                <w:tcPr>
                  <w:tcW w:w="198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①项目排放的污染物不涉及重金属、“三致物”、剧毒物质。项目500m范围内不涉及大气环境保护目标。</w:t>
                  </w:r>
                </w:p>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②项目建成后，及时编制突发环境事件应急预案，并报送昆明市生态环境局宜良分局备案，企业加强风险防控。</w:t>
                  </w:r>
                </w:p>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③本项目采取了相应的风险防范措施，涉及的有毒有害和易燃易爆危险物质存储量未超过临界量。本项目不属于重污染企业。</w:t>
                  </w:r>
                </w:p>
              </w:tc>
              <w:tc>
                <w:tcPr>
                  <w:tcW w:w="413"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资源开发效率要求</w:t>
                  </w:r>
                </w:p>
              </w:tc>
              <w:tc>
                <w:tcPr>
                  <w:tcW w:w="2133"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①资源开发效率要求，按照国家及地方清洁生产等相关政策要求执行。</w:t>
                  </w:r>
                </w:p>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②入驻企业工业用水重复利用率不低于80%。</w:t>
                  </w:r>
                </w:p>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③入驻企业工业用水鼓励优先使用再生水，禁止无相关许可手续取用地下水作为生产用水。</w:t>
                  </w:r>
                </w:p>
              </w:tc>
              <w:tc>
                <w:tcPr>
                  <w:tcW w:w="198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①项目资源开发率符合国家及地方清洁生产等相关政策要求。</w:t>
                  </w:r>
                </w:p>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②本项目冷却水、清洗废水循环使用。</w:t>
                  </w:r>
                </w:p>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③本项目水源来源于自来水，不取用地下水。</w:t>
                  </w:r>
                </w:p>
              </w:tc>
              <w:tc>
                <w:tcPr>
                  <w:tcW w:w="413"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符合</w:t>
                  </w:r>
                </w:p>
              </w:tc>
            </w:tr>
          </w:tbl>
          <w:p>
            <w:pPr>
              <w:widowControl/>
              <w:adjustRightInd w:val="0"/>
              <w:snapToGrid w:val="0"/>
              <w:spacing w:line="360" w:lineRule="auto"/>
              <w:ind w:firstLine="480" w:firstLineChars="200"/>
              <w:jc w:val="left"/>
              <w:rPr>
                <w:color w:val="auto"/>
                <w:kern w:val="0"/>
                <w:sz w:val="24"/>
                <w:szCs w:val="24"/>
              </w:rPr>
            </w:pPr>
            <w:r>
              <w:rPr>
                <w:color w:val="auto"/>
                <w:kern w:val="0"/>
                <w:sz w:val="24"/>
                <w:szCs w:val="24"/>
              </w:rPr>
              <w:t>由上表可知，本项目建设与《云南宜良产业园区总体规划（2021</w:t>
            </w:r>
            <w:r>
              <w:rPr>
                <w:rFonts w:hint="eastAsia"/>
                <w:color w:val="auto"/>
                <w:kern w:val="0"/>
                <w:sz w:val="24"/>
                <w:szCs w:val="24"/>
                <w:lang w:eastAsia="zh-CN"/>
              </w:rPr>
              <w:t>—</w:t>
            </w:r>
            <w:r>
              <w:rPr>
                <w:color w:val="auto"/>
                <w:kern w:val="0"/>
                <w:sz w:val="24"/>
                <w:szCs w:val="24"/>
              </w:rPr>
              <w:t>2035年）环境影响报告书》中入园项目要求相符。</w:t>
            </w:r>
          </w:p>
          <w:p>
            <w:pPr>
              <w:autoSpaceDE w:val="0"/>
              <w:autoSpaceDN w:val="0"/>
              <w:adjustRightInd w:val="0"/>
              <w:snapToGrid w:val="0"/>
              <w:spacing w:line="360" w:lineRule="auto"/>
              <w:ind w:firstLine="482" w:firstLineChars="200"/>
              <w:rPr>
                <w:b/>
                <w:bCs/>
                <w:color w:val="auto"/>
                <w:sz w:val="24"/>
                <w:szCs w:val="24"/>
              </w:rPr>
            </w:pPr>
            <w:r>
              <w:rPr>
                <w:b/>
                <w:bCs/>
                <w:color w:val="auto"/>
                <w:sz w:val="24"/>
                <w:szCs w:val="24"/>
              </w:rPr>
              <w:t>（三）与《</w:t>
            </w:r>
            <w:r>
              <w:rPr>
                <w:b/>
                <w:bCs/>
                <w:color w:val="auto"/>
                <w:kern w:val="0"/>
                <w:sz w:val="24"/>
                <w:szCs w:val="24"/>
              </w:rPr>
              <w:t>云南宜良产业园区总体规划（2021</w:t>
            </w:r>
            <w:r>
              <w:rPr>
                <w:rFonts w:hint="eastAsia"/>
                <w:b/>
                <w:bCs/>
                <w:color w:val="auto"/>
                <w:kern w:val="0"/>
                <w:sz w:val="24"/>
                <w:szCs w:val="24"/>
                <w:lang w:eastAsia="zh-CN"/>
              </w:rPr>
              <w:t>—</w:t>
            </w:r>
            <w:r>
              <w:rPr>
                <w:b/>
                <w:bCs/>
                <w:color w:val="auto"/>
                <w:kern w:val="0"/>
                <w:sz w:val="24"/>
                <w:szCs w:val="24"/>
              </w:rPr>
              <w:t>2035年）</w:t>
            </w:r>
            <w:r>
              <w:rPr>
                <w:b/>
                <w:bCs/>
                <w:color w:val="auto"/>
                <w:sz w:val="24"/>
                <w:szCs w:val="24"/>
              </w:rPr>
              <w:t>环境影响报告书》审查意见</w:t>
            </w:r>
            <w:r>
              <w:rPr>
                <w:b/>
                <w:bCs/>
                <w:color w:val="auto"/>
                <w:kern w:val="0"/>
                <w:sz w:val="24"/>
                <w:szCs w:val="24"/>
              </w:rPr>
              <w:t>（昆环审〔2023〕12号）</w:t>
            </w:r>
            <w:r>
              <w:rPr>
                <w:b/>
                <w:bCs/>
                <w:color w:val="auto"/>
                <w:sz w:val="24"/>
                <w:szCs w:val="24"/>
              </w:rPr>
              <w:t>符合性分析</w:t>
            </w:r>
          </w:p>
          <w:p>
            <w:pPr>
              <w:topLinePunct/>
              <w:adjustRightInd w:val="0"/>
              <w:snapToGrid w:val="0"/>
              <w:spacing w:line="360" w:lineRule="auto"/>
              <w:ind w:firstLine="480" w:firstLineChars="200"/>
              <w:rPr>
                <w:color w:val="auto"/>
                <w:sz w:val="24"/>
                <w:szCs w:val="24"/>
              </w:rPr>
            </w:pPr>
            <w:r>
              <w:rPr>
                <w:color w:val="auto"/>
                <w:kern w:val="0"/>
                <w:sz w:val="24"/>
                <w:szCs w:val="24"/>
              </w:rPr>
              <w:t>2023年12月15日取得昆明市生态环境局关于《云南宜良产业园区总体规划</w:t>
            </w:r>
            <w:r>
              <w:rPr>
                <w:color w:val="auto"/>
                <w:sz w:val="24"/>
                <w:szCs w:val="24"/>
              </w:rPr>
              <w:t>（2021</w:t>
            </w:r>
            <w:r>
              <w:rPr>
                <w:rFonts w:hint="eastAsia"/>
                <w:color w:val="auto"/>
                <w:sz w:val="24"/>
                <w:szCs w:val="24"/>
                <w:lang w:eastAsia="zh-CN"/>
              </w:rPr>
              <w:t>—</w:t>
            </w:r>
            <w:r>
              <w:rPr>
                <w:color w:val="auto"/>
                <w:sz w:val="24"/>
                <w:szCs w:val="24"/>
              </w:rPr>
              <w:t>2035年）</w:t>
            </w:r>
            <w:r>
              <w:rPr>
                <w:color w:val="auto"/>
                <w:kern w:val="0"/>
                <w:sz w:val="24"/>
                <w:szCs w:val="24"/>
              </w:rPr>
              <w:t>环境影响报告书》审查意见的函（昆环审〔2023〕12号）。</w:t>
            </w:r>
            <w:r>
              <w:rPr>
                <w:color w:val="auto"/>
                <w:sz w:val="24"/>
                <w:szCs w:val="24"/>
              </w:rPr>
              <w:t>项目与《昆明市生态环境局关于</w:t>
            </w:r>
            <w:r>
              <w:rPr>
                <w:rFonts w:hint="eastAsia"/>
                <w:color w:val="auto"/>
                <w:sz w:val="24"/>
                <w:szCs w:val="24"/>
                <w:lang w:eastAsia="zh-CN"/>
              </w:rPr>
              <w:t>〈</w:t>
            </w:r>
            <w:r>
              <w:rPr>
                <w:color w:val="auto"/>
                <w:sz w:val="24"/>
                <w:szCs w:val="24"/>
              </w:rPr>
              <w:t>云南宜良产业园区总体规划（2021</w:t>
            </w:r>
            <w:r>
              <w:rPr>
                <w:rFonts w:hint="eastAsia"/>
                <w:color w:val="auto"/>
                <w:sz w:val="24"/>
                <w:szCs w:val="24"/>
                <w:lang w:eastAsia="zh-CN"/>
              </w:rPr>
              <w:t>—</w:t>
            </w:r>
            <w:r>
              <w:rPr>
                <w:color w:val="auto"/>
                <w:sz w:val="24"/>
                <w:szCs w:val="24"/>
              </w:rPr>
              <w:t>2035年）环境影响报告书</w:t>
            </w:r>
            <w:r>
              <w:rPr>
                <w:rFonts w:hint="eastAsia"/>
                <w:color w:val="auto"/>
                <w:sz w:val="24"/>
                <w:szCs w:val="24"/>
                <w:lang w:eastAsia="zh-CN"/>
              </w:rPr>
              <w:t>〉</w:t>
            </w:r>
            <w:r>
              <w:rPr>
                <w:color w:val="auto"/>
                <w:sz w:val="24"/>
                <w:szCs w:val="24"/>
              </w:rPr>
              <w:t>审查意见的函》（昆环审〔2023〕12号）的相符性分析详见下表。</w:t>
            </w:r>
          </w:p>
          <w:p>
            <w:pPr>
              <w:pStyle w:val="68"/>
              <w:tabs>
                <w:tab w:val="left" w:pos="420"/>
              </w:tabs>
              <w:spacing w:before="120"/>
              <w:ind w:left="0" w:firstLine="0"/>
              <w:rPr>
                <w:rFonts w:hint="default"/>
                <w:color w:val="auto"/>
              </w:rPr>
            </w:pPr>
            <w:r>
              <w:rPr>
                <w:rFonts w:hint="default"/>
                <w:color w:val="auto"/>
              </w:rPr>
              <w:t>本项目与规划环评审查意见符合性分析</w:t>
            </w:r>
          </w:p>
          <w:tbl>
            <w:tblPr>
              <w:tblStyle w:val="23"/>
              <w:tblW w:w="495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
              <w:gridCol w:w="3433"/>
              <w:gridCol w:w="2612"/>
              <w:gridCol w:w="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5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autoSpaceDE w:val="0"/>
                    <w:autoSpaceDN w:val="0"/>
                    <w:bidi w:val="0"/>
                    <w:adjustRightInd w:val="0"/>
                    <w:snapToGrid w:val="0"/>
                    <w:ind w:firstLine="0" w:firstLineChars="0"/>
                    <w:jc w:val="center"/>
                    <w:textAlignment w:val="auto"/>
                    <w:rPr>
                      <w:b/>
                      <w:bCs/>
                      <w:color w:val="auto"/>
                      <w:szCs w:val="21"/>
                    </w:rPr>
                  </w:pPr>
                  <w:r>
                    <w:rPr>
                      <w:b/>
                      <w:bCs/>
                      <w:color w:val="auto"/>
                      <w:szCs w:val="21"/>
                    </w:rPr>
                    <w:t>序号</w:t>
                  </w:r>
                </w:p>
              </w:tc>
              <w:tc>
                <w:tcPr>
                  <w:tcW w:w="2452"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bidi w:val="0"/>
                    <w:adjustRightInd w:val="0"/>
                    <w:snapToGrid w:val="0"/>
                    <w:ind w:firstLine="0" w:firstLineChars="0"/>
                    <w:jc w:val="center"/>
                    <w:textAlignment w:val="auto"/>
                    <w:rPr>
                      <w:b/>
                      <w:bCs/>
                      <w:color w:val="auto"/>
                      <w:szCs w:val="21"/>
                    </w:rPr>
                  </w:pPr>
                  <w:r>
                    <w:rPr>
                      <w:b/>
                      <w:bCs/>
                      <w:color w:val="auto"/>
                      <w:szCs w:val="21"/>
                    </w:rPr>
                    <w:t>规划环评审查意见</w:t>
                  </w:r>
                </w:p>
              </w:tc>
              <w:tc>
                <w:tcPr>
                  <w:tcW w:w="186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bidi w:val="0"/>
                    <w:adjustRightInd w:val="0"/>
                    <w:snapToGrid w:val="0"/>
                    <w:ind w:firstLine="0" w:firstLineChars="0"/>
                    <w:jc w:val="center"/>
                    <w:textAlignment w:val="auto"/>
                    <w:rPr>
                      <w:b/>
                      <w:bCs/>
                      <w:color w:val="auto"/>
                      <w:szCs w:val="21"/>
                    </w:rPr>
                  </w:pPr>
                  <w:r>
                    <w:rPr>
                      <w:b/>
                      <w:bCs/>
                      <w:color w:val="auto"/>
                      <w:szCs w:val="21"/>
                    </w:rPr>
                    <w:t>本项目建设情况</w:t>
                  </w:r>
                </w:p>
              </w:tc>
              <w:tc>
                <w:tcPr>
                  <w:tcW w:w="42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bidi w:val="0"/>
                    <w:adjustRightInd w:val="0"/>
                    <w:snapToGrid w:val="0"/>
                    <w:ind w:firstLine="0" w:firstLineChars="0"/>
                    <w:jc w:val="center"/>
                    <w:textAlignment w:val="auto"/>
                    <w:rPr>
                      <w:b/>
                      <w:bCs/>
                      <w:color w:val="auto"/>
                      <w:szCs w:val="21"/>
                    </w:rPr>
                  </w:pPr>
                  <w:r>
                    <w:rPr>
                      <w:b/>
                      <w:bCs/>
                      <w:color w:val="auto"/>
                      <w:szCs w:val="21"/>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25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autoSpaceDE w:val="0"/>
                    <w:autoSpaceDN w:val="0"/>
                    <w:bidi w:val="0"/>
                    <w:adjustRightInd w:val="0"/>
                    <w:snapToGrid w:val="0"/>
                    <w:ind w:firstLine="0" w:firstLineChars="0"/>
                    <w:jc w:val="center"/>
                    <w:textAlignment w:val="auto"/>
                    <w:rPr>
                      <w:color w:val="auto"/>
                      <w:szCs w:val="21"/>
                    </w:rPr>
                  </w:pPr>
                  <w:r>
                    <w:rPr>
                      <w:color w:val="auto"/>
                      <w:szCs w:val="21"/>
                    </w:rPr>
                    <w:t>1</w:t>
                  </w:r>
                </w:p>
              </w:tc>
              <w:tc>
                <w:tcPr>
                  <w:tcW w:w="2452"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bidi w:val="0"/>
                    <w:adjustRightInd w:val="0"/>
                    <w:snapToGrid w:val="0"/>
                    <w:ind w:firstLine="0" w:firstLineChars="0"/>
                    <w:textAlignment w:val="auto"/>
                    <w:rPr>
                      <w:color w:val="auto"/>
                      <w:szCs w:val="21"/>
                    </w:rPr>
                  </w:pPr>
                  <w:r>
                    <w:rPr>
                      <w:color w:val="auto"/>
                      <w:szCs w:val="21"/>
                    </w:rPr>
                    <w:t>坚持绿色、低碳、高质量发展理念，完善和加强规划引导，落实生态环境分区管控要求，区域统筹保护好生态空间。根据区域发展战略，坚持生态优先、高效集约发展。加强与国土空间规划的协调衔接，依据“三区三线”的划定成果，统筹优化规划区涉及限制开发区域（农产品主产区）的发展方向，优化调整园区产业及规划范围。结合“三线一单”生态环境分区管控要求，进一步优化调整发展定位、功能布局、产业结构、实施时序和发展规模。布局开发应确保满足国土空间管控和生态环境分区管控相关要求，产业开发应符合国家产业政策和相关规划。《规划》产业发展应与生态环境保护、人居环境安全相协调，引导园区生态优先，低碳化、绿色化、循环化发展。积极推进园区内企业“煤改气、煤改电”工程，促进园区绿色低碳发展。确立园区发展与区域水质改善程度的联动机制，确保规划实施与环境保护目标的协调统一。</w:t>
                  </w:r>
                </w:p>
              </w:tc>
              <w:tc>
                <w:tcPr>
                  <w:tcW w:w="186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bidi w:val="0"/>
                    <w:adjustRightInd w:val="0"/>
                    <w:snapToGrid w:val="0"/>
                    <w:ind w:firstLine="0" w:firstLineChars="0"/>
                    <w:textAlignment w:val="auto"/>
                    <w:rPr>
                      <w:color w:val="auto"/>
                      <w:szCs w:val="21"/>
                    </w:rPr>
                  </w:pPr>
                  <w:r>
                    <w:rPr>
                      <w:color w:val="auto"/>
                      <w:szCs w:val="21"/>
                    </w:rPr>
                    <w:t>项目位于云南宜良产业园区北古城组团</w:t>
                  </w:r>
                  <w:r>
                    <w:rPr>
                      <w:rFonts w:hint="eastAsia"/>
                      <w:color w:val="auto"/>
                      <w:kern w:val="0"/>
                      <w:szCs w:val="21"/>
                    </w:rPr>
                    <w:t>绿色建材及配套物流区</w:t>
                  </w:r>
                  <w:r>
                    <w:rPr>
                      <w:color w:val="auto"/>
                      <w:szCs w:val="21"/>
                    </w:rPr>
                    <w:t>，</w:t>
                  </w:r>
                  <w:r>
                    <w:rPr>
                      <w:rFonts w:hint="eastAsia"/>
                      <w:color w:val="auto"/>
                      <w:kern w:val="0"/>
                      <w:szCs w:val="21"/>
                    </w:rPr>
                    <w:t>用地性质为二类工业用地</w:t>
                  </w:r>
                  <w:r>
                    <w:rPr>
                      <w:color w:val="auto"/>
                      <w:szCs w:val="21"/>
                    </w:rPr>
                    <w:t>；本项目不涉及永久基本农田、生态保护红线；项目用地范围在宜良县国土空间规划“三区三线”的城镇开发边界内，符合宜良县国土空间规划。</w:t>
                  </w:r>
                </w:p>
                <w:p>
                  <w:pPr>
                    <w:keepNext w:val="0"/>
                    <w:keepLines w:val="0"/>
                    <w:pageBreakBefore w:val="0"/>
                    <w:widowControl w:val="0"/>
                    <w:kinsoku/>
                    <w:wordWrap/>
                    <w:overflowPunct/>
                    <w:bidi w:val="0"/>
                    <w:adjustRightInd w:val="0"/>
                    <w:snapToGrid w:val="0"/>
                    <w:ind w:firstLine="0" w:firstLineChars="0"/>
                    <w:textAlignment w:val="auto"/>
                    <w:rPr>
                      <w:color w:val="auto"/>
                      <w:szCs w:val="21"/>
                    </w:rPr>
                  </w:pPr>
                  <w:r>
                    <w:rPr>
                      <w:color w:val="auto"/>
                      <w:szCs w:val="21"/>
                    </w:rPr>
                    <w:t>项目位于宜良产业园区重点管控单元，满足其生态环境分区管控要求。</w:t>
                  </w:r>
                </w:p>
                <w:p>
                  <w:pPr>
                    <w:keepNext w:val="0"/>
                    <w:keepLines w:val="0"/>
                    <w:pageBreakBefore w:val="0"/>
                    <w:widowControl w:val="0"/>
                    <w:kinsoku/>
                    <w:wordWrap/>
                    <w:overflowPunct/>
                    <w:bidi w:val="0"/>
                    <w:adjustRightInd w:val="0"/>
                    <w:snapToGrid w:val="0"/>
                    <w:ind w:firstLine="0" w:firstLineChars="0"/>
                    <w:textAlignment w:val="auto"/>
                    <w:rPr>
                      <w:color w:val="auto"/>
                      <w:szCs w:val="21"/>
                    </w:rPr>
                  </w:pPr>
                  <w:r>
                    <w:rPr>
                      <w:color w:val="auto"/>
                      <w:szCs w:val="21"/>
                    </w:rPr>
                    <w:t>项目生产过程中能源消耗主要为电能，属于清洁能源。根据</w:t>
                  </w:r>
                  <w:r>
                    <w:rPr>
                      <w:rFonts w:hint="eastAsia"/>
                      <w:color w:val="auto"/>
                      <w:szCs w:val="21"/>
                    </w:rPr>
                    <w:t>昆明市生态环境</w:t>
                  </w:r>
                  <w:r>
                    <w:rPr>
                      <w:color w:val="auto"/>
                      <w:szCs w:val="21"/>
                    </w:rPr>
                    <w:t>分区管控要求，项目建设严格按照环评提出的措施后，符合相关管控单元要求，项目的实施与环境保护目标协调统一。</w:t>
                  </w:r>
                </w:p>
              </w:tc>
              <w:tc>
                <w:tcPr>
                  <w:tcW w:w="42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autoSpaceDE w:val="0"/>
                    <w:autoSpaceDN w:val="0"/>
                    <w:bidi w:val="0"/>
                    <w:adjustRightInd w:val="0"/>
                    <w:snapToGrid w:val="0"/>
                    <w:ind w:firstLine="0" w:firstLineChars="0"/>
                    <w:jc w:val="center"/>
                    <w:textAlignment w:val="auto"/>
                    <w:rPr>
                      <w:color w:val="auto"/>
                      <w:szCs w:val="21"/>
                    </w:rPr>
                  </w:pPr>
                  <w:r>
                    <w:rPr>
                      <w:color w:val="auto"/>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25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autoSpaceDE w:val="0"/>
                    <w:autoSpaceDN w:val="0"/>
                    <w:bidi w:val="0"/>
                    <w:adjustRightInd w:val="0"/>
                    <w:snapToGrid w:val="0"/>
                    <w:ind w:firstLine="0" w:firstLineChars="0"/>
                    <w:jc w:val="center"/>
                    <w:textAlignment w:val="auto"/>
                    <w:rPr>
                      <w:color w:val="auto"/>
                      <w:szCs w:val="21"/>
                    </w:rPr>
                  </w:pPr>
                  <w:r>
                    <w:rPr>
                      <w:color w:val="auto"/>
                      <w:szCs w:val="21"/>
                    </w:rPr>
                    <w:t>2</w:t>
                  </w:r>
                </w:p>
              </w:tc>
              <w:tc>
                <w:tcPr>
                  <w:tcW w:w="2452"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bidi w:val="0"/>
                    <w:adjustRightInd w:val="0"/>
                    <w:snapToGrid w:val="0"/>
                    <w:ind w:firstLine="0" w:firstLineChars="0"/>
                    <w:textAlignment w:val="auto"/>
                    <w:rPr>
                      <w:color w:val="auto"/>
                      <w:szCs w:val="21"/>
                    </w:rPr>
                  </w:pPr>
                  <w:r>
                    <w:rPr>
                      <w:color w:val="auto"/>
                      <w:szCs w:val="21"/>
                    </w:rPr>
                    <w:t>进一步优化空间布局，加强空间管控，严格保护环境敏感区，严禁开展不符合管控要求的各类开发和建设活动。大气环境弱扩散重点管控单元内应优化产业布局，邻近居住用地的工业用地避免布置大气污染较重的企业。工业用地与人口密集区、基本农田等敏感区间应设置绿化隔离带，留出必要的防护距离，缓解敏感区、居住区和工业布局距离较近的布局性环境风险问题。园区周边的南盘江河道应严格执行《昆明市河道管理条例》的相关要求。</w:t>
                  </w:r>
                </w:p>
              </w:tc>
              <w:tc>
                <w:tcPr>
                  <w:tcW w:w="186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bidi w:val="0"/>
                    <w:adjustRightInd w:val="0"/>
                    <w:snapToGrid w:val="0"/>
                    <w:ind w:firstLine="0" w:firstLineChars="0"/>
                    <w:textAlignment w:val="auto"/>
                    <w:rPr>
                      <w:color w:val="auto"/>
                      <w:szCs w:val="21"/>
                    </w:rPr>
                  </w:pPr>
                  <w:r>
                    <w:rPr>
                      <w:color w:val="auto"/>
                      <w:szCs w:val="21"/>
                    </w:rPr>
                    <w:t>项目建设符合昆明市生态环境分区管控要求，项目位于宜良产业园区，用地性质为</w:t>
                  </w:r>
                  <w:r>
                    <w:rPr>
                      <w:rFonts w:hint="eastAsia"/>
                      <w:color w:val="auto"/>
                      <w:kern w:val="0"/>
                      <w:szCs w:val="21"/>
                    </w:rPr>
                    <w:t>二类工业用地</w:t>
                  </w:r>
                  <w:r>
                    <w:rPr>
                      <w:rFonts w:hint="eastAsia"/>
                      <w:color w:val="auto"/>
                      <w:szCs w:val="21"/>
                    </w:rPr>
                    <w:t>，</w:t>
                  </w:r>
                  <w:r>
                    <w:rPr>
                      <w:color w:val="auto"/>
                      <w:szCs w:val="21"/>
                    </w:rPr>
                    <w:t>满足用地性质要求。项目周边</w:t>
                  </w:r>
                  <w:r>
                    <w:rPr>
                      <w:rFonts w:eastAsia="TimesNewRomanPSMT"/>
                      <w:color w:val="auto"/>
                      <w:szCs w:val="21"/>
                    </w:rPr>
                    <w:t>500m</w:t>
                  </w:r>
                  <w:r>
                    <w:rPr>
                      <w:color w:val="auto"/>
                      <w:szCs w:val="21"/>
                    </w:rPr>
                    <w:t>范围内无环境敏感区，运营期热熔挤出等生产过</w:t>
                  </w:r>
                  <w:r>
                    <w:rPr>
                      <w:rFonts w:hint="eastAsia"/>
                      <w:color w:val="auto"/>
                      <w:szCs w:val="21"/>
                      <w:lang w:eastAsia="zh-CN"/>
                    </w:rPr>
                    <w:t>程中</w:t>
                  </w:r>
                  <w:r>
                    <w:rPr>
                      <w:color w:val="auto"/>
                      <w:szCs w:val="21"/>
                    </w:rPr>
                    <w:t>产生的颗粒物、有机废气（以非甲烷总烃计）经</w:t>
                  </w:r>
                  <w:r>
                    <w:rPr>
                      <w:rFonts w:hint="eastAsia"/>
                      <w:color w:val="auto"/>
                      <w:kern w:val="0"/>
                      <w:szCs w:val="21"/>
                    </w:rPr>
                    <w:t>“过滤棉+</w:t>
                  </w:r>
                  <w:r>
                    <w:rPr>
                      <w:rFonts w:hint="eastAsia"/>
                      <w:color w:val="auto"/>
                      <w:kern w:val="0"/>
                      <w:szCs w:val="21"/>
                      <w:lang w:val="en-US" w:eastAsia="zh-CN"/>
                    </w:rPr>
                    <w:t>三级</w:t>
                  </w:r>
                  <w:r>
                    <w:rPr>
                      <w:color w:val="auto"/>
                      <w:kern w:val="0"/>
                      <w:szCs w:val="21"/>
                    </w:rPr>
                    <w:t>活性炭吸附装置</w:t>
                  </w:r>
                  <w:r>
                    <w:rPr>
                      <w:rFonts w:hint="eastAsia"/>
                      <w:color w:val="auto"/>
                      <w:kern w:val="0"/>
                      <w:szCs w:val="21"/>
                    </w:rPr>
                    <w:t>”</w:t>
                  </w:r>
                  <w:r>
                    <w:rPr>
                      <w:color w:val="auto"/>
                      <w:szCs w:val="21"/>
                    </w:rPr>
                    <w:t>处理后经1根</w:t>
                  </w:r>
                  <w:r>
                    <w:rPr>
                      <w:rFonts w:hint="eastAsia"/>
                      <w:color w:val="auto"/>
                      <w:szCs w:val="21"/>
                      <w:lang w:eastAsia="zh-CN"/>
                    </w:rPr>
                    <w:t>15m高</w:t>
                  </w:r>
                  <w:r>
                    <w:rPr>
                      <w:color w:val="auto"/>
                      <w:szCs w:val="21"/>
                    </w:rPr>
                    <w:t>排气筒排放，对周边大气环境影响较小。区域最近的地表水体主要为项目厂区南侧约</w:t>
                  </w:r>
                  <w:r>
                    <w:rPr>
                      <w:rFonts w:hint="eastAsia"/>
                      <w:color w:val="auto"/>
                      <w:szCs w:val="21"/>
                      <w:lang w:val="en-US" w:eastAsia="zh-CN"/>
                    </w:rPr>
                    <w:t>1.53</w:t>
                  </w:r>
                  <w:r>
                    <w:rPr>
                      <w:color w:val="auto"/>
                      <w:szCs w:val="21"/>
                    </w:rPr>
                    <w:t>km处的南盘江，项目运营期</w:t>
                  </w:r>
                  <w:r>
                    <w:rPr>
                      <w:color w:val="auto"/>
                      <w:kern w:val="0"/>
                      <w:szCs w:val="21"/>
                    </w:rPr>
                    <w:t>生产废水循环使用不外排；生活污水</w:t>
                  </w:r>
                  <w:r>
                    <w:rPr>
                      <w:rFonts w:hint="eastAsia"/>
                      <w:color w:val="auto"/>
                      <w:kern w:val="0"/>
                      <w:szCs w:val="21"/>
                      <w:lang w:val="en-US" w:eastAsia="zh-CN"/>
                    </w:rPr>
                    <w:t>暂存化粪池后委托清掏，</w:t>
                  </w:r>
                  <w:r>
                    <w:rPr>
                      <w:color w:val="auto"/>
                      <w:kern w:val="0"/>
                      <w:szCs w:val="21"/>
                    </w:rPr>
                    <w:t>不外排。项目</w:t>
                  </w:r>
                  <w:r>
                    <w:rPr>
                      <w:color w:val="auto"/>
                      <w:szCs w:val="21"/>
                    </w:rPr>
                    <w:t>建设满足《昆明市河道管理条例》相关要求。</w:t>
                  </w:r>
                </w:p>
              </w:tc>
              <w:tc>
                <w:tcPr>
                  <w:tcW w:w="42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autoSpaceDE w:val="0"/>
                    <w:autoSpaceDN w:val="0"/>
                    <w:bidi w:val="0"/>
                    <w:adjustRightInd w:val="0"/>
                    <w:snapToGrid w:val="0"/>
                    <w:ind w:firstLine="0" w:firstLineChars="0"/>
                    <w:jc w:val="center"/>
                    <w:textAlignment w:val="auto"/>
                    <w:rPr>
                      <w:color w:val="auto"/>
                      <w:szCs w:val="21"/>
                    </w:rPr>
                  </w:pPr>
                  <w:r>
                    <w:rPr>
                      <w:color w:val="auto"/>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autoSpaceDE w:val="0"/>
                    <w:autoSpaceDN w:val="0"/>
                    <w:bidi w:val="0"/>
                    <w:adjustRightInd w:val="0"/>
                    <w:snapToGrid w:val="0"/>
                    <w:ind w:firstLine="0" w:firstLineChars="0"/>
                    <w:jc w:val="center"/>
                    <w:textAlignment w:val="auto"/>
                    <w:rPr>
                      <w:color w:val="auto"/>
                      <w:szCs w:val="21"/>
                    </w:rPr>
                  </w:pPr>
                  <w:r>
                    <w:rPr>
                      <w:color w:val="auto"/>
                      <w:szCs w:val="21"/>
                    </w:rPr>
                    <w:t>3</w:t>
                  </w:r>
                </w:p>
              </w:tc>
              <w:tc>
                <w:tcPr>
                  <w:tcW w:w="2452"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bidi w:val="0"/>
                    <w:adjustRightInd w:val="0"/>
                    <w:snapToGrid w:val="0"/>
                    <w:ind w:firstLine="0" w:firstLineChars="0"/>
                    <w:textAlignment w:val="auto"/>
                    <w:rPr>
                      <w:color w:val="auto"/>
                      <w:szCs w:val="21"/>
                    </w:rPr>
                  </w:pPr>
                  <w:r>
                    <w:rPr>
                      <w:color w:val="auto"/>
                      <w:szCs w:val="21"/>
                    </w:rPr>
                    <w:t>着力推动园区产业结构调整和转型升级，按照《云南省人民政府办公厅关于推动落后和低端低效产能退出的实施意见》（云政办发〔</w:t>
                  </w:r>
                  <w:r>
                    <w:rPr>
                      <w:rFonts w:eastAsia="TimesNewRomanPSMT"/>
                      <w:color w:val="auto"/>
                      <w:szCs w:val="21"/>
                    </w:rPr>
                    <w:t>2022</w:t>
                  </w:r>
                  <w:r>
                    <w:rPr>
                      <w:color w:val="auto"/>
                      <w:szCs w:val="21"/>
                    </w:rPr>
                    <w:t>〕</w:t>
                  </w:r>
                  <w:r>
                    <w:rPr>
                      <w:rFonts w:eastAsia="TimesNewRomanPSMT"/>
                      <w:color w:val="auto"/>
                      <w:szCs w:val="21"/>
                    </w:rPr>
                    <w:t>17</w:t>
                  </w:r>
                  <w:r>
                    <w:rPr>
                      <w:color w:val="auto"/>
                      <w:szCs w:val="21"/>
                    </w:rPr>
                    <w:t>号）相关要求，依法依规淘汰落后产能，推动限制类产能退出或升级改造。加快能源结构升级改造，鼓励使用清洁能源，促进区域环境质量改善。推进技术研发型、创新型产业发展，提升产业的技术水平和园区的绿色循环化水平。</w:t>
                  </w:r>
                </w:p>
                <w:p>
                  <w:pPr>
                    <w:keepNext w:val="0"/>
                    <w:keepLines w:val="0"/>
                    <w:pageBreakBefore w:val="0"/>
                    <w:widowControl w:val="0"/>
                    <w:kinsoku/>
                    <w:wordWrap/>
                    <w:overflowPunct/>
                    <w:topLinePunct/>
                    <w:bidi w:val="0"/>
                    <w:adjustRightInd w:val="0"/>
                    <w:snapToGrid w:val="0"/>
                    <w:ind w:firstLine="0" w:firstLineChars="0"/>
                    <w:textAlignment w:val="auto"/>
                    <w:rPr>
                      <w:color w:val="auto"/>
                      <w:szCs w:val="21"/>
                    </w:rPr>
                  </w:pPr>
                  <w:r>
                    <w:rPr>
                      <w:color w:val="auto"/>
                      <w:szCs w:val="21"/>
                    </w:rPr>
                    <w:t>从区域环境质量改善和环境风险防范角度，进一步优化各个组团产业选择。根据《关于推进实施钢铁行业超低排放的意见》（环大气〔</w:t>
                  </w:r>
                  <w:r>
                    <w:rPr>
                      <w:rFonts w:eastAsia="TimesNewRomanPSMT"/>
                      <w:color w:val="auto"/>
                      <w:szCs w:val="21"/>
                    </w:rPr>
                    <w:t>2019</w:t>
                  </w:r>
                  <w:r>
                    <w:rPr>
                      <w:color w:val="auto"/>
                      <w:szCs w:val="21"/>
                    </w:rPr>
                    <w:t>〕</w:t>
                  </w:r>
                  <w:r>
                    <w:rPr>
                      <w:rFonts w:eastAsia="TimesNewRomanPSMT"/>
                      <w:color w:val="auto"/>
                      <w:szCs w:val="21"/>
                    </w:rPr>
                    <w:t>35</w:t>
                  </w:r>
                  <w:r>
                    <w:rPr>
                      <w:color w:val="auto"/>
                      <w:szCs w:val="21"/>
                    </w:rPr>
                    <w:t>号）的要求，严禁新增钢铁冶炼产能，新改扩建（含搬迁）钢铁项目要严格执行产能置换实施办法，按照钢铁企业超低排放指标要求，同步配套建设高效脱硫、脱硝、除尘设施，落实物料储存、输送及生产工艺过程无组织排放管控措施，大宗物料和产品采取清洁方式运输。水泥企业应适时推进超低排放改造。针对现有不符合本规划产业定位的企业，禁止除减污降碳、节能降耗和超低排放改造外任何形式的改扩建，根据地方管理要求逐步进行搬迁、关停。</w:t>
                  </w:r>
                </w:p>
              </w:tc>
              <w:tc>
                <w:tcPr>
                  <w:tcW w:w="186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bidi w:val="0"/>
                    <w:adjustRightInd w:val="0"/>
                    <w:snapToGrid w:val="0"/>
                    <w:ind w:firstLine="0" w:firstLineChars="0"/>
                    <w:textAlignment w:val="auto"/>
                    <w:rPr>
                      <w:color w:val="auto"/>
                      <w:szCs w:val="21"/>
                    </w:rPr>
                  </w:pPr>
                  <w:r>
                    <w:rPr>
                      <w:color w:val="auto"/>
                      <w:szCs w:val="21"/>
                    </w:rPr>
                    <w:t>对照《云南省人民政府办公厅关于推动落后和低端低效产能退出的实施意见》（云政办发〔</w:t>
                  </w:r>
                  <w:r>
                    <w:rPr>
                      <w:rFonts w:eastAsia="TimesNewRomanPSMT"/>
                      <w:color w:val="auto"/>
                      <w:szCs w:val="21"/>
                    </w:rPr>
                    <w:t>2022</w:t>
                  </w:r>
                  <w:r>
                    <w:rPr>
                      <w:color w:val="auto"/>
                      <w:szCs w:val="21"/>
                    </w:rPr>
                    <w:t>〕</w:t>
                  </w:r>
                  <w:r>
                    <w:rPr>
                      <w:rFonts w:eastAsia="TimesNewRomanPSMT"/>
                      <w:color w:val="auto"/>
                      <w:szCs w:val="21"/>
                    </w:rPr>
                    <w:t>17</w:t>
                  </w:r>
                  <w:r>
                    <w:rPr>
                      <w:color w:val="auto"/>
                      <w:szCs w:val="21"/>
                    </w:rPr>
                    <w:t>号），项目不属于淘汰落后产能和限制类产能。项目生产过程中能源消耗主要为电能，属于清洁能源，项目选用节能设备，降低能源消耗。项目用水主要为原料清洗用水、冷却用水、生活用水，用水量较小，生产废水循环使用，不外排。运营期产生的污染物采取环评提出的污染防治措施后均能达标排放，对区域环境质量影响较小。</w:t>
                  </w:r>
                </w:p>
                <w:p>
                  <w:pPr>
                    <w:keepNext w:val="0"/>
                    <w:keepLines w:val="0"/>
                    <w:pageBreakBefore w:val="0"/>
                    <w:widowControl w:val="0"/>
                    <w:kinsoku/>
                    <w:wordWrap/>
                    <w:overflowPunct/>
                    <w:bidi w:val="0"/>
                    <w:adjustRightInd w:val="0"/>
                    <w:snapToGrid w:val="0"/>
                    <w:ind w:firstLine="0" w:firstLineChars="0"/>
                    <w:textAlignment w:val="auto"/>
                    <w:rPr>
                      <w:color w:val="auto"/>
                      <w:szCs w:val="21"/>
                    </w:rPr>
                  </w:pPr>
                  <w:r>
                    <w:rPr>
                      <w:color w:val="auto"/>
                      <w:szCs w:val="21"/>
                    </w:rPr>
                    <w:t>本项目不涉及钢铁冶炼、水泥。</w:t>
                  </w:r>
                </w:p>
              </w:tc>
              <w:tc>
                <w:tcPr>
                  <w:tcW w:w="42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autoSpaceDE w:val="0"/>
                    <w:autoSpaceDN w:val="0"/>
                    <w:bidi w:val="0"/>
                    <w:adjustRightInd w:val="0"/>
                    <w:snapToGrid w:val="0"/>
                    <w:ind w:firstLine="0" w:firstLineChars="0"/>
                    <w:jc w:val="center"/>
                    <w:textAlignment w:val="auto"/>
                    <w:rPr>
                      <w:color w:val="auto"/>
                      <w:szCs w:val="21"/>
                    </w:rPr>
                  </w:pPr>
                  <w:r>
                    <w:rPr>
                      <w:color w:val="auto"/>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8" w:hRule="atLeast"/>
              </w:trPr>
              <w:tc>
                <w:tcPr>
                  <w:tcW w:w="25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autoSpaceDE w:val="0"/>
                    <w:autoSpaceDN w:val="0"/>
                    <w:bidi w:val="0"/>
                    <w:adjustRightInd w:val="0"/>
                    <w:snapToGrid w:val="0"/>
                    <w:ind w:firstLine="0" w:firstLineChars="0"/>
                    <w:jc w:val="center"/>
                    <w:textAlignment w:val="auto"/>
                    <w:rPr>
                      <w:color w:val="auto"/>
                      <w:szCs w:val="21"/>
                    </w:rPr>
                  </w:pPr>
                  <w:r>
                    <w:rPr>
                      <w:color w:val="auto"/>
                      <w:szCs w:val="21"/>
                    </w:rPr>
                    <w:t>4</w:t>
                  </w:r>
                </w:p>
              </w:tc>
              <w:tc>
                <w:tcPr>
                  <w:tcW w:w="2452"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bidi w:val="0"/>
                    <w:adjustRightInd w:val="0"/>
                    <w:snapToGrid w:val="0"/>
                    <w:ind w:firstLine="0" w:firstLineChars="0"/>
                    <w:textAlignment w:val="auto"/>
                    <w:rPr>
                      <w:color w:val="auto"/>
                      <w:szCs w:val="21"/>
                    </w:rPr>
                  </w:pPr>
                  <w:r>
                    <w:rPr>
                      <w:color w:val="auto"/>
                      <w:szCs w:val="21"/>
                    </w:rPr>
                    <w:t>严守环境质量底线，强化生态环境分区管控。根据“三线一单”、国家和地方有关大气污染防治的相关要求，严格执行大气污染物总量管控要求。园区入驻排污单位应采用先进的生产工艺路线、装备、清洁能源与原料，从源头上控制污染物的产生。现有排污单位应加强环境管理水平，确保各项污染物稳定达标排放、区域环境质量达标。</w:t>
                  </w:r>
                </w:p>
                <w:p>
                  <w:pPr>
                    <w:keepNext w:val="0"/>
                    <w:keepLines w:val="0"/>
                    <w:pageBreakBefore w:val="0"/>
                    <w:widowControl w:val="0"/>
                    <w:kinsoku/>
                    <w:wordWrap/>
                    <w:overflowPunct/>
                    <w:topLinePunct/>
                    <w:bidi w:val="0"/>
                    <w:adjustRightInd w:val="0"/>
                    <w:snapToGrid w:val="0"/>
                    <w:ind w:firstLine="0" w:firstLineChars="0"/>
                    <w:textAlignment w:val="auto"/>
                    <w:rPr>
                      <w:color w:val="auto"/>
                      <w:szCs w:val="21"/>
                    </w:rPr>
                  </w:pPr>
                  <w:r>
                    <w:rPr>
                      <w:color w:val="auto"/>
                      <w:szCs w:val="21"/>
                    </w:rPr>
                    <w:t>加快建设园区配套污水处理厂和中水处理厂，并同步建设污水、雨水及中水回用管网。做好“雨污分流”、“清污分流”，做好废水及初期雨水收集处理、强化中水回用。高度重视园区废水收集、处理、回用、排放的环境管理，提升园区中水回用水平，制定园区中水回用方案并加快实施。按要求开展入河排污口论证，区域水环境质量未达到水质目标前，除园区已设置入河排污口外，严格控制新设、改设或者扩大排污口。配合昆明市、宜良县相关政府部门，加快实施南盘江的水环境综合整治工程，持续改善区域地表水环境质量。</w:t>
                  </w:r>
                </w:p>
                <w:p>
                  <w:pPr>
                    <w:keepNext w:val="0"/>
                    <w:keepLines w:val="0"/>
                    <w:pageBreakBefore w:val="0"/>
                    <w:widowControl w:val="0"/>
                    <w:kinsoku/>
                    <w:wordWrap/>
                    <w:overflowPunct/>
                    <w:topLinePunct/>
                    <w:bidi w:val="0"/>
                    <w:adjustRightInd w:val="0"/>
                    <w:snapToGrid w:val="0"/>
                    <w:ind w:firstLine="0" w:firstLineChars="0"/>
                    <w:textAlignment w:val="auto"/>
                    <w:rPr>
                      <w:color w:val="auto"/>
                      <w:szCs w:val="21"/>
                    </w:rPr>
                  </w:pPr>
                  <w:r>
                    <w:rPr>
                      <w:color w:val="auto"/>
                      <w:szCs w:val="21"/>
                    </w:rPr>
                    <w:t>项目选址应充分考虑对地下水环境的影响，严格水文地质调查及工程地质勘察。严格执行《地下水管理条例》中相关规定，合理布局金属冶炼、危险化学品仓储、危险废物贮存、污水处理等对地下水存在较大环境风险的设施，确保区域地下水安全。园区入驻建设项目应采取有针对性的分区防渗措施，做好地下水污染防治和监控。</w:t>
                  </w:r>
                </w:p>
                <w:p>
                  <w:pPr>
                    <w:keepNext w:val="0"/>
                    <w:keepLines w:val="0"/>
                    <w:pageBreakBefore w:val="0"/>
                    <w:widowControl w:val="0"/>
                    <w:kinsoku/>
                    <w:wordWrap/>
                    <w:overflowPunct/>
                    <w:topLinePunct/>
                    <w:bidi w:val="0"/>
                    <w:adjustRightInd w:val="0"/>
                    <w:snapToGrid w:val="0"/>
                    <w:ind w:firstLine="0" w:firstLineChars="0"/>
                    <w:textAlignment w:val="auto"/>
                    <w:rPr>
                      <w:color w:val="auto"/>
                      <w:szCs w:val="21"/>
                    </w:rPr>
                  </w:pPr>
                  <w:r>
                    <w:rPr>
                      <w:color w:val="auto"/>
                      <w:szCs w:val="21"/>
                    </w:rPr>
                    <w:t>将土壤污染防治工作纳入园区规划及相关环境保护规划，采取有效预防措施。危险废物须按规定严格管控，积极推进工业固体废物综合利用，确需暂存或安全填埋处置的，暂存（处置）场的选址、建设必须按照相关要求严格落实污染防治措施。</w:t>
                  </w:r>
                </w:p>
                <w:p>
                  <w:pPr>
                    <w:keepNext w:val="0"/>
                    <w:keepLines w:val="0"/>
                    <w:pageBreakBefore w:val="0"/>
                    <w:widowControl w:val="0"/>
                    <w:kinsoku/>
                    <w:wordWrap/>
                    <w:overflowPunct/>
                    <w:topLinePunct/>
                    <w:bidi w:val="0"/>
                    <w:adjustRightInd w:val="0"/>
                    <w:snapToGrid w:val="0"/>
                    <w:ind w:firstLine="0" w:firstLineChars="0"/>
                    <w:textAlignment w:val="auto"/>
                    <w:rPr>
                      <w:color w:val="auto"/>
                      <w:szCs w:val="21"/>
                    </w:rPr>
                  </w:pPr>
                  <w:r>
                    <w:rPr>
                      <w:color w:val="auto"/>
                      <w:szCs w:val="21"/>
                    </w:rPr>
                    <w:t>按照国家和地方碳达峰行动方案和节能减排工作要求，积极开展园区减污降碳协同管控，推广园区能源梯级利用等节能降碳技术，实现减污降碳协同增效目标。做好产业布局、结构调整、节能审查与能耗双控的衔接，推动园区绿色低碳发展。</w:t>
                  </w:r>
                </w:p>
                <w:p>
                  <w:pPr>
                    <w:keepNext w:val="0"/>
                    <w:keepLines w:val="0"/>
                    <w:pageBreakBefore w:val="0"/>
                    <w:widowControl w:val="0"/>
                    <w:kinsoku/>
                    <w:wordWrap/>
                    <w:overflowPunct/>
                    <w:topLinePunct/>
                    <w:bidi w:val="0"/>
                    <w:adjustRightInd w:val="0"/>
                    <w:snapToGrid w:val="0"/>
                    <w:ind w:firstLine="0" w:firstLineChars="0"/>
                    <w:textAlignment w:val="auto"/>
                    <w:rPr>
                      <w:color w:val="auto"/>
                      <w:szCs w:val="21"/>
                    </w:rPr>
                  </w:pPr>
                  <w:r>
                    <w:rPr>
                      <w:color w:val="auto"/>
                      <w:szCs w:val="21"/>
                    </w:rPr>
                    <w:t>重点做好污染物减排工作，规划项目新增的主要污染物应落实区域削减要求，实现区域环境质量改善的总体要求。规划区涉及重点行业和“两高”行业项目新增主要污染物排放总量，实行超标污染物倍量削减替代，未超标污染物等量削减替代；其他行业新增主要污染物排放总量，应按照区域管控要求进行污染物削减替代。督促园区排污单位加强废气、废水、噪声、固体废物等环保设施建设和运行管理。</w:t>
                  </w:r>
                </w:p>
              </w:tc>
              <w:tc>
                <w:tcPr>
                  <w:tcW w:w="186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bidi w:val="0"/>
                    <w:adjustRightInd w:val="0"/>
                    <w:snapToGrid w:val="0"/>
                    <w:ind w:firstLine="0" w:firstLineChars="0"/>
                    <w:textAlignment w:val="auto"/>
                    <w:rPr>
                      <w:color w:val="auto"/>
                      <w:szCs w:val="21"/>
                    </w:rPr>
                  </w:pPr>
                  <w:r>
                    <w:rPr>
                      <w:color w:val="auto"/>
                      <w:szCs w:val="21"/>
                    </w:rPr>
                    <w:t>本次评价已提出各项污染防治措施和污染物的源头控制要求，符合宜良产业园区重点管控单元管控要求。</w:t>
                  </w:r>
                </w:p>
                <w:p>
                  <w:pPr>
                    <w:keepNext w:val="0"/>
                    <w:keepLines w:val="0"/>
                    <w:pageBreakBefore w:val="0"/>
                    <w:widowControl w:val="0"/>
                    <w:kinsoku/>
                    <w:wordWrap/>
                    <w:overflowPunct/>
                    <w:bidi w:val="0"/>
                    <w:adjustRightInd w:val="0"/>
                    <w:snapToGrid w:val="0"/>
                    <w:ind w:firstLine="0" w:firstLineChars="0"/>
                    <w:textAlignment w:val="auto"/>
                    <w:rPr>
                      <w:color w:val="auto"/>
                      <w:szCs w:val="21"/>
                    </w:rPr>
                  </w:pPr>
                  <w:r>
                    <w:rPr>
                      <w:color w:val="auto"/>
                      <w:szCs w:val="21"/>
                    </w:rPr>
                    <w:t>项目均采用先进的生产工艺路线、装备、清洁能源，从源头上控制污染物产生，严格执行大气污染物总量管控要求。</w:t>
                  </w:r>
                </w:p>
                <w:p>
                  <w:pPr>
                    <w:keepNext w:val="0"/>
                    <w:keepLines w:val="0"/>
                    <w:pageBreakBefore w:val="0"/>
                    <w:widowControl w:val="0"/>
                    <w:kinsoku/>
                    <w:wordWrap/>
                    <w:overflowPunct/>
                    <w:bidi w:val="0"/>
                    <w:adjustRightInd w:val="0"/>
                    <w:snapToGrid w:val="0"/>
                    <w:ind w:firstLine="0" w:firstLineChars="0"/>
                    <w:textAlignment w:val="auto"/>
                    <w:rPr>
                      <w:color w:val="auto"/>
                      <w:szCs w:val="21"/>
                    </w:rPr>
                  </w:pPr>
                  <w:r>
                    <w:rPr>
                      <w:color w:val="auto"/>
                      <w:szCs w:val="21"/>
                    </w:rPr>
                    <w:t>项目运营期</w:t>
                  </w:r>
                  <w:r>
                    <w:rPr>
                      <w:color w:val="auto"/>
                      <w:kern w:val="0"/>
                      <w:szCs w:val="21"/>
                    </w:rPr>
                    <w:t>生产废水循环使用，不外排；生活污水</w:t>
                  </w:r>
                  <w:r>
                    <w:rPr>
                      <w:rFonts w:hint="eastAsia"/>
                      <w:color w:val="auto"/>
                      <w:kern w:val="0"/>
                      <w:szCs w:val="21"/>
                      <w:lang w:val="en-US" w:eastAsia="zh-CN"/>
                    </w:rPr>
                    <w:t>暂存化粪池后委托清掏，</w:t>
                  </w:r>
                  <w:r>
                    <w:rPr>
                      <w:color w:val="auto"/>
                      <w:kern w:val="0"/>
                      <w:szCs w:val="21"/>
                    </w:rPr>
                    <w:t>不外排，不外排；不设置入河排污口。</w:t>
                  </w:r>
                </w:p>
                <w:p>
                  <w:pPr>
                    <w:keepNext w:val="0"/>
                    <w:keepLines w:val="0"/>
                    <w:pageBreakBefore w:val="0"/>
                    <w:widowControl w:val="0"/>
                    <w:kinsoku/>
                    <w:wordWrap/>
                    <w:overflowPunct/>
                    <w:bidi w:val="0"/>
                    <w:adjustRightInd w:val="0"/>
                    <w:snapToGrid w:val="0"/>
                    <w:ind w:firstLine="0" w:firstLineChars="0"/>
                    <w:textAlignment w:val="auto"/>
                    <w:rPr>
                      <w:color w:val="auto"/>
                      <w:szCs w:val="21"/>
                    </w:rPr>
                  </w:pPr>
                  <w:r>
                    <w:rPr>
                      <w:color w:val="auto"/>
                      <w:szCs w:val="21"/>
                    </w:rPr>
                    <w:t>项目所在区域不属于岩溶强发育、存在较多落水洞和岩溶漏斗的区域；本次评价已提出了分区防渗等地下水污染防治措施，对地下水及土壤的污染影响可控。</w:t>
                  </w:r>
                </w:p>
                <w:p>
                  <w:pPr>
                    <w:keepNext w:val="0"/>
                    <w:keepLines w:val="0"/>
                    <w:pageBreakBefore w:val="0"/>
                    <w:widowControl w:val="0"/>
                    <w:kinsoku/>
                    <w:wordWrap/>
                    <w:overflowPunct/>
                    <w:bidi w:val="0"/>
                    <w:adjustRightInd w:val="0"/>
                    <w:snapToGrid w:val="0"/>
                    <w:ind w:firstLine="0" w:firstLineChars="0"/>
                    <w:textAlignment w:val="auto"/>
                    <w:rPr>
                      <w:color w:val="auto"/>
                      <w:szCs w:val="21"/>
                    </w:rPr>
                  </w:pPr>
                  <w:r>
                    <w:rPr>
                      <w:color w:val="auto"/>
                      <w:szCs w:val="21"/>
                    </w:rPr>
                    <w:t>项目运营过程中危险废物主要为废活性炭、废矿物油等，经收集后暂存于危险废物暂存间内并委托有资质的单位进行处置。</w:t>
                  </w:r>
                </w:p>
                <w:p>
                  <w:pPr>
                    <w:keepNext w:val="0"/>
                    <w:keepLines w:val="0"/>
                    <w:pageBreakBefore w:val="0"/>
                    <w:widowControl w:val="0"/>
                    <w:kinsoku/>
                    <w:wordWrap/>
                    <w:overflowPunct/>
                    <w:bidi w:val="0"/>
                    <w:adjustRightInd w:val="0"/>
                    <w:snapToGrid w:val="0"/>
                    <w:ind w:firstLine="0" w:firstLineChars="0"/>
                    <w:textAlignment w:val="auto"/>
                    <w:rPr>
                      <w:color w:val="auto"/>
                      <w:szCs w:val="21"/>
                    </w:rPr>
                  </w:pPr>
                  <w:r>
                    <w:rPr>
                      <w:color w:val="auto"/>
                      <w:szCs w:val="21"/>
                    </w:rPr>
                    <w:t>本项目不涉及重点行业和“两高”行业，本次评价已提出总量控制指标及废气、废水、噪声、固体废物等环保设施建设和运行管理要求。根据环境影响分析，项目废气、废水、噪声均能达标排放，固废处置率为</w:t>
                  </w:r>
                  <w:r>
                    <w:rPr>
                      <w:rFonts w:eastAsia="TimesNewRomanPSMT"/>
                      <w:color w:val="auto"/>
                      <w:szCs w:val="21"/>
                    </w:rPr>
                    <w:t>100%</w:t>
                  </w:r>
                  <w:r>
                    <w:rPr>
                      <w:color w:val="auto"/>
                      <w:szCs w:val="21"/>
                    </w:rPr>
                    <w:t>，项目建设不会突破环境质量底线。</w:t>
                  </w:r>
                </w:p>
              </w:tc>
              <w:tc>
                <w:tcPr>
                  <w:tcW w:w="42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autoSpaceDE w:val="0"/>
                    <w:autoSpaceDN w:val="0"/>
                    <w:bidi w:val="0"/>
                    <w:adjustRightInd w:val="0"/>
                    <w:snapToGrid w:val="0"/>
                    <w:ind w:firstLine="0" w:firstLineChars="0"/>
                    <w:jc w:val="center"/>
                    <w:textAlignment w:val="auto"/>
                    <w:rPr>
                      <w:color w:val="auto"/>
                      <w:szCs w:val="21"/>
                    </w:rPr>
                  </w:pPr>
                  <w:r>
                    <w:rPr>
                      <w:color w:val="auto"/>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25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autoSpaceDE w:val="0"/>
                    <w:autoSpaceDN w:val="0"/>
                    <w:bidi w:val="0"/>
                    <w:adjustRightInd w:val="0"/>
                    <w:snapToGrid w:val="0"/>
                    <w:ind w:firstLine="0" w:firstLineChars="0"/>
                    <w:jc w:val="center"/>
                    <w:textAlignment w:val="auto"/>
                    <w:rPr>
                      <w:color w:val="auto"/>
                      <w:szCs w:val="21"/>
                    </w:rPr>
                  </w:pPr>
                  <w:r>
                    <w:rPr>
                      <w:color w:val="auto"/>
                      <w:szCs w:val="21"/>
                    </w:rPr>
                    <w:t>5</w:t>
                  </w:r>
                </w:p>
              </w:tc>
              <w:tc>
                <w:tcPr>
                  <w:tcW w:w="2452"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bidi w:val="0"/>
                    <w:adjustRightInd w:val="0"/>
                    <w:snapToGrid w:val="0"/>
                    <w:ind w:firstLine="0" w:firstLineChars="0"/>
                    <w:textAlignment w:val="auto"/>
                    <w:rPr>
                      <w:color w:val="auto"/>
                      <w:szCs w:val="21"/>
                    </w:rPr>
                  </w:pPr>
                  <w:r>
                    <w:rPr>
                      <w:color w:val="auto"/>
                      <w:szCs w:val="21"/>
                    </w:rPr>
                    <w:t>制定准入清单，严格入园项目生态环境准入管理。加强“两高”行业生态环境源头防控，园区引进项目应采用先进适用的工艺技术和装备。入园项目需符合国家产业政策、产业布局规划要求，符合昆明市“三线一单”管控要求。</w:t>
                  </w:r>
                </w:p>
              </w:tc>
              <w:tc>
                <w:tcPr>
                  <w:tcW w:w="186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bidi w:val="0"/>
                    <w:adjustRightInd w:val="0"/>
                    <w:snapToGrid w:val="0"/>
                    <w:ind w:firstLine="0" w:firstLineChars="0"/>
                    <w:textAlignment w:val="auto"/>
                    <w:rPr>
                      <w:color w:val="auto"/>
                      <w:szCs w:val="21"/>
                    </w:rPr>
                  </w:pPr>
                  <w:r>
                    <w:rPr>
                      <w:color w:val="auto"/>
                      <w:szCs w:val="21"/>
                    </w:rPr>
                    <w:t>本项目不涉及重点行业和“两高”行业，本项目符合国家相关产业政策，与园区产业布局不冲突，符合用地规划，符合宜良产业园区重点管控单元管控要求。</w:t>
                  </w:r>
                </w:p>
              </w:tc>
              <w:tc>
                <w:tcPr>
                  <w:tcW w:w="42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autoSpaceDE w:val="0"/>
                    <w:autoSpaceDN w:val="0"/>
                    <w:bidi w:val="0"/>
                    <w:adjustRightInd w:val="0"/>
                    <w:snapToGrid w:val="0"/>
                    <w:ind w:firstLine="0" w:firstLineChars="0"/>
                    <w:jc w:val="center"/>
                    <w:textAlignment w:val="auto"/>
                    <w:rPr>
                      <w:color w:val="auto"/>
                      <w:szCs w:val="21"/>
                    </w:rPr>
                  </w:pPr>
                  <w:r>
                    <w:rPr>
                      <w:color w:val="auto"/>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25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autoSpaceDE w:val="0"/>
                    <w:autoSpaceDN w:val="0"/>
                    <w:bidi w:val="0"/>
                    <w:adjustRightInd w:val="0"/>
                    <w:snapToGrid w:val="0"/>
                    <w:ind w:firstLine="0" w:firstLineChars="0"/>
                    <w:jc w:val="center"/>
                    <w:textAlignment w:val="auto"/>
                    <w:rPr>
                      <w:color w:val="auto"/>
                      <w:szCs w:val="21"/>
                    </w:rPr>
                  </w:pPr>
                  <w:r>
                    <w:rPr>
                      <w:color w:val="auto"/>
                      <w:szCs w:val="21"/>
                    </w:rPr>
                    <w:t>6</w:t>
                  </w:r>
                </w:p>
              </w:tc>
              <w:tc>
                <w:tcPr>
                  <w:tcW w:w="2452"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bidi w:val="0"/>
                    <w:adjustRightInd w:val="0"/>
                    <w:snapToGrid w:val="0"/>
                    <w:ind w:firstLine="0" w:firstLineChars="0"/>
                    <w:textAlignment w:val="auto"/>
                    <w:rPr>
                      <w:color w:val="auto"/>
                      <w:szCs w:val="21"/>
                    </w:rPr>
                  </w:pPr>
                  <w:r>
                    <w:rPr>
                      <w:color w:val="auto"/>
                      <w:szCs w:val="21"/>
                    </w:rPr>
                    <w:t>建立健全区域环境风险防范和生态安全保障体系。加强有毒有害和易燃易爆物质的使用、贮运等管理，统筹考虑区内污染防治、生态恢复与建设、环境风险防范、环境管理等事宜。制定园区环境风险应急预案，建立多级防控体系，强化预警能力建设，防范环境风险，保障区域环境安全。</w:t>
                  </w:r>
                </w:p>
              </w:tc>
              <w:tc>
                <w:tcPr>
                  <w:tcW w:w="186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bidi w:val="0"/>
                    <w:ind w:firstLine="0" w:firstLineChars="0"/>
                    <w:textAlignment w:val="auto"/>
                    <w:rPr>
                      <w:color w:val="auto"/>
                      <w:szCs w:val="21"/>
                    </w:rPr>
                  </w:pPr>
                  <w:r>
                    <w:rPr>
                      <w:color w:val="auto"/>
                      <w:szCs w:val="21"/>
                    </w:rPr>
                    <w:t>项目厂界外</w:t>
                  </w:r>
                  <w:r>
                    <w:rPr>
                      <w:rFonts w:eastAsia="TimesNewRomanPSMT"/>
                      <w:color w:val="auto"/>
                      <w:szCs w:val="21"/>
                    </w:rPr>
                    <w:t>500m</w:t>
                  </w:r>
                  <w:r>
                    <w:rPr>
                      <w:color w:val="auto"/>
                      <w:szCs w:val="21"/>
                    </w:rPr>
                    <w:t>范围内不存在环境保护目标。根据风险分析，项目风险较小，采取环评提出的风险防控措施后，环境风险可控。本环评要求项目建成后，及时编制突发环境事件应急预案并备案，定期进行演练。</w:t>
                  </w:r>
                </w:p>
              </w:tc>
              <w:tc>
                <w:tcPr>
                  <w:tcW w:w="42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autoSpaceDE w:val="0"/>
                    <w:autoSpaceDN w:val="0"/>
                    <w:bidi w:val="0"/>
                    <w:adjustRightInd w:val="0"/>
                    <w:snapToGrid w:val="0"/>
                    <w:ind w:firstLine="0" w:firstLineChars="0"/>
                    <w:jc w:val="center"/>
                    <w:textAlignment w:val="auto"/>
                    <w:rPr>
                      <w:color w:val="auto"/>
                      <w:szCs w:val="21"/>
                    </w:rPr>
                  </w:pPr>
                  <w:r>
                    <w:rPr>
                      <w:color w:val="auto"/>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6" w:hRule="atLeast"/>
              </w:trPr>
              <w:tc>
                <w:tcPr>
                  <w:tcW w:w="25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autoSpaceDE w:val="0"/>
                    <w:autoSpaceDN w:val="0"/>
                    <w:bidi w:val="0"/>
                    <w:adjustRightInd w:val="0"/>
                    <w:snapToGrid w:val="0"/>
                    <w:ind w:firstLine="0" w:firstLineChars="0"/>
                    <w:jc w:val="center"/>
                    <w:textAlignment w:val="auto"/>
                    <w:rPr>
                      <w:color w:val="auto"/>
                      <w:szCs w:val="21"/>
                    </w:rPr>
                  </w:pPr>
                  <w:r>
                    <w:rPr>
                      <w:color w:val="auto"/>
                      <w:szCs w:val="21"/>
                    </w:rPr>
                    <w:t>7</w:t>
                  </w:r>
                </w:p>
              </w:tc>
              <w:tc>
                <w:tcPr>
                  <w:tcW w:w="2452"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bidi w:val="0"/>
                    <w:adjustRightInd w:val="0"/>
                    <w:snapToGrid w:val="0"/>
                    <w:ind w:firstLine="0" w:firstLineChars="0"/>
                    <w:textAlignment w:val="auto"/>
                    <w:rPr>
                      <w:color w:val="auto"/>
                      <w:szCs w:val="21"/>
                    </w:rPr>
                  </w:pPr>
                  <w:r>
                    <w:rPr>
                      <w:color w:val="auto"/>
                      <w:szCs w:val="21"/>
                    </w:rPr>
                    <w:t>建立环境质量监测网络并共享数据。统筹安排环境监测监控网络建设，做好区内大气、地表水、地下水、土壤等环境要素的长期跟踪监测与管理，督促排污单位落实自行监测主体责任。根据监测结果及实际环境影响等，验证不良环境影响减缓措施的有效性，适时优化调整环境管理计划。</w:t>
                  </w:r>
                </w:p>
              </w:tc>
              <w:tc>
                <w:tcPr>
                  <w:tcW w:w="186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bidi w:val="0"/>
                    <w:adjustRightInd w:val="0"/>
                    <w:snapToGrid w:val="0"/>
                    <w:ind w:firstLine="0" w:firstLineChars="0"/>
                    <w:textAlignment w:val="auto"/>
                    <w:rPr>
                      <w:color w:val="auto"/>
                      <w:szCs w:val="21"/>
                    </w:rPr>
                  </w:pPr>
                  <w:r>
                    <w:rPr>
                      <w:color w:val="auto"/>
                      <w:szCs w:val="21"/>
                    </w:rPr>
                    <w:t>本项目严格按照排污许可证等文件要求制定自行监测计划，项目建成投产后，将严格按照自行监测计划执行，开展自行监测工作。</w:t>
                  </w:r>
                </w:p>
              </w:tc>
              <w:tc>
                <w:tcPr>
                  <w:tcW w:w="42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autoSpaceDE w:val="0"/>
                    <w:autoSpaceDN w:val="0"/>
                    <w:bidi w:val="0"/>
                    <w:adjustRightInd w:val="0"/>
                    <w:snapToGrid w:val="0"/>
                    <w:ind w:firstLine="0" w:firstLineChars="0"/>
                    <w:jc w:val="center"/>
                    <w:textAlignment w:val="auto"/>
                    <w:rPr>
                      <w:color w:val="auto"/>
                      <w:szCs w:val="21"/>
                    </w:rPr>
                  </w:pPr>
                  <w:r>
                    <w:rPr>
                      <w:color w:val="auto"/>
                      <w:szCs w:val="21"/>
                    </w:rPr>
                    <w:t>符合</w:t>
                  </w:r>
                </w:p>
              </w:tc>
            </w:tr>
          </w:tbl>
          <w:p>
            <w:pPr>
              <w:widowControl/>
              <w:adjustRightInd w:val="0"/>
              <w:snapToGrid w:val="0"/>
              <w:spacing w:line="360" w:lineRule="auto"/>
              <w:ind w:firstLine="480" w:firstLineChars="200"/>
              <w:jc w:val="left"/>
              <w:rPr>
                <w:color w:val="auto"/>
                <w:kern w:val="0"/>
                <w:szCs w:val="21"/>
              </w:rPr>
            </w:pPr>
            <w:r>
              <w:rPr>
                <w:color w:val="auto"/>
                <w:kern w:val="0"/>
                <w:sz w:val="24"/>
                <w:szCs w:val="24"/>
              </w:rPr>
              <w:t>由上表可知，本项目的建设符合《云南宜良产业园区总体规划（2021</w:t>
            </w:r>
            <w:r>
              <w:rPr>
                <w:rFonts w:hint="eastAsia"/>
                <w:color w:val="auto"/>
                <w:kern w:val="0"/>
                <w:sz w:val="24"/>
                <w:szCs w:val="24"/>
                <w:lang w:eastAsia="zh-CN"/>
              </w:rPr>
              <w:t>—</w:t>
            </w:r>
            <w:r>
              <w:rPr>
                <w:color w:val="auto"/>
                <w:kern w:val="0"/>
                <w:sz w:val="24"/>
                <w:szCs w:val="24"/>
              </w:rPr>
              <w:t>2035年）环境影响报告书》审查意见相关要求。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573" w:type="dxa"/>
            <w:vAlign w:val="center"/>
          </w:tcPr>
          <w:p>
            <w:pPr>
              <w:autoSpaceDE w:val="0"/>
              <w:autoSpaceDN w:val="0"/>
              <w:adjustRightInd w:val="0"/>
              <w:snapToGrid w:val="0"/>
              <w:jc w:val="center"/>
              <w:rPr>
                <w:color w:val="auto"/>
                <w:kern w:val="0"/>
                <w:szCs w:val="21"/>
              </w:rPr>
            </w:pPr>
            <w:r>
              <w:rPr>
                <w:color w:val="auto"/>
                <w:kern w:val="0"/>
                <w:szCs w:val="21"/>
              </w:rPr>
              <w:t>其他符合性分析</w:t>
            </w:r>
          </w:p>
        </w:tc>
        <w:tc>
          <w:tcPr>
            <w:tcW w:w="7297" w:type="dxa"/>
            <w:gridSpan w:val="3"/>
            <w:vAlign w:val="center"/>
          </w:tcPr>
          <w:p>
            <w:pPr>
              <w:autoSpaceDE w:val="0"/>
              <w:autoSpaceDN w:val="0"/>
              <w:adjustRightInd w:val="0"/>
              <w:snapToGrid w:val="0"/>
              <w:spacing w:line="360" w:lineRule="auto"/>
              <w:rPr>
                <w:b/>
                <w:color w:val="auto"/>
                <w:kern w:val="0"/>
                <w:sz w:val="24"/>
                <w:szCs w:val="24"/>
              </w:rPr>
            </w:pPr>
            <w:r>
              <w:rPr>
                <w:b/>
                <w:color w:val="auto"/>
                <w:kern w:val="0"/>
                <w:sz w:val="24"/>
                <w:szCs w:val="24"/>
              </w:rPr>
              <w:t>1、产业政策符合性分析</w:t>
            </w:r>
          </w:p>
          <w:p>
            <w:pPr>
              <w:autoSpaceDE w:val="0"/>
              <w:autoSpaceDN w:val="0"/>
              <w:adjustRightInd w:val="0"/>
              <w:snapToGrid w:val="0"/>
              <w:spacing w:line="360" w:lineRule="auto"/>
              <w:ind w:firstLine="480" w:firstLineChars="200"/>
              <w:rPr>
                <w:color w:val="auto"/>
                <w:sz w:val="24"/>
                <w:szCs w:val="24"/>
              </w:rPr>
            </w:pPr>
            <w:r>
              <w:rPr>
                <w:color w:val="auto"/>
                <w:sz w:val="24"/>
                <w:szCs w:val="24"/>
              </w:rPr>
              <w:t>本项目属于非金属废料和碎屑加工处理，根据《产业结构调整指导目录（2024年本）》，本项目属于鼓励类中“四十二、环境保护与资源节约综合利用—8、废弃物循环利用：废钢铁、废有色金属、废纸、废橡胶、废塑料、废旧木材……”。</w:t>
            </w:r>
          </w:p>
          <w:p>
            <w:pPr>
              <w:autoSpaceDE w:val="0"/>
              <w:autoSpaceDN w:val="0"/>
              <w:adjustRightInd w:val="0"/>
              <w:snapToGrid w:val="0"/>
              <w:spacing w:line="360" w:lineRule="auto"/>
              <w:ind w:firstLine="480" w:firstLineChars="200"/>
              <w:rPr>
                <w:color w:val="auto"/>
                <w:sz w:val="24"/>
                <w:szCs w:val="24"/>
              </w:rPr>
            </w:pPr>
            <w:r>
              <w:rPr>
                <w:color w:val="auto"/>
                <w:sz w:val="24"/>
                <w:szCs w:val="24"/>
              </w:rPr>
              <w:t>本项目产品也不属于《环境保护综合名录（2021年版）》中所列的“高污染、高环境风险”产品；本项目的生产工艺、产品及制造过程中涉及的设备均不在《淘汰落后生产能力、工艺和产品的目录》（第一、二、三批）规定的范围内。根据《国家发展改革委商务部关于印发〈市场准入负面清单（2025年版）〉的通知》（发改体改规〔2025〕466号），本项目不属于负面清单中禁止准入事项，亦不属于许可准入事项，属于市场准入负面清单以外的行业且不涉及与市场准入相关的禁止性规定。</w:t>
            </w:r>
          </w:p>
          <w:p>
            <w:pPr>
              <w:autoSpaceDE w:val="0"/>
              <w:autoSpaceDN w:val="0"/>
              <w:adjustRightInd w:val="0"/>
              <w:snapToGrid w:val="0"/>
              <w:spacing w:line="360" w:lineRule="auto"/>
              <w:ind w:firstLine="480" w:firstLineChars="200"/>
              <w:rPr>
                <w:color w:val="auto"/>
                <w:sz w:val="24"/>
                <w:szCs w:val="24"/>
              </w:rPr>
            </w:pPr>
            <w:r>
              <w:rPr>
                <w:color w:val="auto"/>
                <w:sz w:val="24"/>
                <w:szCs w:val="24"/>
              </w:rPr>
              <w:t>且项目于202</w:t>
            </w:r>
            <w:r>
              <w:rPr>
                <w:rFonts w:hint="eastAsia"/>
                <w:color w:val="auto"/>
                <w:sz w:val="24"/>
                <w:szCs w:val="24"/>
                <w:lang w:val="en-US" w:eastAsia="zh-CN"/>
              </w:rPr>
              <w:t>6</w:t>
            </w:r>
            <w:r>
              <w:rPr>
                <w:color w:val="auto"/>
                <w:sz w:val="24"/>
                <w:szCs w:val="24"/>
              </w:rPr>
              <w:t>年</w:t>
            </w:r>
            <w:r>
              <w:rPr>
                <w:rFonts w:hint="eastAsia"/>
                <w:color w:val="auto"/>
                <w:sz w:val="24"/>
                <w:szCs w:val="24"/>
                <w:lang w:val="en-US" w:eastAsia="zh-CN"/>
              </w:rPr>
              <w:t>6</w:t>
            </w:r>
            <w:r>
              <w:rPr>
                <w:color w:val="auto"/>
                <w:sz w:val="24"/>
                <w:szCs w:val="24"/>
              </w:rPr>
              <w:t>月</w:t>
            </w:r>
            <w:r>
              <w:rPr>
                <w:rFonts w:hint="eastAsia"/>
                <w:color w:val="auto"/>
                <w:sz w:val="24"/>
                <w:szCs w:val="24"/>
              </w:rPr>
              <w:t>25</w:t>
            </w:r>
            <w:r>
              <w:rPr>
                <w:color w:val="auto"/>
                <w:sz w:val="24"/>
                <w:szCs w:val="24"/>
              </w:rPr>
              <w:t>日取得宜良县发展和改革局下发的投资项目备案证，备案号（项目</w:t>
            </w:r>
            <w:r>
              <w:rPr>
                <w:rFonts w:hint="eastAsia"/>
                <w:color w:val="auto"/>
                <w:sz w:val="24"/>
                <w:szCs w:val="24"/>
              </w:rPr>
              <w:t>代码</w:t>
            </w:r>
            <w:r>
              <w:rPr>
                <w:color w:val="auto"/>
                <w:sz w:val="24"/>
                <w:szCs w:val="24"/>
              </w:rPr>
              <w:t>）为：</w:t>
            </w:r>
            <w:r>
              <w:rPr>
                <w:rFonts w:hint="eastAsia"/>
                <w:color w:val="auto"/>
                <w:sz w:val="24"/>
                <w:szCs w:val="24"/>
              </w:rPr>
              <w:t>2606-530125-04-01-650847</w:t>
            </w:r>
            <w:r>
              <w:rPr>
                <w:color w:val="auto"/>
                <w:sz w:val="24"/>
                <w:szCs w:val="24"/>
              </w:rPr>
              <w:t>。因此，本项目符合国家的产业政策。</w:t>
            </w:r>
          </w:p>
          <w:p>
            <w:pPr>
              <w:autoSpaceDE w:val="0"/>
              <w:autoSpaceDN w:val="0"/>
              <w:adjustRightInd w:val="0"/>
              <w:snapToGrid w:val="0"/>
              <w:spacing w:line="360" w:lineRule="auto"/>
              <w:rPr>
                <w:b/>
                <w:color w:val="auto"/>
                <w:sz w:val="24"/>
                <w:szCs w:val="24"/>
              </w:rPr>
            </w:pPr>
            <w:r>
              <w:rPr>
                <w:b/>
                <w:color w:val="auto"/>
                <w:kern w:val="0"/>
                <w:sz w:val="24"/>
                <w:szCs w:val="24"/>
              </w:rPr>
              <w:t>2、</w:t>
            </w:r>
            <w:r>
              <w:rPr>
                <w:b/>
                <w:bCs/>
                <w:color w:val="auto"/>
                <w:sz w:val="24"/>
                <w:szCs w:val="24"/>
              </w:rPr>
              <w:t>与</w:t>
            </w:r>
            <w:r>
              <w:rPr>
                <w:b/>
                <w:color w:val="auto"/>
                <w:sz w:val="24"/>
                <w:szCs w:val="24"/>
              </w:rPr>
              <w:t>“生态环境分区管控”符合性分析</w:t>
            </w:r>
          </w:p>
          <w:p>
            <w:pPr>
              <w:adjustRightInd w:val="0"/>
              <w:snapToGrid w:val="0"/>
              <w:spacing w:line="360" w:lineRule="auto"/>
              <w:ind w:firstLine="480" w:firstLineChars="200"/>
              <w:jc w:val="both"/>
              <w:rPr>
                <w:color w:val="auto"/>
                <w:sz w:val="24"/>
                <w:szCs w:val="24"/>
              </w:rPr>
            </w:pPr>
            <w:r>
              <w:rPr>
                <w:color w:val="auto"/>
                <w:sz w:val="24"/>
                <w:szCs w:val="24"/>
              </w:rPr>
              <w:t>根据昆明市生态环境局关于印发</w:t>
            </w:r>
            <w:bookmarkStart w:id="9" w:name="OLE_LINK37"/>
            <w:r>
              <w:rPr>
                <w:color w:val="auto"/>
                <w:sz w:val="24"/>
                <w:szCs w:val="24"/>
              </w:rPr>
              <w:t>《昆明市生态环境分区管控动态更新方案（2023年）》</w:t>
            </w:r>
            <w:bookmarkEnd w:id="9"/>
            <w:r>
              <w:rPr>
                <w:color w:val="auto"/>
                <w:sz w:val="24"/>
                <w:szCs w:val="24"/>
              </w:rPr>
              <w:t>的通知，经云南省生态环境分区管控公共服务查询平台查询，本项目位于宜良产业园区重点管控单元。</w:t>
            </w:r>
          </w:p>
          <w:p>
            <w:pPr>
              <w:adjustRightInd w:val="0"/>
              <w:snapToGrid w:val="0"/>
              <w:spacing w:line="360" w:lineRule="auto"/>
              <w:ind w:firstLine="480" w:firstLineChars="200"/>
              <w:rPr>
                <w:color w:val="auto"/>
                <w:sz w:val="24"/>
                <w:szCs w:val="24"/>
              </w:rPr>
            </w:pPr>
            <w:r>
              <w:rPr>
                <w:color w:val="auto"/>
                <w:sz w:val="24"/>
                <w:szCs w:val="24"/>
              </w:rPr>
              <w:t>本项目与昆明市生态环境分区管控动态更新方案（2023年）分区管控要求符合性分析如下：</w:t>
            </w:r>
          </w:p>
          <w:p>
            <w:pPr>
              <w:adjustRightInd w:val="0"/>
              <w:snapToGrid w:val="0"/>
              <w:spacing w:line="360" w:lineRule="auto"/>
              <w:ind w:firstLine="480" w:firstLineChars="200"/>
              <w:rPr>
                <w:color w:val="auto"/>
                <w:sz w:val="24"/>
                <w:szCs w:val="24"/>
              </w:rPr>
            </w:pPr>
            <w:r>
              <w:rPr>
                <w:color w:val="auto"/>
                <w:sz w:val="24"/>
                <w:szCs w:val="24"/>
              </w:rPr>
              <w:t>（1）生态保护红线</w:t>
            </w:r>
          </w:p>
          <w:p>
            <w:pPr>
              <w:adjustRightInd w:val="0"/>
              <w:snapToGrid w:val="0"/>
              <w:spacing w:line="360" w:lineRule="auto"/>
              <w:ind w:firstLine="480" w:firstLineChars="200"/>
              <w:rPr>
                <w:color w:val="auto"/>
                <w:sz w:val="24"/>
                <w:szCs w:val="24"/>
              </w:rPr>
            </w:pPr>
            <w:r>
              <w:rPr>
                <w:color w:val="auto"/>
                <w:sz w:val="24"/>
                <w:szCs w:val="24"/>
              </w:rPr>
              <w:t>更新后，生态保护红线全面与《昆明市国土空间总体规划（2021</w:t>
            </w:r>
            <w:r>
              <w:rPr>
                <w:rFonts w:hint="eastAsia"/>
                <w:color w:val="auto"/>
                <w:sz w:val="24"/>
                <w:szCs w:val="24"/>
                <w:lang w:eastAsia="zh-CN"/>
              </w:rPr>
              <w:t>—</w:t>
            </w:r>
            <w:r>
              <w:rPr>
                <w:color w:val="auto"/>
                <w:sz w:val="24"/>
                <w:szCs w:val="24"/>
              </w:rPr>
              <w:t>2035年）》衔接，全市生态保护红线面积4274.70平方公里，占全市国土面积的20.34%，较原有面积占比减少1.85%。全市一般生态空间面积5151.56平方公里，占国土空间面积的24.37%，较原有面积占比增加2.45%。</w:t>
            </w:r>
          </w:p>
          <w:p>
            <w:pPr>
              <w:adjustRightInd w:val="0"/>
              <w:snapToGrid w:val="0"/>
              <w:spacing w:line="360" w:lineRule="auto"/>
              <w:ind w:firstLine="480" w:firstLineChars="200"/>
              <w:rPr>
                <w:color w:val="auto"/>
                <w:sz w:val="24"/>
                <w:szCs w:val="24"/>
              </w:rPr>
            </w:pPr>
            <w:r>
              <w:rPr>
                <w:color w:val="auto"/>
                <w:sz w:val="24"/>
                <w:szCs w:val="24"/>
              </w:rPr>
              <w:t>本项目租用</w:t>
            </w:r>
            <w:r>
              <w:rPr>
                <w:rFonts w:hint="eastAsia"/>
                <w:color w:val="auto"/>
                <w:sz w:val="24"/>
                <w:szCs w:val="24"/>
                <w:lang w:eastAsia="zh-CN"/>
              </w:rPr>
              <w:t>云南宝塑塑料管业有限公司</w:t>
            </w:r>
            <w:r>
              <w:rPr>
                <w:color w:val="auto"/>
                <w:sz w:val="24"/>
                <w:szCs w:val="24"/>
              </w:rPr>
              <w:t>的闲置厂房，不涉及新增占地</w:t>
            </w:r>
            <w:r>
              <w:rPr>
                <w:rFonts w:hint="eastAsia"/>
                <w:color w:val="auto"/>
                <w:sz w:val="24"/>
                <w:szCs w:val="24"/>
                <w:lang w:eastAsia="zh-CN"/>
              </w:rPr>
              <w:t>，</w:t>
            </w:r>
            <w:r>
              <w:rPr>
                <w:color w:val="auto"/>
                <w:sz w:val="24"/>
                <w:szCs w:val="24"/>
              </w:rPr>
              <w:t>项目</w:t>
            </w:r>
            <w:r>
              <w:rPr>
                <w:rFonts w:hint="eastAsia"/>
                <w:color w:val="auto"/>
                <w:sz w:val="24"/>
                <w:szCs w:val="24"/>
                <w:lang w:val="en-US" w:eastAsia="zh-CN"/>
              </w:rPr>
              <w:t>占地性质为二类工业用地，</w:t>
            </w:r>
            <w:r>
              <w:rPr>
                <w:color w:val="auto"/>
                <w:sz w:val="24"/>
                <w:szCs w:val="24"/>
              </w:rPr>
              <w:t>不涉及占用生态保护红线。</w:t>
            </w:r>
          </w:p>
          <w:p>
            <w:pPr>
              <w:adjustRightInd w:val="0"/>
              <w:snapToGrid w:val="0"/>
              <w:spacing w:line="360" w:lineRule="auto"/>
              <w:ind w:firstLine="480" w:firstLineChars="200"/>
              <w:jc w:val="left"/>
              <w:rPr>
                <w:color w:val="auto"/>
                <w:sz w:val="24"/>
                <w:szCs w:val="24"/>
              </w:rPr>
            </w:pPr>
            <w:r>
              <w:rPr>
                <w:color w:val="auto"/>
                <w:sz w:val="24"/>
                <w:szCs w:val="24"/>
              </w:rPr>
              <w:t>（2）环境质量底线</w:t>
            </w:r>
          </w:p>
          <w:p>
            <w:pPr>
              <w:adjustRightInd w:val="0"/>
              <w:snapToGrid w:val="0"/>
              <w:spacing w:line="360" w:lineRule="auto"/>
              <w:ind w:firstLine="480" w:firstLineChars="200"/>
              <w:rPr>
                <w:color w:val="auto"/>
                <w:sz w:val="24"/>
                <w:szCs w:val="24"/>
              </w:rPr>
            </w:pPr>
            <w:r>
              <w:rPr>
                <w:color w:val="auto"/>
                <w:sz w:val="24"/>
                <w:szCs w:val="24"/>
              </w:rPr>
              <w:t>到2025年，地表水国考断面达到或优于Ⅲ类的比例81.5%，45个省控地表水断面水质优良</w:t>
            </w:r>
            <w:r>
              <w:rPr>
                <w:rFonts w:hint="eastAsia"/>
                <w:color w:val="auto"/>
                <w:sz w:val="24"/>
                <w:szCs w:val="24"/>
                <w:lang w:eastAsia="zh-CN"/>
              </w:rPr>
              <w:t>（</w:t>
            </w:r>
            <w:r>
              <w:rPr>
                <w:color w:val="auto"/>
                <w:sz w:val="24"/>
                <w:szCs w:val="24"/>
              </w:rPr>
              <w:t>达到或优于Ⅲ类）比例达到80%，</w:t>
            </w:r>
            <w:r>
              <w:rPr>
                <w:rFonts w:hint="eastAsia"/>
                <w:color w:val="auto"/>
                <w:sz w:val="24"/>
                <w:szCs w:val="24"/>
                <w:lang w:eastAsia="zh-CN"/>
              </w:rPr>
              <w:t>劣Ⅴ类水体</w:t>
            </w:r>
            <w:r>
              <w:rPr>
                <w:color w:val="auto"/>
                <w:sz w:val="24"/>
                <w:szCs w:val="24"/>
              </w:rPr>
              <w:t>全面消除，县级以上22个集中式饮用水水源达到或优于Ⅲ类比例为100%；空气质量优良天数比率达99.1%，细颗粒物</w:t>
            </w:r>
            <w:r>
              <w:rPr>
                <w:rFonts w:hint="eastAsia"/>
                <w:color w:val="auto"/>
                <w:sz w:val="24"/>
                <w:szCs w:val="24"/>
                <w:lang w:eastAsia="zh-CN"/>
              </w:rPr>
              <w:t>（</w:t>
            </w:r>
            <w:r>
              <w:rPr>
                <w:color w:val="auto"/>
                <w:sz w:val="24"/>
                <w:szCs w:val="24"/>
              </w:rPr>
              <w:t>PM</w:t>
            </w:r>
            <w:r>
              <w:rPr>
                <w:color w:val="auto"/>
                <w:sz w:val="24"/>
                <w:szCs w:val="24"/>
                <w:vertAlign w:val="subscript"/>
              </w:rPr>
              <w:t>2.5</w:t>
            </w:r>
            <w:r>
              <w:rPr>
                <w:color w:val="auto"/>
                <w:sz w:val="24"/>
                <w:szCs w:val="24"/>
              </w:rPr>
              <w:t>）浓度不高于24微克/立方米，重污染天数为0；全市土壤环境质量总体保持稳定，局部稳中向好，受污染耕地安全利用率不低于90%，重点建设用地安全利用得到有效保障。</w:t>
            </w:r>
          </w:p>
          <w:p>
            <w:pPr>
              <w:adjustRightInd w:val="0"/>
              <w:snapToGrid w:val="0"/>
              <w:spacing w:line="360" w:lineRule="auto"/>
              <w:ind w:firstLine="480" w:firstLineChars="200"/>
              <w:rPr>
                <w:color w:val="auto"/>
                <w:sz w:val="24"/>
                <w:szCs w:val="24"/>
              </w:rPr>
            </w:pPr>
            <w:r>
              <w:rPr>
                <w:color w:val="auto"/>
                <w:sz w:val="24"/>
                <w:szCs w:val="24"/>
              </w:rPr>
              <w:t>本项目位于环境空气二类区，根据“第三章”项目所在地环境质量现状分析，评价区域环境空气质量满足《环境空气质量标准》（GB3095-20</w:t>
            </w:r>
            <w:r>
              <w:rPr>
                <w:rFonts w:hint="eastAsia"/>
                <w:color w:val="auto"/>
                <w:sz w:val="24"/>
                <w:szCs w:val="24"/>
                <w:lang w:val="en-US" w:eastAsia="zh-CN"/>
              </w:rPr>
              <w:t>26</w:t>
            </w:r>
            <w:r>
              <w:rPr>
                <w:color w:val="auto"/>
                <w:sz w:val="24"/>
                <w:szCs w:val="24"/>
              </w:rPr>
              <w:t>）</w:t>
            </w:r>
            <w:r>
              <w:rPr>
                <w:rFonts w:hint="eastAsia"/>
                <w:color w:val="auto"/>
                <w:sz w:val="24"/>
                <w:szCs w:val="24"/>
                <w:lang w:val="en-US" w:eastAsia="zh-CN"/>
              </w:rPr>
              <w:t>中过渡阶段浓度限值</w:t>
            </w:r>
            <w:r>
              <w:rPr>
                <w:color w:val="auto"/>
                <w:sz w:val="24"/>
                <w:szCs w:val="24"/>
              </w:rPr>
              <w:t>，为环境空气达标区；南盘江水质现状达到《地表水环境质量标准》（GB3838-2002）</w:t>
            </w:r>
            <w:r>
              <w:rPr>
                <w:rFonts w:eastAsia="仿宋"/>
                <w:color w:val="auto"/>
                <w:sz w:val="24"/>
                <w:szCs w:val="24"/>
              </w:rPr>
              <w:t>Ⅲ</w:t>
            </w:r>
            <w:r>
              <w:rPr>
                <w:color w:val="auto"/>
                <w:sz w:val="24"/>
                <w:szCs w:val="24"/>
              </w:rPr>
              <w:t>类标准要求。通过影响分析，项目生产废水循环使用，不外</w:t>
            </w:r>
            <w:r>
              <w:rPr>
                <w:rFonts w:hint="eastAsia"/>
                <w:color w:val="auto"/>
                <w:sz w:val="24"/>
                <w:szCs w:val="24"/>
                <w:lang w:eastAsia="zh-CN"/>
              </w:rPr>
              <w:t>排</w:t>
            </w:r>
            <w:r>
              <w:rPr>
                <w:color w:val="auto"/>
                <w:sz w:val="24"/>
                <w:szCs w:val="24"/>
              </w:rPr>
              <w:t>；废气、噪声能够做到达标排放；固体废物均妥善处置；环境影响可接受，不会降低区域环境功能区相关要求，满足环境质量底线的要求。</w:t>
            </w:r>
          </w:p>
          <w:p>
            <w:pPr>
              <w:adjustRightInd w:val="0"/>
              <w:snapToGrid w:val="0"/>
              <w:spacing w:line="360" w:lineRule="auto"/>
              <w:ind w:firstLine="480" w:firstLineChars="200"/>
              <w:rPr>
                <w:color w:val="auto"/>
                <w:sz w:val="24"/>
                <w:szCs w:val="24"/>
              </w:rPr>
            </w:pPr>
            <w:r>
              <w:rPr>
                <w:color w:val="auto"/>
                <w:sz w:val="24"/>
                <w:szCs w:val="24"/>
              </w:rPr>
              <w:t>（3）资源利用上线</w:t>
            </w:r>
          </w:p>
          <w:p>
            <w:pPr>
              <w:adjustRightInd w:val="0"/>
              <w:snapToGrid w:val="0"/>
              <w:spacing w:line="360" w:lineRule="auto"/>
              <w:ind w:firstLine="480" w:firstLineChars="200"/>
              <w:rPr>
                <w:color w:val="auto"/>
                <w:sz w:val="24"/>
                <w:szCs w:val="24"/>
              </w:rPr>
            </w:pPr>
            <w:r>
              <w:rPr>
                <w:color w:val="auto"/>
                <w:sz w:val="24"/>
                <w:szCs w:val="24"/>
              </w:rPr>
              <w:t>到2025年，按照国家、省、市有关要求和规划，按时完成全市用水总量、用水效率、限制纳污“三条红线”水资源上限控制指标；按时完成耕地保有量、基本农田保护面积、建设用地总规模等土地资源利用上限控制指标；按时完成单位GDP能耗下降率、能源消费总量等能源控制指标；矿产资源开采与保护达到预期目标；河湖岸线资源管控达到相关要求。</w:t>
            </w:r>
          </w:p>
          <w:p>
            <w:pPr>
              <w:adjustRightInd w:val="0"/>
              <w:snapToGrid w:val="0"/>
              <w:spacing w:line="360" w:lineRule="auto"/>
              <w:ind w:firstLine="480" w:firstLineChars="200"/>
              <w:rPr>
                <w:color w:val="auto"/>
                <w:sz w:val="24"/>
                <w:szCs w:val="24"/>
              </w:rPr>
            </w:pPr>
            <w:r>
              <w:rPr>
                <w:color w:val="auto"/>
                <w:sz w:val="24"/>
                <w:szCs w:val="24"/>
              </w:rPr>
              <w:t>项目不属于高耗能项目，运营期间主要能源消耗为电能，项目用电由市政供电电网供给；项目用地为产业园区已建厂房的现状建设用地，不再新增占地。综上，项目的建设不会突破当地资源利用上限控制指标。</w:t>
            </w:r>
          </w:p>
          <w:p>
            <w:pPr>
              <w:adjustRightInd w:val="0"/>
              <w:snapToGrid w:val="0"/>
              <w:spacing w:line="360" w:lineRule="auto"/>
              <w:ind w:firstLine="480" w:firstLineChars="200"/>
              <w:rPr>
                <w:color w:val="auto"/>
                <w:sz w:val="24"/>
                <w:szCs w:val="24"/>
              </w:rPr>
            </w:pPr>
            <w:r>
              <w:rPr>
                <w:color w:val="auto"/>
                <w:sz w:val="24"/>
                <w:szCs w:val="24"/>
              </w:rPr>
              <w:t>（4）生态环境准入清单</w:t>
            </w:r>
          </w:p>
          <w:p>
            <w:pPr>
              <w:adjustRightInd w:val="0"/>
              <w:snapToGrid w:val="0"/>
              <w:spacing w:line="360" w:lineRule="auto"/>
              <w:ind w:firstLine="480" w:firstLineChars="200"/>
              <w:rPr>
                <w:color w:val="auto"/>
                <w:sz w:val="24"/>
                <w:szCs w:val="24"/>
              </w:rPr>
            </w:pPr>
            <w:r>
              <w:rPr>
                <w:color w:val="auto"/>
                <w:sz w:val="24"/>
                <w:szCs w:val="24"/>
              </w:rPr>
              <w:t>本项目位于云南宜良产业园区重点管控单元，与该单元生态环境准入清单符合性详见下表。</w:t>
            </w:r>
          </w:p>
          <w:p>
            <w:pPr>
              <w:pStyle w:val="68"/>
              <w:tabs>
                <w:tab w:val="left" w:pos="420"/>
              </w:tabs>
              <w:spacing w:before="120"/>
              <w:ind w:left="0" w:firstLine="0"/>
              <w:rPr>
                <w:rFonts w:hint="default"/>
                <w:color w:val="auto"/>
              </w:rPr>
            </w:pPr>
            <w:r>
              <w:rPr>
                <w:rFonts w:hint="default"/>
                <w:color w:val="auto"/>
                <w:sz w:val="24"/>
                <w:szCs w:val="24"/>
              </w:rPr>
              <w:t>生态环境准入清单相符性分析一览表</w:t>
            </w:r>
          </w:p>
          <w:tbl>
            <w:tblPr>
              <w:tblStyle w:val="23"/>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7"/>
              <w:gridCol w:w="517"/>
              <w:gridCol w:w="2601"/>
              <w:gridCol w:w="2686"/>
              <w:gridCol w:w="6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422" w:type="pct"/>
                  <w:vAlign w:val="center"/>
                </w:tcPr>
                <w:p>
                  <w:pPr>
                    <w:pStyle w:val="69"/>
                    <w:spacing w:before="0" w:beforeLines="0" w:after="0" w:afterLines="0" w:line="240" w:lineRule="auto"/>
                    <w:rPr>
                      <w:b/>
                      <w:bCs/>
                      <w:color w:val="auto"/>
                    </w:rPr>
                  </w:pPr>
                  <w:r>
                    <w:rPr>
                      <w:b/>
                      <w:bCs/>
                      <w:color w:val="auto"/>
                    </w:rPr>
                    <w:t>单元名称</w:t>
                  </w:r>
                </w:p>
              </w:tc>
              <w:tc>
                <w:tcPr>
                  <w:tcW w:w="2206" w:type="pct"/>
                  <w:gridSpan w:val="2"/>
                  <w:vAlign w:val="center"/>
                </w:tcPr>
                <w:p>
                  <w:pPr>
                    <w:pStyle w:val="69"/>
                    <w:spacing w:before="0" w:beforeLines="0" w:after="0" w:afterLines="0" w:line="240" w:lineRule="auto"/>
                    <w:rPr>
                      <w:b/>
                      <w:bCs/>
                      <w:color w:val="auto"/>
                    </w:rPr>
                  </w:pPr>
                  <w:r>
                    <w:rPr>
                      <w:b/>
                      <w:bCs/>
                      <w:color w:val="auto"/>
                    </w:rPr>
                    <w:t>管控要求</w:t>
                  </w:r>
                </w:p>
              </w:tc>
              <w:tc>
                <w:tcPr>
                  <w:tcW w:w="1900" w:type="pct"/>
                  <w:vAlign w:val="center"/>
                </w:tcPr>
                <w:p>
                  <w:pPr>
                    <w:pStyle w:val="69"/>
                    <w:spacing w:before="0" w:beforeLines="0" w:after="0" w:afterLines="0" w:line="240" w:lineRule="auto"/>
                    <w:rPr>
                      <w:b/>
                      <w:bCs/>
                      <w:color w:val="auto"/>
                    </w:rPr>
                  </w:pPr>
                  <w:r>
                    <w:rPr>
                      <w:b/>
                      <w:bCs/>
                      <w:color w:val="auto"/>
                    </w:rPr>
                    <w:t>本项目情况</w:t>
                  </w:r>
                </w:p>
              </w:tc>
              <w:tc>
                <w:tcPr>
                  <w:tcW w:w="471" w:type="pct"/>
                  <w:vAlign w:val="center"/>
                </w:tcPr>
                <w:p>
                  <w:pPr>
                    <w:pStyle w:val="69"/>
                    <w:spacing w:before="0" w:beforeLines="0" w:after="0" w:afterLines="0" w:line="240" w:lineRule="auto"/>
                    <w:rPr>
                      <w:b/>
                      <w:bCs/>
                      <w:color w:val="auto"/>
                    </w:rPr>
                  </w:pPr>
                  <w:r>
                    <w:rPr>
                      <w:b/>
                      <w:bCs/>
                      <w:color w:val="auto"/>
                    </w:rPr>
                    <w:t>符合性分析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5" w:hRule="atLeast"/>
                <w:jc w:val="center"/>
              </w:trPr>
              <w:tc>
                <w:tcPr>
                  <w:tcW w:w="422" w:type="pct"/>
                  <w:vMerge w:val="restart"/>
                  <w:vAlign w:val="center"/>
                </w:tcPr>
                <w:p>
                  <w:pPr>
                    <w:pStyle w:val="69"/>
                    <w:spacing w:before="0" w:beforeLines="0" w:after="0" w:afterLines="0" w:line="240" w:lineRule="auto"/>
                    <w:rPr>
                      <w:color w:val="auto"/>
                    </w:rPr>
                  </w:pPr>
                  <w:r>
                    <w:rPr>
                      <w:color w:val="auto"/>
                    </w:rPr>
                    <w:t>云南宜良产业园区重点管控单元</w:t>
                  </w:r>
                </w:p>
              </w:tc>
              <w:tc>
                <w:tcPr>
                  <w:tcW w:w="366" w:type="pct"/>
                  <w:vMerge w:val="restart"/>
                  <w:vAlign w:val="center"/>
                </w:tcPr>
                <w:p>
                  <w:pPr>
                    <w:pStyle w:val="69"/>
                    <w:spacing w:before="0" w:beforeLines="0" w:after="0" w:afterLines="0" w:line="240" w:lineRule="auto"/>
                    <w:rPr>
                      <w:color w:val="auto"/>
                    </w:rPr>
                  </w:pPr>
                  <w:r>
                    <w:rPr>
                      <w:color w:val="auto"/>
                    </w:rPr>
                    <w:t>空间布局约束</w:t>
                  </w:r>
                </w:p>
              </w:tc>
              <w:tc>
                <w:tcPr>
                  <w:tcW w:w="1840" w:type="pct"/>
                  <w:vAlign w:val="center"/>
                </w:tcPr>
                <w:p>
                  <w:pPr>
                    <w:pStyle w:val="69"/>
                    <w:spacing w:before="0" w:beforeLines="0" w:after="0" w:afterLines="0" w:line="240" w:lineRule="auto"/>
                    <w:jc w:val="both"/>
                    <w:rPr>
                      <w:color w:val="auto"/>
                    </w:rPr>
                  </w:pPr>
                  <w:r>
                    <w:rPr>
                      <w:color w:val="auto"/>
                    </w:rPr>
                    <w:t>1.禁止不符合产业政策、不符合片区产业定位企业入驻。</w:t>
                  </w:r>
                </w:p>
              </w:tc>
              <w:tc>
                <w:tcPr>
                  <w:tcW w:w="1900" w:type="pct"/>
                  <w:vAlign w:val="center"/>
                </w:tcPr>
                <w:p>
                  <w:pPr>
                    <w:pStyle w:val="69"/>
                    <w:spacing w:before="0" w:beforeLines="0" w:after="0" w:afterLines="0" w:line="240" w:lineRule="auto"/>
                    <w:jc w:val="both"/>
                    <w:rPr>
                      <w:color w:val="auto"/>
                    </w:rPr>
                  </w:pPr>
                  <w:r>
                    <w:rPr>
                      <w:color w:val="auto"/>
                      <w:szCs w:val="21"/>
                    </w:rPr>
                    <w:t>本项目属于非金属废料和碎屑加工处理，根据《产业结构调整指导目录（</w:t>
                  </w:r>
                  <w:r>
                    <w:rPr>
                      <w:rFonts w:eastAsia="Times New Roman"/>
                      <w:color w:val="auto"/>
                      <w:szCs w:val="21"/>
                    </w:rPr>
                    <w:t>2024</w:t>
                  </w:r>
                  <w:r>
                    <w:rPr>
                      <w:color w:val="auto"/>
                      <w:szCs w:val="21"/>
                    </w:rPr>
                    <w:t>年本）》，本项目属于鼓励类项目</w:t>
                  </w:r>
                  <w:r>
                    <w:rPr>
                      <w:rFonts w:hint="eastAsia"/>
                      <w:color w:val="auto"/>
                      <w:szCs w:val="21"/>
                    </w:rPr>
                    <w:t>；</w:t>
                  </w:r>
                  <w:r>
                    <w:rPr>
                      <w:color w:val="auto"/>
                      <w:szCs w:val="21"/>
                    </w:rPr>
                    <w:t>本项目不属于《市场准入负面清单（2025年版）》中禁止准入事项。项目与产业发展方向及相关规划不冲突。项目租用</w:t>
                  </w:r>
                  <w:r>
                    <w:rPr>
                      <w:rFonts w:hint="eastAsia"/>
                      <w:color w:val="auto"/>
                      <w:szCs w:val="21"/>
                      <w:lang w:eastAsia="zh-CN"/>
                    </w:rPr>
                    <w:t>云南宝塑塑料管业有限公司</w:t>
                  </w:r>
                  <w:r>
                    <w:rPr>
                      <w:color w:val="auto"/>
                      <w:szCs w:val="21"/>
                    </w:rPr>
                    <w:t>的闲置厂房，</w:t>
                  </w:r>
                  <w:r>
                    <w:rPr>
                      <w:rFonts w:hint="eastAsia"/>
                      <w:color w:val="auto"/>
                      <w:szCs w:val="21"/>
                    </w:rPr>
                    <w:t>用地性质为二类工业用地，</w:t>
                  </w:r>
                  <w:r>
                    <w:rPr>
                      <w:color w:val="auto"/>
                      <w:szCs w:val="21"/>
                    </w:rPr>
                    <w:t>符合土地利用规划要求。</w:t>
                  </w:r>
                </w:p>
              </w:tc>
              <w:tc>
                <w:tcPr>
                  <w:tcW w:w="471" w:type="pct"/>
                  <w:vAlign w:val="center"/>
                </w:tcPr>
                <w:p>
                  <w:pPr>
                    <w:pStyle w:val="69"/>
                    <w:spacing w:before="0" w:beforeLines="0" w:after="0" w:afterLines="0" w:line="240" w:lineRule="auto"/>
                    <w:rPr>
                      <w:color w:val="auto"/>
                    </w:rPr>
                  </w:pPr>
                  <w:r>
                    <w:rPr>
                      <w:color w:val="auto"/>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422" w:type="pct"/>
                  <w:vMerge w:val="continue"/>
                  <w:vAlign w:val="center"/>
                </w:tcPr>
                <w:p>
                  <w:pPr>
                    <w:pStyle w:val="69"/>
                    <w:spacing w:before="0" w:beforeLines="0" w:after="0" w:afterLines="0" w:line="240" w:lineRule="auto"/>
                    <w:rPr>
                      <w:color w:val="auto"/>
                    </w:rPr>
                  </w:pPr>
                </w:p>
              </w:tc>
              <w:tc>
                <w:tcPr>
                  <w:tcW w:w="366" w:type="pct"/>
                  <w:vMerge w:val="continue"/>
                  <w:vAlign w:val="center"/>
                </w:tcPr>
                <w:p>
                  <w:pPr>
                    <w:pStyle w:val="69"/>
                    <w:spacing w:before="0" w:beforeLines="0" w:after="0" w:afterLines="0" w:line="240" w:lineRule="auto"/>
                    <w:rPr>
                      <w:color w:val="auto"/>
                    </w:rPr>
                  </w:pPr>
                </w:p>
              </w:tc>
              <w:tc>
                <w:tcPr>
                  <w:tcW w:w="1840" w:type="pct"/>
                  <w:vAlign w:val="center"/>
                </w:tcPr>
                <w:p>
                  <w:pPr>
                    <w:pStyle w:val="69"/>
                    <w:spacing w:before="0" w:beforeLines="0" w:after="0" w:afterLines="0" w:line="240" w:lineRule="auto"/>
                    <w:jc w:val="both"/>
                    <w:rPr>
                      <w:color w:val="auto"/>
                    </w:rPr>
                  </w:pPr>
                  <w:r>
                    <w:rPr>
                      <w:color w:val="auto"/>
                    </w:rPr>
                    <w:t>2.北古城组团禁止发展农林、房地产（规划居住区除外）、食品、医药等易受冶金、化工、建材行业污染影响的行业；农产品加工园区禁止发展易对食品加工生产造成污染影响的冶金、化工、建材等行业。</w:t>
                  </w:r>
                </w:p>
              </w:tc>
              <w:tc>
                <w:tcPr>
                  <w:tcW w:w="1900" w:type="pct"/>
                  <w:vAlign w:val="center"/>
                </w:tcPr>
                <w:p>
                  <w:pPr>
                    <w:pStyle w:val="69"/>
                    <w:spacing w:before="0" w:beforeLines="0" w:after="0" w:afterLines="0" w:line="240" w:lineRule="auto"/>
                    <w:jc w:val="both"/>
                    <w:rPr>
                      <w:color w:val="auto"/>
                    </w:rPr>
                  </w:pPr>
                  <w:r>
                    <w:rPr>
                      <w:color w:val="auto"/>
                      <w:szCs w:val="21"/>
                    </w:rPr>
                    <w:t>项目位于宜良产业园区北古城</w:t>
                  </w:r>
                  <w:r>
                    <w:rPr>
                      <w:rFonts w:hint="eastAsia"/>
                      <w:color w:val="auto"/>
                      <w:szCs w:val="21"/>
                    </w:rPr>
                    <w:t>组团绿色建材及配套物流区</w:t>
                  </w:r>
                  <w:r>
                    <w:rPr>
                      <w:color w:val="auto"/>
                      <w:szCs w:val="21"/>
                    </w:rPr>
                    <w:t>，不属于北古城组团禁止发展农林、房地产（规划居住区除外）、食品、医药等易受冶金、化工、建材行业污染影响的行业。</w:t>
                  </w:r>
                </w:p>
              </w:tc>
              <w:tc>
                <w:tcPr>
                  <w:tcW w:w="471" w:type="pct"/>
                  <w:vAlign w:val="center"/>
                </w:tcPr>
                <w:p>
                  <w:pPr>
                    <w:pStyle w:val="69"/>
                    <w:spacing w:before="0" w:beforeLines="0" w:after="0" w:afterLines="0" w:line="240" w:lineRule="auto"/>
                    <w:rPr>
                      <w:color w:val="auto"/>
                    </w:rPr>
                  </w:pPr>
                  <w:r>
                    <w:rPr>
                      <w:color w:val="auto"/>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422" w:type="pct"/>
                  <w:vMerge w:val="continue"/>
                  <w:vAlign w:val="center"/>
                </w:tcPr>
                <w:p>
                  <w:pPr>
                    <w:pStyle w:val="69"/>
                    <w:spacing w:before="0" w:beforeLines="0" w:after="0" w:afterLines="0" w:line="240" w:lineRule="auto"/>
                    <w:rPr>
                      <w:color w:val="auto"/>
                    </w:rPr>
                  </w:pPr>
                </w:p>
              </w:tc>
              <w:tc>
                <w:tcPr>
                  <w:tcW w:w="366" w:type="pct"/>
                  <w:vMerge w:val="continue"/>
                  <w:vAlign w:val="center"/>
                </w:tcPr>
                <w:p>
                  <w:pPr>
                    <w:pStyle w:val="69"/>
                    <w:spacing w:before="0" w:beforeLines="0" w:after="0" w:afterLines="0" w:line="240" w:lineRule="auto"/>
                    <w:rPr>
                      <w:color w:val="auto"/>
                    </w:rPr>
                  </w:pPr>
                </w:p>
              </w:tc>
              <w:tc>
                <w:tcPr>
                  <w:tcW w:w="1840" w:type="pct"/>
                  <w:vAlign w:val="center"/>
                </w:tcPr>
                <w:p>
                  <w:pPr>
                    <w:pStyle w:val="69"/>
                    <w:spacing w:before="0" w:beforeLines="0" w:after="0" w:afterLines="0" w:line="240" w:lineRule="auto"/>
                    <w:jc w:val="both"/>
                    <w:rPr>
                      <w:color w:val="auto"/>
                    </w:rPr>
                  </w:pPr>
                  <w:r>
                    <w:rPr>
                      <w:color w:val="auto"/>
                    </w:rPr>
                    <w:t>3.限制机电产品制造等高耗水和水污染严重企业。</w:t>
                  </w:r>
                </w:p>
              </w:tc>
              <w:tc>
                <w:tcPr>
                  <w:tcW w:w="1900" w:type="pct"/>
                  <w:vAlign w:val="center"/>
                </w:tcPr>
                <w:p>
                  <w:pPr>
                    <w:pStyle w:val="69"/>
                    <w:spacing w:before="0" w:beforeLines="0" w:after="0" w:afterLines="0" w:line="240" w:lineRule="auto"/>
                    <w:jc w:val="both"/>
                    <w:rPr>
                      <w:color w:val="auto"/>
                    </w:rPr>
                  </w:pPr>
                  <w:r>
                    <w:rPr>
                      <w:color w:val="auto"/>
                      <w:szCs w:val="21"/>
                    </w:rPr>
                    <w:t>本项目属于非金属废料和碎屑加工处理，不属于机电产品制造等高耗水和水污染严重企业。</w:t>
                  </w:r>
                </w:p>
              </w:tc>
              <w:tc>
                <w:tcPr>
                  <w:tcW w:w="471" w:type="pct"/>
                  <w:vAlign w:val="center"/>
                </w:tcPr>
                <w:p>
                  <w:pPr>
                    <w:pStyle w:val="69"/>
                    <w:spacing w:before="0" w:beforeLines="0" w:after="0" w:afterLines="0" w:line="240" w:lineRule="auto"/>
                    <w:rPr>
                      <w:color w:val="auto"/>
                    </w:rPr>
                  </w:pPr>
                  <w:r>
                    <w:rPr>
                      <w:color w:val="auto"/>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422" w:type="pct"/>
                  <w:vMerge w:val="continue"/>
                  <w:vAlign w:val="center"/>
                </w:tcPr>
                <w:p>
                  <w:pPr>
                    <w:pStyle w:val="69"/>
                    <w:spacing w:before="0" w:beforeLines="0" w:after="0" w:afterLines="0" w:line="240" w:lineRule="auto"/>
                    <w:rPr>
                      <w:color w:val="auto"/>
                    </w:rPr>
                  </w:pPr>
                </w:p>
              </w:tc>
              <w:tc>
                <w:tcPr>
                  <w:tcW w:w="366" w:type="pct"/>
                  <w:vMerge w:val="restart"/>
                  <w:vAlign w:val="center"/>
                </w:tcPr>
                <w:p>
                  <w:pPr>
                    <w:pStyle w:val="69"/>
                    <w:spacing w:before="0" w:beforeLines="0" w:after="0" w:afterLines="0" w:line="240" w:lineRule="auto"/>
                    <w:rPr>
                      <w:color w:val="auto"/>
                    </w:rPr>
                  </w:pPr>
                  <w:r>
                    <w:rPr>
                      <w:color w:val="auto"/>
                    </w:rPr>
                    <w:t>污染物排放管控</w:t>
                  </w:r>
                </w:p>
              </w:tc>
              <w:tc>
                <w:tcPr>
                  <w:tcW w:w="1840" w:type="pct"/>
                  <w:vAlign w:val="center"/>
                </w:tcPr>
                <w:p>
                  <w:pPr>
                    <w:pStyle w:val="69"/>
                    <w:spacing w:before="0" w:beforeLines="0" w:after="0" w:afterLines="0" w:line="240" w:lineRule="auto"/>
                    <w:jc w:val="both"/>
                    <w:rPr>
                      <w:color w:val="auto"/>
                    </w:rPr>
                  </w:pPr>
                  <w:r>
                    <w:rPr>
                      <w:color w:val="auto"/>
                    </w:rPr>
                    <w:t>1.南盘江未达标前，规划区涉及钢铁、制浆造纸行业新增主要污染物排放量的重点行业建设项目外排废水实行超标污染物倍量削减替代，未超标污染物等量削减替代；其他非重点行业建设项目外排废水均不得直接排入地表水体，应经过园区污水处理厂处理达标后，外排进入地表水体。</w:t>
                  </w:r>
                </w:p>
              </w:tc>
              <w:tc>
                <w:tcPr>
                  <w:tcW w:w="1900" w:type="pct"/>
                  <w:vAlign w:val="center"/>
                </w:tcPr>
                <w:p>
                  <w:pPr>
                    <w:pStyle w:val="69"/>
                    <w:spacing w:before="0" w:beforeLines="0" w:after="0" w:afterLines="0" w:line="240" w:lineRule="auto"/>
                    <w:jc w:val="both"/>
                    <w:rPr>
                      <w:color w:val="auto"/>
                    </w:rPr>
                  </w:pPr>
                  <w:r>
                    <w:rPr>
                      <w:color w:val="auto"/>
                      <w:szCs w:val="21"/>
                    </w:rPr>
                    <w:t>根据《2024年度昆明市生态环境状况公报》，南盘江水质现状达到《地表水环境质量标准》（GB3838-2002）Ⅲ类标准要求。项目生产废水循环使用，不外排；</w:t>
                  </w:r>
                  <w:r>
                    <w:rPr>
                      <w:rFonts w:hint="eastAsia"/>
                      <w:color w:val="auto"/>
                      <w:szCs w:val="21"/>
                    </w:rPr>
                    <w:t>生活污水暂存化粪池后委托清掏，</w:t>
                  </w:r>
                  <w:r>
                    <w:rPr>
                      <w:color w:val="auto"/>
                      <w:szCs w:val="21"/>
                    </w:rPr>
                    <w:t>不外排。</w:t>
                  </w:r>
                </w:p>
              </w:tc>
              <w:tc>
                <w:tcPr>
                  <w:tcW w:w="471" w:type="pct"/>
                  <w:vAlign w:val="center"/>
                </w:tcPr>
                <w:p>
                  <w:pPr>
                    <w:pStyle w:val="69"/>
                    <w:spacing w:before="0" w:beforeLines="0" w:after="0" w:afterLines="0" w:line="240" w:lineRule="auto"/>
                    <w:rPr>
                      <w:color w:val="auto"/>
                    </w:rPr>
                  </w:pPr>
                  <w:r>
                    <w:rPr>
                      <w:color w:val="auto"/>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422" w:type="pct"/>
                  <w:vMerge w:val="continue"/>
                  <w:vAlign w:val="center"/>
                </w:tcPr>
                <w:p>
                  <w:pPr>
                    <w:pStyle w:val="69"/>
                    <w:spacing w:before="0" w:beforeLines="0" w:after="0" w:afterLines="0" w:line="240" w:lineRule="auto"/>
                    <w:rPr>
                      <w:color w:val="auto"/>
                    </w:rPr>
                  </w:pPr>
                </w:p>
              </w:tc>
              <w:tc>
                <w:tcPr>
                  <w:tcW w:w="366" w:type="pct"/>
                  <w:vMerge w:val="continue"/>
                  <w:vAlign w:val="center"/>
                </w:tcPr>
                <w:p>
                  <w:pPr>
                    <w:pStyle w:val="69"/>
                    <w:spacing w:before="0" w:beforeLines="0" w:after="0" w:afterLines="0" w:line="240" w:lineRule="auto"/>
                    <w:rPr>
                      <w:color w:val="auto"/>
                    </w:rPr>
                  </w:pPr>
                </w:p>
              </w:tc>
              <w:tc>
                <w:tcPr>
                  <w:tcW w:w="1840" w:type="pct"/>
                  <w:vAlign w:val="center"/>
                </w:tcPr>
                <w:p>
                  <w:pPr>
                    <w:pStyle w:val="69"/>
                    <w:spacing w:before="0" w:beforeLines="0" w:after="0" w:afterLines="0" w:line="240" w:lineRule="auto"/>
                    <w:rPr>
                      <w:color w:val="auto"/>
                    </w:rPr>
                  </w:pPr>
                  <w:r>
                    <w:rPr>
                      <w:color w:val="auto"/>
                    </w:rPr>
                    <w:t>2.维持污染物现状水平，不得突破现状排放总量。</w:t>
                  </w:r>
                </w:p>
              </w:tc>
              <w:tc>
                <w:tcPr>
                  <w:tcW w:w="1900" w:type="pct"/>
                  <w:vAlign w:val="center"/>
                </w:tcPr>
                <w:p>
                  <w:pPr>
                    <w:pStyle w:val="69"/>
                    <w:spacing w:before="0" w:beforeLines="0" w:after="0" w:afterLines="0" w:line="240" w:lineRule="auto"/>
                    <w:jc w:val="both"/>
                    <w:rPr>
                      <w:color w:val="auto"/>
                    </w:rPr>
                  </w:pPr>
                  <w:r>
                    <w:rPr>
                      <w:color w:val="auto"/>
                      <w:szCs w:val="21"/>
                    </w:rPr>
                    <w:t>本项目废气污染物主要为颗粒物、非甲烷总烃、臭气浓度，热熔挤出等生产过</w:t>
                  </w:r>
                  <w:r>
                    <w:rPr>
                      <w:rFonts w:hint="eastAsia"/>
                      <w:color w:val="auto"/>
                      <w:szCs w:val="21"/>
                      <w:lang w:eastAsia="zh-CN"/>
                    </w:rPr>
                    <w:t>程中</w:t>
                  </w:r>
                  <w:r>
                    <w:rPr>
                      <w:color w:val="auto"/>
                      <w:szCs w:val="21"/>
                    </w:rPr>
                    <w:t>产生的颗粒物、有机废气（以非甲烷总烃计）经</w:t>
                  </w:r>
                  <w:r>
                    <w:rPr>
                      <w:rFonts w:hint="eastAsia"/>
                      <w:color w:val="auto"/>
                      <w:szCs w:val="21"/>
                    </w:rPr>
                    <w:t>“过滤棉+</w:t>
                  </w:r>
                  <w:r>
                    <w:rPr>
                      <w:rFonts w:hint="eastAsia"/>
                      <w:color w:val="auto"/>
                      <w:szCs w:val="21"/>
                      <w:lang w:eastAsia="zh-CN"/>
                    </w:rPr>
                    <w:t>三级活性炭</w:t>
                  </w:r>
                  <w:r>
                    <w:rPr>
                      <w:color w:val="auto"/>
                      <w:szCs w:val="21"/>
                    </w:rPr>
                    <w:t>吸附装置</w:t>
                  </w:r>
                  <w:r>
                    <w:rPr>
                      <w:rFonts w:hint="eastAsia"/>
                      <w:color w:val="auto"/>
                      <w:szCs w:val="21"/>
                    </w:rPr>
                    <w:t>”</w:t>
                  </w:r>
                  <w:r>
                    <w:rPr>
                      <w:color w:val="auto"/>
                      <w:szCs w:val="21"/>
                    </w:rPr>
                    <w:t>处理后经1根</w:t>
                  </w:r>
                  <w:r>
                    <w:rPr>
                      <w:rFonts w:hint="eastAsia"/>
                      <w:color w:val="auto"/>
                      <w:szCs w:val="21"/>
                      <w:lang w:eastAsia="zh-CN"/>
                    </w:rPr>
                    <w:t>15m高</w:t>
                  </w:r>
                  <w:r>
                    <w:rPr>
                      <w:color w:val="auto"/>
                      <w:szCs w:val="21"/>
                    </w:rPr>
                    <w:t>排气筒排放。满足规划区总量控制要求；</w:t>
                  </w:r>
                  <w:r>
                    <w:rPr>
                      <w:color w:val="auto"/>
                      <w:szCs w:val="24"/>
                    </w:rPr>
                    <w:t>项目生产废水循环使用，不外排；</w:t>
                  </w:r>
                  <w:r>
                    <w:rPr>
                      <w:color w:val="auto"/>
                      <w:kern w:val="0"/>
                      <w:szCs w:val="21"/>
                    </w:rPr>
                    <w:t>生活污水</w:t>
                  </w:r>
                  <w:r>
                    <w:rPr>
                      <w:rFonts w:hint="eastAsia"/>
                      <w:color w:val="auto"/>
                      <w:kern w:val="0"/>
                      <w:szCs w:val="21"/>
                      <w:lang w:val="en-US" w:eastAsia="zh-CN"/>
                    </w:rPr>
                    <w:t>暂存化粪池后委托清掏，</w:t>
                  </w:r>
                  <w:r>
                    <w:rPr>
                      <w:color w:val="auto"/>
                      <w:kern w:val="0"/>
                      <w:szCs w:val="21"/>
                    </w:rPr>
                    <w:t>不外排</w:t>
                  </w:r>
                  <w:r>
                    <w:rPr>
                      <w:rFonts w:hint="eastAsia"/>
                      <w:color w:val="auto"/>
                      <w:kern w:val="0"/>
                      <w:szCs w:val="21"/>
                      <w:lang w:val="en-US" w:eastAsia="zh-CN"/>
                    </w:rPr>
                    <w:t>至外环境</w:t>
                  </w:r>
                  <w:r>
                    <w:rPr>
                      <w:color w:val="auto"/>
                      <w:szCs w:val="21"/>
                    </w:rPr>
                    <w:t>。</w:t>
                  </w:r>
                </w:p>
              </w:tc>
              <w:tc>
                <w:tcPr>
                  <w:tcW w:w="471" w:type="pct"/>
                  <w:vAlign w:val="center"/>
                </w:tcPr>
                <w:p>
                  <w:pPr>
                    <w:pStyle w:val="69"/>
                    <w:spacing w:before="0" w:beforeLines="0" w:after="0" w:afterLines="0" w:line="240" w:lineRule="auto"/>
                    <w:rPr>
                      <w:color w:val="auto"/>
                    </w:rPr>
                  </w:pPr>
                  <w:r>
                    <w:rPr>
                      <w:color w:val="auto"/>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422" w:type="pct"/>
                  <w:vMerge w:val="continue"/>
                  <w:vAlign w:val="center"/>
                </w:tcPr>
                <w:p>
                  <w:pPr>
                    <w:pStyle w:val="69"/>
                    <w:spacing w:before="0" w:beforeLines="0" w:after="0" w:afterLines="0" w:line="240" w:lineRule="auto"/>
                    <w:rPr>
                      <w:color w:val="auto"/>
                    </w:rPr>
                  </w:pPr>
                </w:p>
              </w:tc>
              <w:tc>
                <w:tcPr>
                  <w:tcW w:w="366" w:type="pct"/>
                  <w:vMerge w:val="continue"/>
                  <w:vAlign w:val="center"/>
                </w:tcPr>
                <w:p>
                  <w:pPr>
                    <w:pStyle w:val="69"/>
                    <w:spacing w:before="0" w:beforeLines="0" w:after="0" w:afterLines="0" w:line="240" w:lineRule="auto"/>
                    <w:rPr>
                      <w:color w:val="auto"/>
                    </w:rPr>
                  </w:pPr>
                </w:p>
              </w:tc>
              <w:tc>
                <w:tcPr>
                  <w:tcW w:w="1840" w:type="pct"/>
                  <w:vAlign w:val="center"/>
                </w:tcPr>
                <w:p>
                  <w:pPr>
                    <w:pStyle w:val="69"/>
                    <w:spacing w:before="0" w:beforeLines="0" w:after="0" w:afterLines="0" w:line="240" w:lineRule="auto"/>
                    <w:jc w:val="both"/>
                    <w:rPr>
                      <w:color w:val="auto"/>
                    </w:rPr>
                  </w:pPr>
                  <w:r>
                    <w:rPr>
                      <w:color w:val="auto"/>
                    </w:rPr>
                    <w:t>3.新增金属冶炼项目排放水平需满足超低排放要求。</w:t>
                  </w:r>
                </w:p>
              </w:tc>
              <w:tc>
                <w:tcPr>
                  <w:tcW w:w="1900" w:type="pct"/>
                  <w:vAlign w:val="center"/>
                </w:tcPr>
                <w:p>
                  <w:pPr>
                    <w:pStyle w:val="69"/>
                    <w:spacing w:before="0" w:beforeLines="0" w:after="0" w:afterLines="0" w:line="240" w:lineRule="auto"/>
                    <w:jc w:val="both"/>
                    <w:rPr>
                      <w:color w:val="auto"/>
                    </w:rPr>
                  </w:pPr>
                  <w:r>
                    <w:rPr>
                      <w:color w:val="auto"/>
                      <w:szCs w:val="21"/>
                    </w:rPr>
                    <w:t>本项目属于非金属废料和碎屑加工处理，不属于</w:t>
                  </w:r>
                  <w:r>
                    <w:rPr>
                      <w:color w:val="auto"/>
                    </w:rPr>
                    <w:t>金属冶炼项目</w:t>
                  </w:r>
                  <w:r>
                    <w:rPr>
                      <w:color w:val="auto"/>
                      <w:szCs w:val="21"/>
                    </w:rPr>
                    <w:t>。</w:t>
                  </w:r>
                </w:p>
              </w:tc>
              <w:tc>
                <w:tcPr>
                  <w:tcW w:w="471" w:type="pct"/>
                  <w:vAlign w:val="center"/>
                </w:tcPr>
                <w:p>
                  <w:pPr>
                    <w:pStyle w:val="69"/>
                    <w:spacing w:before="0" w:beforeLines="0" w:after="0" w:afterLines="0" w:line="240" w:lineRule="auto"/>
                    <w:rPr>
                      <w:color w:val="auto"/>
                    </w:rPr>
                  </w:pPr>
                  <w:r>
                    <w:rPr>
                      <w:color w:val="auto"/>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422" w:type="pct"/>
                  <w:vMerge w:val="continue"/>
                  <w:vAlign w:val="center"/>
                </w:tcPr>
                <w:p>
                  <w:pPr>
                    <w:pStyle w:val="69"/>
                    <w:spacing w:before="0" w:beforeLines="0" w:after="0" w:afterLines="0" w:line="240" w:lineRule="auto"/>
                    <w:rPr>
                      <w:color w:val="auto"/>
                    </w:rPr>
                  </w:pPr>
                </w:p>
              </w:tc>
              <w:tc>
                <w:tcPr>
                  <w:tcW w:w="366" w:type="pct"/>
                  <w:vMerge w:val="continue"/>
                  <w:vAlign w:val="center"/>
                </w:tcPr>
                <w:p>
                  <w:pPr>
                    <w:pStyle w:val="69"/>
                    <w:spacing w:before="0" w:beforeLines="0" w:after="0" w:afterLines="0" w:line="240" w:lineRule="auto"/>
                    <w:rPr>
                      <w:color w:val="auto"/>
                    </w:rPr>
                  </w:pPr>
                </w:p>
              </w:tc>
              <w:tc>
                <w:tcPr>
                  <w:tcW w:w="1840" w:type="pct"/>
                  <w:vAlign w:val="center"/>
                </w:tcPr>
                <w:p>
                  <w:pPr>
                    <w:pStyle w:val="69"/>
                    <w:spacing w:before="0" w:beforeLines="0" w:after="0" w:afterLines="0" w:line="240" w:lineRule="auto"/>
                    <w:jc w:val="both"/>
                    <w:rPr>
                      <w:color w:val="auto"/>
                    </w:rPr>
                  </w:pPr>
                  <w:r>
                    <w:rPr>
                      <w:color w:val="auto"/>
                    </w:rPr>
                    <w:t>4.属于地下水岩溶发育区项目入驻时，项目环评加强地下水评价，严格落实地下水防护，按照《地下水管理条例》等相关要求落实相关防护措施。</w:t>
                  </w:r>
                </w:p>
              </w:tc>
              <w:tc>
                <w:tcPr>
                  <w:tcW w:w="1900" w:type="pct"/>
                  <w:vAlign w:val="center"/>
                </w:tcPr>
                <w:p>
                  <w:pPr>
                    <w:pStyle w:val="69"/>
                    <w:spacing w:before="0" w:beforeLines="0" w:after="0" w:afterLines="0" w:line="240" w:lineRule="auto"/>
                    <w:jc w:val="both"/>
                    <w:rPr>
                      <w:color w:val="auto"/>
                    </w:rPr>
                  </w:pPr>
                  <w:r>
                    <w:rPr>
                      <w:color w:val="auto"/>
                      <w:szCs w:val="21"/>
                    </w:rPr>
                    <w:t>本项目不位于地下水岩溶发育区。</w:t>
                  </w:r>
                </w:p>
              </w:tc>
              <w:tc>
                <w:tcPr>
                  <w:tcW w:w="471" w:type="pct"/>
                  <w:vAlign w:val="center"/>
                </w:tcPr>
                <w:p>
                  <w:pPr>
                    <w:pStyle w:val="69"/>
                    <w:spacing w:before="0" w:beforeLines="0" w:after="0" w:afterLines="0" w:line="240" w:lineRule="auto"/>
                    <w:rPr>
                      <w:color w:val="auto"/>
                    </w:rPr>
                  </w:pPr>
                  <w:r>
                    <w:rPr>
                      <w:color w:val="auto"/>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422" w:type="pct"/>
                  <w:vMerge w:val="continue"/>
                  <w:vAlign w:val="center"/>
                </w:tcPr>
                <w:p>
                  <w:pPr>
                    <w:pStyle w:val="69"/>
                    <w:spacing w:before="0" w:beforeLines="0" w:after="0" w:afterLines="0" w:line="240" w:lineRule="auto"/>
                    <w:rPr>
                      <w:color w:val="auto"/>
                    </w:rPr>
                  </w:pPr>
                </w:p>
              </w:tc>
              <w:tc>
                <w:tcPr>
                  <w:tcW w:w="366" w:type="pct"/>
                  <w:vMerge w:val="continue"/>
                  <w:vAlign w:val="center"/>
                </w:tcPr>
                <w:p>
                  <w:pPr>
                    <w:pStyle w:val="69"/>
                    <w:spacing w:before="0" w:beforeLines="0" w:after="0" w:afterLines="0" w:line="240" w:lineRule="auto"/>
                    <w:rPr>
                      <w:color w:val="auto"/>
                    </w:rPr>
                  </w:pPr>
                </w:p>
              </w:tc>
              <w:tc>
                <w:tcPr>
                  <w:tcW w:w="1840" w:type="pct"/>
                  <w:vAlign w:val="center"/>
                </w:tcPr>
                <w:p>
                  <w:pPr>
                    <w:pStyle w:val="69"/>
                    <w:spacing w:before="0" w:beforeLines="0" w:after="0" w:afterLines="0" w:line="240" w:lineRule="auto"/>
                    <w:jc w:val="both"/>
                    <w:rPr>
                      <w:color w:val="auto"/>
                    </w:rPr>
                  </w:pPr>
                  <w:r>
                    <w:rPr>
                      <w:color w:val="auto"/>
                    </w:rPr>
                    <w:t>5.入驻企业产生的各种工业固体废物，应满足“减量化、资源化、无害化”要求，实现废物的综合利用。</w:t>
                  </w:r>
                </w:p>
              </w:tc>
              <w:tc>
                <w:tcPr>
                  <w:tcW w:w="1900" w:type="pct"/>
                  <w:vAlign w:val="center"/>
                </w:tcPr>
                <w:p>
                  <w:pPr>
                    <w:pStyle w:val="69"/>
                    <w:spacing w:before="0" w:beforeLines="0" w:after="0" w:afterLines="0" w:line="240" w:lineRule="auto"/>
                    <w:jc w:val="both"/>
                    <w:rPr>
                      <w:color w:val="auto"/>
                    </w:rPr>
                  </w:pPr>
                  <w:r>
                    <w:rPr>
                      <w:color w:val="auto"/>
                      <w:szCs w:val="21"/>
                    </w:rPr>
                    <w:t>本项目产生的各种工业固体废物，满足“减量化、资源化、无害化”要求，实现废物的综合利用。</w:t>
                  </w:r>
                </w:p>
              </w:tc>
              <w:tc>
                <w:tcPr>
                  <w:tcW w:w="471" w:type="pct"/>
                  <w:vAlign w:val="center"/>
                </w:tcPr>
                <w:p>
                  <w:pPr>
                    <w:pStyle w:val="69"/>
                    <w:spacing w:before="0" w:beforeLines="0" w:after="0" w:afterLines="0" w:line="240" w:lineRule="auto"/>
                    <w:rPr>
                      <w:color w:val="auto"/>
                    </w:rPr>
                  </w:pPr>
                  <w:r>
                    <w:rPr>
                      <w:color w:val="auto"/>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422" w:type="pct"/>
                  <w:vMerge w:val="continue"/>
                  <w:vAlign w:val="center"/>
                </w:tcPr>
                <w:p>
                  <w:pPr>
                    <w:pStyle w:val="69"/>
                    <w:spacing w:before="0" w:beforeLines="0" w:after="0" w:afterLines="0" w:line="240" w:lineRule="auto"/>
                    <w:rPr>
                      <w:color w:val="auto"/>
                    </w:rPr>
                  </w:pPr>
                </w:p>
              </w:tc>
              <w:tc>
                <w:tcPr>
                  <w:tcW w:w="366" w:type="pct"/>
                  <w:vMerge w:val="restart"/>
                  <w:vAlign w:val="center"/>
                </w:tcPr>
                <w:p>
                  <w:pPr>
                    <w:pStyle w:val="69"/>
                    <w:spacing w:before="0" w:beforeLines="0" w:after="0" w:afterLines="0" w:line="240" w:lineRule="auto"/>
                    <w:rPr>
                      <w:color w:val="auto"/>
                    </w:rPr>
                  </w:pPr>
                  <w:r>
                    <w:rPr>
                      <w:color w:val="auto"/>
                    </w:rPr>
                    <w:t>环境风险防控</w:t>
                  </w:r>
                </w:p>
              </w:tc>
              <w:tc>
                <w:tcPr>
                  <w:tcW w:w="1840" w:type="pct"/>
                  <w:vAlign w:val="center"/>
                </w:tcPr>
                <w:p>
                  <w:pPr>
                    <w:pStyle w:val="69"/>
                    <w:spacing w:before="0" w:beforeLines="0" w:after="0" w:afterLines="0" w:line="240" w:lineRule="auto"/>
                    <w:jc w:val="both"/>
                    <w:rPr>
                      <w:color w:val="auto"/>
                    </w:rPr>
                  </w:pPr>
                  <w:r>
                    <w:rPr>
                      <w:color w:val="auto"/>
                    </w:rPr>
                    <w:t>1.片区内企业入驻项目需与敏感点保持相关法律法规等要求的环境防护距离要求。</w:t>
                  </w:r>
                </w:p>
              </w:tc>
              <w:tc>
                <w:tcPr>
                  <w:tcW w:w="1900" w:type="pct"/>
                  <w:vAlign w:val="center"/>
                </w:tcPr>
                <w:p>
                  <w:pPr>
                    <w:widowControl/>
                    <w:adjustRightInd w:val="0"/>
                    <w:snapToGrid w:val="0"/>
                    <w:jc w:val="both"/>
                    <w:rPr>
                      <w:color w:val="auto"/>
                      <w:szCs w:val="21"/>
                    </w:rPr>
                  </w:pPr>
                  <w:r>
                    <w:rPr>
                      <w:color w:val="auto"/>
                      <w:szCs w:val="21"/>
                    </w:rPr>
                    <w:t>项目500m范围内不涉及大气环境保护目标。</w:t>
                  </w:r>
                </w:p>
              </w:tc>
              <w:tc>
                <w:tcPr>
                  <w:tcW w:w="471" w:type="pct"/>
                  <w:vAlign w:val="center"/>
                </w:tcPr>
                <w:p>
                  <w:pPr>
                    <w:pStyle w:val="69"/>
                    <w:spacing w:before="0" w:beforeLines="0" w:after="0" w:afterLines="0" w:line="240" w:lineRule="auto"/>
                    <w:rPr>
                      <w:color w:val="auto"/>
                    </w:rPr>
                  </w:pPr>
                  <w:r>
                    <w:rPr>
                      <w:color w:val="auto"/>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422" w:type="pct"/>
                  <w:vMerge w:val="continue"/>
                  <w:vAlign w:val="center"/>
                </w:tcPr>
                <w:p>
                  <w:pPr>
                    <w:pStyle w:val="69"/>
                    <w:spacing w:before="0" w:beforeLines="0" w:after="0" w:afterLines="0" w:line="240" w:lineRule="auto"/>
                    <w:rPr>
                      <w:color w:val="auto"/>
                    </w:rPr>
                  </w:pPr>
                </w:p>
              </w:tc>
              <w:tc>
                <w:tcPr>
                  <w:tcW w:w="366" w:type="pct"/>
                  <w:vMerge w:val="continue"/>
                  <w:vAlign w:val="center"/>
                </w:tcPr>
                <w:p>
                  <w:pPr>
                    <w:pStyle w:val="69"/>
                    <w:spacing w:before="0" w:beforeLines="0" w:after="0" w:afterLines="0" w:line="240" w:lineRule="auto"/>
                    <w:rPr>
                      <w:color w:val="auto"/>
                    </w:rPr>
                  </w:pPr>
                </w:p>
              </w:tc>
              <w:tc>
                <w:tcPr>
                  <w:tcW w:w="1840" w:type="pct"/>
                  <w:vAlign w:val="center"/>
                </w:tcPr>
                <w:p>
                  <w:pPr>
                    <w:pStyle w:val="69"/>
                    <w:spacing w:before="0" w:beforeLines="0" w:after="0" w:afterLines="0" w:line="240" w:lineRule="auto"/>
                    <w:jc w:val="both"/>
                    <w:rPr>
                      <w:color w:val="auto"/>
                    </w:rPr>
                  </w:pPr>
                  <w:r>
                    <w:rPr>
                      <w:color w:val="auto"/>
                    </w:rPr>
                    <w:t>2.制定突发环境事件应急预案，完善风险管理机制，加强风险控制防范。</w:t>
                  </w:r>
                </w:p>
              </w:tc>
              <w:tc>
                <w:tcPr>
                  <w:tcW w:w="1900" w:type="pct"/>
                  <w:vAlign w:val="center"/>
                </w:tcPr>
                <w:p>
                  <w:pPr>
                    <w:pStyle w:val="69"/>
                    <w:spacing w:before="0" w:beforeLines="0" w:after="0" w:afterLines="0" w:line="240" w:lineRule="auto"/>
                    <w:jc w:val="both"/>
                    <w:rPr>
                      <w:color w:val="auto"/>
                    </w:rPr>
                  </w:pPr>
                  <w:r>
                    <w:rPr>
                      <w:color w:val="auto"/>
                      <w:szCs w:val="21"/>
                    </w:rPr>
                    <w:t>项目建成后，及时编制突发环境事件应急预案，并报送昆明市生态环境局宜良分局备案，企业加强风险防控。</w:t>
                  </w:r>
                </w:p>
              </w:tc>
              <w:tc>
                <w:tcPr>
                  <w:tcW w:w="471" w:type="pct"/>
                  <w:vAlign w:val="center"/>
                </w:tcPr>
                <w:p>
                  <w:pPr>
                    <w:pStyle w:val="69"/>
                    <w:spacing w:before="0" w:beforeLines="0" w:after="0" w:afterLines="0" w:line="240" w:lineRule="auto"/>
                    <w:rPr>
                      <w:color w:val="auto"/>
                    </w:rPr>
                  </w:pPr>
                  <w:r>
                    <w:rPr>
                      <w:color w:val="auto"/>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422" w:type="pct"/>
                  <w:vMerge w:val="continue"/>
                  <w:vAlign w:val="center"/>
                </w:tcPr>
                <w:p>
                  <w:pPr>
                    <w:pStyle w:val="69"/>
                    <w:spacing w:before="0" w:beforeLines="0" w:after="0" w:afterLines="0" w:line="240" w:lineRule="auto"/>
                    <w:rPr>
                      <w:color w:val="auto"/>
                    </w:rPr>
                  </w:pPr>
                </w:p>
              </w:tc>
              <w:tc>
                <w:tcPr>
                  <w:tcW w:w="366" w:type="pct"/>
                  <w:vMerge w:val="continue"/>
                  <w:vAlign w:val="center"/>
                </w:tcPr>
                <w:p>
                  <w:pPr>
                    <w:pStyle w:val="69"/>
                    <w:spacing w:before="0" w:beforeLines="0" w:after="0" w:afterLines="0" w:line="240" w:lineRule="auto"/>
                    <w:rPr>
                      <w:color w:val="auto"/>
                    </w:rPr>
                  </w:pPr>
                </w:p>
              </w:tc>
              <w:tc>
                <w:tcPr>
                  <w:tcW w:w="1840" w:type="pct"/>
                  <w:vAlign w:val="center"/>
                </w:tcPr>
                <w:p>
                  <w:pPr>
                    <w:pStyle w:val="69"/>
                    <w:spacing w:before="0" w:beforeLines="0" w:after="0" w:afterLines="0" w:line="240" w:lineRule="auto"/>
                    <w:jc w:val="both"/>
                    <w:rPr>
                      <w:color w:val="auto"/>
                    </w:rPr>
                  </w:pPr>
                  <w:r>
                    <w:rPr>
                      <w:color w:val="auto"/>
                    </w:rPr>
                    <w:t>3.禁止建设项目超标排放重金属、“三致物”、剧毒物质污染物，严格控制排放持久性有机污染物。</w:t>
                  </w:r>
                </w:p>
              </w:tc>
              <w:tc>
                <w:tcPr>
                  <w:tcW w:w="1900" w:type="pct"/>
                  <w:vAlign w:val="center"/>
                </w:tcPr>
                <w:p>
                  <w:pPr>
                    <w:pStyle w:val="69"/>
                    <w:spacing w:before="0" w:beforeLines="0" w:after="0" w:afterLines="0" w:line="240" w:lineRule="auto"/>
                    <w:jc w:val="both"/>
                    <w:rPr>
                      <w:color w:val="auto"/>
                    </w:rPr>
                  </w:pPr>
                  <w:r>
                    <w:rPr>
                      <w:color w:val="auto"/>
                      <w:szCs w:val="21"/>
                    </w:rPr>
                    <w:t>项目排放的污染物不涉及重金属、“三致物”、剧毒物质。</w:t>
                  </w:r>
                </w:p>
              </w:tc>
              <w:tc>
                <w:tcPr>
                  <w:tcW w:w="471" w:type="pct"/>
                  <w:vAlign w:val="center"/>
                </w:tcPr>
                <w:p>
                  <w:pPr>
                    <w:pStyle w:val="69"/>
                    <w:spacing w:before="0" w:beforeLines="0" w:after="0" w:afterLines="0" w:line="240" w:lineRule="auto"/>
                    <w:rPr>
                      <w:color w:val="auto"/>
                    </w:rPr>
                  </w:pPr>
                  <w:r>
                    <w:rPr>
                      <w:color w:val="auto"/>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422" w:type="pct"/>
                  <w:vMerge w:val="continue"/>
                  <w:vAlign w:val="center"/>
                </w:tcPr>
                <w:p>
                  <w:pPr>
                    <w:pStyle w:val="69"/>
                    <w:spacing w:before="0" w:beforeLines="0" w:after="0" w:afterLines="0" w:line="240" w:lineRule="auto"/>
                    <w:rPr>
                      <w:color w:val="auto"/>
                    </w:rPr>
                  </w:pPr>
                </w:p>
              </w:tc>
              <w:tc>
                <w:tcPr>
                  <w:tcW w:w="366" w:type="pct"/>
                  <w:vMerge w:val="restart"/>
                  <w:vAlign w:val="center"/>
                </w:tcPr>
                <w:p>
                  <w:pPr>
                    <w:pStyle w:val="69"/>
                    <w:spacing w:before="0" w:beforeLines="0" w:after="0" w:afterLines="0" w:line="240" w:lineRule="auto"/>
                    <w:rPr>
                      <w:color w:val="auto"/>
                    </w:rPr>
                  </w:pPr>
                  <w:r>
                    <w:rPr>
                      <w:color w:val="auto"/>
                    </w:rPr>
                    <w:t>资源开发效率要求</w:t>
                  </w:r>
                </w:p>
              </w:tc>
              <w:tc>
                <w:tcPr>
                  <w:tcW w:w="1840" w:type="pct"/>
                  <w:vAlign w:val="center"/>
                </w:tcPr>
                <w:p>
                  <w:pPr>
                    <w:pStyle w:val="69"/>
                    <w:spacing w:before="0" w:beforeLines="0" w:after="0" w:afterLines="0" w:line="240" w:lineRule="auto"/>
                    <w:jc w:val="both"/>
                    <w:rPr>
                      <w:color w:val="auto"/>
                    </w:rPr>
                  </w:pPr>
                  <w:r>
                    <w:rPr>
                      <w:color w:val="auto"/>
                    </w:rPr>
                    <w:t>1.入驻企业工业用水鼓励优先使用再生水，禁止无相关许可手续取用地下水作为生产用水。</w:t>
                  </w:r>
                </w:p>
              </w:tc>
              <w:tc>
                <w:tcPr>
                  <w:tcW w:w="1900" w:type="pct"/>
                  <w:vAlign w:val="center"/>
                </w:tcPr>
                <w:p>
                  <w:pPr>
                    <w:pStyle w:val="69"/>
                    <w:spacing w:before="0" w:beforeLines="0" w:after="0" w:afterLines="0" w:line="240" w:lineRule="auto"/>
                    <w:jc w:val="both"/>
                    <w:rPr>
                      <w:color w:val="auto"/>
                    </w:rPr>
                  </w:pPr>
                  <w:r>
                    <w:rPr>
                      <w:color w:val="auto"/>
                      <w:szCs w:val="21"/>
                    </w:rPr>
                    <w:t>本项目水源来源于自来水，不取用地下水。</w:t>
                  </w:r>
                </w:p>
              </w:tc>
              <w:tc>
                <w:tcPr>
                  <w:tcW w:w="471" w:type="pct"/>
                  <w:vAlign w:val="center"/>
                </w:tcPr>
                <w:p>
                  <w:pPr>
                    <w:pStyle w:val="69"/>
                    <w:spacing w:before="0" w:beforeLines="0" w:after="0" w:afterLines="0" w:line="240" w:lineRule="auto"/>
                    <w:rPr>
                      <w:color w:val="auto"/>
                    </w:rPr>
                  </w:pPr>
                  <w:r>
                    <w:rPr>
                      <w:color w:val="auto"/>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422" w:type="pct"/>
                  <w:vMerge w:val="continue"/>
                  <w:vAlign w:val="center"/>
                </w:tcPr>
                <w:p>
                  <w:pPr>
                    <w:pStyle w:val="69"/>
                    <w:spacing w:before="0" w:beforeLines="0" w:after="0" w:afterLines="0" w:line="240" w:lineRule="auto"/>
                    <w:rPr>
                      <w:color w:val="auto"/>
                    </w:rPr>
                  </w:pPr>
                </w:p>
              </w:tc>
              <w:tc>
                <w:tcPr>
                  <w:tcW w:w="366" w:type="pct"/>
                  <w:vMerge w:val="continue"/>
                  <w:vAlign w:val="center"/>
                </w:tcPr>
                <w:p>
                  <w:pPr>
                    <w:pStyle w:val="69"/>
                    <w:spacing w:before="0" w:beforeLines="0" w:after="0" w:afterLines="0" w:line="240" w:lineRule="auto"/>
                    <w:rPr>
                      <w:color w:val="auto"/>
                    </w:rPr>
                  </w:pPr>
                </w:p>
              </w:tc>
              <w:tc>
                <w:tcPr>
                  <w:tcW w:w="1840" w:type="pct"/>
                  <w:vAlign w:val="center"/>
                </w:tcPr>
                <w:p>
                  <w:pPr>
                    <w:pStyle w:val="69"/>
                    <w:spacing w:before="0" w:beforeLines="0" w:after="0" w:afterLines="0" w:line="240" w:lineRule="auto"/>
                    <w:jc w:val="both"/>
                    <w:rPr>
                      <w:color w:val="auto"/>
                    </w:rPr>
                  </w:pPr>
                  <w:r>
                    <w:rPr>
                      <w:color w:val="auto"/>
                    </w:rPr>
                    <w:t>2.入驻企业工业用水重复利用率不低于80%。</w:t>
                  </w:r>
                </w:p>
              </w:tc>
              <w:tc>
                <w:tcPr>
                  <w:tcW w:w="1900" w:type="pct"/>
                  <w:vAlign w:val="center"/>
                </w:tcPr>
                <w:p>
                  <w:pPr>
                    <w:widowControl/>
                    <w:adjustRightInd w:val="0"/>
                    <w:snapToGrid w:val="0"/>
                    <w:jc w:val="both"/>
                    <w:rPr>
                      <w:color w:val="auto"/>
                      <w:szCs w:val="21"/>
                    </w:rPr>
                  </w:pPr>
                  <w:r>
                    <w:rPr>
                      <w:color w:val="auto"/>
                      <w:szCs w:val="21"/>
                    </w:rPr>
                    <w:t>本项目冷却水、清洗废水循环使用。</w:t>
                  </w:r>
                </w:p>
              </w:tc>
              <w:tc>
                <w:tcPr>
                  <w:tcW w:w="471" w:type="pct"/>
                  <w:vAlign w:val="center"/>
                </w:tcPr>
                <w:p>
                  <w:pPr>
                    <w:pStyle w:val="69"/>
                    <w:spacing w:before="0" w:beforeLines="0" w:after="0" w:afterLines="0" w:line="240" w:lineRule="auto"/>
                    <w:rPr>
                      <w:color w:val="auto"/>
                    </w:rPr>
                  </w:pPr>
                  <w:r>
                    <w:rPr>
                      <w:color w:val="auto"/>
                    </w:rPr>
                    <w:t>符合</w:t>
                  </w:r>
                </w:p>
              </w:tc>
            </w:tr>
          </w:tbl>
          <w:p>
            <w:pPr>
              <w:adjustRightInd w:val="0"/>
              <w:snapToGrid w:val="0"/>
              <w:spacing w:line="360" w:lineRule="auto"/>
              <w:ind w:firstLine="480" w:firstLineChars="200"/>
              <w:jc w:val="both"/>
              <w:rPr>
                <w:color w:val="auto"/>
                <w:sz w:val="24"/>
                <w:szCs w:val="24"/>
              </w:rPr>
            </w:pPr>
            <w:r>
              <w:rPr>
                <w:color w:val="auto"/>
                <w:sz w:val="24"/>
                <w:szCs w:val="24"/>
              </w:rPr>
              <w:t>因此，项目符合《昆明市生态环境分区管控动态更新方案（2023年）》的要求。</w:t>
            </w:r>
          </w:p>
          <w:p>
            <w:pPr>
              <w:adjustRightInd w:val="0"/>
              <w:snapToGrid w:val="0"/>
              <w:spacing w:line="360" w:lineRule="auto"/>
              <w:ind w:firstLine="482" w:firstLineChars="200"/>
              <w:rPr>
                <w:color w:val="auto"/>
                <w:sz w:val="24"/>
                <w:szCs w:val="24"/>
              </w:rPr>
            </w:pPr>
            <w:r>
              <w:rPr>
                <w:rFonts w:hint="eastAsia"/>
                <w:b/>
                <w:bCs/>
                <w:color w:val="auto"/>
                <w:sz w:val="24"/>
                <w:szCs w:val="24"/>
              </w:rPr>
              <w:t>3</w:t>
            </w:r>
            <w:r>
              <w:rPr>
                <w:b/>
                <w:bCs/>
                <w:color w:val="auto"/>
                <w:sz w:val="24"/>
                <w:szCs w:val="24"/>
              </w:rPr>
              <w:t>、与《昆明市“十四五”生态环境保护规划》符合性分析</w:t>
            </w:r>
          </w:p>
          <w:p>
            <w:pPr>
              <w:adjustRightInd w:val="0"/>
              <w:snapToGrid w:val="0"/>
              <w:spacing w:line="360" w:lineRule="auto"/>
              <w:ind w:firstLine="480" w:firstLineChars="200"/>
              <w:rPr>
                <w:bCs/>
                <w:color w:val="auto"/>
                <w:kern w:val="0"/>
                <w:sz w:val="24"/>
                <w:szCs w:val="24"/>
              </w:rPr>
            </w:pPr>
            <w:r>
              <w:rPr>
                <w:color w:val="auto"/>
                <w:sz w:val="24"/>
                <w:szCs w:val="24"/>
              </w:rPr>
              <w:t>项目与</w:t>
            </w:r>
            <w:r>
              <w:rPr>
                <w:bCs/>
                <w:color w:val="auto"/>
                <w:kern w:val="0"/>
                <w:sz w:val="24"/>
                <w:szCs w:val="24"/>
              </w:rPr>
              <w:t>《昆明市“十四五”生态环境保护规划》的符合性分析见下表。</w:t>
            </w:r>
          </w:p>
          <w:p>
            <w:pPr>
              <w:pStyle w:val="68"/>
              <w:tabs>
                <w:tab w:val="left" w:pos="420"/>
              </w:tabs>
              <w:spacing w:before="120"/>
              <w:ind w:left="0" w:firstLine="0"/>
              <w:rPr>
                <w:rFonts w:hint="default"/>
                <w:color w:val="auto"/>
                <w:sz w:val="24"/>
                <w:szCs w:val="24"/>
              </w:rPr>
            </w:pPr>
            <w:r>
              <w:rPr>
                <w:rFonts w:hint="default"/>
                <w:color w:val="auto"/>
                <w:sz w:val="24"/>
                <w:szCs w:val="24"/>
              </w:rPr>
              <w:t>与《昆明市“十四五”生态环境保护规划》的符合性分析</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
              <w:gridCol w:w="708"/>
              <w:gridCol w:w="3235"/>
              <w:gridCol w:w="2033"/>
              <w:gridCol w:w="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b/>
                      <w:bCs/>
                      <w:color w:val="auto"/>
                      <w:kern w:val="0"/>
                      <w:szCs w:val="21"/>
                    </w:rPr>
                  </w:pPr>
                  <w:r>
                    <w:rPr>
                      <w:b/>
                      <w:bCs/>
                      <w:color w:val="auto"/>
                      <w:kern w:val="0"/>
                      <w:szCs w:val="21"/>
                    </w:rPr>
                    <w:t>序号</w:t>
                  </w:r>
                </w:p>
              </w:tc>
              <w:tc>
                <w:tcPr>
                  <w:tcW w:w="3943" w:type="dxa"/>
                  <w:gridSpan w:val="2"/>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b/>
                      <w:bCs/>
                      <w:color w:val="auto"/>
                      <w:kern w:val="0"/>
                      <w:szCs w:val="21"/>
                    </w:rPr>
                  </w:pPr>
                  <w:r>
                    <w:rPr>
                      <w:b/>
                      <w:color w:val="auto"/>
                      <w:szCs w:val="21"/>
                    </w:rPr>
                    <w:t>相关要求</w:t>
                  </w:r>
                </w:p>
              </w:tc>
              <w:tc>
                <w:tcPr>
                  <w:tcW w:w="203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b/>
                      <w:bCs/>
                      <w:color w:val="auto"/>
                      <w:kern w:val="0"/>
                      <w:szCs w:val="21"/>
                    </w:rPr>
                  </w:pPr>
                  <w:r>
                    <w:rPr>
                      <w:b/>
                      <w:bCs/>
                      <w:color w:val="auto"/>
                      <w:kern w:val="0"/>
                      <w:szCs w:val="21"/>
                    </w:rPr>
                    <w:t>项目情况</w:t>
                  </w:r>
                </w:p>
              </w:tc>
              <w:tc>
                <w:tcPr>
                  <w:tcW w:w="66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b/>
                      <w:bCs/>
                      <w:color w:val="auto"/>
                      <w:kern w:val="0"/>
                      <w:szCs w:val="21"/>
                    </w:rPr>
                  </w:pPr>
                  <w:r>
                    <w:rPr>
                      <w:b/>
                      <w:bCs/>
                      <w:color w:val="auto"/>
                      <w:kern w:val="0"/>
                      <w:szCs w:val="21"/>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bCs/>
                      <w:color w:val="auto"/>
                      <w:kern w:val="0"/>
                      <w:szCs w:val="21"/>
                    </w:rPr>
                  </w:pPr>
                  <w:r>
                    <w:rPr>
                      <w:color w:val="auto"/>
                      <w:szCs w:val="21"/>
                    </w:rPr>
                    <w:t>1</w:t>
                  </w:r>
                </w:p>
              </w:tc>
              <w:tc>
                <w:tcPr>
                  <w:tcW w:w="70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bCs/>
                      <w:color w:val="auto"/>
                      <w:kern w:val="0"/>
                      <w:szCs w:val="21"/>
                    </w:rPr>
                  </w:pPr>
                  <w:r>
                    <w:rPr>
                      <w:color w:val="auto"/>
                      <w:szCs w:val="21"/>
                    </w:rPr>
                    <w:t>稳定巩固大气环境质量</w:t>
                  </w:r>
                </w:p>
              </w:tc>
              <w:tc>
                <w:tcPr>
                  <w:tcW w:w="32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b/>
                      <w:bCs/>
                      <w:color w:val="auto"/>
                      <w:kern w:val="0"/>
                      <w:szCs w:val="21"/>
                    </w:rPr>
                  </w:pPr>
                  <w:r>
                    <w:rPr>
                      <w:b/>
                      <w:color w:val="auto"/>
                      <w:szCs w:val="21"/>
                    </w:rPr>
                    <w:t>大力推进重点行业VOC</w:t>
                  </w:r>
                  <w:r>
                    <w:rPr>
                      <w:b/>
                      <w:color w:val="auto"/>
                      <w:szCs w:val="21"/>
                      <w:vertAlign w:val="subscript"/>
                    </w:rPr>
                    <w:t>s</w:t>
                  </w:r>
                  <w:r>
                    <w:rPr>
                      <w:b/>
                      <w:color w:val="auto"/>
                      <w:szCs w:val="21"/>
                    </w:rPr>
                    <w:t>治理。</w:t>
                  </w:r>
                  <w:r>
                    <w:rPr>
                      <w:color w:val="auto"/>
                      <w:szCs w:val="21"/>
                    </w:rPr>
                    <w:t>加强以石化、化工、工业涂装、包装印刷、油品储运销、汽车维修（维护）4S店等行业（领域）为重点全面开展VOCs污染综合治理，开展低VOCs含量原辅材料替代、无组织排放控制、末端治理设施升级改造以及VOCs蒸发排放控制等对VOCs进行控制，建立完善源头、过程和末端的VOCs全过程控制体系，实施VOCs排放总量控制，重点减排行业开展提升“三率”（即废气收集率、治理设施同步运行率、去除率）自查行动。加强油品储运销VOCs排放监管。到2025年，石化、化工、工业涂装、包装印刷行业VOCs综合去除效率分别达到70%、60%、60%、60%以上。</w:t>
                  </w:r>
                </w:p>
              </w:tc>
              <w:tc>
                <w:tcPr>
                  <w:tcW w:w="203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bCs/>
                      <w:color w:val="auto"/>
                      <w:kern w:val="0"/>
                      <w:szCs w:val="21"/>
                    </w:rPr>
                  </w:pPr>
                  <w:r>
                    <w:rPr>
                      <w:bCs/>
                      <w:color w:val="auto"/>
                      <w:kern w:val="0"/>
                      <w:szCs w:val="21"/>
                    </w:rPr>
                    <w:t>本项目属于</w:t>
                  </w:r>
                  <w:r>
                    <w:rPr>
                      <w:color w:val="auto"/>
                      <w:szCs w:val="21"/>
                    </w:rPr>
                    <w:t>非金属废料和碎屑加工处理</w:t>
                  </w:r>
                  <w:r>
                    <w:rPr>
                      <w:bCs/>
                      <w:color w:val="auto"/>
                      <w:kern w:val="0"/>
                      <w:szCs w:val="21"/>
                    </w:rPr>
                    <w:t>，</w:t>
                  </w:r>
                  <w:r>
                    <w:rPr>
                      <w:color w:val="auto"/>
                      <w:szCs w:val="21"/>
                    </w:rPr>
                    <w:t>热熔挤出等生产过</w:t>
                  </w:r>
                  <w:r>
                    <w:rPr>
                      <w:rFonts w:hint="eastAsia"/>
                      <w:color w:val="auto"/>
                      <w:szCs w:val="21"/>
                      <w:lang w:eastAsia="zh-CN"/>
                    </w:rPr>
                    <w:t>程中</w:t>
                  </w:r>
                  <w:r>
                    <w:rPr>
                      <w:color w:val="auto"/>
                      <w:szCs w:val="21"/>
                    </w:rPr>
                    <w:t>产生的颗粒物、有机废气（以非甲烷总烃计）经</w:t>
                  </w:r>
                  <w:r>
                    <w:rPr>
                      <w:rFonts w:hint="eastAsia"/>
                      <w:color w:val="auto"/>
                      <w:kern w:val="0"/>
                      <w:szCs w:val="21"/>
                    </w:rPr>
                    <w:t>“过滤棉+</w:t>
                  </w:r>
                  <w:r>
                    <w:rPr>
                      <w:rFonts w:hint="eastAsia"/>
                      <w:color w:val="auto"/>
                      <w:kern w:val="0"/>
                      <w:szCs w:val="21"/>
                      <w:lang w:eastAsia="zh-CN"/>
                    </w:rPr>
                    <w:t>三级活性炭</w:t>
                  </w:r>
                  <w:r>
                    <w:rPr>
                      <w:color w:val="auto"/>
                      <w:kern w:val="0"/>
                      <w:szCs w:val="21"/>
                    </w:rPr>
                    <w:t>吸附装置</w:t>
                  </w:r>
                  <w:r>
                    <w:rPr>
                      <w:rFonts w:hint="eastAsia"/>
                      <w:color w:val="auto"/>
                      <w:kern w:val="0"/>
                      <w:szCs w:val="21"/>
                    </w:rPr>
                    <w:t>”</w:t>
                  </w:r>
                  <w:r>
                    <w:rPr>
                      <w:color w:val="auto"/>
                      <w:szCs w:val="21"/>
                    </w:rPr>
                    <w:t>处理后经1根</w:t>
                  </w:r>
                  <w:r>
                    <w:rPr>
                      <w:rFonts w:hint="eastAsia"/>
                      <w:color w:val="auto"/>
                      <w:szCs w:val="21"/>
                      <w:lang w:eastAsia="zh-CN"/>
                    </w:rPr>
                    <w:t>15m高</w:t>
                  </w:r>
                  <w:r>
                    <w:rPr>
                      <w:color w:val="auto"/>
                      <w:szCs w:val="21"/>
                    </w:rPr>
                    <w:t>排气筒排放。</w:t>
                  </w:r>
                </w:p>
              </w:tc>
              <w:tc>
                <w:tcPr>
                  <w:tcW w:w="66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bCs/>
                      <w:color w:val="auto"/>
                      <w:kern w:val="0"/>
                      <w:szCs w:val="21"/>
                    </w:rPr>
                  </w:pPr>
                  <w:r>
                    <w:rPr>
                      <w:bCs/>
                      <w:color w:val="auto"/>
                      <w:kern w:val="0"/>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bCs/>
                      <w:color w:val="auto"/>
                      <w:kern w:val="0"/>
                      <w:szCs w:val="21"/>
                    </w:rPr>
                  </w:pPr>
                  <w:r>
                    <w:rPr>
                      <w:color w:val="auto"/>
                      <w:szCs w:val="21"/>
                    </w:rPr>
                    <w:t>2</w:t>
                  </w:r>
                </w:p>
              </w:tc>
              <w:tc>
                <w:tcPr>
                  <w:tcW w:w="70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bCs/>
                      <w:color w:val="auto"/>
                      <w:kern w:val="0"/>
                      <w:szCs w:val="21"/>
                    </w:rPr>
                  </w:pPr>
                  <w:r>
                    <w:rPr>
                      <w:color w:val="auto"/>
                      <w:szCs w:val="21"/>
                    </w:rPr>
                    <w:t>持续改善水生态环境质量</w:t>
                  </w:r>
                </w:p>
              </w:tc>
              <w:tc>
                <w:tcPr>
                  <w:tcW w:w="32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bCs/>
                      <w:color w:val="auto"/>
                      <w:kern w:val="0"/>
                      <w:szCs w:val="21"/>
                    </w:rPr>
                  </w:pPr>
                  <w:r>
                    <w:rPr>
                      <w:b/>
                      <w:color w:val="auto"/>
                      <w:szCs w:val="21"/>
                    </w:rPr>
                    <w:t>巩固深化水污染治理。</w:t>
                  </w:r>
                  <w:r>
                    <w:rPr>
                      <w:color w:val="auto"/>
                      <w:szCs w:val="21"/>
                    </w:rPr>
                    <w:t>加强入河排污口排查整治，按照“有口皆查、应查尽查”要求，深入开展重要干流、支流入河排污口排查，建立入河排污口排查整治名录，完善排污口信息，严格监督管理，构建“受纳水体—排污口—排污通道—排污单位”全过程监督管理体系。完善各工业园区污水处理及配套设施建设，加强工业企业污水处理站运行维护管理，增加企业中水回用配套设施建设，鼓励企业中水回用，减少工业用水量。加快城镇生活污水处理设施及配套管网建设，加快推进主城区及重点流域污水处理厂提标改造工作，推动昆明主城北部、东南部、安宁市、嵩明县、石林县建设城镇污水处理厂与配套管网工程的工作。推进城市建成区内现有钢铁、有色金属、印染、原料药制造、化工等污染较重的企业有序搬迁改造或依法关闭。实施重点流域重点行业氮磷排放总量控制，持续开展畜牧业、农副食品加工业、食品制造业、纺织工业、造纸业等其他氮磷排放重点行业企业超标整治工作。</w:t>
                  </w:r>
                </w:p>
              </w:tc>
              <w:tc>
                <w:tcPr>
                  <w:tcW w:w="203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bCs/>
                      <w:color w:val="auto"/>
                      <w:kern w:val="0"/>
                      <w:szCs w:val="21"/>
                    </w:rPr>
                  </w:pPr>
                  <w:r>
                    <w:rPr>
                      <w:bCs/>
                      <w:color w:val="auto"/>
                      <w:kern w:val="0"/>
                      <w:szCs w:val="21"/>
                    </w:rPr>
                    <w:t>本项目</w:t>
                  </w:r>
                  <w:r>
                    <w:rPr>
                      <w:color w:val="auto"/>
                      <w:kern w:val="0"/>
                      <w:szCs w:val="21"/>
                      <w:highlight w:val="none"/>
                    </w:rPr>
                    <w:t>冷却水循环回用不外排</w:t>
                  </w:r>
                  <w:r>
                    <w:rPr>
                      <w:color w:val="auto"/>
                      <w:kern w:val="0"/>
                      <w:szCs w:val="21"/>
                    </w:rPr>
                    <w:t>，生活污水</w:t>
                  </w:r>
                  <w:r>
                    <w:rPr>
                      <w:rFonts w:hint="eastAsia"/>
                      <w:color w:val="auto"/>
                      <w:kern w:val="0"/>
                      <w:szCs w:val="21"/>
                      <w:lang w:val="en-US" w:eastAsia="zh-CN"/>
                    </w:rPr>
                    <w:t>暂存化粪池后委托清掏，</w:t>
                  </w:r>
                  <w:r>
                    <w:rPr>
                      <w:color w:val="auto"/>
                      <w:kern w:val="0"/>
                      <w:szCs w:val="21"/>
                    </w:rPr>
                    <w:t>不外排；不设废水排污口，不会对地表水环境质量产生影响。</w:t>
                  </w:r>
                </w:p>
              </w:tc>
              <w:tc>
                <w:tcPr>
                  <w:tcW w:w="66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bCs/>
                      <w:color w:val="auto"/>
                      <w:kern w:val="0"/>
                      <w:szCs w:val="21"/>
                    </w:rPr>
                  </w:pPr>
                  <w:r>
                    <w:rPr>
                      <w:bCs/>
                      <w:color w:val="auto"/>
                      <w:kern w:val="0"/>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bCs/>
                      <w:color w:val="auto"/>
                      <w:kern w:val="0"/>
                      <w:szCs w:val="21"/>
                    </w:rPr>
                  </w:pPr>
                  <w:r>
                    <w:rPr>
                      <w:bCs/>
                      <w:color w:val="auto"/>
                      <w:kern w:val="0"/>
                      <w:szCs w:val="21"/>
                    </w:rPr>
                    <w:t>3</w:t>
                  </w:r>
                </w:p>
              </w:tc>
              <w:tc>
                <w:tcPr>
                  <w:tcW w:w="70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bCs/>
                      <w:color w:val="auto"/>
                      <w:kern w:val="0"/>
                      <w:szCs w:val="21"/>
                    </w:rPr>
                  </w:pPr>
                  <w:r>
                    <w:rPr>
                      <w:color w:val="auto"/>
                      <w:szCs w:val="21"/>
                    </w:rPr>
                    <w:t>加快声环境质量改善与提升</w:t>
                  </w:r>
                </w:p>
              </w:tc>
              <w:tc>
                <w:tcPr>
                  <w:tcW w:w="32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bCs/>
                      <w:color w:val="auto"/>
                      <w:kern w:val="0"/>
                      <w:szCs w:val="21"/>
                    </w:rPr>
                  </w:pPr>
                  <w:r>
                    <w:rPr>
                      <w:b/>
                      <w:color w:val="auto"/>
                      <w:szCs w:val="21"/>
                    </w:rPr>
                    <w:t>加强工业噪声污染防控。</w:t>
                  </w:r>
                  <w:r>
                    <w:rPr>
                      <w:color w:val="auto"/>
                      <w:szCs w:val="21"/>
                    </w:rPr>
                    <w:t>严格限制在居民密集区、学校、医院等附近新建、改建、扩建有噪声或震动危害的企业、车间和其他设备装置。加强工业园区噪声污染防治，按规范设置噪声防护范围，鼓励企业采用低噪声设备和工艺，严肃查处工业企业噪声超标排放及扰民问题。</w:t>
                  </w:r>
                </w:p>
              </w:tc>
              <w:tc>
                <w:tcPr>
                  <w:tcW w:w="203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bCs/>
                      <w:color w:val="auto"/>
                      <w:kern w:val="0"/>
                      <w:szCs w:val="21"/>
                    </w:rPr>
                    <w:t>本项目周边50m范围内无声环境敏感目标</w:t>
                  </w:r>
                  <w:r>
                    <w:rPr>
                      <w:color w:val="auto"/>
                      <w:szCs w:val="21"/>
                    </w:rPr>
                    <w:t>，现状噪声源为交通噪声、周边企业生产工业噪声。生产采用低噪声设备，生产设备均安装于生产车间内，噪声经减振、厂房隔声后对周边声环境影响较小。</w:t>
                  </w:r>
                </w:p>
              </w:tc>
              <w:tc>
                <w:tcPr>
                  <w:tcW w:w="66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bCs/>
                      <w:color w:val="auto"/>
                      <w:kern w:val="0"/>
                      <w:szCs w:val="21"/>
                    </w:rPr>
                  </w:pPr>
                  <w:r>
                    <w:rPr>
                      <w:bCs/>
                      <w:color w:val="auto"/>
                      <w:kern w:val="0"/>
                      <w:szCs w:val="21"/>
                    </w:rPr>
                    <w:t>符合</w:t>
                  </w:r>
                </w:p>
              </w:tc>
            </w:tr>
          </w:tbl>
          <w:p>
            <w:pPr>
              <w:adjustRightInd w:val="0"/>
              <w:snapToGrid w:val="0"/>
              <w:spacing w:line="360" w:lineRule="auto"/>
              <w:ind w:firstLine="480" w:firstLineChars="200"/>
              <w:rPr>
                <w:bCs/>
                <w:color w:val="auto"/>
                <w:kern w:val="0"/>
                <w:sz w:val="24"/>
                <w:szCs w:val="24"/>
              </w:rPr>
            </w:pPr>
            <w:r>
              <w:rPr>
                <w:color w:val="auto"/>
                <w:sz w:val="24"/>
                <w:szCs w:val="24"/>
              </w:rPr>
              <w:t>综上分析，本项目符合</w:t>
            </w:r>
            <w:r>
              <w:rPr>
                <w:bCs/>
                <w:color w:val="auto"/>
                <w:kern w:val="0"/>
                <w:sz w:val="24"/>
                <w:szCs w:val="24"/>
              </w:rPr>
              <w:t>《昆明市“十四五”生态环境保护规划》的</w:t>
            </w:r>
            <w:r>
              <w:rPr>
                <w:color w:val="auto"/>
                <w:sz w:val="24"/>
                <w:szCs w:val="24"/>
              </w:rPr>
              <w:t>相关要求。</w:t>
            </w:r>
          </w:p>
          <w:p>
            <w:pPr>
              <w:adjustRightInd w:val="0"/>
              <w:snapToGrid w:val="0"/>
              <w:spacing w:line="360" w:lineRule="auto"/>
              <w:ind w:firstLine="482" w:firstLineChars="200"/>
              <w:rPr>
                <w:b/>
                <w:bCs/>
                <w:color w:val="auto"/>
                <w:sz w:val="24"/>
                <w:szCs w:val="24"/>
              </w:rPr>
            </w:pPr>
            <w:r>
              <w:rPr>
                <w:rFonts w:hint="eastAsia"/>
                <w:b/>
                <w:bCs/>
                <w:color w:val="auto"/>
                <w:sz w:val="24"/>
                <w:szCs w:val="24"/>
              </w:rPr>
              <w:t>4</w:t>
            </w:r>
            <w:r>
              <w:rPr>
                <w:b/>
                <w:bCs/>
                <w:color w:val="auto"/>
                <w:sz w:val="24"/>
                <w:szCs w:val="24"/>
              </w:rPr>
              <w:t>、与《再生资源回收管理办法》（商务部（2007）年第8号）及修订（2019年）的相符性</w:t>
            </w:r>
          </w:p>
          <w:p>
            <w:pPr>
              <w:adjustRightInd w:val="0"/>
              <w:snapToGrid w:val="0"/>
              <w:spacing w:line="360" w:lineRule="auto"/>
              <w:ind w:firstLine="480" w:firstLineChars="200"/>
              <w:rPr>
                <w:rFonts w:hint="default" w:eastAsia="宋体"/>
                <w:color w:val="auto"/>
                <w:sz w:val="24"/>
                <w:szCs w:val="24"/>
                <w:lang w:val="en-US" w:eastAsia="zh-CN"/>
              </w:rPr>
            </w:pPr>
            <w:r>
              <w:rPr>
                <w:color w:val="auto"/>
                <w:sz w:val="24"/>
                <w:szCs w:val="24"/>
              </w:rPr>
              <w:t>《再生资源回收管理办法》中规定：再生资源包括废旧金属、报废电子产品、报废机电设备及其零部件、废造纸原料（如废纸废棉等）、废轻化工原料（如橡胶、塑料、农药包装物、动物杂骨、毛发等）废玻璃等，国家鼓励以环境无害化方式回收处理再生资源，鼓励开展有关再生资源回收利用的科学研究、技术开发和推广。</w:t>
            </w:r>
          </w:p>
          <w:p>
            <w:pPr>
              <w:adjustRightInd w:val="0"/>
              <w:snapToGrid w:val="0"/>
              <w:spacing w:line="360" w:lineRule="auto"/>
              <w:ind w:firstLine="480" w:firstLineChars="200"/>
              <w:rPr>
                <w:color w:val="auto"/>
                <w:sz w:val="24"/>
                <w:szCs w:val="24"/>
              </w:rPr>
            </w:pPr>
            <w:r>
              <w:rPr>
                <w:color w:val="auto"/>
                <w:sz w:val="24"/>
                <w:szCs w:val="24"/>
              </w:rPr>
              <w:t>本项目属于非金属废料和碎屑加工处理，</w:t>
            </w:r>
            <w:r>
              <w:rPr>
                <w:rFonts w:ascii="宋体" w:hAnsi="宋体"/>
                <w:color w:val="auto"/>
                <w:sz w:val="24"/>
                <w:szCs w:val="24"/>
              </w:rPr>
              <w:t>本项目主要将再生纸生产企业碎浆预处理工段筛分出的碎浆废物中的废塑料回收后进行再生塑料颗粒的生产。</w:t>
            </w:r>
            <w:r>
              <w:rPr>
                <w:color w:val="auto"/>
                <w:sz w:val="24"/>
                <w:szCs w:val="24"/>
              </w:rPr>
              <w:t>实现了资源的回收利用，满足管理要求。</w:t>
            </w:r>
          </w:p>
          <w:p>
            <w:pPr>
              <w:adjustRightInd w:val="0"/>
              <w:snapToGrid w:val="0"/>
              <w:spacing w:line="360" w:lineRule="auto"/>
              <w:ind w:firstLine="482" w:firstLineChars="200"/>
              <w:rPr>
                <w:b/>
                <w:bCs/>
                <w:color w:val="auto"/>
                <w:sz w:val="24"/>
                <w:szCs w:val="24"/>
              </w:rPr>
            </w:pPr>
            <w:r>
              <w:rPr>
                <w:rFonts w:hint="eastAsia"/>
                <w:b/>
                <w:bCs/>
                <w:color w:val="auto"/>
                <w:sz w:val="24"/>
                <w:szCs w:val="24"/>
              </w:rPr>
              <w:t>5</w:t>
            </w:r>
            <w:r>
              <w:rPr>
                <w:b/>
                <w:bCs/>
                <w:color w:val="auto"/>
                <w:sz w:val="24"/>
                <w:szCs w:val="24"/>
              </w:rPr>
              <w:t>、与《废塑料综合利用行业规范条件》（中华人民共和国</w:t>
            </w:r>
            <w:r>
              <w:rPr>
                <w:rFonts w:hint="eastAsia"/>
                <w:b/>
                <w:bCs/>
                <w:color w:val="auto"/>
                <w:sz w:val="24"/>
                <w:szCs w:val="24"/>
                <w:lang w:eastAsia="zh-CN"/>
              </w:rPr>
              <w:t>工业和信息化部</w:t>
            </w:r>
            <w:r>
              <w:rPr>
                <w:b/>
                <w:bCs/>
                <w:color w:val="auto"/>
                <w:sz w:val="24"/>
                <w:szCs w:val="24"/>
              </w:rPr>
              <w:t>，公告2015年第81号）符合性分析</w:t>
            </w:r>
          </w:p>
          <w:p>
            <w:pPr>
              <w:pStyle w:val="68"/>
              <w:tabs>
                <w:tab w:val="left" w:pos="420"/>
              </w:tabs>
              <w:spacing w:before="120"/>
              <w:ind w:left="0" w:firstLine="0"/>
              <w:rPr>
                <w:rFonts w:hint="default"/>
                <w:color w:val="auto"/>
                <w:sz w:val="24"/>
                <w:szCs w:val="24"/>
              </w:rPr>
            </w:pPr>
            <w:r>
              <w:rPr>
                <w:rFonts w:hint="default"/>
                <w:color w:val="auto"/>
                <w:sz w:val="24"/>
                <w:szCs w:val="24"/>
              </w:rPr>
              <w:t>与《废塑料综合利用行业规范条件》符合性分析</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
              <w:gridCol w:w="799"/>
              <w:gridCol w:w="2692"/>
              <w:gridCol w:w="2404"/>
              <w:gridCol w:w="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ascii="Times New Roman" w:hAnsi="Times New Roman"/>
                      <w:b/>
                      <w:bCs/>
                      <w:color w:val="auto"/>
                      <w:sz w:val="21"/>
                      <w:szCs w:val="21"/>
                    </w:rPr>
                  </w:pPr>
                  <w:r>
                    <w:rPr>
                      <w:rFonts w:ascii="Times New Roman" w:hAnsi="Times New Roman"/>
                      <w:b/>
                      <w:bCs/>
                      <w:color w:val="auto"/>
                      <w:sz w:val="21"/>
                      <w:szCs w:val="21"/>
                    </w:rPr>
                    <w:t>序号</w:t>
                  </w:r>
                </w:p>
              </w:tc>
              <w:tc>
                <w:tcPr>
                  <w:tcW w:w="3491" w:type="dxa"/>
                  <w:gridSpan w:val="2"/>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ascii="Times New Roman" w:hAnsi="Times New Roman"/>
                      <w:b/>
                      <w:bCs/>
                      <w:color w:val="auto"/>
                      <w:sz w:val="21"/>
                      <w:szCs w:val="21"/>
                    </w:rPr>
                  </w:pPr>
                  <w:r>
                    <w:rPr>
                      <w:rFonts w:ascii="Times New Roman" w:hAnsi="Times New Roman"/>
                      <w:b/>
                      <w:bCs/>
                      <w:color w:val="auto"/>
                      <w:sz w:val="21"/>
                      <w:szCs w:val="21"/>
                    </w:rPr>
                    <w:t>相关要求</w:t>
                  </w:r>
                </w:p>
              </w:tc>
              <w:tc>
                <w:tcPr>
                  <w:tcW w:w="2404"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ascii="Times New Roman" w:hAnsi="Times New Roman"/>
                      <w:b/>
                      <w:bCs/>
                      <w:color w:val="auto"/>
                      <w:sz w:val="21"/>
                      <w:szCs w:val="21"/>
                    </w:rPr>
                  </w:pPr>
                  <w:r>
                    <w:rPr>
                      <w:rFonts w:ascii="Times New Roman" w:hAnsi="Times New Roman"/>
                      <w:b/>
                      <w:bCs/>
                      <w:color w:val="auto"/>
                      <w:sz w:val="21"/>
                      <w:szCs w:val="21"/>
                    </w:rPr>
                    <w:t>本项目情况</w:t>
                  </w:r>
                </w:p>
              </w:tc>
              <w:tc>
                <w:tcPr>
                  <w:tcW w:w="661"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ascii="Times New Roman" w:hAnsi="Times New Roman"/>
                      <w:b/>
                      <w:bCs/>
                      <w:color w:val="auto"/>
                      <w:sz w:val="21"/>
                      <w:szCs w:val="21"/>
                    </w:rPr>
                  </w:pPr>
                  <w:r>
                    <w:rPr>
                      <w:rFonts w:ascii="Times New Roman" w:hAnsi="Times New Roman"/>
                      <w:b/>
                      <w:bCs/>
                      <w:color w:val="auto"/>
                      <w:sz w:val="21"/>
                      <w:szCs w:val="21"/>
                    </w:rPr>
                    <w:t>是否相符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1</w:t>
                  </w:r>
                </w:p>
              </w:tc>
              <w:tc>
                <w:tcPr>
                  <w:tcW w:w="799" w:type="dxa"/>
                  <w:vMerge w:val="restar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一、企业的设立和布局</w:t>
                  </w:r>
                </w:p>
              </w:tc>
              <w:tc>
                <w:tcPr>
                  <w:tcW w:w="269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color w:val="auto"/>
                      <w:szCs w:val="21"/>
                    </w:rPr>
                    <w:t>废塑料综合利用企业是指采用物理机械法对热塑性废塑料进行再生加工的企业，企业类型主要包括PET再生瓶片类企业、废塑料破碎清洗分选类企业以及塑料再生造粒类企业。</w:t>
                  </w:r>
                </w:p>
              </w:tc>
              <w:tc>
                <w:tcPr>
                  <w:tcW w:w="240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color w:val="auto"/>
                      <w:szCs w:val="21"/>
                    </w:rPr>
                    <w:t>本项目主要利用宜良县及周边再生纸生产企业产生的碎浆废渣中</w:t>
                  </w:r>
                  <w:r>
                    <w:rPr>
                      <w:rFonts w:hint="eastAsia"/>
                      <w:color w:val="auto"/>
                      <w:szCs w:val="21"/>
                    </w:rPr>
                    <w:t>已被</w:t>
                  </w:r>
                  <w:r>
                    <w:rPr>
                      <w:color w:val="auto"/>
                      <w:szCs w:val="21"/>
                    </w:rPr>
                    <w:t>分离出的废塑料</w:t>
                  </w:r>
                  <w:r>
                    <w:rPr>
                      <w:rFonts w:hint="eastAsia"/>
                      <w:color w:val="auto"/>
                      <w:szCs w:val="21"/>
                      <w:lang w:eastAsia="zh-CN"/>
                    </w:rPr>
                    <w:t>，</w:t>
                  </w:r>
                  <w:r>
                    <w:rPr>
                      <w:color w:val="auto"/>
                      <w:szCs w:val="21"/>
                    </w:rPr>
                    <w:t>经</w:t>
                  </w:r>
                  <w:r>
                    <w:rPr>
                      <w:rFonts w:hint="eastAsia"/>
                      <w:color w:val="auto"/>
                      <w:szCs w:val="21"/>
                      <w:lang w:val="en-US" w:eastAsia="zh-CN"/>
                    </w:rPr>
                    <w:t>场内</w:t>
                  </w:r>
                  <w:r>
                    <w:rPr>
                      <w:color w:val="auto"/>
                      <w:szCs w:val="21"/>
                    </w:rPr>
                    <w:t>分选得到废旧塑料，再经挤压造粒、热熔造粒生产再生塑料颗粒。</w:t>
                  </w:r>
                </w:p>
              </w:tc>
              <w:tc>
                <w:tcPr>
                  <w:tcW w:w="66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b/>
                      <w:color w:val="auto"/>
                      <w:szCs w:val="21"/>
                    </w:rPr>
                  </w:pPr>
                  <w:r>
                    <w:rPr>
                      <w:color w:val="auto"/>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2</w:t>
                  </w:r>
                </w:p>
              </w:tc>
              <w:tc>
                <w:tcPr>
                  <w:tcW w:w="799"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p>
              </w:tc>
              <w:tc>
                <w:tcPr>
                  <w:tcW w:w="269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color w:val="auto"/>
                      <w:szCs w:val="21"/>
                    </w:rPr>
                    <w:t>废塑料综合利用企业所涉及的</w:t>
                  </w:r>
                  <w:bookmarkStart w:id="10" w:name="OLE_LINK14"/>
                  <w:r>
                    <w:rPr>
                      <w:color w:val="auto"/>
                      <w:szCs w:val="21"/>
                    </w:rPr>
                    <w:t>热塑性废塑料</w:t>
                  </w:r>
                  <w:bookmarkEnd w:id="10"/>
                  <w:r>
                    <w:rPr>
                      <w:color w:val="auto"/>
                      <w:szCs w:val="21"/>
                    </w:rPr>
                    <w:t>原料，不包括受到危险化学品、农药等污染的废弃塑料包装物、废弃一次性医疗用塑料制品等塑料类危险废物</w:t>
                  </w:r>
                  <w:r>
                    <w:rPr>
                      <w:rFonts w:hint="eastAsia"/>
                      <w:color w:val="auto"/>
                      <w:szCs w:val="21"/>
                      <w:lang w:eastAsia="zh-CN"/>
                    </w:rPr>
                    <w:t>，</w:t>
                  </w:r>
                  <w:r>
                    <w:rPr>
                      <w:color w:val="auto"/>
                      <w:szCs w:val="21"/>
                    </w:rPr>
                    <w:t>以及氟塑料等特种工程塑料。</w:t>
                  </w:r>
                </w:p>
              </w:tc>
              <w:tc>
                <w:tcPr>
                  <w:tcW w:w="240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color w:val="auto"/>
                      <w:szCs w:val="21"/>
                    </w:rPr>
                    <w:t>项目回收加工的是废旧塑料，不涉及受危险化学品、农药等污染的废弃塑料包装物、废弃的一次性医疗用塑料制品等塑料类危险废物，以及氟塑料等特种工程塑料。</w:t>
                  </w:r>
                </w:p>
              </w:tc>
              <w:tc>
                <w:tcPr>
                  <w:tcW w:w="66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45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3</w:t>
                  </w:r>
                </w:p>
              </w:tc>
              <w:tc>
                <w:tcPr>
                  <w:tcW w:w="799"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p>
              </w:tc>
              <w:tc>
                <w:tcPr>
                  <w:tcW w:w="269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color w:val="auto"/>
                      <w:szCs w:val="21"/>
                    </w:rPr>
                    <w:t>新建及改造、扩建废塑料加工企业应符合国家产业政策及所在地区土地利用总体规划、城乡建设规划、环境保护、污染防治规划。企业建设应有规范化设计要求，采用节能环保技术及生产装备。</w:t>
                  </w:r>
                </w:p>
              </w:tc>
              <w:tc>
                <w:tcPr>
                  <w:tcW w:w="240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color w:val="auto"/>
                      <w:szCs w:val="21"/>
                    </w:rPr>
                    <w:t>项目属于新建项目，位于宜良产业园区内。根据《产业结构调整指导目录（</w:t>
                  </w:r>
                  <w:r>
                    <w:rPr>
                      <w:rFonts w:eastAsia="Times New Roman"/>
                      <w:color w:val="auto"/>
                      <w:szCs w:val="21"/>
                    </w:rPr>
                    <w:t>2024</w:t>
                  </w:r>
                  <w:r>
                    <w:rPr>
                      <w:color w:val="auto"/>
                      <w:szCs w:val="21"/>
                    </w:rPr>
                    <w:t>年本）》，本项目属于鼓励类项目，符合国家产业政策。项目租用</w:t>
                  </w:r>
                  <w:r>
                    <w:rPr>
                      <w:rFonts w:hint="eastAsia"/>
                      <w:color w:val="auto"/>
                      <w:szCs w:val="21"/>
                      <w:lang w:eastAsia="zh-CN"/>
                    </w:rPr>
                    <w:t>云南宝塑塑料管业有限公司</w:t>
                  </w:r>
                  <w:r>
                    <w:rPr>
                      <w:color w:val="auto"/>
                      <w:szCs w:val="21"/>
                    </w:rPr>
                    <w:t>的闲置厂房，</w:t>
                  </w:r>
                  <w:r>
                    <w:rPr>
                      <w:rFonts w:hint="eastAsia"/>
                      <w:color w:val="auto"/>
                      <w:kern w:val="0"/>
                      <w:szCs w:val="21"/>
                    </w:rPr>
                    <w:t>用地性质为二类工业用地</w:t>
                  </w:r>
                  <w:r>
                    <w:rPr>
                      <w:rFonts w:hint="eastAsia"/>
                      <w:color w:val="auto"/>
                      <w:szCs w:val="21"/>
                    </w:rPr>
                    <w:t>，</w:t>
                  </w:r>
                  <w:r>
                    <w:rPr>
                      <w:color w:val="auto"/>
                      <w:szCs w:val="21"/>
                    </w:rPr>
                    <w:t>符合土地利用规划要求</w:t>
                  </w:r>
                  <w:r>
                    <w:rPr>
                      <w:color w:val="auto"/>
                      <w:kern w:val="0"/>
                      <w:szCs w:val="21"/>
                    </w:rPr>
                    <w:t>。</w:t>
                  </w:r>
                </w:p>
              </w:tc>
              <w:tc>
                <w:tcPr>
                  <w:tcW w:w="66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45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4</w:t>
                  </w:r>
                </w:p>
              </w:tc>
              <w:tc>
                <w:tcPr>
                  <w:tcW w:w="799"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p>
              </w:tc>
              <w:tc>
                <w:tcPr>
                  <w:tcW w:w="269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color w:val="auto"/>
                      <w:szCs w:val="21"/>
                    </w:rPr>
                    <w:t>在国家法律、法规、规章和规划确定或县级及以上人民政府规定的自然保护区、风景名胜区、饮用水源保护区、基本农田保护区和其他需要特别保护的区域内，不得新建废塑料综合利用企业；已在上述区域投产运营的废塑料综合利用企业，要根据该区域规划要求，依法通过搬迁、转产等方式逐步退出。</w:t>
                  </w:r>
                </w:p>
              </w:tc>
              <w:tc>
                <w:tcPr>
                  <w:tcW w:w="240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color w:val="auto"/>
                      <w:szCs w:val="21"/>
                    </w:rPr>
                    <w:t>项目位于宜良产业园区内，选址不涉及国家法律、法规、规章和规划确定或县级及以上人民政府规定的自然保护区、风景名胜区、饮用水源保护区、基本农田保护区和其他需要特别保护的区域内。</w:t>
                  </w:r>
                </w:p>
              </w:tc>
              <w:tc>
                <w:tcPr>
                  <w:tcW w:w="66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5</w:t>
                  </w:r>
                </w:p>
              </w:tc>
              <w:tc>
                <w:tcPr>
                  <w:tcW w:w="799" w:type="dxa"/>
                  <w:vMerge w:val="restar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二、生产经营规模</w:t>
                  </w:r>
                </w:p>
              </w:tc>
              <w:tc>
                <w:tcPr>
                  <w:tcW w:w="269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bookmarkStart w:id="11" w:name="_Hlk205825593"/>
                  <w:r>
                    <w:rPr>
                      <w:color w:val="auto"/>
                      <w:szCs w:val="21"/>
                    </w:rPr>
                    <w:t>废塑料破碎、清洗、分选类企业：新建企业年废塑料处理能力不低于30000吨；</w:t>
                  </w:r>
                  <w:bookmarkEnd w:id="11"/>
                  <w:r>
                    <w:rPr>
                      <w:color w:val="auto"/>
                      <w:szCs w:val="21"/>
                    </w:rPr>
                    <w:t>已建企业年废塑料处理能力不低于20000吨。</w:t>
                  </w:r>
                </w:p>
              </w:tc>
              <w:tc>
                <w:tcPr>
                  <w:tcW w:w="240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rFonts w:hint="eastAsia"/>
                      <w:color w:val="auto"/>
                      <w:szCs w:val="21"/>
                    </w:rPr>
                    <w:t>本项目属于新建的再生塑料颗粒生产类企业，</w:t>
                  </w:r>
                  <w:r>
                    <w:rPr>
                      <w:color w:val="auto"/>
                      <w:szCs w:val="21"/>
                    </w:rPr>
                    <w:t>废塑料破碎、清洗、分选</w:t>
                  </w:r>
                  <w:r>
                    <w:rPr>
                      <w:rFonts w:hint="eastAsia"/>
                      <w:color w:val="auto"/>
                      <w:szCs w:val="21"/>
                    </w:rPr>
                    <w:t>属于再生造粒的前端预处理生产工艺。</w:t>
                  </w:r>
                </w:p>
              </w:tc>
              <w:tc>
                <w:tcPr>
                  <w:tcW w:w="66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6</w:t>
                  </w:r>
                </w:p>
              </w:tc>
              <w:tc>
                <w:tcPr>
                  <w:tcW w:w="799"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p>
              </w:tc>
              <w:tc>
                <w:tcPr>
                  <w:tcW w:w="269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bookmarkStart w:id="12" w:name="_Hlk205825600"/>
                  <w:r>
                    <w:rPr>
                      <w:color w:val="auto"/>
                      <w:szCs w:val="21"/>
                    </w:rPr>
                    <w:t>塑料再生造粒类企业：新建企业年废塑料处理能力不低于5000吨；</w:t>
                  </w:r>
                  <w:bookmarkEnd w:id="12"/>
                  <w:r>
                    <w:rPr>
                      <w:color w:val="auto"/>
                      <w:szCs w:val="21"/>
                    </w:rPr>
                    <w:t>已建企业年废塑料处理能力不低于3000吨。</w:t>
                  </w:r>
                </w:p>
              </w:tc>
              <w:tc>
                <w:tcPr>
                  <w:tcW w:w="240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color w:val="auto"/>
                      <w:szCs w:val="21"/>
                    </w:rPr>
                    <w:t>本项目属于新建企业，年产再生塑料颗粒</w:t>
                  </w:r>
                  <w:r>
                    <w:rPr>
                      <w:rFonts w:hint="eastAsia"/>
                      <w:color w:val="auto"/>
                      <w:szCs w:val="21"/>
                      <w:lang w:val="en-US" w:eastAsia="zh-CN"/>
                    </w:rPr>
                    <w:t>16000</w:t>
                  </w:r>
                  <w:r>
                    <w:rPr>
                      <w:color w:val="auto"/>
                      <w:szCs w:val="21"/>
                    </w:rPr>
                    <w:t>吨</w:t>
                  </w:r>
                  <w:r>
                    <w:rPr>
                      <w:rFonts w:hint="eastAsia"/>
                      <w:color w:val="auto"/>
                      <w:szCs w:val="21"/>
                      <w:lang w:val="en-US" w:eastAsia="zh-CN"/>
                    </w:rPr>
                    <w:t>＞5000吨</w:t>
                  </w:r>
                  <w:r>
                    <w:rPr>
                      <w:color w:val="auto"/>
                      <w:szCs w:val="21"/>
                    </w:rPr>
                    <w:t>。</w:t>
                  </w:r>
                </w:p>
              </w:tc>
              <w:tc>
                <w:tcPr>
                  <w:tcW w:w="66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7</w:t>
                  </w:r>
                </w:p>
              </w:tc>
              <w:tc>
                <w:tcPr>
                  <w:tcW w:w="799"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p>
              </w:tc>
              <w:tc>
                <w:tcPr>
                  <w:tcW w:w="269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color w:val="auto"/>
                      <w:szCs w:val="21"/>
                    </w:rPr>
                    <w:t>企业应具有与生产能力相匹配的厂区作业场地面积。</w:t>
                  </w:r>
                </w:p>
              </w:tc>
              <w:tc>
                <w:tcPr>
                  <w:tcW w:w="240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color w:val="auto"/>
                      <w:szCs w:val="21"/>
                    </w:rPr>
                    <w:t>本项目租用</w:t>
                  </w:r>
                  <w:r>
                    <w:rPr>
                      <w:rFonts w:hint="eastAsia"/>
                      <w:color w:val="auto"/>
                      <w:szCs w:val="21"/>
                      <w:lang w:eastAsia="zh-CN"/>
                    </w:rPr>
                    <w:t>云南宝塑塑料管业有限公司</w:t>
                  </w:r>
                  <w:r>
                    <w:rPr>
                      <w:color w:val="auto"/>
                      <w:szCs w:val="21"/>
                    </w:rPr>
                    <w:t>场地</w:t>
                  </w:r>
                  <w:r>
                    <w:rPr>
                      <w:rFonts w:hint="eastAsia"/>
                      <w:color w:val="auto"/>
                      <w:szCs w:val="21"/>
                      <w:lang w:val="en-US" w:eastAsia="zh-CN"/>
                    </w:rPr>
                    <w:t>占地面积3780</w:t>
                  </w:r>
                  <w:r>
                    <w:rPr>
                      <w:rFonts w:hint="eastAsia"/>
                      <w:color w:val="auto"/>
                      <w:szCs w:val="21"/>
                    </w:rPr>
                    <w:t>m</w:t>
                  </w:r>
                  <w:r>
                    <w:rPr>
                      <w:rFonts w:hint="eastAsia"/>
                      <w:color w:val="auto"/>
                      <w:szCs w:val="21"/>
                      <w:vertAlign w:val="superscript"/>
                    </w:rPr>
                    <w:t>2</w:t>
                  </w:r>
                  <w:r>
                    <w:rPr>
                      <w:color w:val="auto"/>
                      <w:szCs w:val="21"/>
                    </w:rPr>
                    <w:t>闲置钢结构厂房。</w:t>
                  </w:r>
                </w:p>
              </w:tc>
              <w:tc>
                <w:tcPr>
                  <w:tcW w:w="66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8</w:t>
                  </w:r>
                </w:p>
              </w:tc>
              <w:tc>
                <w:tcPr>
                  <w:tcW w:w="799" w:type="dxa"/>
                  <w:vMerge w:val="restar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四、工艺与装备</w:t>
                  </w:r>
                </w:p>
              </w:tc>
              <w:tc>
                <w:tcPr>
                  <w:tcW w:w="269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color w:val="auto"/>
                      <w:szCs w:val="21"/>
                    </w:rPr>
                    <w:t>废塑料破碎、清洗、分选类企业。应采用自动化处理设备和设施。其中，破碎工序应采用具有减振与降噪功能的密闭破碎设备；清洗工序应实现自动控制和清洗液循环利用，降低耗水量与耗药量；应使用低发泡、低残留、易处理的清洗药剂；分选工序鼓励采用自动化分选设备。</w:t>
                  </w:r>
                </w:p>
              </w:tc>
              <w:tc>
                <w:tcPr>
                  <w:tcW w:w="240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color w:val="auto"/>
                      <w:szCs w:val="21"/>
                    </w:rPr>
                    <w:t>本项目采用自动化处理设施，其中</w:t>
                  </w:r>
                  <w:r>
                    <w:rPr>
                      <w:rFonts w:hint="eastAsia"/>
                      <w:color w:val="auto"/>
                      <w:szCs w:val="21"/>
                      <w:lang w:val="en-US" w:eastAsia="zh-CN"/>
                    </w:rPr>
                    <w:t>分选</w:t>
                  </w:r>
                  <w:r>
                    <w:rPr>
                      <w:color w:val="auto"/>
                      <w:szCs w:val="21"/>
                    </w:rPr>
                    <w:t>工序采用具有减振与降噪功能的密闭破碎设备；分选工序采用自动化分选设备。</w:t>
                  </w:r>
                </w:p>
              </w:tc>
              <w:tc>
                <w:tcPr>
                  <w:tcW w:w="66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9</w:t>
                  </w:r>
                </w:p>
              </w:tc>
              <w:tc>
                <w:tcPr>
                  <w:tcW w:w="799"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p>
              </w:tc>
              <w:tc>
                <w:tcPr>
                  <w:tcW w:w="269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color w:val="auto"/>
                      <w:szCs w:val="21"/>
                    </w:rPr>
                    <w:t>塑料再生造粒类企业。应具有与加工利用能力相适应的预处理设备和造粒设备。其中，造粒设备应具有强制排气系统，通过集气装置实现废气的集中处理；过滤装置的废弃过滤网应按照环境保护有关规定处理，禁止露天焚烧。</w:t>
                  </w:r>
                </w:p>
              </w:tc>
              <w:tc>
                <w:tcPr>
                  <w:tcW w:w="240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color w:val="auto"/>
                      <w:szCs w:val="21"/>
                    </w:rPr>
                    <w:t>项目拟设2条熔融挤出造粒生产线，前端已配套与造粒生产线相适应的</w:t>
                  </w:r>
                  <w:r>
                    <w:rPr>
                      <w:rFonts w:hint="eastAsia"/>
                      <w:color w:val="auto"/>
                      <w:szCs w:val="21"/>
                      <w:lang w:val="en-US" w:eastAsia="zh-CN"/>
                    </w:rPr>
                    <w:t>除铁</w:t>
                  </w:r>
                  <w:r>
                    <w:rPr>
                      <w:color w:val="auto"/>
                      <w:szCs w:val="21"/>
                    </w:rPr>
                    <w:t>设备。每台熔融挤出机上方采用集气罩收集有机废气，设置</w:t>
                  </w:r>
                  <w:r>
                    <w:rPr>
                      <w:rFonts w:hint="eastAsia"/>
                      <w:color w:val="auto"/>
                      <w:kern w:val="0"/>
                      <w:szCs w:val="21"/>
                    </w:rPr>
                    <w:t>“过滤棉+</w:t>
                  </w:r>
                  <w:r>
                    <w:rPr>
                      <w:rFonts w:hint="eastAsia"/>
                      <w:color w:val="auto"/>
                      <w:kern w:val="0"/>
                      <w:szCs w:val="21"/>
                      <w:lang w:eastAsia="zh-CN"/>
                    </w:rPr>
                    <w:t>三级活性炭</w:t>
                  </w:r>
                  <w:r>
                    <w:rPr>
                      <w:color w:val="auto"/>
                      <w:kern w:val="0"/>
                      <w:szCs w:val="21"/>
                    </w:rPr>
                    <w:t>吸附装置</w:t>
                  </w:r>
                  <w:r>
                    <w:rPr>
                      <w:rFonts w:hint="eastAsia"/>
                      <w:color w:val="auto"/>
                      <w:kern w:val="0"/>
                      <w:szCs w:val="21"/>
                    </w:rPr>
                    <w:t>”</w:t>
                  </w:r>
                  <w:r>
                    <w:rPr>
                      <w:color w:val="auto"/>
                      <w:szCs w:val="21"/>
                    </w:rPr>
                    <w:t>处理废气；过滤装置的废弃过滤网集中收集后外售具备废滤网回收再生能力的单位进行回收处置。</w:t>
                  </w:r>
                </w:p>
              </w:tc>
              <w:tc>
                <w:tcPr>
                  <w:tcW w:w="66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45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10</w:t>
                  </w:r>
                </w:p>
              </w:tc>
              <w:tc>
                <w:tcPr>
                  <w:tcW w:w="799" w:type="dxa"/>
                  <w:vMerge w:val="restar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五、环境保护</w:t>
                  </w:r>
                </w:p>
              </w:tc>
              <w:tc>
                <w:tcPr>
                  <w:tcW w:w="269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color w:val="auto"/>
                      <w:szCs w:val="21"/>
                    </w:rPr>
                    <w:t>废塑料综合利用企业应严格执行《中华人民共和国环境影响评价法》，按照环境保护主管部门的相关规定报批环境影响评价文件。按照环境保护“三同时”的要求建设配套的环境保护设施，编制环境风险应急预案，并依法申请项目竣工环境保护验收。</w:t>
                  </w:r>
                </w:p>
              </w:tc>
              <w:tc>
                <w:tcPr>
                  <w:tcW w:w="240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color w:val="auto"/>
                      <w:szCs w:val="21"/>
                    </w:rPr>
                    <w:t>本项目</w:t>
                  </w:r>
                  <w:r>
                    <w:rPr>
                      <w:rFonts w:hint="eastAsia"/>
                      <w:color w:val="auto"/>
                      <w:szCs w:val="21"/>
                      <w:lang w:eastAsia="zh-CN"/>
                    </w:rPr>
                    <w:t>目前</w:t>
                  </w:r>
                  <w:r>
                    <w:rPr>
                      <w:color w:val="auto"/>
                      <w:szCs w:val="21"/>
                    </w:rPr>
                    <w:t>正在开展环境影响评价；待项目取得环评批复后，</w:t>
                  </w:r>
                  <w:r>
                    <w:rPr>
                      <w:rFonts w:hint="eastAsia"/>
                      <w:color w:val="auto"/>
                      <w:szCs w:val="21"/>
                    </w:rPr>
                    <w:t>严格执行</w:t>
                  </w:r>
                  <w:r>
                    <w:rPr>
                      <w:color w:val="auto"/>
                      <w:szCs w:val="21"/>
                    </w:rPr>
                    <w:t>“三同时”制度</w:t>
                  </w:r>
                  <w:r>
                    <w:rPr>
                      <w:rFonts w:hint="eastAsia"/>
                      <w:color w:val="auto"/>
                      <w:szCs w:val="21"/>
                    </w:rPr>
                    <w:t>，</w:t>
                  </w:r>
                  <w:r>
                    <w:rPr>
                      <w:color w:val="auto"/>
                      <w:szCs w:val="21"/>
                    </w:rPr>
                    <w:t>按环评及其批复要求建设配套的环境保护设施，编制环境风险应急预案并备案，并依法申请项目竣工环境保护验收。</w:t>
                  </w:r>
                </w:p>
              </w:tc>
              <w:tc>
                <w:tcPr>
                  <w:tcW w:w="66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11</w:t>
                  </w:r>
                </w:p>
              </w:tc>
              <w:tc>
                <w:tcPr>
                  <w:tcW w:w="799"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p>
              </w:tc>
              <w:tc>
                <w:tcPr>
                  <w:tcW w:w="269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color w:val="auto"/>
                      <w:szCs w:val="21"/>
                    </w:rPr>
                    <w:t>企业加工存储场地应建有围墙，在园区内的企业可为单独厂房，地面全部硬化且无明显破损现象。</w:t>
                  </w:r>
                </w:p>
              </w:tc>
              <w:tc>
                <w:tcPr>
                  <w:tcW w:w="240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color w:val="auto"/>
                      <w:szCs w:val="21"/>
                    </w:rPr>
                    <w:t>本项目租用</w:t>
                  </w:r>
                  <w:r>
                    <w:rPr>
                      <w:rFonts w:hint="eastAsia"/>
                      <w:color w:val="auto"/>
                      <w:szCs w:val="21"/>
                      <w:lang w:eastAsia="zh-CN"/>
                    </w:rPr>
                    <w:t>云南宝塑塑料管业有限公司</w:t>
                  </w:r>
                  <w:r>
                    <w:rPr>
                      <w:color w:val="auto"/>
                      <w:szCs w:val="21"/>
                    </w:rPr>
                    <w:t>场地</w:t>
                  </w:r>
                  <w:r>
                    <w:rPr>
                      <w:rFonts w:hint="eastAsia"/>
                      <w:color w:val="auto"/>
                      <w:szCs w:val="21"/>
                    </w:rPr>
                    <w:t>3</w:t>
                  </w:r>
                  <w:r>
                    <w:rPr>
                      <w:rFonts w:hint="eastAsia"/>
                      <w:color w:val="auto"/>
                      <w:szCs w:val="21"/>
                      <w:lang w:val="en-US" w:eastAsia="zh-CN"/>
                    </w:rPr>
                    <w:t>780</w:t>
                  </w:r>
                  <w:r>
                    <w:rPr>
                      <w:rFonts w:hint="eastAsia"/>
                      <w:color w:val="auto"/>
                      <w:szCs w:val="21"/>
                    </w:rPr>
                    <w:t>m</w:t>
                  </w:r>
                  <w:r>
                    <w:rPr>
                      <w:rFonts w:hint="eastAsia"/>
                      <w:color w:val="auto"/>
                      <w:szCs w:val="21"/>
                      <w:vertAlign w:val="superscript"/>
                    </w:rPr>
                    <w:t>2</w:t>
                  </w:r>
                  <w:r>
                    <w:rPr>
                      <w:color w:val="auto"/>
                      <w:szCs w:val="21"/>
                    </w:rPr>
                    <w:t>，</w:t>
                  </w:r>
                  <w:r>
                    <w:rPr>
                      <w:rFonts w:hint="eastAsia"/>
                      <w:color w:val="auto"/>
                      <w:szCs w:val="21"/>
                    </w:rPr>
                    <w:t>包括1栋</w:t>
                  </w:r>
                  <w:r>
                    <w:rPr>
                      <w:color w:val="auto"/>
                      <w:szCs w:val="21"/>
                    </w:rPr>
                    <w:t>已建闲置钢结构厂房。生产车间内部及室外地面全部硬化处理。</w:t>
                  </w:r>
                </w:p>
              </w:tc>
              <w:tc>
                <w:tcPr>
                  <w:tcW w:w="66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12</w:t>
                  </w:r>
                </w:p>
              </w:tc>
              <w:tc>
                <w:tcPr>
                  <w:tcW w:w="799"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p>
              </w:tc>
              <w:tc>
                <w:tcPr>
                  <w:tcW w:w="269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color w:val="auto"/>
                      <w:szCs w:val="21"/>
                    </w:rPr>
                    <w:t>企业必须配备废塑料分类存放场所。原料、产品、本企业不能利用废塑料及不可利用废物贮存在具有防雨、防风、防渗等功能的厂房或加盖雨棚的专门贮存场地内，无露天堆放现象。企业厂区管网建设应达到“雨污分流”要求。</w:t>
                  </w:r>
                </w:p>
              </w:tc>
              <w:tc>
                <w:tcPr>
                  <w:tcW w:w="240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color w:val="auto"/>
                      <w:szCs w:val="21"/>
                    </w:rPr>
                    <w:t>根据项目设计方案，项目采用雨污分流制度，雨水收集池依托</w:t>
                  </w:r>
                  <w:r>
                    <w:rPr>
                      <w:rFonts w:hint="eastAsia"/>
                      <w:color w:val="auto"/>
                      <w:szCs w:val="21"/>
                      <w:lang w:eastAsia="zh-CN"/>
                    </w:rPr>
                    <w:t>宝塑管业</w:t>
                  </w:r>
                  <w:r>
                    <w:rPr>
                      <w:color w:val="auto"/>
                      <w:szCs w:val="21"/>
                    </w:rPr>
                    <w:t>已建设的初期雨水收集池；原料、产品、本企业不能利用废塑料及不可利用废物全部贮存在具有防雨、防风、防渗等功能的生产车间内，不露天堆放。</w:t>
                  </w:r>
                </w:p>
              </w:tc>
              <w:tc>
                <w:tcPr>
                  <w:tcW w:w="66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45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13</w:t>
                  </w:r>
                </w:p>
              </w:tc>
              <w:tc>
                <w:tcPr>
                  <w:tcW w:w="799"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p>
              </w:tc>
              <w:tc>
                <w:tcPr>
                  <w:tcW w:w="269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color w:val="auto"/>
                      <w:szCs w:val="21"/>
                    </w:rPr>
                    <w:t>企业对收集的废塑料中的金属、橡胶、纤维、渣土、油脂、添加物等夹杂物，应采取相应的处理措施。如企业不具备处理条件，应委托其他具有处理能力的企业处理，不得擅自丢弃、倾倒、焚烧与填埋。</w:t>
                  </w:r>
                </w:p>
              </w:tc>
              <w:tc>
                <w:tcPr>
                  <w:tcW w:w="240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color w:val="auto"/>
                      <w:szCs w:val="21"/>
                    </w:rPr>
                    <w:t>项目生产过程中产生的污泥、金属等杂质交由具有处理能力的企业处理，不擅自丢弃、倾倒、焚烧与填埋。</w:t>
                  </w:r>
                </w:p>
              </w:tc>
              <w:tc>
                <w:tcPr>
                  <w:tcW w:w="66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45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14</w:t>
                  </w:r>
                </w:p>
              </w:tc>
              <w:tc>
                <w:tcPr>
                  <w:tcW w:w="799"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p>
              </w:tc>
              <w:tc>
                <w:tcPr>
                  <w:tcW w:w="269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color w:val="auto"/>
                      <w:szCs w:val="21"/>
                    </w:rPr>
                    <w:t>企业应具有与加工利用能力相适应的废水处理设施，中水回用率必须符合环评文件的有关要求。废水处理后需要外排的废水，必须经处理后达标排放。企业应采用高效节能环保的污泥处理工艺，或交由具有处理资格的废物处理机构，实现污泥无害化处理。除具有获批建设、验收合格的专业盐卤废水处理设施，禁止使用盐卤分选工艺。</w:t>
                  </w:r>
                </w:p>
              </w:tc>
              <w:tc>
                <w:tcPr>
                  <w:tcW w:w="240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color w:val="auto"/>
                      <w:szCs w:val="21"/>
                    </w:rPr>
                    <w:t>项目拟建设1座容积为</w:t>
                  </w:r>
                  <w:r>
                    <w:rPr>
                      <w:rFonts w:hint="eastAsia"/>
                      <w:color w:val="auto"/>
                      <w:szCs w:val="21"/>
                      <w:lang w:val="en-US" w:eastAsia="zh-CN"/>
                    </w:rPr>
                    <w:t>5</w:t>
                  </w:r>
                  <w:r>
                    <w:rPr>
                      <w:color w:val="auto"/>
                      <w:szCs w:val="21"/>
                    </w:rPr>
                    <w:t>m</w:t>
                  </w:r>
                  <w:r>
                    <w:rPr>
                      <w:color w:val="auto"/>
                      <w:szCs w:val="21"/>
                      <w:vertAlign w:val="superscript"/>
                    </w:rPr>
                    <w:t>3</w:t>
                  </w:r>
                  <w:r>
                    <w:rPr>
                      <w:color w:val="auto"/>
                      <w:szCs w:val="21"/>
                    </w:rPr>
                    <w:t>的</w:t>
                  </w:r>
                  <w:r>
                    <w:rPr>
                      <w:rFonts w:hint="eastAsia"/>
                      <w:color w:val="auto"/>
                      <w:szCs w:val="21"/>
                      <w:lang w:val="en-US" w:eastAsia="zh-CN"/>
                    </w:rPr>
                    <w:t>冷却</w:t>
                  </w:r>
                  <w:r>
                    <w:rPr>
                      <w:rFonts w:hint="eastAsia"/>
                      <w:color w:val="auto"/>
                      <w:szCs w:val="21"/>
                    </w:rPr>
                    <w:t>循环水</w:t>
                  </w:r>
                  <w:r>
                    <w:rPr>
                      <w:color w:val="auto"/>
                      <w:szCs w:val="21"/>
                    </w:rPr>
                    <w:t>池处理生产过程中的</w:t>
                  </w:r>
                  <w:r>
                    <w:rPr>
                      <w:rFonts w:hint="eastAsia"/>
                      <w:color w:val="auto"/>
                      <w:szCs w:val="21"/>
                      <w:lang w:val="en-US" w:eastAsia="zh-CN"/>
                    </w:rPr>
                    <w:t>废水循环使用</w:t>
                  </w:r>
                  <w:r>
                    <w:rPr>
                      <w:color w:val="auto"/>
                      <w:szCs w:val="21"/>
                    </w:rPr>
                    <w:t>。本项目不使用盐卤分选工艺。</w:t>
                  </w:r>
                </w:p>
              </w:tc>
              <w:tc>
                <w:tcPr>
                  <w:tcW w:w="66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45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15</w:t>
                  </w:r>
                </w:p>
              </w:tc>
              <w:tc>
                <w:tcPr>
                  <w:tcW w:w="799"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p>
              </w:tc>
              <w:tc>
                <w:tcPr>
                  <w:tcW w:w="269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color w:val="auto"/>
                      <w:szCs w:val="21"/>
                    </w:rPr>
                    <w:t>再生加工过程中产生废气、粉尘的加工车间应设置废气、粉尘收集处理设施，通过净化处理，达标后排放。</w:t>
                  </w:r>
                </w:p>
              </w:tc>
              <w:tc>
                <w:tcPr>
                  <w:tcW w:w="240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color w:val="auto"/>
                      <w:szCs w:val="21"/>
                    </w:rPr>
                    <w:t>塑料再生加工的热熔挤出等生产过程产生的颗粒物、有机废气（以非甲烷总烃计）经</w:t>
                  </w:r>
                  <w:r>
                    <w:rPr>
                      <w:rFonts w:hint="eastAsia"/>
                      <w:color w:val="auto"/>
                      <w:kern w:val="0"/>
                      <w:szCs w:val="21"/>
                    </w:rPr>
                    <w:t>“过滤棉+</w:t>
                  </w:r>
                  <w:r>
                    <w:rPr>
                      <w:rFonts w:hint="eastAsia"/>
                      <w:color w:val="auto"/>
                      <w:kern w:val="0"/>
                      <w:szCs w:val="21"/>
                      <w:lang w:eastAsia="zh-CN"/>
                    </w:rPr>
                    <w:t>三级活性炭</w:t>
                  </w:r>
                  <w:r>
                    <w:rPr>
                      <w:color w:val="auto"/>
                      <w:kern w:val="0"/>
                      <w:szCs w:val="21"/>
                    </w:rPr>
                    <w:t>吸附装置</w:t>
                  </w:r>
                  <w:r>
                    <w:rPr>
                      <w:rFonts w:hint="eastAsia"/>
                      <w:color w:val="auto"/>
                      <w:kern w:val="0"/>
                      <w:szCs w:val="21"/>
                    </w:rPr>
                    <w:t>”</w:t>
                  </w:r>
                  <w:r>
                    <w:rPr>
                      <w:color w:val="auto"/>
                      <w:szCs w:val="21"/>
                    </w:rPr>
                    <w:t>处理后经1根</w:t>
                  </w:r>
                  <w:r>
                    <w:rPr>
                      <w:rFonts w:hint="eastAsia"/>
                      <w:color w:val="auto"/>
                      <w:szCs w:val="21"/>
                      <w:lang w:eastAsia="zh-CN"/>
                    </w:rPr>
                    <w:t>15m高</w:t>
                  </w:r>
                  <w:r>
                    <w:rPr>
                      <w:color w:val="auto"/>
                      <w:szCs w:val="21"/>
                    </w:rPr>
                    <w:t>排气筒排放。</w:t>
                  </w:r>
                </w:p>
              </w:tc>
              <w:tc>
                <w:tcPr>
                  <w:tcW w:w="66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16</w:t>
                  </w:r>
                </w:p>
              </w:tc>
              <w:tc>
                <w:tcPr>
                  <w:tcW w:w="799"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p>
              </w:tc>
              <w:tc>
                <w:tcPr>
                  <w:tcW w:w="269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color w:val="auto"/>
                      <w:szCs w:val="21"/>
                    </w:rPr>
                    <w:t>对于加工过程中噪音污染大的设备，必须采取降噪和隔音措施，企业噪声应达到《工业企业厂界环境噪声排放标准》。</w:t>
                  </w:r>
                </w:p>
              </w:tc>
              <w:tc>
                <w:tcPr>
                  <w:tcW w:w="240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bCs/>
                      <w:color w:val="auto"/>
                      <w:kern w:val="0"/>
                      <w:szCs w:val="21"/>
                    </w:rPr>
                    <w:t>本项目周边50m范围内无声环境敏感目标</w:t>
                  </w:r>
                  <w:r>
                    <w:rPr>
                      <w:color w:val="auto"/>
                      <w:szCs w:val="21"/>
                    </w:rPr>
                    <w:t>，现状噪声源为交通噪声、周边企业生产工业噪声。生产采用低噪声设备，生产设备均安装于生产车间内，噪声经减振、厂房隔声可以达到《工业企业厂界环境噪声排放标准》。</w:t>
                  </w:r>
                </w:p>
              </w:tc>
              <w:tc>
                <w:tcPr>
                  <w:tcW w:w="66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符合</w:t>
                  </w:r>
                </w:p>
              </w:tc>
            </w:tr>
          </w:tbl>
          <w:p>
            <w:pPr>
              <w:adjustRightInd w:val="0"/>
              <w:snapToGrid w:val="0"/>
              <w:spacing w:line="360" w:lineRule="auto"/>
              <w:ind w:firstLine="480" w:firstLineChars="200"/>
              <w:rPr>
                <w:color w:val="auto"/>
                <w:sz w:val="24"/>
                <w:szCs w:val="24"/>
              </w:rPr>
            </w:pPr>
            <w:r>
              <w:rPr>
                <w:color w:val="auto"/>
                <w:sz w:val="24"/>
                <w:szCs w:val="24"/>
              </w:rPr>
              <w:t>综上所述，本项目符合《废塑料综合利用行业规范条件》的相关要求。</w:t>
            </w:r>
          </w:p>
          <w:p>
            <w:pPr>
              <w:adjustRightInd w:val="0"/>
              <w:snapToGrid w:val="0"/>
              <w:spacing w:line="360" w:lineRule="auto"/>
              <w:ind w:firstLine="482" w:firstLineChars="200"/>
              <w:rPr>
                <w:color w:val="auto"/>
                <w:sz w:val="24"/>
                <w:szCs w:val="24"/>
              </w:rPr>
            </w:pPr>
            <w:r>
              <w:rPr>
                <w:rFonts w:hint="eastAsia"/>
                <w:b/>
                <w:bCs/>
                <w:color w:val="auto"/>
                <w:sz w:val="24"/>
                <w:szCs w:val="24"/>
              </w:rPr>
              <w:t>6</w:t>
            </w:r>
            <w:r>
              <w:rPr>
                <w:b/>
                <w:bCs/>
                <w:color w:val="auto"/>
                <w:sz w:val="24"/>
                <w:szCs w:val="24"/>
              </w:rPr>
              <w:t>、与《废塑料加工利用污染防治管理规定》的符合性分析</w:t>
            </w:r>
          </w:p>
          <w:p>
            <w:pPr>
              <w:pStyle w:val="68"/>
              <w:tabs>
                <w:tab w:val="left" w:pos="420"/>
              </w:tabs>
              <w:spacing w:before="120"/>
              <w:ind w:left="0" w:firstLine="0"/>
              <w:rPr>
                <w:rFonts w:hint="default"/>
                <w:color w:val="auto"/>
                <w:sz w:val="24"/>
                <w:szCs w:val="24"/>
              </w:rPr>
            </w:pPr>
            <w:r>
              <w:rPr>
                <w:rFonts w:hint="default"/>
                <w:color w:val="auto"/>
                <w:sz w:val="24"/>
                <w:szCs w:val="24"/>
              </w:rPr>
              <w:t>与《</w:t>
            </w:r>
            <w:bookmarkStart w:id="13" w:name="OLE_LINK8"/>
            <w:r>
              <w:rPr>
                <w:rFonts w:hint="default"/>
                <w:color w:val="auto"/>
                <w:sz w:val="24"/>
                <w:szCs w:val="24"/>
              </w:rPr>
              <w:t>废塑料加工利用污染防治管理规定</w:t>
            </w:r>
            <w:bookmarkEnd w:id="13"/>
            <w:r>
              <w:rPr>
                <w:rFonts w:hint="default"/>
                <w:color w:val="auto"/>
                <w:sz w:val="24"/>
                <w:szCs w:val="24"/>
              </w:rPr>
              <w:t>》符合性分析</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
              <w:gridCol w:w="3491"/>
              <w:gridCol w:w="2404"/>
              <w:gridCol w:w="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b/>
                      <w:bCs/>
                      <w:color w:val="auto"/>
                      <w:sz w:val="21"/>
                      <w:szCs w:val="21"/>
                    </w:rPr>
                  </w:pPr>
                  <w:r>
                    <w:rPr>
                      <w:rFonts w:ascii="Times New Roman" w:hAnsi="Times New Roman"/>
                      <w:b/>
                      <w:bCs/>
                      <w:color w:val="auto"/>
                      <w:sz w:val="21"/>
                      <w:szCs w:val="21"/>
                    </w:rPr>
                    <w:t>序号</w:t>
                  </w:r>
                </w:p>
              </w:tc>
              <w:tc>
                <w:tcPr>
                  <w:tcW w:w="349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b/>
                      <w:bCs/>
                      <w:color w:val="auto"/>
                      <w:sz w:val="21"/>
                      <w:szCs w:val="21"/>
                    </w:rPr>
                  </w:pPr>
                  <w:r>
                    <w:rPr>
                      <w:rFonts w:ascii="Times New Roman" w:hAnsi="Times New Roman"/>
                      <w:b/>
                      <w:bCs/>
                      <w:color w:val="auto"/>
                      <w:sz w:val="21"/>
                      <w:szCs w:val="21"/>
                    </w:rPr>
                    <w:t>相关要求</w:t>
                  </w:r>
                </w:p>
              </w:tc>
              <w:tc>
                <w:tcPr>
                  <w:tcW w:w="2404"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b/>
                      <w:bCs/>
                      <w:color w:val="auto"/>
                      <w:sz w:val="21"/>
                      <w:szCs w:val="21"/>
                    </w:rPr>
                  </w:pPr>
                  <w:r>
                    <w:rPr>
                      <w:rFonts w:ascii="Times New Roman" w:hAnsi="Times New Roman"/>
                      <w:b/>
                      <w:bCs/>
                      <w:color w:val="auto"/>
                      <w:sz w:val="21"/>
                      <w:szCs w:val="21"/>
                    </w:rPr>
                    <w:t>本项目情况</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b/>
                      <w:bCs/>
                      <w:color w:val="auto"/>
                      <w:sz w:val="21"/>
                      <w:szCs w:val="21"/>
                    </w:rPr>
                  </w:pPr>
                  <w:r>
                    <w:rPr>
                      <w:rFonts w:ascii="Times New Roman" w:hAnsi="Times New Roman"/>
                      <w:b/>
                      <w:bCs/>
                      <w:color w:val="auto"/>
                      <w:sz w:val="21"/>
                      <w:szCs w:val="21"/>
                    </w:rPr>
                    <w:t>是否相符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1</w:t>
                  </w:r>
                </w:p>
              </w:tc>
              <w:tc>
                <w:tcPr>
                  <w:tcW w:w="349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bCs/>
                      <w:color w:val="auto"/>
                      <w:szCs w:val="21"/>
                    </w:rPr>
                  </w:pPr>
                  <w:r>
                    <w:rPr>
                      <w:bCs/>
                      <w:color w:val="auto"/>
                      <w:szCs w:val="21"/>
                    </w:rPr>
                    <w:t>第三条 废塑料加工利用必须符合国家相关产业政策规定及《废塑料回收与再生利用污染控制技术规范》，防止二次污染。</w:t>
                  </w:r>
                </w:p>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bCs/>
                      <w:color w:val="auto"/>
                      <w:szCs w:val="21"/>
                    </w:rPr>
                  </w:pPr>
                  <w:r>
                    <w:rPr>
                      <w:bCs/>
                      <w:color w:val="auto"/>
                      <w:szCs w:val="21"/>
                    </w:rPr>
                    <w:t>禁止在居民区加工利用废塑料。禁止利用废塑料生产厚度小于0.025mm的超薄塑料购物袋和厚度小于0.015mm超薄塑料袋。禁止利用废塑料生产食品用塑料袋。禁止无危险废物经营许可证从事废塑料类危险废物的回收利用活动，包括被危险化学品、农药等污染的废弃塑料包装物，废弃的一次性医疗用塑料制品（如输液器、血袋）等。</w:t>
                  </w:r>
                </w:p>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bCs/>
                      <w:color w:val="auto"/>
                      <w:szCs w:val="21"/>
                    </w:rPr>
                    <w:t>无符合环保要求污水治理设施的，禁止从事废编织袋造粒、缸脚料淘洗、废塑料退镀（涂）、盐卤分拣等加工活动。</w:t>
                  </w:r>
                </w:p>
              </w:tc>
              <w:tc>
                <w:tcPr>
                  <w:tcW w:w="240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color w:val="auto"/>
                      <w:szCs w:val="21"/>
                    </w:rPr>
                    <w:t>项目厂址</w:t>
                  </w:r>
                  <w:r>
                    <w:rPr>
                      <w:rFonts w:hint="eastAsia"/>
                      <w:color w:val="auto"/>
                      <w:szCs w:val="21"/>
                      <w:lang w:val="en-US" w:eastAsia="zh-CN"/>
                    </w:rPr>
                    <w:t>500m范围内无保护目标</w:t>
                  </w:r>
                  <w:r>
                    <w:rPr>
                      <w:color w:val="auto"/>
                      <w:szCs w:val="21"/>
                    </w:rPr>
                    <w:t>。</w:t>
                  </w:r>
                </w:p>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color w:val="auto"/>
                      <w:szCs w:val="21"/>
                    </w:rPr>
                    <w:t>项目利用废塑料生产再生塑料颗粒，不生产塑料袋。</w:t>
                  </w:r>
                </w:p>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color w:val="auto"/>
                      <w:szCs w:val="21"/>
                    </w:rPr>
                    <w:t>项目回收的废塑料为普通废旧PP、PE料，不涉及危险化学品、农药等污染的废弃塑料包装物，废弃的一次性医疗用塑料制品（如输液器、血袋）等。</w:t>
                  </w:r>
                </w:p>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color w:val="auto"/>
                      <w:szCs w:val="21"/>
                    </w:rPr>
                    <w:t>项目运营期产生的生产废水，不涉及</w:t>
                  </w:r>
                  <w:r>
                    <w:rPr>
                      <w:bCs/>
                      <w:color w:val="auto"/>
                      <w:szCs w:val="21"/>
                    </w:rPr>
                    <w:t>从事废编织袋造粒、缸脚料淘洗、废塑料退镀（涂）、盐卤分拣等加工活动</w:t>
                  </w:r>
                  <w:r>
                    <w:rPr>
                      <w:color w:val="auto"/>
                      <w:szCs w:val="21"/>
                    </w:rPr>
                    <w:t>。</w:t>
                  </w:r>
                </w:p>
              </w:tc>
              <w:tc>
                <w:tcPr>
                  <w:tcW w:w="66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b/>
                      <w:color w:val="auto"/>
                      <w:szCs w:val="21"/>
                    </w:rPr>
                  </w:pPr>
                  <w:r>
                    <w:rPr>
                      <w:color w:val="auto"/>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2</w:t>
                  </w:r>
                </w:p>
              </w:tc>
              <w:tc>
                <w:tcPr>
                  <w:tcW w:w="349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bCs/>
                      <w:color w:val="auto"/>
                      <w:szCs w:val="21"/>
                    </w:rPr>
                  </w:pPr>
                  <w:r>
                    <w:rPr>
                      <w:bCs/>
                      <w:color w:val="auto"/>
                      <w:szCs w:val="21"/>
                    </w:rPr>
                    <w:t>第四条 废塑料加工利用单位应当以环境无害化方式处理废塑料加工利用过</w:t>
                  </w:r>
                  <w:r>
                    <w:rPr>
                      <w:rFonts w:hint="eastAsia"/>
                      <w:bCs/>
                      <w:color w:val="auto"/>
                      <w:szCs w:val="21"/>
                      <w:lang w:eastAsia="zh-CN"/>
                    </w:rPr>
                    <w:t>程中</w:t>
                  </w:r>
                  <w:r>
                    <w:rPr>
                      <w:bCs/>
                      <w:color w:val="auto"/>
                      <w:szCs w:val="21"/>
                    </w:rPr>
                    <w:t>产生的残余垃圾、滤网；禁止交不符合环保要求的单位或个人处置。</w:t>
                  </w:r>
                </w:p>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bCs/>
                      <w:color w:val="auto"/>
                      <w:szCs w:val="21"/>
                    </w:rPr>
                    <w:t>禁止露天焚烧废塑料及加工利用过</w:t>
                  </w:r>
                  <w:r>
                    <w:rPr>
                      <w:rFonts w:hint="eastAsia"/>
                      <w:bCs/>
                      <w:color w:val="auto"/>
                      <w:szCs w:val="21"/>
                      <w:lang w:eastAsia="zh-CN"/>
                    </w:rPr>
                    <w:t>程中</w:t>
                  </w:r>
                  <w:r>
                    <w:rPr>
                      <w:bCs/>
                      <w:color w:val="auto"/>
                      <w:szCs w:val="21"/>
                    </w:rPr>
                    <w:t>产生的残余垃圾、滤网。</w:t>
                  </w:r>
                </w:p>
              </w:tc>
              <w:tc>
                <w:tcPr>
                  <w:tcW w:w="240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color w:val="auto"/>
                      <w:szCs w:val="21"/>
                    </w:rPr>
                    <w:t>项目分拣过程产生的残余垃圾收集后委托有处理能力的单位处置；熔融挤出过程产生的少量的废滤网收集后交由有废滤网回收能力的单位进行回收处理。</w:t>
                  </w:r>
                </w:p>
              </w:tc>
              <w:tc>
                <w:tcPr>
                  <w:tcW w:w="66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3</w:t>
                  </w:r>
                </w:p>
              </w:tc>
              <w:tc>
                <w:tcPr>
                  <w:tcW w:w="349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bCs/>
                      <w:color w:val="auto"/>
                      <w:szCs w:val="21"/>
                    </w:rPr>
                    <w:t>第五条 进口废塑料加工利用企业应当符合《固体废物进口管理办法》以及环境保护部关于进口可用作原料的固体废物和废塑料环境保护管理相关规定。</w:t>
                  </w:r>
                </w:p>
              </w:tc>
              <w:tc>
                <w:tcPr>
                  <w:tcW w:w="240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color w:val="auto"/>
                      <w:szCs w:val="21"/>
                    </w:rPr>
                    <w:t>本项目不涉及进口废塑料回收加工利用。</w:t>
                  </w:r>
                </w:p>
              </w:tc>
              <w:tc>
                <w:tcPr>
                  <w:tcW w:w="66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4</w:t>
                  </w:r>
                </w:p>
              </w:tc>
              <w:tc>
                <w:tcPr>
                  <w:tcW w:w="349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bCs/>
                      <w:color w:val="auto"/>
                      <w:szCs w:val="21"/>
                    </w:rPr>
                    <w:t>第六条 进口废塑料加工利用企业发现属于国家禁止进口类或者不符合环境保护控制标准的进口废塑料，应当立即向口岸海关、检验检疫部门和所在地环保部门报告并配合做好相关处理工作。</w:t>
                  </w:r>
                </w:p>
              </w:tc>
              <w:tc>
                <w:tcPr>
                  <w:tcW w:w="240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color w:val="auto"/>
                      <w:szCs w:val="21"/>
                    </w:rPr>
                    <w:t>本项目不涉及进口废塑料回收加工利用。</w:t>
                  </w:r>
                </w:p>
              </w:tc>
              <w:tc>
                <w:tcPr>
                  <w:tcW w:w="66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符合</w:t>
                  </w:r>
                </w:p>
              </w:tc>
            </w:tr>
          </w:tbl>
          <w:p>
            <w:pPr>
              <w:adjustRightInd w:val="0"/>
              <w:snapToGrid w:val="0"/>
              <w:spacing w:line="360" w:lineRule="auto"/>
              <w:ind w:firstLine="480" w:firstLineChars="200"/>
              <w:rPr>
                <w:color w:val="auto"/>
                <w:sz w:val="24"/>
                <w:szCs w:val="24"/>
              </w:rPr>
            </w:pPr>
            <w:r>
              <w:rPr>
                <w:color w:val="auto"/>
                <w:sz w:val="24"/>
                <w:szCs w:val="24"/>
              </w:rPr>
              <w:t>综上所述，本项目符合《废塑料加工利用污染防治管理规定》中的相关要求。</w:t>
            </w:r>
          </w:p>
          <w:p>
            <w:pPr>
              <w:adjustRightInd w:val="0"/>
              <w:snapToGrid w:val="0"/>
              <w:spacing w:line="360" w:lineRule="auto"/>
              <w:ind w:firstLine="482" w:firstLineChars="200"/>
              <w:rPr>
                <w:color w:val="auto"/>
                <w:sz w:val="24"/>
                <w:szCs w:val="24"/>
              </w:rPr>
            </w:pPr>
            <w:r>
              <w:rPr>
                <w:rFonts w:hint="eastAsia"/>
                <w:b/>
                <w:bCs/>
                <w:color w:val="auto"/>
                <w:sz w:val="24"/>
                <w:szCs w:val="24"/>
              </w:rPr>
              <w:t>7</w:t>
            </w:r>
            <w:r>
              <w:rPr>
                <w:b/>
                <w:bCs/>
                <w:color w:val="auto"/>
                <w:sz w:val="24"/>
                <w:szCs w:val="24"/>
              </w:rPr>
              <w:t>、与《废塑料污染控制技术规范》（HJ 364-2022）的符合性分析</w:t>
            </w:r>
          </w:p>
          <w:p>
            <w:pPr>
              <w:pStyle w:val="68"/>
              <w:tabs>
                <w:tab w:val="left" w:pos="420"/>
              </w:tabs>
              <w:spacing w:before="120"/>
              <w:ind w:left="0" w:firstLine="0"/>
              <w:rPr>
                <w:rFonts w:hint="default"/>
                <w:color w:val="auto"/>
                <w:sz w:val="24"/>
                <w:szCs w:val="24"/>
              </w:rPr>
            </w:pPr>
            <w:r>
              <w:rPr>
                <w:rFonts w:hint="default"/>
                <w:color w:val="auto"/>
                <w:sz w:val="24"/>
                <w:szCs w:val="24"/>
              </w:rPr>
              <w:t>与《废塑料污染控制技术规范》符合性分析</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
              <w:gridCol w:w="3194"/>
              <w:gridCol w:w="2701"/>
              <w:gridCol w:w="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b/>
                      <w:bCs/>
                      <w:color w:val="auto"/>
                      <w:sz w:val="21"/>
                      <w:szCs w:val="21"/>
                    </w:rPr>
                  </w:pPr>
                  <w:r>
                    <w:rPr>
                      <w:rFonts w:ascii="Times New Roman" w:hAnsi="Times New Roman"/>
                      <w:b/>
                      <w:bCs/>
                      <w:color w:val="auto"/>
                      <w:sz w:val="21"/>
                      <w:szCs w:val="21"/>
                    </w:rPr>
                    <w:t>序号</w:t>
                  </w:r>
                </w:p>
              </w:tc>
              <w:tc>
                <w:tcPr>
                  <w:tcW w:w="3194"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b/>
                      <w:bCs/>
                      <w:color w:val="auto"/>
                      <w:sz w:val="21"/>
                      <w:szCs w:val="21"/>
                    </w:rPr>
                  </w:pPr>
                  <w:r>
                    <w:rPr>
                      <w:rFonts w:ascii="Times New Roman" w:hAnsi="Times New Roman"/>
                      <w:b/>
                      <w:bCs/>
                      <w:color w:val="auto"/>
                      <w:sz w:val="21"/>
                      <w:szCs w:val="21"/>
                    </w:rPr>
                    <w:t>相关要求</w:t>
                  </w:r>
                </w:p>
              </w:tc>
              <w:tc>
                <w:tcPr>
                  <w:tcW w:w="2701"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ascii="Times New Roman" w:hAnsi="Times New Roman"/>
                      <w:b/>
                      <w:color w:val="auto"/>
                      <w:sz w:val="21"/>
                      <w:szCs w:val="21"/>
                    </w:rPr>
                  </w:pPr>
                  <w:r>
                    <w:rPr>
                      <w:rFonts w:ascii="Times New Roman" w:hAnsi="Times New Roman"/>
                      <w:b/>
                      <w:color w:val="auto"/>
                      <w:sz w:val="21"/>
                      <w:szCs w:val="21"/>
                    </w:rPr>
                    <w:t>本项目情况</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b/>
                      <w:bCs/>
                      <w:color w:val="auto"/>
                      <w:sz w:val="21"/>
                      <w:szCs w:val="21"/>
                    </w:rPr>
                  </w:pPr>
                  <w:r>
                    <w:rPr>
                      <w:rFonts w:ascii="Times New Roman" w:hAnsi="Times New Roman"/>
                      <w:b/>
                      <w:bCs/>
                      <w:color w:val="auto"/>
                      <w:sz w:val="21"/>
                      <w:szCs w:val="21"/>
                    </w:rPr>
                    <w:t>是否相符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1</w:t>
                  </w:r>
                </w:p>
              </w:tc>
              <w:tc>
                <w:tcPr>
                  <w:tcW w:w="3194"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b/>
                      <w:bCs/>
                      <w:color w:val="auto"/>
                      <w:sz w:val="21"/>
                      <w:szCs w:val="21"/>
                    </w:rPr>
                  </w:pPr>
                  <w:r>
                    <w:rPr>
                      <w:rFonts w:ascii="Times New Roman" w:hAnsi="Times New Roman"/>
                      <w:color w:val="auto"/>
                      <w:sz w:val="21"/>
                      <w:szCs w:val="21"/>
                    </w:rPr>
                    <w:t>废塑料产生企业应根据材质特性以及再生利用和处置方式，对下脚料、边角料、残次品、废弃塑料制品、废弃塑料包装物等进行分类收集、贮存，并建立废塑料管理台账，内容包括废塑料的种类、数量、去向等，相关台账应保存至少3年。</w:t>
                  </w:r>
                </w:p>
              </w:tc>
              <w:tc>
                <w:tcPr>
                  <w:tcW w:w="2701"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本项目产生的废料在厂区分类收集、贮存，</w:t>
                  </w:r>
                  <w:r>
                    <w:rPr>
                      <w:rFonts w:hint="eastAsia" w:ascii="Times New Roman" w:hAnsi="Times New Roman"/>
                      <w:color w:val="auto"/>
                      <w:sz w:val="21"/>
                      <w:szCs w:val="21"/>
                      <w:lang w:val="en-US" w:eastAsia="zh-CN"/>
                    </w:rPr>
                    <w:t>后分类收集外售</w:t>
                  </w:r>
                  <w:r>
                    <w:rPr>
                      <w:rFonts w:ascii="Times New Roman" w:hAnsi="Times New Roman"/>
                      <w:color w:val="auto"/>
                      <w:sz w:val="21"/>
                      <w:szCs w:val="21"/>
                    </w:rPr>
                    <w:t>；项目建成后将建立废塑料管理台账，并按规定保存台账。</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b/>
                      <w:bCs/>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2</w:t>
                  </w:r>
                </w:p>
              </w:tc>
              <w:tc>
                <w:tcPr>
                  <w:tcW w:w="3194"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b/>
                      <w:bCs/>
                      <w:color w:val="auto"/>
                      <w:sz w:val="21"/>
                      <w:szCs w:val="21"/>
                    </w:rPr>
                  </w:pPr>
                  <w:r>
                    <w:rPr>
                      <w:rFonts w:ascii="Times New Roman" w:hAnsi="Times New Roman"/>
                      <w:color w:val="auto"/>
                      <w:sz w:val="21"/>
                      <w:szCs w:val="21"/>
                    </w:rPr>
                    <w:t>应根据废塑料的来源、特性、污染情况以及后续再生利用或处置的要求，选择合理的预处理方式。</w:t>
                  </w:r>
                </w:p>
              </w:tc>
              <w:tc>
                <w:tcPr>
                  <w:tcW w:w="2701"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hint="eastAsia" w:ascii="Times New Roman" w:hAnsi="Times New Roman"/>
                      <w:color w:val="auto"/>
                      <w:sz w:val="21"/>
                      <w:szCs w:val="21"/>
                    </w:rPr>
                    <w:t>本项目主要利用宜良县再生纸生产企业产生</w:t>
                  </w:r>
                  <w:r>
                    <w:rPr>
                      <w:rFonts w:hint="eastAsia" w:ascii="Times New Roman" w:hAnsi="Times New Roman"/>
                      <w:color w:val="auto"/>
                      <w:sz w:val="21"/>
                      <w:szCs w:val="21"/>
                      <w:lang w:val="en-US" w:eastAsia="zh-CN"/>
                    </w:rPr>
                    <w:t>的</w:t>
                  </w:r>
                  <w:r>
                    <w:rPr>
                      <w:color w:val="auto"/>
                      <w:sz w:val="21"/>
                      <w:szCs w:val="18"/>
                    </w:rPr>
                    <w:t>碎浆废渣中</w:t>
                  </w:r>
                  <w:r>
                    <w:rPr>
                      <w:rFonts w:hint="eastAsia"/>
                      <w:color w:val="auto"/>
                      <w:sz w:val="21"/>
                      <w:szCs w:val="18"/>
                    </w:rPr>
                    <w:t>已被</w:t>
                  </w:r>
                  <w:r>
                    <w:rPr>
                      <w:color w:val="auto"/>
                      <w:sz w:val="21"/>
                      <w:szCs w:val="18"/>
                    </w:rPr>
                    <w:t>分离出的废塑料</w:t>
                  </w:r>
                  <w:r>
                    <w:rPr>
                      <w:rFonts w:hint="eastAsia" w:ascii="Times New Roman" w:hAnsi="Times New Roman"/>
                      <w:color w:val="auto"/>
                      <w:sz w:val="21"/>
                      <w:szCs w:val="21"/>
                    </w:rPr>
                    <w:t>；</w:t>
                  </w:r>
                  <w:r>
                    <w:rPr>
                      <w:rFonts w:ascii="Times New Roman" w:hAnsi="Times New Roman"/>
                      <w:color w:val="auto"/>
                      <w:sz w:val="21"/>
                      <w:szCs w:val="21"/>
                    </w:rPr>
                    <w:t>经分选得到废旧塑料，再经挤压造粒、热熔造粒生产再生塑料颗粒。</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b/>
                      <w:bCs/>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3</w:t>
                  </w:r>
                </w:p>
              </w:tc>
              <w:tc>
                <w:tcPr>
                  <w:tcW w:w="3194"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b/>
                      <w:bCs/>
                      <w:color w:val="auto"/>
                      <w:sz w:val="21"/>
                      <w:szCs w:val="21"/>
                    </w:rPr>
                  </w:pPr>
                  <w:r>
                    <w:rPr>
                      <w:rFonts w:ascii="Times New Roman" w:hAnsi="Times New Roman"/>
                      <w:color w:val="auto"/>
                      <w:sz w:val="21"/>
                      <w:szCs w:val="21"/>
                    </w:rPr>
                    <w:t>废塑料的预处理应控制二次污染。大气污染物排放应符合GB31572或GB16297、GB3782</w:t>
                  </w:r>
                  <w:r>
                    <w:rPr>
                      <w:rFonts w:hint="eastAsia" w:ascii="Times New Roman" w:hAnsi="Times New Roman"/>
                      <w:color w:val="auto"/>
                      <w:sz w:val="21"/>
                      <w:szCs w:val="21"/>
                    </w:rPr>
                    <w:t>2</w:t>
                  </w:r>
                  <w:r>
                    <w:rPr>
                      <w:rFonts w:ascii="Times New Roman" w:hAnsi="Times New Roman"/>
                      <w:color w:val="auto"/>
                      <w:sz w:val="21"/>
                      <w:szCs w:val="21"/>
                    </w:rPr>
                    <w:t>等标准的规定。恶臭污染物排放应符合GB14554的规定。废水控制应根据出水受纳水体的功能要求或纳管要求，执行国家和地方相关排放标准，重点控制的污染物指标包括悬浮物、pH值、色度、石油类和化学需氧量等。噪声排放应符合GB12348的规定。</w:t>
                  </w:r>
                </w:p>
              </w:tc>
              <w:tc>
                <w:tcPr>
                  <w:tcW w:w="2701"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项目热熔造粒产生的热熔挤出废气经配套建设的集气罩收集</w:t>
                  </w:r>
                  <w:r>
                    <w:rPr>
                      <w:rFonts w:hint="eastAsia" w:ascii="Times New Roman" w:hAnsi="Times New Roman"/>
                      <w:color w:val="auto"/>
                      <w:sz w:val="21"/>
                      <w:szCs w:val="21"/>
                      <w:lang w:eastAsia="zh-CN"/>
                    </w:rPr>
                    <w:t>后</w:t>
                  </w:r>
                  <w:r>
                    <w:rPr>
                      <w:rFonts w:ascii="Times New Roman" w:hAnsi="Times New Roman"/>
                      <w:color w:val="auto"/>
                      <w:sz w:val="21"/>
                      <w:szCs w:val="21"/>
                    </w:rPr>
                    <w:t>进入1套“过滤棉+</w:t>
                  </w:r>
                  <w:r>
                    <w:rPr>
                      <w:rFonts w:hint="eastAsia" w:ascii="Times New Roman" w:hAnsi="Times New Roman"/>
                      <w:color w:val="auto"/>
                      <w:sz w:val="21"/>
                      <w:szCs w:val="21"/>
                      <w:lang w:eastAsia="zh-CN"/>
                    </w:rPr>
                    <w:t>三级活性炭</w:t>
                  </w:r>
                  <w:r>
                    <w:rPr>
                      <w:rFonts w:ascii="Times New Roman" w:hAnsi="Times New Roman"/>
                      <w:color w:val="auto"/>
                      <w:sz w:val="21"/>
                      <w:szCs w:val="21"/>
                    </w:rPr>
                    <w:t>吸附装置”处理后由1根</w:t>
                  </w:r>
                  <w:r>
                    <w:rPr>
                      <w:rFonts w:hint="eastAsia" w:ascii="Times New Roman" w:hAnsi="Times New Roman"/>
                      <w:color w:val="auto"/>
                      <w:sz w:val="21"/>
                      <w:szCs w:val="21"/>
                      <w:lang w:eastAsia="zh-CN"/>
                    </w:rPr>
                    <w:t>15m高</w:t>
                  </w:r>
                  <w:r>
                    <w:rPr>
                      <w:rFonts w:ascii="Times New Roman" w:hAnsi="Times New Roman"/>
                      <w:color w:val="auto"/>
                      <w:sz w:val="21"/>
                      <w:szCs w:val="21"/>
                    </w:rPr>
                    <w:t>排气筒排放；生产过程产生的废气满足GB16297、GB3782</w:t>
                  </w:r>
                  <w:r>
                    <w:rPr>
                      <w:rFonts w:hint="eastAsia" w:ascii="Times New Roman" w:hAnsi="Times New Roman"/>
                      <w:color w:val="auto"/>
                      <w:sz w:val="21"/>
                      <w:szCs w:val="21"/>
                    </w:rPr>
                    <w:t>2</w:t>
                  </w:r>
                  <w:r>
                    <w:rPr>
                      <w:rFonts w:ascii="Times New Roman" w:hAnsi="Times New Roman"/>
                      <w:color w:val="auto"/>
                      <w:sz w:val="21"/>
                      <w:szCs w:val="21"/>
                    </w:rPr>
                    <w:t>、GB14554的规定。项目生产废水循环使用，不外排。根据本项目建成后厂界噪声预测结果可知，厂界噪声能够满足《工业企业厂界环境噪声排放标准》（GB12348-2008）中3类标准。</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b/>
                      <w:bCs/>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4</w:t>
                  </w:r>
                </w:p>
              </w:tc>
              <w:tc>
                <w:tcPr>
                  <w:tcW w:w="3194"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b/>
                      <w:bCs/>
                      <w:color w:val="auto"/>
                      <w:sz w:val="21"/>
                      <w:szCs w:val="21"/>
                    </w:rPr>
                  </w:pPr>
                  <w:r>
                    <w:rPr>
                      <w:rFonts w:ascii="Times New Roman" w:hAnsi="Times New Roman"/>
                      <w:color w:val="auto"/>
                      <w:sz w:val="21"/>
                      <w:szCs w:val="21"/>
                    </w:rPr>
                    <w:t>应采用预分选工艺，将废塑料与其他废物分开，提高下游自动化分选的效率。</w:t>
                  </w:r>
                </w:p>
              </w:tc>
              <w:tc>
                <w:tcPr>
                  <w:tcW w:w="2701"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本项目拟采用破碎、两级清洗、纸塑分离等预分选工艺，将废塑料与其他废物分开。</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b/>
                      <w:bCs/>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5</w:t>
                  </w:r>
                </w:p>
              </w:tc>
              <w:tc>
                <w:tcPr>
                  <w:tcW w:w="3194"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b/>
                      <w:bCs/>
                      <w:color w:val="auto"/>
                      <w:sz w:val="21"/>
                      <w:szCs w:val="21"/>
                    </w:rPr>
                  </w:pPr>
                  <w:r>
                    <w:rPr>
                      <w:rFonts w:ascii="Times New Roman" w:hAnsi="Times New Roman"/>
                      <w:color w:val="auto"/>
                      <w:sz w:val="21"/>
                      <w:szCs w:val="21"/>
                    </w:rPr>
                    <w:t>废塑料的破碎方法可分为干法破碎和湿法破碎。使用干法破碎时，应配备相应的防尘、防噪声设备。使用湿法破碎时，应有配套的污水收集和处理设施。</w:t>
                  </w:r>
                </w:p>
              </w:tc>
              <w:tc>
                <w:tcPr>
                  <w:tcW w:w="2701"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本项目</w:t>
                  </w:r>
                  <w:r>
                    <w:rPr>
                      <w:rFonts w:hint="eastAsia" w:ascii="Times New Roman" w:hAnsi="Times New Roman"/>
                      <w:color w:val="auto"/>
                      <w:sz w:val="21"/>
                      <w:szCs w:val="21"/>
                      <w:lang w:val="en-US" w:eastAsia="zh-CN"/>
                    </w:rPr>
                    <w:t>不涉及</w:t>
                  </w:r>
                  <w:r>
                    <w:rPr>
                      <w:rFonts w:ascii="Times New Roman" w:hAnsi="Times New Roman"/>
                      <w:color w:val="auto"/>
                      <w:sz w:val="21"/>
                      <w:szCs w:val="21"/>
                    </w:rPr>
                    <w:t>湿法破碎工艺。</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b/>
                      <w:bCs/>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6</w:t>
                  </w:r>
                </w:p>
              </w:tc>
              <w:tc>
                <w:tcPr>
                  <w:tcW w:w="3194"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b/>
                      <w:bCs/>
                      <w:color w:val="auto"/>
                      <w:sz w:val="21"/>
                      <w:szCs w:val="21"/>
                    </w:rPr>
                  </w:pPr>
                  <w:r>
                    <w:rPr>
                      <w:rFonts w:ascii="Times New Roman" w:hAnsi="Times New Roman"/>
                      <w:color w:val="auto"/>
                      <w:sz w:val="21"/>
                      <w:szCs w:val="21"/>
                    </w:rPr>
                    <w:t>宜采用节水的自动化清洗技术，宜采用无磷清洗剂或其他绿色清洗剂，不得使用有毒有害的清洗剂。</w:t>
                  </w:r>
                </w:p>
              </w:tc>
              <w:tc>
                <w:tcPr>
                  <w:tcW w:w="2701"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本项目拟采用自动化清洗技术，不添加清洗剂。</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b/>
                      <w:bCs/>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7</w:t>
                  </w:r>
                </w:p>
              </w:tc>
              <w:tc>
                <w:tcPr>
                  <w:tcW w:w="3194"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b/>
                      <w:bCs/>
                      <w:color w:val="auto"/>
                      <w:sz w:val="21"/>
                      <w:szCs w:val="21"/>
                    </w:rPr>
                  </w:pPr>
                  <w:r>
                    <w:rPr>
                      <w:rFonts w:ascii="Times New Roman" w:hAnsi="Times New Roman"/>
                      <w:color w:val="auto"/>
                      <w:sz w:val="21"/>
                      <w:szCs w:val="21"/>
                    </w:rPr>
                    <w:t>应根据清洗废水中污染物的种类和浓度，配备相应的废水收集和处理设施，清洗废水处理后宜循环使用。</w:t>
                  </w:r>
                </w:p>
              </w:tc>
              <w:tc>
                <w:tcPr>
                  <w:tcW w:w="2701"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本项目拟建设1个容积为</w:t>
                  </w:r>
                  <w:r>
                    <w:rPr>
                      <w:rFonts w:hint="eastAsia" w:ascii="Times New Roman" w:hAnsi="Times New Roman"/>
                      <w:color w:val="auto"/>
                      <w:sz w:val="21"/>
                      <w:szCs w:val="21"/>
                      <w:lang w:val="en-US" w:eastAsia="zh-CN"/>
                    </w:rPr>
                    <w:t>5</w:t>
                  </w:r>
                  <w:r>
                    <w:rPr>
                      <w:rFonts w:ascii="Times New Roman" w:hAnsi="Times New Roman"/>
                      <w:color w:val="auto"/>
                      <w:sz w:val="21"/>
                      <w:szCs w:val="21"/>
                    </w:rPr>
                    <w:t>m</w:t>
                  </w:r>
                  <w:r>
                    <w:rPr>
                      <w:rFonts w:ascii="Times New Roman" w:hAnsi="Times New Roman"/>
                      <w:color w:val="auto"/>
                      <w:sz w:val="21"/>
                      <w:szCs w:val="21"/>
                      <w:vertAlign w:val="superscript"/>
                    </w:rPr>
                    <w:t>3</w:t>
                  </w:r>
                  <w:r>
                    <w:rPr>
                      <w:rFonts w:ascii="Times New Roman" w:hAnsi="Times New Roman"/>
                      <w:color w:val="auto"/>
                      <w:sz w:val="21"/>
                      <w:szCs w:val="21"/>
                    </w:rPr>
                    <w:t>的</w:t>
                  </w:r>
                  <w:r>
                    <w:rPr>
                      <w:rFonts w:hint="eastAsia" w:ascii="Times New Roman" w:hAnsi="Times New Roman"/>
                      <w:color w:val="auto"/>
                      <w:sz w:val="21"/>
                      <w:szCs w:val="21"/>
                    </w:rPr>
                    <w:t>循环水</w:t>
                  </w:r>
                  <w:r>
                    <w:rPr>
                      <w:rFonts w:ascii="Times New Roman" w:hAnsi="Times New Roman"/>
                      <w:color w:val="auto"/>
                      <w:sz w:val="21"/>
                      <w:szCs w:val="21"/>
                    </w:rPr>
                    <w:t>池</w:t>
                  </w:r>
                  <w:r>
                    <w:rPr>
                      <w:rFonts w:hint="eastAsia" w:ascii="Times New Roman" w:hAnsi="Times New Roman"/>
                      <w:color w:val="auto"/>
                      <w:sz w:val="21"/>
                      <w:szCs w:val="21"/>
                      <w:lang w:eastAsia="zh-CN"/>
                    </w:rPr>
                    <w:t>，</w:t>
                  </w:r>
                  <w:r>
                    <w:rPr>
                      <w:rFonts w:ascii="Times New Roman" w:hAnsi="Times New Roman"/>
                      <w:color w:val="auto"/>
                      <w:sz w:val="21"/>
                      <w:szCs w:val="21"/>
                    </w:rPr>
                    <w:t>生产废水经处理后循环使用，不外排。</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b/>
                      <w:bCs/>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8</w:t>
                  </w:r>
                </w:p>
              </w:tc>
              <w:tc>
                <w:tcPr>
                  <w:tcW w:w="3194"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b/>
                      <w:bCs/>
                      <w:color w:val="auto"/>
                      <w:sz w:val="21"/>
                      <w:szCs w:val="21"/>
                    </w:rPr>
                  </w:pPr>
                  <w:r>
                    <w:rPr>
                      <w:rFonts w:ascii="Times New Roman" w:hAnsi="Times New Roman"/>
                      <w:color w:val="auto"/>
                      <w:sz w:val="21"/>
                      <w:szCs w:val="21"/>
                    </w:rPr>
                    <w:t>应根据废塑料材质特性、混杂程度、洁净度、当地环境和产业情况，选择适当的利用处置工艺。</w:t>
                  </w:r>
                </w:p>
              </w:tc>
              <w:tc>
                <w:tcPr>
                  <w:tcW w:w="2701"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hint="eastAsia" w:ascii="Times New Roman" w:hAnsi="Times New Roman"/>
                      <w:color w:val="auto"/>
                      <w:sz w:val="21"/>
                      <w:szCs w:val="21"/>
                    </w:rPr>
                    <w:t>本项目主要利用宜良县及周边再生纸生产企业产生的</w:t>
                  </w:r>
                  <w:r>
                    <w:rPr>
                      <w:color w:val="auto"/>
                      <w:sz w:val="21"/>
                      <w:szCs w:val="18"/>
                    </w:rPr>
                    <w:t>碎浆废渣中</w:t>
                  </w:r>
                  <w:r>
                    <w:rPr>
                      <w:rFonts w:hint="eastAsia"/>
                      <w:color w:val="auto"/>
                      <w:sz w:val="21"/>
                      <w:szCs w:val="18"/>
                    </w:rPr>
                    <w:t>已被</w:t>
                  </w:r>
                  <w:r>
                    <w:rPr>
                      <w:color w:val="auto"/>
                      <w:sz w:val="21"/>
                      <w:szCs w:val="18"/>
                    </w:rPr>
                    <w:t>分离出的废塑料</w:t>
                  </w:r>
                  <w:r>
                    <w:rPr>
                      <w:rFonts w:hint="eastAsia"/>
                      <w:color w:val="auto"/>
                      <w:sz w:val="21"/>
                      <w:szCs w:val="18"/>
                    </w:rPr>
                    <w:t>等</w:t>
                  </w:r>
                  <w:r>
                    <w:rPr>
                      <w:rFonts w:hint="eastAsia" w:ascii="Times New Roman" w:hAnsi="Times New Roman"/>
                      <w:color w:val="auto"/>
                      <w:sz w:val="21"/>
                      <w:szCs w:val="21"/>
                    </w:rPr>
                    <w:t>；</w:t>
                  </w:r>
                  <w:r>
                    <w:rPr>
                      <w:rFonts w:ascii="Times New Roman" w:hAnsi="Times New Roman"/>
                      <w:color w:val="auto"/>
                      <w:sz w:val="21"/>
                      <w:szCs w:val="21"/>
                    </w:rPr>
                    <w:t>经分选得到废旧塑料，再经挤压造粒、热熔造粒生产再生塑料颗粒。</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b/>
                      <w:bCs/>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9</w:t>
                  </w:r>
                </w:p>
              </w:tc>
              <w:tc>
                <w:tcPr>
                  <w:tcW w:w="3194"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b/>
                      <w:bCs/>
                      <w:color w:val="auto"/>
                      <w:sz w:val="21"/>
                      <w:szCs w:val="21"/>
                    </w:rPr>
                  </w:pPr>
                  <w:r>
                    <w:rPr>
                      <w:rFonts w:ascii="Times New Roman" w:hAnsi="Times New Roman"/>
                      <w:color w:val="auto"/>
                      <w:sz w:val="21"/>
                      <w:szCs w:val="21"/>
                    </w:rPr>
                    <w:t>应在符合《产业结构调整指导目录》的前提下，综合考虑所在区域废塑料产生情况、社会经济发展水平、产业布局及规划、再生利用产品市场需求、再生利用技术污染防治水平等因素，合理确定再生利用设施的生产规模与技术路线。</w:t>
                  </w:r>
                </w:p>
              </w:tc>
              <w:tc>
                <w:tcPr>
                  <w:tcW w:w="2701"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根据《产业结构调整指导目录（</w:t>
                  </w:r>
                  <w:r>
                    <w:rPr>
                      <w:rFonts w:ascii="Times New Roman" w:hAnsi="Times New Roman" w:eastAsia="Times New Roman"/>
                      <w:color w:val="auto"/>
                      <w:sz w:val="21"/>
                      <w:szCs w:val="21"/>
                    </w:rPr>
                    <w:t>2024</w:t>
                  </w:r>
                  <w:r>
                    <w:rPr>
                      <w:rFonts w:ascii="Times New Roman" w:hAnsi="Times New Roman"/>
                      <w:color w:val="auto"/>
                      <w:sz w:val="21"/>
                      <w:szCs w:val="21"/>
                    </w:rPr>
                    <w:t>年本）》，本项目属于鼓励类项目，符合国家产业政策。</w:t>
                  </w:r>
                </w:p>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项目所在区域</w:t>
                  </w:r>
                  <w:r>
                    <w:rPr>
                      <w:rFonts w:hint="eastAsia" w:ascii="Times New Roman" w:hAnsi="Times New Roman"/>
                      <w:color w:val="auto"/>
                      <w:sz w:val="21"/>
                      <w:szCs w:val="21"/>
                      <w:lang w:val="en-US" w:eastAsia="zh-CN"/>
                    </w:rPr>
                    <w:t>已与</w:t>
                  </w:r>
                  <w:r>
                    <w:rPr>
                      <w:rFonts w:ascii="Times New Roman" w:hAnsi="Times New Roman"/>
                      <w:color w:val="auto"/>
                      <w:sz w:val="21"/>
                      <w:szCs w:val="21"/>
                    </w:rPr>
                    <w:t>东晟纸业</w:t>
                  </w:r>
                  <w:r>
                    <w:rPr>
                      <w:rFonts w:hint="eastAsia" w:ascii="Times New Roman" w:hAnsi="Times New Roman"/>
                      <w:color w:val="auto"/>
                      <w:sz w:val="21"/>
                      <w:szCs w:val="21"/>
                      <w:lang w:val="en-US" w:eastAsia="zh-CN"/>
                    </w:rPr>
                    <w:t>签订废料收购协议</w:t>
                  </w:r>
                  <w:r>
                    <w:rPr>
                      <w:rFonts w:ascii="Times New Roman" w:hAnsi="Times New Roman"/>
                      <w:color w:val="auto"/>
                      <w:sz w:val="21"/>
                      <w:szCs w:val="21"/>
                    </w:rPr>
                    <w:t>，本项目</w:t>
                  </w:r>
                  <w:r>
                    <w:rPr>
                      <w:rFonts w:hint="eastAsia" w:ascii="Times New Roman" w:hAnsi="Times New Roman"/>
                      <w:color w:val="auto"/>
                      <w:sz w:val="21"/>
                      <w:szCs w:val="21"/>
                    </w:rPr>
                    <w:t>计划</w:t>
                  </w:r>
                  <w:r>
                    <w:rPr>
                      <w:rFonts w:ascii="Times New Roman" w:hAnsi="Times New Roman"/>
                      <w:color w:val="auto"/>
                      <w:sz w:val="21"/>
                      <w:szCs w:val="21"/>
                    </w:rPr>
                    <w:t>年处理</w:t>
                  </w:r>
                  <w:r>
                    <w:rPr>
                      <w:rFonts w:hint="eastAsia" w:ascii="Times New Roman" w:hAnsi="Times New Roman"/>
                      <w:color w:val="auto"/>
                      <w:sz w:val="21"/>
                      <w:szCs w:val="21"/>
                      <w:lang w:val="en-US" w:eastAsia="zh-CN"/>
                    </w:rPr>
                    <w:t>4.5</w:t>
                  </w:r>
                  <w:r>
                    <w:rPr>
                      <w:rFonts w:ascii="Times New Roman" w:hAnsi="Times New Roman"/>
                      <w:color w:val="auto"/>
                      <w:sz w:val="21"/>
                      <w:szCs w:val="21"/>
                    </w:rPr>
                    <w:t>万吨造纸企业</w:t>
                  </w:r>
                  <w:r>
                    <w:rPr>
                      <w:rFonts w:hint="eastAsia" w:ascii="Times New Roman" w:hAnsi="Times New Roman"/>
                      <w:color w:val="auto"/>
                      <w:sz w:val="21"/>
                      <w:szCs w:val="21"/>
                    </w:rPr>
                    <w:t>碎浆废渣中的废塑料</w:t>
                  </w:r>
                  <w:r>
                    <w:rPr>
                      <w:rFonts w:ascii="Times New Roman" w:hAnsi="Times New Roman"/>
                      <w:color w:val="auto"/>
                      <w:sz w:val="21"/>
                      <w:szCs w:val="21"/>
                    </w:rPr>
                    <w:t>。</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b/>
                      <w:bCs/>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10</w:t>
                  </w:r>
                </w:p>
              </w:tc>
              <w:tc>
                <w:tcPr>
                  <w:tcW w:w="3194"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b/>
                      <w:bCs/>
                      <w:color w:val="auto"/>
                      <w:sz w:val="21"/>
                      <w:szCs w:val="21"/>
                    </w:rPr>
                  </w:pPr>
                  <w:r>
                    <w:rPr>
                      <w:rFonts w:ascii="Times New Roman" w:hAnsi="Times New Roman"/>
                      <w:color w:val="auto"/>
                      <w:sz w:val="21"/>
                      <w:szCs w:val="21"/>
                    </w:rPr>
                    <w:t>应根据废塑料再生利用过程产生的废水中污染物种类和浓度，配备相应的废水收集和处理设施，处理后的废水宜进行循环使用，排放的废水应根据出水受纳水体功能要求或纳管要求，执行国家和地方相关排放标准，重点控制的污染物指标包括化学需氧量、悬浮物、pH 值、色度、石油类、可吸附有机卤化物等。</w:t>
                  </w:r>
                </w:p>
              </w:tc>
              <w:tc>
                <w:tcPr>
                  <w:tcW w:w="2701"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本项目拟建设1个容积为</w:t>
                  </w:r>
                  <w:r>
                    <w:rPr>
                      <w:rFonts w:hint="eastAsia" w:ascii="Times New Roman" w:hAnsi="Times New Roman"/>
                      <w:color w:val="auto"/>
                      <w:sz w:val="21"/>
                      <w:szCs w:val="21"/>
                      <w:lang w:val="en-US" w:eastAsia="zh-CN"/>
                    </w:rPr>
                    <w:t>5</w:t>
                  </w:r>
                  <w:r>
                    <w:rPr>
                      <w:rFonts w:ascii="Times New Roman" w:hAnsi="Times New Roman"/>
                      <w:color w:val="auto"/>
                      <w:sz w:val="21"/>
                      <w:szCs w:val="21"/>
                    </w:rPr>
                    <w:t>m</w:t>
                  </w:r>
                  <w:r>
                    <w:rPr>
                      <w:rFonts w:ascii="Times New Roman" w:hAnsi="Times New Roman"/>
                      <w:color w:val="auto"/>
                      <w:sz w:val="21"/>
                      <w:szCs w:val="21"/>
                      <w:vertAlign w:val="superscript"/>
                    </w:rPr>
                    <w:t>3</w:t>
                  </w:r>
                  <w:r>
                    <w:rPr>
                      <w:rFonts w:ascii="Times New Roman" w:hAnsi="Times New Roman"/>
                      <w:color w:val="auto"/>
                      <w:sz w:val="21"/>
                      <w:szCs w:val="21"/>
                    </w:rPr>
                    <w:t>的</w:t>
                  </w:r>
                  <w:r>
                    <w:rPr>
                      <w:rFonts w:hint="eastAsia" w:ascii="Times New Roman" w:hAnsi="Times New Roman"/>
                      <w:color w:val="auto"/>
                      <w:sz w:val="21"/>
                      <w:szCs w:val="21"/>
                    </w:rPr>
                    <w:t>循环水</w:t>
                  </w:r>
                  <w:r>
                    <w:rPr>
                      <w:rFonts w:ascii="Times New Roman" w:hAnsi="Times New Roman"/>
                      <w:color w:val="auto"/>
                      <w:sz w:val="21"/>
                      <w:szCs w:val="21"/>
                    </w:rPr>
                    <w:t>池</w:t>
                  </w:r>
                  <w:r>
                    <w:rPr>
                      <w:rFonts w:hint="eastAsia" w:ascii="Times New Roman" w:hAnsi="Times New Roman"/>
                      <w:color w:val="auto"/>
                      <w:sz w:val="21"/>
                      <w:szCs w:val="21"/>
                      <w:lang w:eastAsia="zh-CN"/>
                    </w:rPr>
                    <w:t>，</w:t>
                  </w:r>
                  <w:r>
                    <w:rPr>
                      <w:rFonts w:ascii="Times New Roman" w:hAnsi="Times New Roman"/>
                      <w:color w:val="auto"/>
                      <w:sz w:val="21"/>
                      <w:szCs w:val="21"/>
                    </w:rPr>
                    <w:t>生产废水经处理后循环使用，不外排。</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b/>
                      <w:bCs/>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11</w:t>
                  </w:r>
                </w:p>
              </w:tc>
              <w:tc>
                <w:tcPr>
                  <w:tcW w:w="3194"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b/>
                      <w:bCs/>
                      <w:color w:val="auto"/>
                      <w:sz w:val="21"/>
                      <w:szCs w:val="21"/>
                    </w:rPr>
                  </w:pPr>
                  <w:r>
                    <w:rPr>
                      <w:rFonts w:ascii="Times New Roman" w:hAnsi="Times New Roman"/>
                      <w:color w:val="auto"/>
                      <w:sz w:val="21"/>
                      <w:szCs w:val="21"/>
                    </w:rPr>
                    <w:t>应收集并处理废塑料再生利用过程中产生的废气，大气污染物排放应符合GB31572或GB16297、GB37822等标准的规定，恶臭污染物排放应符合GB 14554的规定。</w:t>
                  </w:r>
                </w:p>
              </w:tc>
              <w:tc>
                <w:tcPr>
                  <w:tcW w:w="2701"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项目热熔造粒产生的热熔挤出废气经配套建设的集气罩收集后进入1套“过滤棉+</w:t>
                  </w:r>
                  <w:r>
                    <w:rPr>
                      <w:rFonts w:hint="eastAsia" w:ascii="Times New Roman" w:hAnsi="Times New Roman"/>
                      <w:color w:val="auto"/>
                      <w:sz w:val="21"/>
                      <w:szCs w:val="21"/>
                      <w:lang w:eastAsia="zh-CN"/>
                    </w:rPr>
                    <w:t>三级活性炭</w:t>
                  </w:r>
                  <w:r>
                    <w:rPr>
                      <w:rFonts w:ascii="Times New Roman" w:hAnsi="Times New Roman"/>
                      <w:color w:val="auto"/>
                      <w:sz w:val="21"/>
                      <w:szCs w:val="21"/>
                    </w:rPr>
                    <w:t>吸附装置”处理后由1根</w:t>
                  </w:r>
                  <w:r>
                    <w:rPr>
                      <w:rFonts w:hint="eastAsia" w:ascii="Times New Roman" w:hAnsi="Times New Roman"/>
                      <w:color w:val="auto"/>
                      <w:sz w:val="21"/>
                      <w:szCs w:val="21"/>
                      <w:lang w:eastAsia="zh-CN"/>
                    </w:rPr>
                    <w:t>15m高</w:t>
                  </w:r>
                  <w:r>
                    <w:rPr>
                      <w:rFonts w:ascii="Times New Roman" w:hAnsi="Times New Roman"/>
                      <w:color w:val="auto"/>
                      <w:sz w:val="21"/>
                      <w:szCs w:val="21"/>
                    </w:rPr>
                    <w:t>排气筒排放；生产过程产生的废气满足GB16297、GB3782</w:t>
                  </w:r>
                  <w:r>
                    <w:rPr>
                      <w:rFonts w:hint="eastAsia" w:ascii="Times New Roman" w:hAnsi="Times New Roman"/>
                      <w:color w:val="auto"/>
                      <w:sz w:val="21"/>
                      <w:szCs w:val="21"/>
                    </w:rPr>
                    <w:t>2</w:t>
                  </w:r>
                  <w:r>
                    <w:rPr>
                      <w:rFonts w:ascii="Times New Roman" w:hAnsi="Times New Roman"/>
                      <w:color w:val="auto"/>
                      <w:sz w:val="21"/>
                      <w:szCs w:val="21"/>
                    </w:rPr>
                    <w:t>、GB14554的规定。</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b/>
                      <w:bCs/>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12</w:t>
                  </w:r>
                </w:p>
              </w:tc>
              <w:tc>
                <w:tcPr>
                  <w:tcW w:w="3194"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b/>
                      <w:bCs/>
                      <w:color w:val="auto"/>
                      <w:sz w:val="21"/>
                      <w:szCs w:val="21"/>
                    </w:rPr>
                  </w:pPr>
                  <w:r>
                    <w:rPr>
                      <w:rFonts w:ascii="Times New Roman" w:hAnsi="Times New Roman"/>
                      <w:color w:val="auto"/>
                      <w:sz w:val="21"/>
                      <w:szCs w:val="21"/>
                    </w:rPr>
                    <w:t>废塑料再生利用过程中应控制噪声污染，噪声排放应符合GB12348的规定。</w:t>
                  </w:r>
                </w:p>
              </w:tc>
              <w:tc>
                <w:tcPr>
                  <w:tcW w:w="2701"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bCs/>
                      <w:color w:val="auto"/>
                      <w:kern w:val="0"/>
                      <w:sz w:val="21"/>
                      <w:szCs w:val="21"/>
                    </w:rPr>
                    <w:t>本项目周边50m范围内无声环境敏感目标</w:t>
                  </w:r>
                  <w:r>
                    <w:rPr>
                      <w:rFonts w:ascii="Times New Roman" w:hAnsi="Times New Roman"/>
                      <w:color w:val="auto"/>
                      <w:sz w:val="21"/>
                      <w:szCs w:val="21"/>
                    </w:rPr>
                    <w:t>，生产采用低噪声设备，生产设备均安装于生产车间内，噪声经减振、厂房隔声可以达到《工业企业厂界环境噪声排放标准》。</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b/>
                      <w:bCs/>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13</w:t>
                  </w:r>
                </w:p>
              </w:tc>
              <w:tc>
                <w:tcPr>
                  <w:tcW w:w="3194"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b/>
                      <w:bCs/>
                      <w:color w:val="auto"/>
                      <w:sz w:val="21"/>
                      <w:szCs w:val="21"/>
                    </w:rPr>
                  </w:pPr>
                  <w:r>
                    <w:rPr>
                      <w:rFonts w:ascii="Times New Roman" w:hAnsi="Times New Roman"/>
                      <w:color w:val="auto"/>
                      <w:sz w:val="21"/>
                      <w:szCs w:val="21"/>
                    </w:rPr>
                    <w:t>废塑料中的金属、橡胶、纤维、渣土、油脂等夹杂物，以及废塑料再生利用过程中产生的不可利用废物应建立台账，不得擅自丢弃、倾倒、焚烧与填埋，属于危险废物的应</w:t>
                  </w:r>
                  <w:r>
                    <w:rPr>
                      <w:rFonts w:hint="eastAsia" w:ascii="Times New Roman" w:hAnsi="Times New Roman"/>
                      <w:color w:val="auto"/>
                      <w:sz w:val="21"/>
                      <w:szCs w:val="21"/>
                      <w:lang w:eastAsia="zh-CN"/>
                    </w:rPr>
                    <w:t>交由</w:t>
                  </w:r>
                  <w:r>
                    <w:rPr>
                      <w:rFonts w:ascii="Times New Roman" w:hAnsi="Times New Roman"/>
                      <w:color w:val="auto"/>
                      <w:sz w:val="21"/>
                      <w:szCs w:val="21"/>
                    </w:rPr>
                    <w:t>相关资质单位进行利用处置。</w:t>
                  </w:r>
                </w:p>
              </w:tc>
              <w:tc>
                <w:tcPr>
                  <w:tcW w:w="2701"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项目生产过程中产生的污泥、金属等杂质交由具有处理能力的企业处理</w:t>
                  </w:r>
                  <w:r>
                    <w:rPr>
                      <w:rFonts w:hint="eastAsia" w:ascii="Times New Roman" w:hAnsi="Times New Roman"/>
                      <w:color w:val="auto"/>
                      <w:sz w:val="21"/>
                      <w:szCs w:val="21"/>
                    </w:rPr>
                    <w:t>并建立台账</w:t>
                  </w:r>
                  <w:r>
                    <w:rPr>
                      <w:rFonts w:ascii="Times New Roman" w:hAnsi="Times New Roman"/>
                      <w:color w:val="auto"/>
                      <w:sz w:val="21"/>
                      <w:szCs w:val="21"/>
                    </w:rPr>
                    <w:t>，不擅自丢弃、倾倒、焚烧与填埋。</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b/>
                      <w:bCs/>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14</w:t>
                  </w:r>
                </w:p>
              </w:tc>
              <w:tc>
                <w:tcPr>
                  <w:tcW w:w="3194"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b/>
                      <w:bCs/>
                      <w:color w:val="auto"/>
                      <w:sz w:val="21"/>
                      <w:szCs w:val="21"/>
                    </w:rPr>
                  </w:pPr>
                  <w:r>
                    <w:rPr>
                      <w:rFonts w:ascii="Times New Roman" w:hAnsi="Times New Roman"/>
                      <w:color w:val="auto"/>
                      <w:sz w:val="21"/>
                      <w:szCs w:val="21"/>
                    </w:rPr>
                    <w:t>再生塑料制品或材料在生产过程中不得使用全氯氟烃作发泡剂；制造人体接触的再生塑料制品或材料时，不得添加有毒有害的化学助剂。</w:t>
                  </w:r>
                </w:p>
              </w:tc>
              <w:tc>
                <w:tcPr>
                  <w:tcW w:w="2701"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hint="eastAsia" w:ascii="Times New Roman" w:hAnsi="Times New Roman"/>
                      <w:color w:val="auto"/>
                      <w:sz w:val="21"/>
                      <w:szCs w:val="21"/>
                    </w:rPr>
                    <w:t>本项目只进行再生塑料造粒，不生产塑料制品。</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b/>
                      <w:bCs/>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15</w:t>
                  </w:r>
                </w:p>
              </w:tc>
              <w:tc>
                <w:tcPr>
                  <w:tcW w:w="3194"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b/>
                      <w:bCs/>
                      <w:color w:val="auto"/>
                      <w:sz w:val="21"/>
                      <w:szCs w:val="21"/>
                    </w:rPr>
                  </w:pPr>
                  <w:r>
                    <w:rPr>
                      <w:rFonts w:ascii="Times New Roman" w:hAnsi="Times New Roman"/>
                      <w:color w:val="auto"/>
                      <w:sz w:val="21"/>
                      <w:szCs w:val="21"/>
                    </w:rPr>
                    <w:t>废塑料的物理再生工艺中，熔融造粒车间应安装废气收集及处理装置，挤出工艺的冷却废水宜循环使用。</w:t>
                  </w:r>
                </w:p>
              </w:tc>
              <w:tc>
                <w:tcPr>
                  <w:tcW w:w="2701"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hint="eastAsia" w:ascii="Times New Roman" w:hAnsi="Times New Roman"/>
                      <w:color w:val="auto"/>
                      <w:sz w:val="21"/>
                      <w:szCs w:val="21"/>
                    </w:rPr>
                    <w:t>热熔挤出等生产过程产生的颗粒物、有机废气（以非甲烷总烃计）经</w:t>
                  </w:r>
                  <w:r>
                    <w:rPr>
                      <w:rFonts w:ascii="Times New Roman" w:hAnsi="Times New Roman"/>
                      <w:color w:val="auto"/>
                      <w:sz w:val="21"/>
                      <w:szCs w:val="21"/>
                    </w:rPr>
                    <w:t>“过滤棉+</w:t>
                  </w:r>
                  <w:r>
                    <w:rPr>
                      <w:rFonts w:hint="eastAsia" w:ascii="Times New Roman" w:hAnsi="Times New Roman"/>
                      <w:color w:val="auto"/>
                      <w:sz w:val="21"/>
                      <w:szCs w:val="21"/>
                      <w:lang w:eastAsia="zh-CN"/>
                    </w:rPr>
                    <w:t>三级活性炭</w:t>
                  </w:r>
                  <w:r>
                    <w:rPr>
                      <w:rFonts w:ascii="Times New Roman" w:hAnsi="Times New Roman"/>
                      <w:color w:val="auto"/>
                      <w:sz w:val="21"/>
                      <w:szCs w:val="21"/>
                    </w:rPr>
                    <w:t>吸附装置”</w:t>
                  </w:r>
                  <w:r>
                    <w:rPr>
                      <w:rFonts w:hint="eastAsia" w:ascii="Times New Roman" w:hAnsi="Times New Roman"/>
                      <w:color w:val="auto"/>
                      <w:sz w:val="21"/>
                      <w:szCs w:val="21"/>
                    </w:rPr>
                    <w:t>处理后经1根</w:t>
                  </w:r>
                  <w:r>
                    <w:rPr>
                      <w:rFonts w:hint="eastAsia" w:ascii="Times New Roman" w:hAnsi="Times New Roman"/>
                      <w:color w:val="auto"/>
                      <w:sz w:val="21"/>
                      <w:szCs w:val="21"/>
                      <w:lang w:eastAsia="zh-CN"/>
                    </w:rPr>
                    <w:t>15m高</w:t>
                  </w:r>
                  <w:r>
                    <w:rPr>
                      <w:rFonts w:hint="eastAsia" w:ascii="Times New Roman" w:hAnsi="Times New Roman"/>
                      <w:color w:val="auto"/>
                      <w:sz w:val="21"/>
                      <w:szCs w:val="21"/>
                    </w:rPr>
                    <w:t>排气筒排放。</w:t>
                  </w:r>
                  <w:r>
                    <w:rPr>
                      <w:rFonts w:ascii="Times New Roman" w:hAnsi="Times New Roman"/>
                      <w:color w:val="auto"/>
                      <w:sz w:val="21"/>
                      <w:szCs w:val="21"/>
                    </w:rPr>
                    <w:t>挤出工艺的冷却废水</w:t>
                  </w:r>
                  <w:r>
                    <w:rPr>
                      <w:rFonts w:hint="eastAsia" w:ascii="Times New Roman" w:hAnsi="Times New Roman"/>
                      <w:color w:val="auto"/>
                      <w:sz w:val="21"/>
                      <w:szCs w:val="21"/>
                    </w:rPr>
                    <w:t>循环使用不外排。</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b/>
                      <w:bCs/>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16</w:t>
                  </w:r>
                </w:p>
              </w:tc>
              <w:tc>
                <w:tcPr>
                  <w:tcW w:w="3194"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b/>
                      <w:bCs/>
                      <w:color w:val="auto"/>
                      <w:sz w:val="21"/>
                      <w:szCs w:val="21"/>
                    </w:rPr>
                  </w:pPr>
                  <w:r>
                    <w:rPr>
                      <w:rFonts w:ascii="Times New Roman" w:hAnsi="Times New Roman"/>
                      <w:color w:val="auto"/>
                      <w:sz w:val="21"/>
                      <w:szCs w:val="21"/>
                    </w:rPr>
                    <w:t>宜采用节能熔融造粒技术，含卤素废塑料宜采用低温熔融造粒工艺。</w:t>
                  </w:r>
                </w:p>
              </w:tc>
              <w:tc>
                <w:tcPr>
                  <w:tcW w:w="2701"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hint="eastAsia" w:ascii="Times New Roman" w:hAnsi="Times New Roman"/>
                      <w:color w:val="auto"/>
                      <w:sz w:val="21"/>
                      <w:szCs w:val="21"/>
                    </w:rPr>
                    <w:t>项目使用的造粒机为节能设备，废塑料均为废PE、废PP，不含卤素。</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b/>
                      <w:bCs/>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17</w:t>
                  </w:r>
                </w:p>
              </w:tc>
              <w:tc>
                <w:tcPr>
                  <w:tcW w:w="3194"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b/>
                      <w:bCs/>
                      <w:color w:val="auto"/>
                      <w:sz w:val="21"/>
                      <w:szCs w:val="21"/>
                    </w:rPr>
                  </w:pPr>
                  <w:r>
                    <w:rPr>
                      <w:rFonts w:ascii="Times New Roman" w:hAnsi="Times New Roman"/>
                      <w:color w:val="auto"/>
                      <w:sz w:val="21"/>
                      <w:szCs w:val="21"/>
                    </w:rPr>
                    <w:t>宜使用无丝网过滤器造粒机，减少废滤网产生。采用焚烧方式处理塑料挤出机过滤网片时，应配备烟气净化装置。</w:t>
                  </w:r>
                </w:p>
              </w:tc>
              <w:tc>
                <w:tcPr>
                  <w:tcW w:w="2701"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hint="eastAsia" w:ascii="Times New Roman" w:hAnsi="Times New Roman"/>
                      <w:color w:val="auto"/>
                      <w:sz w:val="21"/>
                      <w:szCs w:val="21"/>
                    </w:rPr>
                    <w:t>项目区设置带盖垃圾收集桶，废滤网集中收集后外售合法且具备废滤网回收再生能力的单位回收处置，禁止露天焚烧。</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b/>
                      <w:bCs/>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18</w:t>
                  </w:r>
                </w:p>
              </w:tc>
              <w:tc>
                <w:tcPr>
                  <w:tcW w:w="3194"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b/>
                      <w:bCs/>
                      <w:color w:val="auto"/>
                      <w:sz w:val="21"/>
                      <w:szCs w:val="21"/>
                    </w:rPr>
                  </w:pPr>
                  <w:r>
                    <w:rPr>
                      <w:rFonts w:ascii="Times New Roman" w:hAnsi="Times New Roman"/>
                      <w:color w:val="auto"/>
                      <w:sz w:val="21"/>
                      <w:szCs w:val="21"/>
                    </w:rPr>
                    <w:t>废塑料的再生利用项目应严格执行环境影响评价和“三同时”制度。</w:t>
                  </w:r>
                </w:p>
              </w:tc>
              <w:tc>
                <w:tcPr>
                  <w:tcW w:w="2701"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本项目</w:t>
                  </w:r>
                  <w:r>
                    <w:rPr>
                      <w:rFonts w:hint="eastAsia" w:ascii="Times New Roman" w:hAnsi="Times New Roman"/>
                      <w:color w:val="auto"/>
                      <w:sz w:val="21"/>
                      <w:szCs w:val="21"/>
                      <w:lang w:eastAsia="zh-CN"/>
                    </w:rPr>
                    <w:t>目前</w:t>
                  </w:r>
                  <w:r>
                    <w:rPr>
                      <w:rFonts w:ascii="Times New Roman" w:hAnsi="Times New Roman"/>
                      <w:color w:val="auto"/>
                      <w:sz w:val="21"/>
                      <w:szCs w:val="21"/>
                    </w:rPr>
                    <w:t>正在开展环境影响评价；待项目取得环评批复后，</w:t>
                  </w:r>
                  <w:r>
                    <w:rPr>
                      <w:rFonts w:hint="eastAsia" w:ascii="Times New Roman" w:hAnsi="Times New Roman"/>
                      <w:color w:val="auto"/>
                      <w:sz w:val="21"/>
                      <w:szCs w:val="21"/>
                    </w:rPr>
                    <w:t>严格执行</w:t>
                  </w:r>
                  <w:r>
                    <w:rPr>
                      <w:rFonts w:ascii="Times New Roman" w:hAnsi="Times New Roman"/>
                      <w:color w:val="auto"/>
                      <w:sz w:val="21"/>
                      <w:szCs w:val="21"/>
                    </w:rPr>
                    <w:t>“三同时”制度</w:t>
                  </w:r>
                  <w:r>
                    <w:rPr>
                      <w:rFonts w:hint="eastAsia" w:ascii="Times New Roman" w:hAnsi="Times New Roman"/>
                      <w:color w:val="auto"/>
                      <w:sz w:val="21"/>
                      <w:szCs w:val="21"/>
                    </w:rPr>
                    <w:t>，</w:t>
                  </w:r>
                  <w:r>
                    <w:rPr>
                      <w:rFonts w:ascii="Times New Roman" w:hAnsi="Times New Roman"/>
                      <w:color w:val="auto"/>
                      <w:sz w:val="21"/>
                      <w:szCs w:val="21"/>
                    </w:rPr>
                    <w:t>按环评及其批复要求建设配套的环境保护设施，编制环境风险应急预案并备案，并依法申请项目竣工环境保护验收。</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b/>
                      <w:bCs/>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19</w:t>
                  </w:r>
                </w:p>
              </w:tc>
              <w:tc>
                <w:tcPr>
                  <w:tcW w:w="3194"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b/>
                      <w:bCs/>
                      <w:color w:val="auto"/>
                      <w:sz w:val="21"/>
                      <w:szCs w:val="21"/>
                    </w:rPr>
                  </w:pPr>
                  <w:r>
                    <w:rPr>
                      <w:rFonts w:ascii="Times New Roman" w:hAnsi="Times New Roman"/>
                      <w:color w:val="auto"/>
                      <w:sz w:val="21"/>
                      <w:szCs w:val="21"/>
                    </w:rPr>
                    <w:t>新建和改扩建废塑料再生利用项目的选址应符合当地城市总体发展规划、用地规划、生态环境分区管控方案、规划环评及其他环境保护要求。</w:t>
                  </w:r>
                </w:p>
              </w:tc>
              <w:tc>
                <w:tcPr>
                  <w:tcW w:w="2701"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hint="eastAsia" w:ascii="Times New Roman" w:hAnsi="Times New Roman"/>
                      <w:color w:val="auto"/>
                      <w:sz w:val="21"/>
                      <w:szCs w:val="21"/>
                    </w:rPr>
                    <w:t>根据前文分析，项目位于云南宜良产业园区北古城组团</w:t>
                  </w:r>
                  <w:r>
                    <w:rPr>
                      <w:rFonts w:hint="eastAsia"/>
                      <w:color w:val="auto"/>
                      <w:kern w:val="0"/>
                      <w:sz w:val="21"/>
                      <w:szCs w:val="21"/>
                    </w:rPr>
                    <w:t>绿色建材及配套物流区</w:t>
                  </w:r>
                  <w:r>
                    <w:rPr>
                      <w:rFonts w:hint="eastAsia" w:ascii="Times New Roman" w:hAnsi="Times New Roman"/>
                      <w:color w:val="auto"/>
                      <w:sz w:val="21"/>
                      <w:szCs w:val="21"/>
                    </w:rPr>
                    <w:t>，用地性质为二类工业用地，符合用地规划；项目符合《云南宜良产业园区总体规划（2021</w:t>
                  </w:r>
                  <w:r>
                    <w:rPr>
                      <w:rFonts w:hint="eastAsia" w:ascii="Times New Roman" w:hAnsi="Times New Roman"/>
                      <w:color w:val="auto"/>
                      <w:sz w:val="21"/>
                      <w:szCs w:val="21"/>
                      <w:lang w:eastAsia="zh-CN"/>
                    </w:rPr>
                    <w:t>—</w:t>
                  </w:r>
                  <w:r>
                    <w:rPr>
                      <w:rFonts w:hint="eastAsia" w:ascii="Times New Roman" w:hAnsi="Times New Roman"/>
                      <w:color w:val="auto"/>
                      <w:sz w:val="21"/>
                      <w:szCs w:val="21"/>
                    </w:rPr>
                    <w:t>2035年）、《云南宜良产业园区总体规划（2021</w:t>
                  </w:r>
                  <w:r>
                    <w:rPr>
                      <w:rFonts w:hint="eastAsia" w:ascii="Times New Roman" w:hAnsi="Times New Roman"/>
                      <w:color w:val="auto"/>
                      <w:sz w:val="21"/>
                      <w:szCs w:val="21"/>
                      <w:lang w:eastAsia="zh-CN"/>
                    </w:rPr>
                    <w:t>—</w:t>
                  </w:r>
                  <w:r>
                    <w:rPr>
                      <w:rFonts w:hint="eastAsia" w:ascii="Times New Roman" w:hAnsi="Times New Roman"/>
                      <w:color w:val="auto"/>
                      <w:sz w:val="21"/>
                      <w:szCs w:val="21"/>
                    </w:rPr>
                    <w:t>2035年）环境影响报告书》及审查意见要求，符合《昆明市生态环境分区管控动态更新方案（2023年）》要求。</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b/>
                      <w:bCs/>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20</w:t>
                  </w:r>
                </w:p>
              </w:tc>
              <w:tc>
                <w:tcPr>
                  <w:tcW w:w="3194"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废塑料再生利用项目应按功能划分厂区，包括管理区、原料贮存区、生产区、产品贮存区、不可利用废物的贮存和处理区等，各功能区应有明显的界线或标识。</w:t>
                  </w:r>
                </w:p>
              </w:tc>
              <w:tc>
                <w:tcPr>
                  <w:tcW w:w="2701"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hint="eastAsia" w:ascii="Times New Roman" w:hAnsi="Times New Roman"/>
                      <w:color w:val="auto"/>
                      <w:sz w:val="21"/>
                      <w:szCs w:val="21"/>
                    </w:rPr>
                    <w:t>项目生产车间内</w:t>
                  </w:r>
                  <w:r>
                    <w:rPr>
                      <w:rFonts w:ascii="Times New Roman" w:hAnsi="Times New Roman"/>
                      <w:color w:val="auto"/>
                      <w:sz w:val="21"/>
                      <w:szCs w:val="21"/>
                    </w:rPr>
                    <w:t>按功能划分</w:t>
                  </w:r>
                  <w:r>
                    <w:rPr>
                      <w:rFonts w:hint="eastAsia" w:ascii="Times New Roman" w:hAnsi="Times New Roman"/>
                      <w:color w:val="auto"/>
                      <w:sz w:val="21"/>
                      <w:szCs w:val="21"/>
                    </w:rPr>
                    <w:t>为</w:t>
                  </w:r>
                  <w:r>
                    <w:rPr>
                      <w:rFonts w:ascii="Times New Roman" w:hAnsi="Times New Roman"/>
                      <w:color w:val="auto"/>
                      <w:sz w:val="21"/>
                      <w:szCs w:val="21"/>
                    </w:rPr>
                    <w:t>原料贮存区、生产区、产品贮存区、废物贮存和处理区等，各功能区</w:t>
                  </w:r>
                  <w:r>
                    <w:rPr>
                      <w:rFonts w:hint="eastAsia" w:ascii="Times New Roman" w:hAnsi="Times New Roman"/>
                      <w:color w:val="auto"/>
                      <w:sz w:val="21"/>
                      <w:szCs w:val="21"/>
                    </w:rPr>
                    <w:t>设置</w:t>
                  </w:r>
                  <w:r>
                    <w:rPr>
                      <w:rFonts w:ascii="Times New Roman" w:hAnsi="Times New Roman"/>
                      <w:color w:val="auto"/>
                      <w:sz w:val="21"/>
                      <w:szCs w:val="21"/>
                    </w:rPr>
                    <w:t>标识。</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b/>
                      <w:bCs/>
                      <w:color w:val="auto"/>
                      <w:sz w:val="21"/>
                      <w:szCs w:val="21"/>
                    </w:rPr>
                  </w:pPr>
                  <w:r>
                    <w:rPr>
                      <w:rFonts w:ascii="Times New Roman" w:hAnsi="Times New Roman"/>
                      <w:color w:val="auto"/>
                      <w:sz w:val="21"/>
                      <w:szCs w:val="21"/>
                    </w:rPr>
                    <w:t>符合</w:t>
                  </w:r>
                </w:p>
              </w:tc>
            </w:tr>
          </w:tbl>
          <w:p>
            <w:pPr>
              <w:adjustRightInd w:val="0"/>
              <w:snapToGrid w:val="0"/>
              <w:spacing w:line="360" w:lineRule="auto"/>
              <w:ind w:firstLine="482" w:firstLineChars="200"/>
              <w:rPr>
                <w:b/>
                <w:bCs/>
                <w:color w:val="auto"/>
                <w:sz w:val="24"/>
                <w:szCs w:val="24"/>
              </w:rPr>
            </w:pPr>
            <w:r>
              <w:rPr>
                <w:rFonts w:hint="eastAsia"/>
                <w:b/>
                <w:bCs/>
                <w:color w:val="auto"/>
                <w:sz w:val="24"/>
                <w:szCs w:val="24"/>
              </w:rPr>
              <w:t>8</w:t>
            </w:r>
            <w:r>
              <w:rPr>
                <w:b/>
                <w:bCs/>
                <w:color w:val="auto"/>
                <w:sz w:val="24"/>
                <w:szCs w:val="24"/>
              </w:rPr>
              <w:t>、与《废塑料回收技术规范》（GB/T39171-2020）符合性分析</w:t>
            </w:r>
          </w:p>
          <w:p>
            <w:pPr>
              <w:pStyle w:val="68"/>
              <w:keepNext w:val="0"/>
              <w:keepLines w:val="0"/>
              <w:pageBreakBefore w:val="0"/>
              <w:widowControl w:val="0"/>
              <w:tabs>
                <w:tab w:val="left" w:pos="420"/>
              </w:tabs>
              <w:kinsoku/>
              <w:wordWrap/>
              <w:overflowPunct/>
              <w:topLinePunct w:val="0"/>
              <w:autoSpaceDE/>
              <w:autoSpaceDN/>
              <w:bidi w:val="0"/>
              <w:adjustRightInd w:val="0"/>
              <w:snapToGrid w:val="0"/>
              <w:spacing w:before="0" w:beforeLines="0"/>
              <w:ind w:left="0" w:firstLine="0"/>
              <w:textAlignment w:val="auto"/>
              <w:rPr>
                <w:rFonts w:hint="default"/>
                <w:color w:val="auto"/>
                <w:sz w:val="24"/>
                <w:szCs w:val="24"/>
              </w:rPr>
            </w:pPr>
            <w:r>
              <w:rPr>
                <w:rFonts w:hint="default"/>
                <w:color w:val="auto"/>
                <w:sz w:val="24"/>
                <w:szCs w:val="24"/>
              </w:rPr>
              <w:t>与《废塑料回收技术规范》符合性分析</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
              <w:gridCol w:w="514"/>
              <w:gridCol w:w="2832"/>
              <w:gridCol w:w="2549"/>
              <w:gridCol w:w="661"/>
            </w:tblGrid>
            <w:tr>
              <w:tblPrEx>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b/>
                      <w:bCs/>
                      <w:color w:val="auto"/>
                      <w:sz w:val="21"/>
                      <w:szCs w:val="21"/>
                    </w:rPr>
                  </w:pPr>
                  <w:r>
                    <w:rPr>
                      <w:rFonts w:ascii="Times New Roman" w:hAnsi="Times New Roman"/>
                      <w:b/>
                      <w:bCs/>
                      <w:color w:val="auto"/>
                      <w:sz w:val="21"/>
                      <w:szCs w:val="21"/>
                    </w:rPr>
                    <w:t>序号</w:t>
                  </w:r>
                </w:p>
              </w:tc>
              <w:tc>
                <w:tcPr>
                  <w:tcW w:w="3346" w:type="dxa"/>
                  <w:gridSpan w:val="2"/>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b/>
                      <w:bCs/>
                      <w:color w:val="auto"/>
                      <w:sz w:val="21"/>
                      <w:szCs w:val="21"/>
                    </w:rPr>
                  </w:pPr>
                  <w:r>
                    <w:rPr>
                      <w:rFonts w:ascii="Times New Roman" w:hAnsi="Times New Roman"/>
                      <w:b/>
                      <w:bCs/>
                      <w:color w:val="auto"/>
                      <w:sz w:val="21"/>
                      <w:szCs w:val="21"/>
                    </w:rPr>
                    <w:t>相关要求</w:t>
                  </w:r>
                </w:p>
              </w:tc>
              <w:tc>
                <w:tcPr>
                  <w:tcW w:w="2549"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ascii="Times New Roman" w:hAnsi="Times New Roman"/>
                      <w:b/>
                      <w:bCs/>
                      <w:color w:val="auto"/>
                      <w:sz w:val="21"/>
                      <w:szCs w:val="21"/>
                    </w:rPr>
                  </w:pPr>
                  <w:r>
                    <w:rPr>
                      <w:rFonts w:ascii="Times New Roman" w:hAnsi="Times New Roman"/>
                      <w:b/>
                      <w:bCs/>
                      <w:color w:val="auto"/>
                      <w:sz w:val="21"/>
                      <w:szCs w:val="21"/>
                    </w:rPr>
                    <w:t>本项目情况</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b/>
                      <w:bCs/>
                      <w:color w:val="auto"/>
                      <w:sz w:val="21"/>
                      <w:szCs w:val="21"/>
                    </w:rPr>
                  </w:pPr>
                  <w:r>
                    <w:rPr>
                      <w:rFonts w:ascii="Times New Roman" w:hAnsi="Times New Roman"/>
                      <w:b/>
                      <w:bCs/>
                      <w:color w:val="auto"/>
                      <w:sz w:val="21"/>
                      <w:szCs w:val="21"/>
                    </w:rPr>
                    <w:t>是否相符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1</w:t>
                  </w:r>
                </w:p>
              </w:tc>
              <w:tc>
                <w:tcPr>
                  <w:tcW w:w="514" w:type="dxa"/>
                  <w:vMerge w:val="restart"/>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总体要求</w:t>
                  </w:r>
                </w:p>
              </w:tc>
              <w:tc>
                <w:tcPr>
                  <w:tcW w:w="2832"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宜按照GB/T 19001、GB/T 24001、GB/T45001等建立管理体系。</w:t>
                  </w:r>
                </w:p>
              </w:tc>
              <w:tc>
                <w:tcPr>
                  <w:tcW w:w="2549"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hint="eastAsia" w:ascii="Times New Roman" w:hAnsi="Times New Roman"/>
                      <w:color w:val="auto"/>
                      <w:sz w:val="21"/>
                      <w:szCs w:val="21"/>
                    </w:rPr>
                    <w:t>建设单位在项目建成后拟按照GB/T 19001、GB/T 24001、GB/T45001等建立管理体系。</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2</w:t>
                  </w:r>
                </w:p>
              </w:tc>
              <w:tc>
                <w:tcPr>
                  <w:tcW w:w="514" w:type="dxa"/>
                  <w:vMerge w:val="continue"/>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p>
              </w:tc>
              <w:tc>
                <w:tcPr>
                  <w:tcW w:w="2832"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应建立劳动保护、消防安全责任管理制度和环境保护管理制度。</w:t>
                  </w:r>
                </w:p>
              </w:tc>
              <w:tc>
                <w:tcPr>
                  <w:tcW w:w="2549"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hint="eastAsia" w:ascii="Times New Roman" w:hAnsi="Times New Roman"/>
                      <w:color w:val="auto"/>
                      <w:sz w:val="21"/>
                      <w:szCs w:val="21"/>
                    </w:rPr>
                    <w:t>建设单位在项目建成后拟建立劳动保护、消防安全责任管理制度和环境保护管理制度。</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3</w:t>
                  </w:r>
                </w:p>
              </w:tc>
              <w:tc>
                <w:tcPr>
                  <w:tcW w:w="514" w:type="dxa"/>
                  <w:vMerge w:val="continue"/>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p>
              </w:tc>
              <w:tc>
                <w:tcPr>
                  <w:tcW w:w="2832"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应建立环境污染预防机制和处理环境污染事故的应急预案制度。</w:t>
                  </w:r>
                </w:p>
              </w:tc>
              <w:tc>
                <w:tcPr>
                  <w:tcW w:w="2549"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hint="eastAsia" w:ascii="Times New Roman" w:hAnsi="Times New Roman"/>
                      <w:color w:val="auto"/>
                      <w:sz w:val="21"/>
                      <w:szCs w:val="21"/>
                    </w:rPr>
                    <w:t>建设单位在项目建成后拟建立环境污染预防机制和处理环境污染事故的应急预案制度。</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4</w:t>
                  </w:r>
                </w:p>
              </w:tc>
              <w:tc>
                <w:tcPr>
                  <w:tcW w:w="514" w:type="dxa"/>
                  <w:vMerge w:val="continue"/>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p>
              </w:tc>
              <w:tc>
                <w:tcPr>
                  <w:tcW w:w="2832"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宜建立废塑料回收信息管理制度，记录每批次废塑料的回收时间、地点、来源、数量、种类、分拣后废塑料流向、交易情况等信息，并保存有关信息至少两年。</w:t>
                  </w:r>
                </w:p>
              </w:tc>
              <w:tc>
                <w:tcPr>
                  <w:tcW w:w="2549"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hint="eastAsia" w:ascii="Times New Roman" w:hAnsi="Times New Roman"/>
                      <w:color w:val="auto"/>
                      <w:sz w:val="21"/>
                      <w:szCs w:val="21"/>
                    </w:rPr>
                    <w:t>建设单位在项目建成后拟建立废塑料回收信息管理制度，记录每批次废塑料的回收时间、地点、来源、数量、种类、分拣后废塑料流向、交易情况等信息，并保存有关信息至少两年。</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5</w:t>
                  </w:r>
                </w:p>
              </w:tc>
              <w:tc>
                <w:tcPr>
                  <w:tcW w:w="514" w:type="dxa"/>
                  <w:vMerge w:val="continue"/>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p>
              </w:tc>
              <w:tc>
                <w:tcPr>
                  <w:tcW w:w="2832"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废塑料分拣企业应具备排污许可证。</w:t>
                  </w:r>
                </w:p>
              </w:tc>
              <w:tc>
                <w:tcPr>
                  <w:tcW w:w="2549"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hint="eastAsia" w:ascii="Times New Roman" w:hAnsi="Times New Roman"/>
                      <w:color w:val="auto"/>
                      <w:sz w:val="21"/>
                      <w:szCs w:val="21"/>
                    </w:rPr>
                    <w:t>项目在正式投入运营前申领排污许可证。</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6</w:t>
                  </w:r>
                </w:p>
              </w:tc>
              <w:tc>
                <w:tcPr>
                  <w:tcW w:w="514" w:type="dxa"/>
                  <w:vMerge w:val="continue"/>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p>
              </w:tc>
              <w:tc>
                <w:tcPr>
                  <w:tcW w:w="2832"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废塑料回收过程中产生或夹杂的危险废物，或根据国家规定的危险废物鉴别标准和鉴别方法认定为危险废物的，应交由有相关处理资质的单位进行处理。</w:t>
                  </w:r>
                </w:p>
              </w:tc>
              <w:tc>
                <w:tcPr>
                  <w:tcW w:w="2549"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hint="eastAsia" w:ascii="Times New Roman" w:hAnsi="Times New Roman"/>
                      <w:color w:val="auto"/>
                      <w:sz w:val="21"/>
                      <w:szCs w:val="21"/>
                    </w:rPr>
                    <w:t>本项目不涉及使用废塑料类危险废物作为原料。</w:t>
                  </w:r>
                  <w:r>
                    <w:rPr>
                      <w:rFonts w:ascii="Times New Roman" w:hAnsi="Times New Roman"/>
                      <w:color w:val="auto"/>
                      <w:sz w:val="21"/>
                      <w:szCs w:val="21"/>
                    </w:rPr>
                    <w:t>废塑料回收过程中产生或夹杂的</w:t>
                  </w:r>
                  <w:r>
                    <w:rPr>
                      <w:rFonts w:hint="eastAsia" w:ascii="Times New Roman" w:hAnsi="Times New Roman"/>
                      <w:color w:val="auto"/>
                      <w:sz w:val="21"/>
                      <w:szCs w:val="21"/>
                    </w:rPr>
                    <w:t>物质</w:t>
                  </w:r>
                  <w:r>
                    <w:rPr>
                      <w:rFonts w:ascii="Times New Roman" w:hAnsi="Times New Roman"/>
                      <w:color w:val="auto"/>
                      <w:sz w:val="21"/>
                      <w:szCs w:val="21"/>
                    </w:rPr>
                    <w:t>，根据国家规定的危险废物鉴别标准和鉴别方法认定为危险废物的，应交由有相关处理资质的单位进行处理。</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7</w:t>
                  </w:r>
                </w:p>
              </w:tc>
              <w:tc>
                <w:tcPr>
                  <w:tcW w:w="514" w:type="dxa"/>
                  <w:vMerge w:val="continue"/>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p>
              </w:tc>
              <w:tc>
                <w:tcPr>
                  <w:tcW w:w="2832"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从事废塑料分拣的回收从业人员应进行岗前培训。</w:t>
                  </w:r>
                </w:p>
              </w:tc>
              <w:tc>
                <w:tcPr>
                  <w:tcW w:w="2549"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hint="eastAsia" w:ascii="Times New Roman" w:hAnsi="Times New Roman"/>
                      <w:color w:val="auto"/>
                      <w:sz w:val="21"/>
                      <w:szCs w:val="21"/>
                    </w:rPr>
                    <w:t>项目在正式投产前拟对各从业人员进行岗前培训。</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8</w:t>
                  </w:r>
                </w:p>
              </w:tc>
              <w:tc>
                <w:tcPr>
                  <w:tcW w:w="514" w:type="dxa"/>
                  <w:vMerge w:val="restart"/>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收集</w:t>
                  </w:r>
                </w:p>
              </w:tc>
              <w:tc>
                <w:tcPr>
                  <w:tcW w:w="2832"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应按废塑料的种类进行分类收集。</w:t>
                  </w:r>
                </w:p>
              </w:tc>
              <w:tc>
                <w:tcPr>
                  <w:tcW w:w="2549"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hint="eastAsia" w:ascii="Times New Roman" w:hAnsi="Times New Roman"/>
                      <w:color w:val="auto"/>
                      <w:sz w:val="21"/>
                      <w:szCs w:val="21"/>
                    </w:rPr>
                    <w:t>原料来源于</w:t>
                  </w:r>
                  <w:r>
                    <w:rPr>
                      <w:rFonts w:hint="eastAsia" w:ascii="Times New Roman" w:hAnsi="Times New Roman"/>
                      <w:color w:val="auto"/>
                      <w:sz w:val="21"/>
                      <w:szCs w:val="21"/>
                      <w:lang w:val="en-US" w:eastAsia="zh-CN"/>
                    </w:rPr>
                    <w:t>东晟纸业</w:t>
                  </w:r>
                  <w:r>
                    <w:rPr>
                      <w:rFonts w:hint="eastAsia" w:ascii="Times New Roman" w:hAnsi="Times New Roman"/>
                      <w:color w:val="auto"/>
                      <w:sz w:val="21"/>
                      <w:szCs w:val="21"/>
                    </w:rPr>
                    <w:t>产生的</w:t>
                  </w:r>
                  <w:r>
                    <w:rPr>
                      <w:color w:val="auto"/>
                      <w:sz w:val="21"/>
                      <w:szCs w:val="18"/>
                    </w:rPr>
                    <w:t>碎浆废渣中</w:t>
                  </w:r>
                  <w:r>
                    <w:rPr>
                      <w:rFonts w:hint="eastAsia"/>
                      <w:color w:val="auto"/>
                      <w:sz w:val="21"/>
                      <w:szCs w:val="18"/>
                    </w:rPr>
                    <w:t>已被</w:t>
                  </w:r>
                  <w:r>
                    <w:rPr>
                      <w:color w:val="auto"/>
                      <w:sz w:val="21"/>
                      <w:szCs w:val="18"/>
                    </w:rPr>
                    <w:t>分离出的废塑料</w:t>
                  </w:r>
                  <w:r>
                    <w:rPr>
                      <w:rFonts w:hint="eastAsia"/>
                      <w:color w:val="auto"/>
                      <w:sz w:val="21"/>
                      <w:szCs w:val="18"/>
                    </w:rPr>
                    <w:t>等；由于</w:t>
                  </w:r>
                  <w:r>
                    <w:rPr>
                      <w:rFonts w:hint="eastAsia" w:ascii="Times New Roman" w:hAnsi="Times New Roman"/>
                      <w:color w:val="auto"/>
                      <w:sz w:val="21"/>
                      <w:szCs w:val="21"/>
                    </w:rPr>
                    <w:t>废塑料已</w:t>
                  </w:r>
                  <w:r>
                    <w:rPr>
                      <w:rFonts w:hint="eastAsia" w:ascii="Times New Roman" w:hAnsi="Times New Roman"/>
                      <w:color w:val="auto"/>
                      <w:sz w:val="21"/>
                      <w:szCs w:val="21"/>
                      <w:lang w:val="en-US" w:eastAsia="zh-CN"/>
                    </w:rPr>
                    <w:t>经过</w:t>
                  </w:r>
                  <w:r>
                    <w:rPr>
                      <w:rFonts w:hint="eastAsia" w:ascii="Times New Roman" w:hAnsi="Times New Roman"/>
                      <w:color w:val="auto"/>
                      <w:sz w:val="21"/>
                      <w:szCs w:val="21"/>
                    </w:rPr>
                    <w:t>预处理分离，本项目直接回收后堆放在生产车间废塑料原料堆放区。</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9</w:t>
                  </w:r>
                </w:p>
              </w:tc>
              <w:tc>
                <w:tcPr>
                  <w:tcW w:w="514" w:type="dxa"/>
                  <w:vMerge w:val="continue"/>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p>
              </w:tc>
              <w:tc>
                <w:tcPr>
                  <w:tcW w:w="2832"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废塑料收集过程中应包装完整，避免遗撒。</w:t>
                  </w:r>
                </w:p>
              </w:tc>
              <w:tc>
                <w:tcPr>
                  <w:tcW w:w="2549"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hint="eastAsia" w:ascii="Times New Roman" w:hAnsi="Times New Roman"/>
                      <w:color w:val="auto"/>
                      <w:sz w:val="21"/>
                      <w:szCs w:val="21"/>
                    </w:rPr>
                    <w:t>本项目主要利用宜良县及周边再生纸生产企业产生的</w:t>
                  </w:r>
                  <w:r>
                    <w:rPr>
                      <w:color w:val="auto"/>
                      <w:sz w:val="21"/>
                      <w:szCs w:val="18"/>
                    </w:rPr>
                    <w:t>碎浆废渣中</w:t>
                  </w:r>
                  <w:r>
                    <w:rPr>
                      <w:rFonts w:hint="eastAsia"/>
                      <w:color w:val="auto"/>
                      <w:sz w:val="21"/>
                      <w:szCs w:val="18"/>
                    </w:rPr>
                    <w:t>已被</w:t>
                  </w:r>
                  <w:r>
                    <w:rPr>
                      <w:color w:val="auto"/>
                      <w:sz w:val="21"/>
                      <w:szCs w:val="18"/>
                    </w:rPr>
                    <w:t>分离出的废塑料</w:t>
                  </w:r>
                  <w:r>
                    <w:rPr>
                      <w:rFonts w:hint="eastAsia"/>
                      <w:color w:val="auto"/>
                      <w:sz w:val="21"/>
                      <w:szCs w:val="18"/>
                    </w:rPr>
                    <w:t>等</w:t>
                  </w:r>
                  <w:r>
                    <w:rPr>
                      <w:rFonts w:hint="eastAsia" w:ascii="Times New Roman" w:hAnsi="Times New Roman"/>
                      <w:color w:val="auto"/>
                      <w:sz w:val="21"/>
                      <w:szCs w:val="21"/>
                    </w:rPr>
                    <w:t>；采用装卸汽车直接运输入场，运输过程中禁止遗撒。</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10</w:t>
                  </w:r>
                </w:p>
              </w:tc>
              <w:tc>
                <w:tcPr>
                  <w:tcW w:w="514" w:type="dxa"/>
                  <w:vMerge w:val="continue"/>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p>
              </w:tc>
              <w:tc>
                <w:tcPr>
                  <w:tcW w:w="2832"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废塑料收集过程中不得就地清洗。</w:t>
                  </w:r>
                </w:p>
              </w:tc>
              <w:tc>
                <w:tcPr>
                  <w:tcW w:w="2549"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hint="eastAsia" w:ascii="Times New Roman" w:hAnsi="Times New Roman"/>
                      <w:color w:val="auto"/>
                      <w:sz w:val="21"/>
                      <w:szCs w:val="21"/>
                    </w:rPr>
                    <w:t>本项目废塑料收集过程中不就地清洗。</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11</w:t>
                  </w:r>
                </w:p>
              </w:tc>
              <w:tc>
                <w:tcPr>
                  <w:tcW w:w="514" w:type="dxa"/>
                  <w:vMerge w:val="continue"/>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p>
              </w:tc>
              <w:tc>
                <w:tcPr>
                  <w:tcW w:w="2832"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废塑料收集过程中应使用机械破碎技术进行减容处理，并配备相应的防尘、防噪声措施。</w:t>
                  </w:r>
                </w:p>
              </w:tc>
              <w:tc>
                <w:tcPr>
                  <w:tcW w:w="2549"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hint="eastAsia" w:ascii="Times New Roman" w:hAnsi="Times New Roman"/>
                      <w:color w:val="auto"/>
                      <w:sz w:val="21"/>
                      <w:szCs w:val="21"/>
                    </w:rPr>
                    <w:t>本</w:t>
                  </w:r>
                  <w:r>
                    <w:rPr>
                      <w:rFonts w:hint="eastAsia" w:ascii="Times New Roman" w:hAnsi="Times New Roman"/>
                      <w:color w:val="auto"/>
                      <w:sz w:val="21"/>
                      <w:szCs w:val="21"/>
                      <w:lang w:eastAsia="zh-CN"/>
                    </w:rPr>
                    <w:t>项目</w:t>
                  </w:r>
                  <w:r>
                    <w:rPr>
                      <w:rFonts w:hint="eastAsia" w:ascii="Times New Roman" w:hAnsi="Times New Roman"/>
                      <w:color w:val="auto"/>
                      <w:sz w:val="21"/>
                      <w:szCs w:val="21"/>
                      <w:lang w:val="en-US" w:eastAsia="zh-CN"/>
                    </w:rPr>
                    <w:t>不涉及</w:t>
                  </w:r>
                  <w:r>
                    <w:rPr>
                      <w:rFonts w:hint="eastAsia" w:ascii="Times New Roman" w:hAnsi="Times New Roman"/>
                      <w:color w:val="auto"/>
                      <w:sz w:val="21"/>
                      <w:szCs w:val="21"/>
                    </w:rPr>
                    <w:t>破碎</w:t>
                  </w:r>
                  <w:r>
                    <w:rPr>
                      <w:rFonts w:hint="eastAsia" w:ascii="Times New Roman" w:hAnsi="Times New Roman"/>
                      <w:color w:val="auto"/>
                      <w:sz w:val="21"/>
                      <w:szCs w:val="21"/>
                      <w:lang w:val="en-US" w:eastAsia="zh-CN"/>
                    </w:rPr>
                    <w:t>工序</w:t>
                  </w:r>
                  <w:r>
                    <w:rPr>
                      <w:rFonts w:hint="eastAsia" w:ascii="Times New Roman" w:hAnsi="Times New Roman"/>
                      <w:color w:val="auto"/>
                      <w:sz w:val="21"/>
                      <w:szCs w:val="21"/>
                    </w:rPr>
                    <w:t>。</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12</w:t>
                  </w:r>
                </w:p>
              </w:tc>
              <w:tc>
                <w:tcPr>
                  <w:tcW w:w="514" w:type="dxa"/>
                  <w:vMerge w:val="restart"/>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分拣</w:t>
                  </w:r>
                </w:p>
              </w:tc>
              <w:tc>
                <w:tcPr>
                  <w:tcW w:w="2832"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废塑料宜按废通用塑料、废通用工程塑料、废特种工程塑料、废塑料合金</w:t>
                  </w:r>
                  <w:r>
                    <w:rPr>
                      <w:rFonts w:hint="eastAsia" w:ascii="Times New Roman" w:hAnsi="Times New Roman"/>
                      <w:color w:val="auto"/>
                      <w:sz w:val="21"/>
                      <w:szCs w:val="21"/>
                      <w:lang w:eastAsia="zh-CN"/>
                    </w:rPr>
                    <w:t>（</w:t>
                  </w:r>
                  <w:r>
                    <w:rPr>
                      <w:rFonts w:ascii="Times New Roman" w:hAnsi="Times New Roman"/>
                      <w:color w:val="auto"/>
                      <w:sz w:val="21"/>
                      <w:szCs w:val="21"/>
                    </w:rPr>
                    <w:t>共混物</w:t>
                  </w:r>
                  <w:r>
                    <w:rPr>
                      <w:rFonts w:hint="eastAsia" w:ascii="Times New Roman" w:hAnsi="Times New Roman"/>
                      <w:color w:val="auto"/>
                      <w:sz w:val="21"/>
                      <w:szCs w:val="21"/>
                      <w:lang w:eastAsia="zh-CN"/>
                    </w:rPr>
                    <w:t>）</w:t>
                  </w:r>
                  <w:r>
                    <w:rPr>
                      <w:rFonts w:ascii="Times New Roman" w:hAnsi="Times New Roman"/>
                      <w:color w:val="auto"/>
                      <w:sz w:val="21"/>
                      <w:szCs w:val="21"/>
                    </w:rPr>
                    <w:t>和废热固性塑料进行分类，并按国家相关规定分别进行处理。</w:t>
                  </w:r>
                </w:p>
              </w:tc>
              <w:tc>
                <w:tcPr>
                  <w:tcW w:w="2549"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hint="eastAsia" w:ascii="Times New Roman" w:hAnsi="Times New Roman"/>
                      <w:color w:val="auto"/>
                      <w:sz w:val="21"/>
                      <w:szCs w:val="21"/>
                    </w:rPr>
                    <w:t>本项目回收的塑料经破碎、清洗、分选后，仅使用废PP和PE料（属于通用塑料）进行造粒。</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13</w:t>
                  </w:r>
                </w:p>
              </w:tc>
              <w:tc>
                <w:tcPr>
                  <w:tcW w:w="514" w:type="dxa"/>
                  <w:vMerge w:val="continue"/>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p>
              </w:tc>
              <w:tc>
                <w:tcPr>
                  <w:tcW w:w="2832"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废塑料分选应遵循稳定、无二次污染的原则，根据废塑料特点，宜使用静电分选、近红外分选、X-射线荧光分选、气流分选、重介质分选、熔融过滤分选，低温破碎分选及其他新型的自动化分选等单一和集成化分选技术。</w:t>
                  </w:r>
                </w:p>
              </w:tc>
              <w:tc>
                <w:tcPr>
                  <w:tcW w:w="2549"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hint="eastAsia" w:ascii="Times New Roman" w:hAnsi="Times New Roman"/>
                      <w:color w:val="auto"/>
                      <w:sz w:val="21"/>
                      <w:szCs w:val="21"/>
                    </w:rPr>
                    <w:t>本项目拟采用</w:t>
                  </w:r>
                  <w:r>
                    <w:rPr>
                      <w:rFonts w:hint="eastAsia" w:ascii="Times New Roman" w:hAnsi="Times New Roman"/>
                      <w:color w:val="auto"/>
                      <w:sz w:val="21"/>
                      <w:szCs w:val="21"/>
                      <w:lang w:val="en-US" w:eastAsia="zh-CN"/>
                    </w:rPr>
                    <w:t>除铁器</w:t>
                  </w:r>
                  <w:r>
                    <w:rPr>
                      <w:rFonts w:hint="eastAsia" w:ascii="Times New Roman" w:hAnsi="Times New Roman"/>
                      <w:color w:val="auto"/>
                      <w:sz w:val="21"/>
                      <w:szCs w:val="21"/>
                    </w:rPr>
                    <w:t>等分选工艺。</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14</w:t>
                  </w:r>
                </w:p>
              </w:tc>
              <w:tc>
                <w:tcPr>
                  <w:tcW w:w="514" w:type="dxa"/>
                  <w:vMerge w:val="continue"/>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p>
              </w:tc>
              <w:tc>
                <w:tcPr>
                  <w:tcW w:w="2832"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废塑料分拣过程中如使用强酸脱除废塑料表面涂层或镀层，应配套酸碱中和工艺和污水处理设施。</w:t>
                  </w:r>
                </w:p>
              </w:tc>
              <w:tc>
                <w:tcPr>
                  <w:tcW w:w="2549"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hint="eastAsia" w:ascii="Times New Roman" w:hAnsi="Times New Roman"/>
                      <w:color w:val="auto"/>
                      <w:sz w:val="21"/>
                      <w:szCs w:val="21"/>
                    </w:rPr>
                    <w:t>本项目不使用强酸。</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15</w:t>
                  </w:r>
                </w:p>
              </w:tc>
              <w:tc>
                <w:tcPr>
                  <w:tcW w:w="514" w:type="dxa"/>
                  <w:vMerge w:val="continue"/>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p>
              </w:tc>
              <w:tc>
                <w:tcPr>
                  <w:tcW w:w="2832"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废塑料分选过程中宜选出单一组分，达到后期高值化再生利用的要求；不能选出单一组分的，以不影响整体再利用为限；现有方法完全不能分离的，作为不可利用固体废物进行处置。</w:t>
                  </w:r>
                </w:p>
              </w:tc>
              <w:tc>
                <w:tcPr>
                  <w:tcW w:w="2549"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hint="eastAsia" w:ascii="Times New Roman" w:hAnsi="Times New Roman"/>
                      <w:color w:val="auto"/>
                      <w:sz w:val="21"/>
                      <w:szCs w:val="21"/>
                    </w:rPr>
                    <w:t>本项目拟采用</w:t>
                  </w:r>
                  <w:r>
                    <w:rPr>
                      <w:rFonts w:hint="eastAsia" w:ascii="Times New Roman" w:hAnsi="Times New Roman"/>
                      <w:color w:val="auto"/>
                      <w:sz w:val="21"/>
                      <w:szCs w:val="21"/>
                      <w:lang w:val="en-US" w:eastAsia="zh-CN"/>
                    </w:rPr>
                    <w:t>除铁器</w:t>
                  </w:r>
                  <w:r>
                    <w:rPr>
                      <w:rFonts w:hint="eastAsia" w:ascii="Times New Roman" w:hAnsi="Times New Roman"/>
                      <w:color w:val="auto"/>
                      <w:sz w:val="21"/>
                      <w:szCs w:val="21"/>
                    </w:rPr>
                    <w:t>等分选工艺。分选出废PP和PE料进行造粒，其他废物外售相关单位进一步回收处置。</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16</w:t>
                  </w:r>
                </w:p>
              </w:tc>
              <w:tc>
                <w:tcPr>
                  <w:tcW w:w="514" w:type="dxa"/>
                  <w:vMerge w:val="continue"/>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p>
              </w:tc>
              <w:tc>
                <w:tcPr>
                  <w:tcW w:w="2832"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破碎废塑料应采用干法破碎技术，并采取相应的防尘、防噪声措施，产生的噪声应符合GB12348的有关规定，处理后的粉尘应符合GB16297的有关规定；湿法破碎应配套污水收集处理设施。</w:t>
                  </w:r>
                </w:p>
              </w:tc>
              <w:tc>
                <w:tcPr>
                  <w:tcW w:w="2549"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本项目</w:t>
                  </w:r>
                  <w:r>
                    <w:rPr>
                      <w:rFonts w:hint="eastAsia" w:ascii="Times New Roman" w:hAnsi="Times New Roman"/>
                      <w:color w:val="auto"/>
                      <w:sz w:val="21"/>
                      <w:szCs w:val="21"/>
                      <w:lang w:val="en-US" w:eastAsia="zh-CN"/>
                    </w:rPr>
                    <w:t>不设置破碎工序</w:t>
                  </w:r>
                  <w:r>
                    <w:rPr>
                      <w:rFonts w:ascii="Times New Roman" w:hAnsi="Times New Roman"/>
                      <w:color w:val="auto"/>
                      <w:sz w:val="21"/>
                      <w:szCs w:val="21"/>
                    </w:rPr>
                    <w:t>。</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17</w:t>
                  </w:r>
                </w:p>
              </w:tc>
              <w:tc>
                <w:tcPr>
                  <w:tcW w:w="514" w:type="dxa"/>
                  <w:vMerge w:val="continue"/>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p>
              </w:tc>
              <w:tc>
                <w:tcPr>
                  <w:tcW w:w="2832"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废塑料的清洗场地应做防水、防渗漏处理，有特殊要求的地面应做防腐蚀处理。</w:t>
                  </w:r>
                </w:p>
              </w:tc>
              <w:tc>
                <w:tcPr>
                  <w:tcW w:w="2549"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hint="eastAsia" w:ascii="Times New Roman" w:hAnsi="Times New Roman"/>
                      <w:color w:val="auto"/>
                      <w:sz w:val="21"/>
                      <w:szCs w:val="21"/>
                    </w:rPr>
                    <w:t>项目</w:t>
                  </w:r>
                  <w:r>
                    <w:rPr>
                      <w:rFonts w:hint="eastAsia" w:ascii="Times New Roman" w:hAnsi="Times New Roman"/>
                      <w:color w:val="auto"/>
                      <w:sz w:val="21"/>
                      <w:szCs w:val="21"/>
                      <w:lang w:val="en-US" w:eastAsia="zh-CN"/>
                    </w:rPr>
                    <w:t>不涉及</w:t>
                  </w:r>
                  <w:r>
                    <w:rPr>
                      <w:rFonts w:hint="eastAsia" w:ascii="Times New Roman" w:hAnsi="Times New Roman"/>
                      <w:color w:val="auto"/>
                      <w:sz w:val="21"/>
                      <w:szCs w:val="21"/>
                    </w:rPr>
                    <w:t>清洗场地。</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18</w:t>
                  </w:r>
                </w:p>
              </w:tc>
              <w:tc>
                <w:tcPr>
                  <w:tcW w:w="514" w:type="dxa"/>
                  <w:vMerge w:val="continue"/>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p>
              </w:tc>
              <w:tc>
                <w:tcPr>
                  <w:tcW w:w="2832"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废塑料的清洗方法可分为物理清洗和化学清洗，应根据废塑料来源和污染情况选择清洗工艺；宜采用高效节水的机械清洗技术和无磷清洗剂，不得使用有毒有害的化学清洗剂。</w:t>
                  </w:r>
                </w:p>
              </w:tc>
              <w:tc>
                <w:tcPr>
                  <w:tcW w:w="2549"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hint="eastAsia" w:ascii="Times New Roman" w:hAnsi="Times New Roman"/>
                      <w:color w:val="auto"/>
                      <w:sz w:val="21"/>
                      <w:szCs w:val="21"/>
                    </w:rPr>
                    <w:t>项目采用物理清洗方法，使用机械清洗，不使用清洗剂。</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19</w:t>
                  </w:r>
                </w:p>
              </w:tc>
              <w:tc>
                <w:tcPr>
                  <w:tcW w:w="514" w:type="dxa"/>
                  <w:vMerge w:val="continue"/>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p>
              </w:tc>
              <w:tc>
                <w:tcPr>
                  <w:tcW w:w="2832"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分拣后的废塑料应采用独立完整的包装。</w:t>
                  </w:r>
                </w:p>
              </w:tc>
              <w:tc>
                <w:tcPr>
                  <w:tcW w:w="2549"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hint="eastAsia" w:ascii="Times New Roman" w:hAnsi="Times New Roman"/>
                      <w:color w:val="auto"/>
                      <w:sz w:val="21"/>
                      <w:szCs w:val="21"/>
                    </w:rPr>
                    <w:t>项目分拣后的废塑料分类单独堆存后再进行造粒。</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20</w:t>
                  </w:r>
                </w:p>
              </w:tc>
              <w:tc>
                <w:tcPr>
                  <w:tcW w:w="514" w:type="dxa"/>
                  <w:vMerge w:val="continue"/>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p>
              </w:tc>
              <w:tc>
                <w:tcPr>
                  <w:tcW w:w="2832"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废塑料分拣过程中产生的废水，应进行污水净化处理，处理后的水应作为中水循环再利用；污水排放应符合GB8978或地方相关标准的有关规定。</w:t>
                  </w:r>
                </w:p>
              </w:tc>
              <w:tc>
                <w:tcPr>
                  <w:tcW w:w="2549"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本项目拟建设1个容积为</w:t>
                  </w:r>
                  <w:r>
                    <w:rPr>
                      <w:rFonts w:hint="eastAsia" w:ascii="Times New Roman" w:hAnsi="Times New Roman"/>
                      <w:color w:val="auto"/>
                      <w:sz w:val="21"/>
                      <w:szCs w:val="21"/>
                      <w:lang w:val="en-US" w:eastAsia="zh-CN"/>
                    </w:rPr>
                    <w:t>5</w:t>
                  </w:r>
                  <w:r>
                    <w:rPr>
                      <w:rFonts w:ascii="Times New Roman" w:hAnsi="Times New Roman"/>
                      <w:color w:val="auto"/>
                      <w:sz w:val="21"/>
                      <w:szCs w:val="21"/>
                    </w:rPr>
                    <w:t>m</w:t>
                  </w:r>
                  <w:r>
                    <w:rPr>
                      <w:rFonts w:ascii="Times New Roman" w:hAnsi="Times New Roman"/>
                      <w:color w:val="auto"/>
                      <w:sz w:val="21"/>
                      <w:szCs w:val="21"/>
                      <w:vertAlign w:val="superscript"/>
                    </w:rPr>
                    <w:t>3</w:t>
                  </w:r>
                  <w:r>
                    <w:rPr>
                      <w:rFonts w:ascii="Times New Roman" w:hAnsi="Times New Roman"/>
                      <w:color w:val="auto"/>
                      <w:sz w:val="21"/>
                      <w:szCs w:val="21"/>
                    </w:rPr>
                    <w:t>的</w:t>
                  </w:r>
                  <w:r>
                    <w:rPr>
                      <w:rFonts w:hint="eastAsia" w:ascii="Times New Roman" w:hAnsi="Times New Roman"/>
                      <w:color w:val="auto"/>
                      <w:sz w:val="21"/>
                      <w:szCs w:val="21"/>
                    </w:rPr>
                    <w:t>循环水</w:t>
                  </w:r>
                  <w:r>
                    <w:rPr>
                      <w:rFonts w:ascii="Times New Roman" w:hAnsi="Times New Roman"/>
                      <w:color w:val="auto"/>
                      <w:sz w:val="21"/>
                      <w:szCs w:val="21"/>
                    </w:rPr>
                    <w:t>池</w:t>
                  </w:r>
                  <w:r>
                    <w:rPr>
                      <w:rFonts w:hint="eastAsia" w:ascii="Times New Roman" w:hAnsi="Times New Roman"/>
                      <w:color w:val="auto"/>
                      <w:sz w:val="21"/>
                      <w:szCs w:val="21"/>
                    </w:rPr>
                    <w:t>，</w:t>
                  </w:r>
                  <w:r>
                    <w:rPr>
                      <w:rFonts w:ascii="Times New Roman" w:hAnsi="Times New Roman"/>
                      <w:color w:val="auto"/>
                      <w:sz w:val="21"/>
                      <w:szCs w:val="21"/>
                    </w:rPr>
                    <w:t>生产废水经处理后循环使用，不外排。</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21</w:t>
                  </w:r>
                </w:p>
              </w:tc>
              <w:tc>
                <w:tcPr>
                  <w:tcW w:w="514" w:type="dxa"/>
                  <w:vMerge w:val="restart"/>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贮存</w:t>
                  </w:r>
                </w:p>
              </w:tc>
              <w:tc>
                <w:tcPr>
                  <w:tcW w:w="2832"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废塑料贮存场地应符合GB18599的有关规定。</w:t>
                  </w:r>
                </w:p>
              </w:tc>
              <w:tc>
                <w:tcPr>
                  <w:tcW w:w="2549"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hint="eastAsia" w:ascii="Times New Roman" w:hAnsi="Times New Roman"/>
                      <w:color w:val="auto"/>
                      <w:sz w:val="21"/>
                      <w:szCs w:val="21"/>
                    </w:rPr>
                    <w:t>项目废塑料贮存于车间内，符合GB18599-2020的相关要求。</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22</w:t>
                  </w:r>
                </w:p>
              </w:tc>
              <w:tc>
                <w:tcPr>
                  <w:tcW w:w="514" w:type="dxa"/>
                  <w:vMerge w:val="continue"/>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p>
              </w:tc>
              <w:tc>
                <w:tcPr>
                  <w:tcW w:w="2832"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不同种类的废塑料应分开存放，并在显著位置设有标识。</w:t>
                  </w:r>
                </w:p>
              </w:tc>
              <w:tc>
                <w:tcPr>
                  <w:tcW w:w="2549"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hint="eastAsia" w:ascii="Times New Roman" w:hAnsi="Times New Roman"/>
                      <w:color w:val="auto"/>
                      <w:sz w:val="21"/>
                      <w:szCs w:val="21"/>
                    </w:rPr>
                    <w:t>项目废塑料分开存放，并</w:t>
                  </w:r>
                  <w:r>
                    <w:rPr>
                      <w:rFonts w:hint="eastAsia" w:ascii="Times New Roman" w:hAnsi="Times New Roman"/>
                      <w:color w:val="auto"/>
                      <w:sz w:val="21"/>
                      <w:szCs w:val="21"/>
                      <w:lang w:eastAsia="zh-CN"/>
                    </w:rPr>
                    <w:t>设置明显标识</w:t>
                  </w:r>
                  <w:r>
                    <w:rPr>
                      <w:rFonts w:hint="eastAsia" w:ascii="Times New Roman" w:hAnsi="Times New Roman"/>
                      <w:color w:val="auto"/>
                      <w:sz w:val="21"/>
                      <w:szCs w:val="21"/>
                    </w:rPr>
                    <w:t>。</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23</w:t>
                  </w:r>
                </w:p>
              </w:tc>
              <w:tc>
                <w:tcPr>
                  <w:tcW w:w="514" w:type="dxa"/>
                  <w:vMerge w:val="continue"/>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p>
              </w:tc>
              <w:tc>
                <w:tcPr>
                  <w:tcW w:w="2832"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废塑料应存放在封闭或半封闭的环境中，并设有防火、防雨、防晒、防渗、防扬散措施，避免露天堆放。</w:t>
                  </w:r>
                </w:p>
              </w:tc>
              <w:tc>
                <w:tcPr>
                  <w:tcW w:w="2549"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hint="eastAsia" w:ascii="Times New Roman" w:hAnsi="Times New Roman"/>
                      <w:color w:val="auto"/>
                      <w:sz w:val="21"/>
                      <w:szCs w:val="21"/>
                    </w:rPr>
                    <w:t>项目废塑料贮存于半封闭车间内，并设有防火、防雨、防晒、防渗、防扬散措施，未露天堆放。</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24</w:t>
                  </w:r>
                </w:p>
              </w:tc>
              <w:tc>
                <w:tcPr>
                  <w:tcW w:w="514" w:type="dxa"/>
                  <w:vMerge w:val="continue"/>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p>
              </w:tc>
              <w:tc>
                <w:tcPr>
                  <w:tcW w:w="2832"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废塑料贮存场所应符合GB50016的有关规定。</w:t>
                  </w:r>
                </w:p>
              </w:tc>
              <w:tc>
                <w:tcPr>
                  <w:tcW w:w="2549"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hint="eastAsia" w:ascii="Times New Roman" w:hAnsi="Times New Roman"/>
                      <w:color w:val="auto"/>
                      <w:sz w:val="21"/>
                      <w:szCs w:val="21"/>
                    </w:rPr>
                    <w:t>项目废塑料贮存于车间内，符合GB50016-2014（2018年修订）的要求。</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25</w:t>
                  </w:r>
                </w:p>
              </w:tc>
              <w:tc>
                <w:tcPr>
                  <w:tcW w:w="514" w:type="dxa"/>
                  <w:vMerge w:val="continue"/>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p>
              </w:tc>
              <w:tc>
                <w:tcPr>
                  <w:tcW w:w="2832"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废塑料贮存场所应配备消防设施，消防器材配备应按GB50140的有关规定执行，消防供水网和消防栓应采取防冻措施，应安装消防报警设备。</w:t>
                  </w:r>
                </w:p>
              </w:tc>
              <w:tc>
                <w:tcPr>
                  <w:tcW w:w="2549"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hint="eastAsia" w:ascii="Times New Roman" w:hAnsi="Times New Roman"/>
                      <w:color w:val="auto"/>
                      <w:sz w:val="21"/>
                      <w:szCs w:val="21"/>
                    </w:rPr>
                    <w:t>项目车间内配备灭火器、消防栓等消防设施。</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26</w:t>
                  </w:r>
                </w:p>
              </w:tc>
              <w:tc>
                <w:tcPr>
                  <w:tcW w:w="514" w:type="dxa"/>
                  <w:vMerge w:val="restart"/>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运输</w:t>
                  </w:r>
                </w:p>
              </w:tc>
              <w:tc>
                <w:tcPr>
                  <w:tcW w:w="2832"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废塑料运输过程中应打包完整或采用封闭的运输工具，防止遗撒。</w:t>
                  </w:r>
                </w:p>
              </w:tc>
              <w:tc>
                <w:tcPr>
                  <w:tcW w:w="2549" w:type="dxa"/>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hint="eastAsia" w:ascii="Times New Roman" w:hAnsi="Times New Roman"/>
                      <w:color w:val="auto"/>
                      <w:sz w:val="21"/>
                      <w:szCs w:val="21"/>
                    </w:rPr>
                    <w:t>本项目废塑料原料入厂前对其包装进行严格把控，禁止废塑料出现遗撒情况。</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27</w:t>
                  </w:r>
                </w:p>
              </w:tc>
              <w:tc>
                <w:tcPr>
                  <w:tcW w:w="514" w:type="dxa"/>
                  <w:vMerge w:val="continue"/>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p>
              </w:tc>
              <w:tc>
                <w:tcPr>
                  <w:tcW w:w="2832"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废塑料包装物应防晒、防火、防高温，并在装卸、运输过程中应确保包装完好，无遗撒。</w:t>
                  </w:r>
                </w:p>
              </w:tc>
              <w:tc>
                <w:tcPr>
                  <w:tcW w:w="2549" w:type="dxa"/>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hint="eastAsia" w:ascii="Times New Roman" w:hAnsi="Times New Roman"/>
                      <w:color w:val="auto"/>
                      <w:sz w:val="21"/>
                      <w:szCs w:val="21"/>
                    </w:rPr>
                    <w:t>对入厂废塑料，要求废塑料包装物防晒、防火、防高温，并在装卸、运输过程中应确保包装完好，无遗撒。</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28</w:t>
                  </w:r>
                </w:p>
              </w:tc>
              <w:tc>
                <w:tcPr>
                  <w:tcW w:w="514" w:type="dxa"/>
                  <w:vMerge w:val="continue"/>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p>
              </w:tc>
              <w:tc>
                <w:tcPr>
                  <w:tcW w:w="2832"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ascii="Times New Roman" w:hAnsi="Times New Roman"/>
                      <w:color w:val="auto"/>
                      <w:sz w:val="21"/>
                      <w:szCs w:val="21"/>
                    </w:rPr>
                    <w:t>废塑料包装物表面应有标明种类、来源、原用途和去向等信息的标识，标识应清晰、易于识别、不易擦掉。</w:t>
                  </w:r>
                </w:p>
              </w:tc>
              <w:tc>
                <w:tcPr>
                  <w:tcW w:w="2549" w:type="dxa"/>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hint="eastAsia" w:ascii="Times New Roman" w:hAnsi="Times New Roman"/>
                      <w:color w:val="auto"/>
                      <w:sz w:val="21"/>
                      <w:szCs w:val="21"/>
                    </w:rPr>
                    <w:t>对入厂废塑料，要求包装物表面标明种类、来源、原用途和去向等信息的标识，标识清晰、易于识别、不易擦掉。</w:t>
                  </w:r>
                </w:p>
              </w:tc>
              <w:tc>
                <w:tcPr>
                  <w:tcW w:w="661"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color w:val="auto"/>
                      <w:sz w:val="21"/>
                      <w:szCs w:val="21"/>
                    </w:rPr>
                  </w:pPr>
                  <w:r>
                    <w:rPr>
                      <w:rFonts w:ascii="Times New Roman" w:hAnsi="Times New Roman"/>
                      <w:color w:val="auto"/>
                      <w:sz w:val="21"/>
                      <w:szCs w:val="21"/>
                    </w:rPr>
                    <w:t>符合</w:t>
                  </w:r>
                </w:p>
              </w:tc>
            </w:tr>
          </w:tbl>
          <w:p>
            <w:pPr>
              <w:adjustRightInd w:val="0"/>
              <w:snapToGrid w:val="0"/>
              <w:spacing w:line="360" w:lineRule="auto"/>
              <w:ind w:firstLine="480" w:firstLineChars="200"/>
              <w:rPr>
                <w:b/>
                <w:bCs/>
                <w:color w:val="auto"/>
                <w:sz w:val="24"/>
                <w:szCs w:val="24"/>
              </w:rPr>
            </w:pPr>
            <w:r>
              <w:rPr>
                <w:bCs/>
                <w:color w:val="auto"/>
                <w:sz w:val="24"/>
                <w:szCs w:val="24"/>
              </w:rPr>
              <w:t>综上所述，本项目符合《废塑料回收技术规范》（GB/T39171-2020）中的相关要求。</w:t>
            </w:r>
          </w:p>
          <w:p>
            <w:pPr>
              <w:adjustRightInd w:val="0"/>
              <w:snapToGrid w:val="0"/>
              <w:spacing w:line="360" w:lineRule="auto"/>
              <w:ind w:firstLine="482" w:firstLineChars="200"/>
              <w:rPr>
                <w:b/>
                <w:color w:val="auto"/>
                <w:sz w:val="24"/>
                <w:szCs w:val="24"/>
              </w:rPr>
            </w:pPr>
            <w:r>
              <w:rPr>
                <w:rFonts w:hint="eastAsia"/>
                <w:b/>
                <w:color w:val="auto"/>
                <w:sz w:val="24"/>
                <w:szCs w:val="24"/>
              </w:rPr>
              <w:t>9</w:t>
            </w:r>
            <w:r>
              <w:rPr>
                <w:b/>
                <w:color w:val="auto"/>
                <w:sz w:val="24"/>
                <w:szCs w:val="24"/>
              </w:rPr>
              <w:t>、项目与《云南省发展和改革委员会 云南省生态环境厅关于印发</w:t>
            </w:r>
            <w:r>
              <w:rPr>
                <w:rFonts w:hint="eastAsia"/>
                <w:b/>
                <w:color w:val="auto"/>
                <w:sz w:val="24"/>
                <w:szCs w:val="24"/>
                <w:lang w:eastAsia="zh-CN"/>
              </w:rPr>
              <w:t>〈</w:t>
            </w:r>
            <w:r>
              <w:rPr>
                <w:b/>
                <w:color w:val="auto"/>
                <w:sz w:val="24"/>
                <w:szCs w:val="24"/>
              </w:rPr>
              <w:t>云南省进一步加强塑料污染治理的实施方案</w:t>
            </w:r>
            <w:r>
              <w:rPr>
                <w:rFonts w:hint="eastAsia"/>
                <w:b/>
                <w:color w:val="auto"/>
                <w:sz w:val="24"/>
                <w:szCs w:val="24"/>
                <w:lang w:eastAsia="zh-CN"/>
              </w:rPr>
              <w:t>〉的通知》</w:t>
            </w:r>
          </w:p>
          <w:p>
            <w:pPr>
              <w:adjustRightInd w:val="0"/>
              <w:snapToGrid w:val="0"/>
              <w:spacing w:line="360" w:lineRule="auto"/>
              <w:ind w:firstLine="480" w:firstLineChars="200"/>
              <w:rPr>
                <w:b/>
                <w:bCs/>
                <w:color w:val="auto"/>
                <w:szCs w:val="21"/>
              </w:rPr>
            </w:pPr>
            <w:r>
              <w:rPr>
                <w:color w:val="auto"/>
                <w:sz w:val="24"/>
                <w:szCs w:val="24"/>
              </w:rPr>
              <w:t>2020年8月26日，云南省发展和改革委员会、云南省生态环境厅印发了《云南省进一步加强塑料污染治理的实施方案》（云发改资环〔2020〕863号）。项目与《云南省进一步加强塑料污染治理的实施方案》的相符性分析见下表。</w:t>
            </w:r>
          </w:p>
          <w:p>
            <w:pPr>
              <w:pStyle w:val="68"/>
              <w:tabs>
                <w:tab w:val="left" w:pos="420"/>
              </w:tabs>
              <w:spacing w:before="120"/>
              <w:ind w:left="0" w:firstLine="0"/>
              <w:rPr>
                <w:rFonts w:hint="default"/>
                <w:color w:val="auto"/>
                <w:sz w:val="24"/>
                <w:szCs w:val="24"/>
              </w:rPr>
            </w:pPr>
            <w:r>
              <w:rPr>
                <w:rFonts w:hint="default"/>
                <w:color w:val="auto"/>
                <w:sz w:val="24"/>
                <w:szCs w:val="24"/>
              </w:rPr>
              <w:t>与《云南省进一步加强塑料污染治理的实施方案》符合性分析</w:t>
            </w:r>
          </w:p>
          <w:tbl>
            <w:tblPr>
              <w:tblStyle w:val="23"/>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645"/>
              <w:gridCol w:w="3753"/>
              <w:gridCol w:w="1885"/>
              <w:gridCol w:w="79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645" w:type="dxa"/>
                  <w:vAlign w:val="center"/>
                </w:tcPr>
                <w:p>
                  <w:pPr>
                    <w:keepNext w:val="0"/>
                    <w:keepLines w:val="0"/>
                    <w:pageBreakBefore w:val="0"/>
                    <w:widowControl w:val="0"/>
                    <w:tabs>
                      <w:tab w:val="center" w:pos="0"/>
                      <w:tab w:val="left" w:pos="1470"/>
                    </w:tabs>
                    <w:kinsoku/>
                    <w:wordWrap/>
                    <w:overflowPunct/>
                    <w:topLinePunct w:val="0"/>
                    <w:autoSpaceDE/>
                    <w:autoSpaceDN/>
                    <w:bidi w:val="0"/>
                    <w:adjustRightInd w:val="0"/>
                    <w:snapToGrid w:val="0"/>
                    <w:ind w:firstLine="0" w:firstLineChars="0"/>
                    <w:jc w:val="center"/>
                    <w:textAlignment w:val="auto"/>
                    <w:rPr>
                      <w:bCs/>
                      <w:color w:val="auto"/>
                      <w:szCs w:val="21"/>
                    </w:rPr>
                  </w:pPr>
                  <w:r>
                    <w:rPr>
                      <w:bCs/>
                      <w:color w:val="auto"/>
                      <w:szCs w:val="21"/>
                    </w:rPr>
                    <w:t>序号</w:t>
                  </w:r>
                </w:p>
              </w:tc>
              <w:tc>
                <w:tcPr>
                  <w:tcW w:w="3753" w:type="dxa"/>
                  <w:vAlign w:val="center"/>
                </w:tcPr>
                <w:p>
                  <w:pPr>
                    <w:keepNext w:val="0"/>
                    <w:keepLines w:val="0"/>
                    <w:pageBreakBefore w:val="0"/>
                    <w:widowControl w:val="0"/>
                    <w:tabs>
                      <w:tab w:val="center" w:pos="0"/>
                      <w:tab w:val="left" w:pos="1470"/>
                    </w:tabs>
                    <w:kinsoku/>
                    <w:wordWrap/>
                    <w:overflowPunct/>
                    <w:topLinePunct w:val="0"/>
                    <w:autoSpaceDE/>
                    <w:autoSpaceDN/>
                    <w:bidi w:val="0"/>
                    <w:adjustRightInd w:val="0"/>
                    <w:snapToGrid w:val="0"/>
                    <w:ind w:firstLine="0" w:firstLineChars="0"/>
                    <w:jc w:val="center"/>
                    <w:textAlignment w:val="auto"/>
                    <w:rPr>
                      <w:bCs/>
                      <w:color w:val="auto"/>
                      <w:szCs w:val="21"/>
                    </w:rPr>
                  </w:pPr>
                  <w:r>
                    <w:rPr>
                      <w:bCs/>
                      <w:color w:val="auto"/>
                      <w:szCs w:val="21"/>
                    </w:rPr>
                    <w:t>《云南省进一步加强塑料污染治理的实施方案》</w:t>
                  </w:r>
                  <w:r>
                    <w:rPr>
                      <w:rFonts w:hint="eastAsia"/>
                      <w:bCs/>
                      <w:color w:val="auto"/>
                      <w:szCs w:val="21"/>
                    </w:rPr>
                    <w:t>的相关要求</w:t>
                  </w:r>
                </w:p>
              </w:tc>
              <w:tc>
                <w:tcPr>
                  <w:tcW w:w="1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bCs/>
                      <w:color w:val="auto"/>
                      <w:szCs w:val="21"/>
                    </w:rPr>
                  </w:pPr>
                  <w:r>
                    <w:rPr>
                      <w:bCs/>
                      <w:color w:val="auto"/>
                      <w:szCs w:val="21"/>
                    </w:rPr>
                    <w:t>项目采取的管理措施</w:t>
                  </w:r>
                </w:p>
              </w:tc>
              <w:tc>
                <w:tcPr>
                  <w:tcW w:w="7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bCs/>
                      <w:color w:val="auto"/>
                      <w:szCs w:val="21"/>
                    </w:rPr>
                  </w:pPr>
                  <w:r>
                    <w:rPr>
                      <w:bCs/>
                      <w:color w:val="auto"/>
                      <w:szCs w:val="21"/>
                    </w:rPr>
                    <w:t>符合性</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64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bCs/>
                      <w:color w:val="auto"/>
                      <w:szCs w:val="21"/>
                    </w:rPr>
                  </w:pPr>
                  <w:r>
                    <w:rPr>
                      <w:bCs/>
                      <w:color w:val="auto"/>
                      <w:szCs w:val="21"/>
                    </w:rPr>
                    <w:t>1</w:t>
                  </w:r>
                </w:p>
              </w:tc>
              <w:tc>
                <w:tcPr>
                  <w:tcW w:w="375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bCs/>
                      <w:color w:val="auto"/>
                      <w:szCs w:val="21"/>
                    </w:rPr>
                  </w:pPr>
                  <w:r>
                    <w:rPr>
                      <w:rFonts w:hint="eastAsia"/>
                      <w:bCs/>
                      <w:color w:val="auto"/>
                      <w:szCs w:val="21"/>
                    </w:rPr>
                    <w:t>（三）</w:t>
                  </w:r>
                  <w:r>
                    <w:rPr>
                      <w:bCs/>
                      <w:color w:val="auto"/>
                      <w:szCs w:val="21"/>
                    </w:rPr>
                    <w:t>禁止生产、销售的塑料制品。全省范围内禁止生产和销售厚度小于0.025毫米的超薄塑料购物袋、厚度小于0.01毫米的聚乙烯农用地膜。禁止以医疗废物为原料制造塑料制品。全面禁止废塑料进口。到2020年底，禁止生产和销售一次性发泡塑料餐具、一次性塑料棉签；禁止生产含塑料微珠的日化产品。到2022年底，禁止销售含塑料微珠的日化产品。</w:t>
                  </w:r>
                </w:p>
              </w:tc>
              <w:tc>
                <w:tcPr>
                  <w:tcW w:w="1885" w:type="dxa"/>
                  <w:vAlign w:val="center"/>
                </w:tcPr>
                <w:p>
                  <w:pPr>
                    <w:pStyle w:val="8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bCs/>
                      <w:color w:val="auto"/>
                    </w:rPr>
                  </w:pPr>
                  <w:r>
                    <w:rPr>
                      <w:rFonts w:ascii="Times New Roman" w:hAnsi="Times New Roman"/>
                      <w:bCs/>
                      <w:color w:val="auto"/>
                    </w:rPr>
                    <w:t>项目不涉及危险化学品、农药等污染的废弃塑料包装物，废弃的一次性医疗用塑料制品（如输液器、血袋）等</w:t>
                  </w:r>
                  <w:r>
                    <w:rPr>
                      <w:rFonts w:hint="eastAsia" w:ascii="Times New Roman" w:hAnsi="Times New Roman"/>
                      <w:bCs/>
                      <w:color w:val="auto"/>
                    </w:rPr>
                    <w:t>，不涉及进口废塑料</w:t>
                  </w:r>
                  <w:r>
                    <w:rPr>
                      <w:rFonts w:ascii="Times New Roman" w:hAnsi="Times New Roman"/>
                      <w:bCs/>
                      <w:color w:val="auto"/>
                    </w:rPr>
                    <w:t>；</w:t>
                  </w:r>
                  <w:r>
                    <w:rPr>
                      <w:rFonts w:hint="eastAsia" w:ascii="Times New Roman" w:hAnsi="Times New Roman"/>
                      <w:bCs/>
                      <w:color w:val="auto"/>
                    </w:rPr>
                    <w:t>且项目只进行</w:t>
                  </w:r>
                  <w:r>
                    <w:rPr>
                      <w:rFonts w:hint="eastAsia" w:ascii="Times New Roman" w:hAnsi="Times New Roman"/>
                      <w:bCs/>
                      <w:color w:val="auto"/>
                      <w:lang w:val="en-US" w:eastAsia="zh-CN"/>
                    </w:rPr>
                    <w:t>塑料颗粒</w:t>
                  </w:r>
                  <w:r>
                    <w:rPr>
                      <w:rFonts w:hint="eastAsia" w:ascii="Times New Roman" w:hAnsi="Times New Roman"/>
                      <w:bCs/>
                      <w:color w:val="auto"/>
                    </w:rPr>
                    <w:t>生产，不生产塑料制品</w:t>
                  </w:r>
                  <w:r>
                    <w:rPr>
                      <w:rFonts w:ascii="Times New Roman" w:hAnsi="Times New Roman"/>
                      <w:bCs/>
                      <w:color w:val="auto"/>
                    </w:rPr>
                    <w:t>。</w:t>
                  </w:r>
                </w:p>
              </w:tc>
              <w:tc>
                <w:tcPr>
                  <w:tcW w:w="7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bCs/>
                      <w:color w:val="auto"/>
                      <w:szCs w:val="21"/>
                    </w:rPr>
                  </w:pPr>
                  <w:r>
                    <w:rPr>
                      <w:bCs/>
                      <w:color w:val="auto"/>
                      <w:szCs w:val="21"/>
                    </w:rPr>
                    <w:t>符合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64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bCs/>
                      <w:color w:val="auto"/>
                      <w:szCs w:val="21"/>
                    </w:rPr>
                  </w:pPr>
                  <w:r>
                    <w:rPr>
                      <w:bCs/>
                      <w:color w:val="auto"/>
                      <w:szCs w:val="21"/>
                    </w:rPr>
                    <w:t>2</w:t>
                  </w:r>
                </w:p>
              </w:tc>
              <w:tc>
                <w:tcPr>
                  <w:tcW w:w="375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bCs/>
                      <w:color w:val="auto"/>
                      <w:szCs w:val="21"/>
                    </w:rPr>
                  </w:pPr>
                  <w:r>
                    <w:rPr>
                      <w:bCs/>
                      <w:color w:val="auto"/>
                      <w:szCs w:val="21"/>
                    </w:rPr>
                    <w:t>（八）加强塑料废弃物回收和清运。按照《云南省加快推进城市生活垃圾分类工作实施方案》要求，结合实施垃圾分类，合理布局建设可回收物分拣中心和集散市场，建立简便易行的分类投放站（点），加大塑料废弃物等可回收物分类收集和处理力度。在写字楼、机场、车站、港口码头等塑料废弃物产生量大的场所，增加投放设施，提高清运频次。推动电商外卖平台、环卫部门、回收企业等开展多方合作，在重点区域投放快递包装、外卖餐盒等回收设施。建立健全废旧农膜回收体系，规范废旧渔网渔具回收处置。建立完善再生资源回收利用体系，积极探索“互联网+资源回收”模式，实现再生资源回收网络和生活垃圾分类网络“两网融合”；建设塑料等再生资源分类、回收、储存、中转、利用信息化平台，推动再生资源回收利用规范化、专业化管理。</w:t>
                  </w:r>
                </w:p>
              </w:tc>
              <w:tc>
                <w:tcPr>
                  <w:tcW w:w="1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bCs/>
                      <w:color w:val="auto"/>
                      <w:szCs w:val="21"/>
                    </w:rPr>
                  </w:pPr>
                  <w:r>
                    <w:rPr>
                      <w:bCs/>
                      <w:color w:val="auto"/>
                      <w:szCs w:val="21"/>
                    </w:rPr>
                    <w:t>项目</w:t>
                  </w:r>
                  <w:r>
                    <w:rPr>
                      <w:rFonts w:hint="eastAsia"/>
                      <w:bCs/>
                      <w:color w:val="auto"/>
                      <w:szCs w:val="21"/>
                    </w:rPr>
                    <w:t>分拣过</w:t>
                  </w:r>
                  <w:r>
                    <w:rPr>
                      <w:rFonts w:hint="eastAsia"/>
                      <w:bCs/>
                      <w:color w:val="auto"/>
                      <w:szCs w:val="21"/>
                      <w:lang w:eastAsia="zh-CN"/>
                    </w:rPr>
                    <w:t>程中</w:t>
                  </w:r>
                  <w:r>
                    <w:rPr>
                      <w:rFonts w:hint="eastAsia"/>
                      <w:bCs/>
                      <w:color w:val="auto"/>
                      <w:szCs w:val="21"/>
                    </w:rPr>
                    <w:t>将收集到的废旧塑料进行分类，并分别存储、生产，后续运营过程中建立完善的管理体系，以保证废旧塑料回收利用规范化、专业化</w:t>
                  </w:r>
                  <w:r>
                    <w:rPr>
                      <w:bCs/>
                      <w:color w:val="auto"/>
                      <w:szCs w:val="21"/>
                    </w:rPr>
                    <w:t>。</w:t>
                  </w:r>
                </w:p>
              </w:tc>
              <w:tc>
                <w:tcPr>
                  <w:tcW w:w="7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bCs/>
                      <w:color w:val="auto"/>
                      <w:szCs w:val="21"/>
                    </w:rPr>
                  </w:pPr>
                  <w:r>
                    <w:rPr>
                      <w:bCs/>
                      <w:color w:val="auto"/>
                      <w:szCs w:val="21"/>
                    </w:rPr>
                    <w:t>符合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64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bCs/>
                      <w:color w:val="auto"/>
                      <w:szCs w:val="21"/>
                    </w:rPr>
                  </w:pPr>
                  <w:r>
                    <w:rPr>
                      <w:bCs/>
                      <w:color w:val="auto"/>
                      <w:szCs w:val="21"/>
                    </w:rPr>
                    <w:t>3</w:t>
                  </w:r>
                </w:p>
              </w:tc>
              <w:tc>
                <w:tcPr>
                  <w:tcW w:w="375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bCs/>
                      <w:color w:val="auto"/>
                      <w:szCs w:val="21"/>
                    </w:rPr>
                  </w:pPr>
                  <w:r>
                    <w:rPr>
                      <w:bCs/>
                      <w:color w:val="auto"/>
                      <w:szCs w:val="21"/>
                    </w:rPr>
                    <w:t>（九）推进资源化能源化利用。推动塑料废弃物资源化利用的规范化、集中化和产业化，充分发挥资源循环利用基地、静脉产业园区等的聚集效应，积极引进塑料废弃物资源化利用企业，提高塑料废弃物资源化利用水平，实行废水、废气和固体废物统一处置。加快垃圾焚烧发电项目建设，推进分拣成本高、不宜资源化利用塑料废弃物的能源化利用，加强垃圾焚烧发电等企业的运行管理，确保各类污染物稳定达标排放，并最大限度降低塑料垃圾直接填埋量。</w:t>
                  </w:r>
                </w:p>
              </w:tc>
              <w:tc>
                <w:tcPr>
                  <w:tcW w:w="1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bCs/>
                      <w:color w:val="auto"/>
                      <w:szCs w:val="21"/>
                    </w:rPr>
                  </w:pPr>
                  <w:r>
                    <w:rPr>
                      <w:color w:val="auto"/>
                      <w:szCs w:val="21"/>
                    </w:rPr>
                    <w:t>本项目主要利用宜良县及周边再生纸生产企业产生的碎浆废渣中</w:t>
                  </w:r>
                  <w:r>
                    <w:rPr>
                      <w:rFonts w:hint="eastAsia"/>
                      <w:color w:val="auto"/>
                      <w:szCs w:val="21"/>
                    </w:rPr>
                    <w:t>已被</w:t>
                  </w:r>
                  <w:r>
                    <w:rPr>
                      <w:color w:val="auto"/>
                      <w:szCs w:val="21"/>
                    </w:rPr>
                    <w:t>分离出的废塑料</w:t>
                  </w:r>
                  <w:r>
                    <w:rPr>
                      <w:rFonts w:hint="eastAsia"/>
                      <w:color w:val="auto"/>
                      <w:szCs w:val="21"/>
                    </w:rPr>
                    <w:t>等；</w:t>
                  </w:r>
                  <w:r>
                    <w:rPr>
                      <w:bCs/>
                      <w:color w:val="auto"/>
                      <w:szCs w:val="21"/>
                    </w:rPr>
                    <w:t>本项目</w:t>
                  </w:r>
                  <w:r>
                    <w:rPr>
                      <w:rFonts w:hint="eastAsia"/>
                      <w:bCs/>
                      <w:color w:val="auto"/>
                      <w:szCs w:val="21"/>
                    </w:rPr>
                    <w:t>属于</w:t>
                  </w:r>
                  <w:r>
                    <w:rPr>
                      <w:bCs/>
                      <w:color w:val="auto"/>
                      <w:szCs w:val="21"/>
                    </w:rPr>
                    <w:t>塑料废弃物资源化利用企业</w:t>
                  </w:r>
                  <w:r>
                    <w:rPr>
                      <w:rFonts w:hint="eastAsia"/>
                      <w:bCs/>
                      <w:color w:val="auto"/>
                      <w:szCs w:val="21"/>
                    </w:rPr>
                    <w:t>，以促进废旧塑料利用的集中化和产业化</w:t>
                  </w:r>
                  <w:r>
                    <w:rPr>
                      <w:bCs/>
                      <w:color w:val="auto"/>
                      <w:szCs w:val="21"/>
                    </w:rPr>
                    <w:t>。</w:t>
                  </w:r>
                </w:p>
              </w:tc>
              <w:tc>
                <w:tcPr>
                  <w:tcW w:w="7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bCs/>
                      <w:color w:val="auto"/>
                      <w:szCs w:val="21"/>
                    </w:rPr>
                  </w:pPr>
                  <w:r>
                    <w:rPr>
                      <w:bCs/>
                      <w:color w:val="auto"/>
                      <w:szCs w:val="21"/>
                    </w:rPr>
                    <w:t>符合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64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bCs/>
                      <w:color w:val="auto"/>
                      <w:szCs w:val="21"/>
                    </w:rPr>
                  </w:pPr>
                  <w:r>
                    <w:rPr>
                      <w:bCs/>
                      <w:color w:val="auto"/>
                      <w:szCs w:val="21"/>
                    </w:rPr>
                    <w:t>4</w:t>
                  </w:r>
                </w:p>
              </w:tc>
              <w:tc>
                <w:tcPr>
                  <w:tcW w:w="375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bCs/>
                      <w:color w:val="auto"/>
                      <w:szCs w:val="21"/>
                    </w:rPr>
                  </w:pPr>
                  <w:r>
                    <w:rPr>
                      <w:bCs/>
                      <w:color w:val="auto"/>
                      <w:szCs w:val="21"/>
                    </w:rPr>
                    <w:t>（十一）严格执行法规制度和标准。严格执行国家关于塑料污染防治方面的法律法规和塑料制品禁限目录、塑料制品绿色设计导则、再生塑料质量控制标准、可降解材料与产品标准标识，完善我省相关规章制度。鼓励企业制定高于国家标准的塑料制品企业标准。贯彻落实国家关于电商、快递、外卖等新兴领域企业绿色管理和评价标准，以及旅游景区和星级宾馆、酒店评定评级标准。探索建立塑料原材料与制成品的生产、销售信息披露制度。探索实施企业法人守信承诺和失信惩戒，将违规生产、销售、使用塑料制品等行为列入失信记录，并归集至信用信息共享平台。</w:t>
                  </w:r>
                </w:p>
              </w:tc>
              <w:tc>
                <w:tcPr>
                  <w:tcW w:w="1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bCs/>
                      <w:color w:val="auto"/>
                      <w:szCs w:val="21"/>
                    </w:rPr>
                  </w:pPr>
                  <w:r>
                    <w:rPr>
                      <w:bCs/>
                      <w:color w:val="auto"/>
                      <w:szCs w:val="21"/>
                    </w:rPr>
                    <w:t>本项目</w:t>
                  </w:r>
                  <w:r>
                    <w:rPr>
                      <w:rFonts w:hint="eastAsia"/>
                      <w:bCs/>
                      <w:color w:val="auto"/>
                      <w:szCs w:val="21"/>
                    </w:rPr>
                    <w:t>运行过程中，将严格按照国家、省、市的相关规定及要求执行</w:t>
                  </w:r>
                  <w:r>
                    <w:rPr>
                      <w:bCs/>
                      <w:color w:val="auto"/>
                      <w:szCs w:val="21"/>
                    </w:rPr>
                    <w:t>。</w:t>
                  </w:r>
                </w:p>
              </w:tc>
              <w:tc>
                <w:tcPr>
                  <w:tcW w:w="7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bCs/>
                      <w:color w:val="auto"/>
                      <w:szCs w:val="21"/>
                    </w:rPr>
                  </w:pPr>
                  <w:r>
                    <w:rPr>
                      <w:bCs/>
                      <w:color w:val="auto"/>
                      <w:szCs w:val="21"/>
                    </w:rPr>
                    <w:t>符合</w:t>
                  </w:r>
                </w:p>
              </w:tc>
            </w:tr>
          </w:tbl>
          <w:p>
            <w:pPr>
              <w:adjustRightInd w:val="0"/>
              <w:snapToGrid w:val="0"/>
              <w:spacing w:line="360" w:lineRule="auto"/>
              <w:ind w:firstLine="480" w:firstLineChars="200"/>
              <w:rPr>
                <w:b/>
                <w:bCs/>
                <w:color w:val="auto"/>
                <w:sz w:val="24"/>
                <w:szCs w:val="24"/>
              </w:rPr>
            </w:pPr>
            <w:r>
              <w:rPr>
                <w:color w:val="auto"/>
                <w:sz w:val="24"/>
                <w:szCs w:val="24"/>
              </w:rPr>
              <w:t>根据分析，项目的建设符合《云南省进一步加强塑料污染治理的实施方案》的相关要求。</w:t>
            </w:r>
          </w:p>
          <w:p>
            <w:pPr>
              <w:adjustRightInd w:val="0"/>
              <w:snapToGrid w:val="0"/>
              <w:spacing w:line="360" w:lineRule="auto"/>
              <w:ind w:firstLine="482" w:firstLineChars="200"/>
              <w:rPr>
                <w:b/>
                <w:bCs/>
                <w:color w:val="auto"/>
                <w:sz w:val="24"/>
                <w:szCs w:val="24"/>
              </w:rPr>
            </w:pPr>
            <w:r>
              <w:rPr>
                <w:b/>
                <w:bCs/>
                <w:color w:val="auto"/>
                <w:sz w:val="24"/>
                <w:szCs w:val="24"/>
              </w:rPr>
              <w:t>1</w:t>
            </w:r>
            <w:r>
              <w:rPr>
                <w:rFonts w:hint="eastAsia"/>
                <w:b/>
                <w:bCs/>
                <w:color w:val="auto"/>
                <w:sz w:val="24"/>
                <w:szCs w:val="24"/>
              </w:rPr>
              <w:t>0</w:t>
            </w:r>
            <w:r>
              <w:rPr>
                <w:b/>
                <w:bCs/>
                <w:color w:val="auto"/>
                <w:sz w:val="24"/>
                <w:szCs w:val="24"/>
              </w:rPr>
              <w:t>、与《2020年挥发性有机物治理攻坚方案》符合性分析</w:t>
            </w:r>
          </w:p>
          <w:p>
            <w:pPr>
              <w:adjustRightInd w:val="0"/>
              <w:snapToGrid w:val="0"/>
              <w:spacing w:line="360" w:lineRule="auto"/>
              <w:ind w:firstLine="480" w:firstLineChars="200"/>
              <w:rPr>
                <w:b/>
                <w:bCs/>
                <w:color w:val="auto"/>
                <w:sz w:val="24"/>
                <w:szCs w:val="24"/>
              </w:rPr>
            </w:pPr>
            <w:r>
              <w:rPr>
                <w:color w:val="auto"/>
                <w:sz w:val="24"/>
                <w:szCs w:val="24"/>
              </w:rPr>
              <w:t>项目与</w:t>
            </w:r>
            <w:r>
              <w:rPr>
                <w:bCs/>
                <w:color w:val="auto"/>
                <w:sz w:val="24"/>
                <w:szCs w:val="24"/>
              </w:rPr>
              <w:t>《2020年挥发性有机物治理攻坚方案》</w:t>
            </w:r>
            <w:r>
              <w:rPr>
                <w:color w:val="auto"/>
                <w:sz w:val="24"/>
                <w:szCs w:val="24"/>
              </w:rPr>
              <w:t>的符合性分析见下表。</w:t>
            </w:r>
          </w:p>
          <w:p>
            <w:pPr>
              <w:pStyle w:val="68"/>
              <w:keepNext w:val="0"/>
              <w:keepLines w:val="0"/>
              <w:pageBreakBefore w:val="0"/>
              <w:widowControl w:val="0"/>
              <w:tabs>
                <w:tab w:val="left" w:pos="420"/>
              </w:tabs>
              <w:kinsoku/>
              <w:wordWrap/>
              <w:overflowPunct/>
              <w:topLinePunct w:val="0"/>
              <w:autoSpaceDE/>
              <w:autoSpaceDN/>
              <w:bidi w:val="0"/>
              <w:adjustRightInd w:val="0"/>
              <w:snapToGrid w:val="0"/>
              <w:spacing w:before="0" w:beforeLines="0"/>
              <w:ind w:left="0" w:firstLine="0"/>
              <w:textAlignment w:val="auto"/>
              <w:rPr>
                <w:rFonts w:hint="default"/>
                <w:color w:val="auto"/>
                <w:sz w:val="24"/>
                <w:szCs w:val="24"/>
              </w:rPr>
            </w:pPr>
            <w:bookmarkStart w:id="14" w:name="OLE_LINK7"/>
            <w:r>
              <w:rPr>
                <w:rFonts w:hint="default"/>
                <w:color w:val="auto"/>
                <w:sz w:val="24"/>
                <w:szCs w:val="24"/>
              </w:rPr>
              <w:t>与《2020年挥发性有机物治理攻坚方案》符合性分析</w:t>
            </w:r>
          </w:p>
          <w:bookmarkEnd w:id="14"/>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
              <w:gridCol w:w="3847"/>
              <w:gridCol w:w="2019"/>
              <w:gridCol w:w="7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8"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b/>
                      <w:bCs/>
                      <w:color w:val="auto"/>
                      <w:sz w:val="21"/>
                      <w:szCs w:val="21"/>
                    </w:rPr>
                  </w:pPr>
                  <w:r>
                    <w:rPr>
                      <w:rFonts w:ascii="Times New Roman" w:hAnsi="Times New Roman"/>
                      <w:b/>
                      <w:bCs/>
                      <w:color w:val="auto"/>
                      <w:sz w:val="21"/>
                      <w:szCs w:val="21"/>
                    </w:rPr>
                    <w:t>序号</w:t>
                  </w:r>
                </w:p>
              </w:tc>
              <w:tc>
                <w:tcPr>
                  <w:tcW w:w="3847"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b/>
                      <w:bCs/>
                      <w:color w:val="auto"/>
                      <w:sz w:val="21"/>
                      <w:szCs w:val="21"/>
                    </w:rPr>
                  </w:pPr>
                  <w:r>
                    <w:rPr>
                      <w:rFonts w:ascii="Times New Roman" w:hAnsi="Times New Roman"/>
                      <w:b/>
                      <w:bCs/>
                      <w:color w:val="auto"/>
                      <w:sz w:val="21"/>
                      <w:szCs w:val="21"/>
                    </w:rPr>
                    <w:t>相关要求</w:t>
                  </w:r>
                </w:p>
              </w:tc>
              <w:tc>
                <w:tcPr>
                  <w:tcW w:w="2019"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b/>
                      <w:bCs/>
                      <w:color w:val="auto"/>
                      <w:sz w:val="21"/>
                      <w:szCs w:val="21"/>
                    </w:rPr>
                  </w:pPr>
                  <w:r>
                    <w:rPr>
                      <w:rFonts w:ascii="Times New Roman" w:hAnsi="Times New Roman"/>
                      <w:b/>
                      <w:bCs/>
                      <w:color w:val="auto"/>
                      <w:sz w:val="21"/>
                      <w:szCs w:val="21"/>
                    </w:rPr>
                    <w:t>本项目情况</w:t>
                  </w:r>
                </w:p>
              </w:tc>
              <w:tc>
                <w:tcPr>
                  <w:tcW w:w="757" w:type="dxa"/>
                  <w:vAlign w:val="center"/>
                </w:tcPr>
                <w:p>
                  <w:pPr>
                    <w:pStyle w:val="42"/>
                    <w:keepNext w:val="0"/>
                    <w:keepLines w:val="0"/>
                    <w:pageBreakBefore w:val="0"/>
                    <w:widowControl w:val="0"/>
                    <w:kinsoku/>
                    <w:wordWrap/>
                    <w:overflowPunct/>
                    <w:topLinePunct w:val="0"/>
                    <w:autoSpaceDE/>
                    <w:autoSpaceDN/>
                    <w:bidi w:val="0"/>
                    <w:ind w:firstLine="0" w:firstLineChars="0"/>
                    <w:jc w:val="center"/>
                    <w:textAlignment w:val="auto"/>
                    <w:rPr>
                      <w:rFonts w:ascii="Times New Roman" w:hAnsi="Times New Roman"/>
                      <w:b/>
                      <w:bCs/>
                      <w:color w:val="auto"/>
                      <w:sz w:val="21"/>
                      <w:szCs w:val="21"/>
                    </w:rPr>
                  </w:pPr>
                  <w:r>
                    <w:rPr>
                      <w:rFonts w:ascii="Times New Roman" w:hAnsi="Times New Roman"/>
                      <w:b/>
                      <w:bCs/>
                      <w:color w:val="auto"/>
                      <w:sz w:val="21"/>
                      <w:szCs w:val="21"/>
                    </w:rPr>
                    <w:t>是否相符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1</w:t>
                  </w:r>
                </w:p>
              </w:tc>
              <w:tc>
                <w:tcPr>
                  <w:tcW w:w="3847" w:type="dxa"/>
                  <w:vAlign w:val="center"/>
                </w:tcPr>
                <w:p>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textAlignment w:val="auto"/>
                    <w:rPr>
                      <w:color w:val="auto"/>
                      <w:szCs w:val="21"/>
                    </w:rPr>
                  </w:pPr>
                  <w:r>
                    <w:rPr>
                      <w:color w:val="auto"/>
                      <w:szCs w:val="21"/>
                    </w:rPr>
                    <w:t>一、大力推进源头替代，有效减少VOCs产生</w:t>
                  </w:r>
                </w:p>
                <w:p>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textAlignment w:val="auto"/>
                    <w:rPr>
                      <w:color w:val="auto"/>
                      <w:szCs w:val="21"/>
                    </w:rPr>
                  </w:pPr>
                  <w:r>
                    <w:rPr>
                      <w:color w:val="auto"/>
                      <w:szCs w:val="21"/>
                    </w:rPr>
                    <w:t>严格落实国家和地方产品VOCs含量限值标准。2020年7月1日起，船舶涂料和地坪涂料生产、销售和使用应满足新颁布实施的国家产品有害物质限量标准要求。京津冀地区建筑类涂料和胶粘剂产品须满足《建筑类涂料与胶粘剂挥发性有机化合物含量限值标准》要求。督促生产企业提前做好油墨、胶粘剂、清洗剂及木器、车辆、建筑用外墙、工业防护涂料等有害物质限量标准实施准备工作，在标准正式生效前有序完成切换，有条件的地区根据环境空气质量改善需要提前实施。</w:t>
                  </w:r>
                </w:p>
                <w:p>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textAlignment w:val="auto"/>
                    <w:rPr>
                      <w:color w:val="auto"/>
                      <w:szCs w:val="21"/>
                    </w:rPr>
                  </w:pPr>
                  <w:r>
                    <w:rPr>
                      <w:color w:val="auto"/>
                      <w:szCs w:val="21"/>
                    </w:rPr>
                    <w:t>大力推进低（无）VOCs含量原辅材料替代。将全面使用符合国家要求的低VOCs含量原辅材料的企业纳入正面清单和政府绿色采购清单。企业应建立原辅材料台账，记录VOCs原辅材料名称、成分、VOCs含量、采购量、使用量、库存量、回收方式、回收量等信息，并保存相关证明材料。采用符合国家有关低VOCs含量产品规定的涂料、油墨、胶粘剂等，排放浓度稳定达标且排放速率满足相关规定的，相应生产工序可不要求建设末端治理设施。使用的原辅材料VOCs含量（质量比）均低于10%的工序，可不要求采取无组织排放收集和处理措施。推进政府绿色采购，要求家具、印刷等政府定点招标采购企业优先使用低挥发性原辅材料，鼓励汽车维修等政府定点招标采购企业使用低挥发性原辅材料；将低VOCs含量产品纳入政府采购名录，并在政府投资项目中优先使用；引导将使用低VOCs含量涂料、胶粘剂等纳入政府采购装修合同环保条款。</w:t>
                  </w:r>
                </w:p>
              </w:tc>
              <w:tc>
                <w:tcPr>
                  <w:tcW w:w="201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rFonts w:hint="eastAsia"/>
                      <w:color w:val="auto"/>
                      <w:szCs w:val="21"/>
                    </w:rPr>
                    <w:t>热熔挤出等生产过程产生的颗粒物、有机废气（以非甲烷总烃计）经</w:t>
                  </w:r>
                  <w:r>
                    <w:rPr>
                      <w:color w:val="auto"/>
                      <w:szCs w:val="21"/>
                    </w:rPr>
                    <w:t>“过滤棉+</w:t>
                  </w:r>
                  <w:r>
                    <w:rPr>
                      <w:rFonts w:hint="eastAsia"/>
                      <w:color w:val="auto"/>
                      <w:szCs w:val="21"/>
                      <w:lang w:eastAsia="zh-CN"/>
                    </w:rPr>
                    <w:t>三级活性炭</w:t>
                  </w:r>
                  <w:r>
                    <w:rPr>
                      <w:color w:val="auto"/>
                      <w:szCs w:val="21"/>
                    </w:rPr>
                    <w:t>吸附装置”</w:t>
                  </w:r>
                  <w:r>
                    <w:rPr>
                      <w:rFonts w:hint="eastAsia"/>
                      <w:color w:val="auto"/>
                      <w:szCs w:val="21"/>
                    </w:rPr>
                    <w:t>处理后经1根</w:t>
                  </w:r>
                  <w:r>
                    <w:rPr>
                      <w:rFonts w:hint="eastAsia"/>
                      <w:color w:val="auto"/>
                      <w:szCs w:val="21"/>
                      <w:lang w:eastAsia="zh-CN"/>
                    </w:rPr>
                    <w:t>15m高</w:t>
                  </w:r>
                  <w:r>
                    <w:rPr>
                      <w:rFonts w:hint="eastAsia"/>
                      <w:color w:val="auto"/>
                      <w:szCs w:val="21"/>
                    </w:rPr>
                    <w:t>排气筒排放。</w:t>
                  </w:r>
                </w:p>
              </w:tc>
              <w:tc>
                <w:tcPr>
                  <w:tcW w:w="75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b/>
                      <w:color w:val="auto"/>
                      <w:szCs w:val="21"/>
                    </w:rPr>
                  </w:pPr>
                  <w:r>
                    <w:rPr>
                      <w:color w:val="auto"/>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2</w:t>
                  </w:r>
                </w:p>
              </w:tc>
              <w:tc>
                <w:tcPr>
                  <w:tcW w:w="3847" w:type="dxa"/>
                  <w:vAlign w:val="center"/>
                </w:tcPr>
                <w:p>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textAlignment w:val="auto"/>
                    <w:rPr>
                      <w:color w:val="auto"/>
                      <w:szCs w:val="21"/>
                    </w:rPr>
                  </w:pPr>
                  <w:r>
                    <w:rPr>
                      <w:color w:val="auto"/>
                      <w:szCs w:val="21"/>
                    </w:rPr>
                    <w:t>二、全面落实标准要求，强化无组织排放控制</w:t>
                  </w:r>
                </w:p>
                <w:p>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textAlignment w:val="auto"/>
                    <w:rPr>
                      <w:color w:val="auto"/>
                      <w:szCs w:val="21"/>
                    </w:rPr>
                  </w:pPr>
                  <w:r>
                    <w:rPr>
                      <w:color w:val="auto"/>
                      <w:szCs w:val="21"/>
                    </w:rPr>
                    <w:t>2020年7月1日起，全面执行《挥发性有机物无组织排放控制标准》，重点区域应落实无组织排放特别控制要求。</w:t>
                  </w:r>
                </w:p>
                <w:p>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textAlignment w:val="auto"/>
                    <w:rPr>
                      <w:color w:val="auto"/>
                      <w:szCs w:val="21"/>
                    </w:rPr>
                  </w:pPr>
                  <w:r>
                    <w:rPr>
                      <w:color w:val="auto"/>
                      <w:szCs w:val="21"/>
                    </w:rPr>
                    <w:t>企业在无组织排放排查整治过程中，在保证安全的前提下，加强含VOCs物料全方位、全链条、全环节密闭管理。储存环节应采用密闭容器、包装袋，高效密封储罐，封闭式储库、料仓等。装卸、转移和输送环节应采用密闭管道或密闭容器、罐车等。生产和使用环节应采用密闭设备，或在密闭空间中操作并有效收集废气，或进行局部气体收集；非取用状态时容器应密闭。处置环节应将盛装过VOCs物料的包装容器、含VOCs废料（渣、液）、废吸附剂等通过加盖、封装等方式密闭，妥善存放，不得随意丢弃，7月15日前集中清运一次，交有资质的单位处置；处置单位在贮存、清洗、破碎等环节应按要求对VOCs无组织排放废气进行收集、处理。高VOCs含量废水的集输、储存和处理环节，应加盖密闭。企业中载有气态、液态VOCs物料的设备与管线组件密封点大于等于2000个的，应全面梳理建立台账，6-9月完成一轮泄漏检测与修复（LDAR）工作，及时修复泄漏源；石油炼制、石油化工、合成树脂企业严格按照排放标准要求开展LDAR工作，加强备用泵、在用泵、调节阀、搅拌器、开口管线等检测工作，强化质量控制；要将VOCs治理设施和储罐的密封点纳入检测计划中。</w:t>
                  </w:r>
                </w:p>
              </w:tc>
              <w:tc>
                <w:tcPr>
                  <w:tcW w:w="201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rFonts w:hint="eastAsia"/>
                      <w:color w:val="auto"/>
                      <w:szCs w:val="21"/>
                    </w:rPr>
                    <w:t>热熔挤出等生产过程产生的颗粒物、有机废气（以非甲烷总烃计）经</w:t>
                  </w:r>
                  <w:r>
                    <w:rPr>
                      <w:color w:val="auto"/>
                      <w:szCs w:val="21"/>
                    </w:rPr>
                    <w:t>“过滤棉+</w:t>
                  </w:r>
                  <w:r>
                    <w:rPr>
                      <w:rFonts w:hint="eastAsia"/>
                      <w:color w:val="auto"/>
                      <w:szCs w:val="21"/>
                      <w:lang w:eastAsia="zh-CN"/>
                    </w:rPr>
                    <w:t>三级活性炭</w:t>
                  </w:r>
                  <w:r>
                    <w:rPr>
                      <w:color w:val="auto"/>
                      <w:szCs w:val="21"/>
                    </w:rPr>
                    <w:t>吸附装置”</w:t>
                  </w:r>
                  <w:r>
                    <w:rPr>
                      <w:rFonts w:hint="eastAsia"/>
                      <w:color w:val="auto"/>
                      <w:szCs w:val="21"/>
                    </w:rPr>
                    <w:t>处理后经1根</w:t>
                  </w:r>
                  <w:r>
                    <w:rPr>
                      <w:rFonts w:hint="eastAsia"/>
                      <w:color w:val="auto"/>
                      <w:szCs w:val="21"/>
                      <w:lang w:eastAsia="zh-CN"/>
                    </w:rPr>
                    <w:t>15m高</w:t>
                  </w:r>
                  <w:r>
                    <w:rPr>
                      <w:rFonts w:hint="eastAsia"/>
                      <w:color w:val="auto"/>
                      <w:szCs w:val="21"/>
                    </w:rPr>
                    <w:t>排气筒排放。</w:t>
                  </w:r>
                </w:p>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color w:val="auto"/>
                      <w:szCs w:val="21"/>
                    </w:rPr>
                    <w:t>本项目挥发性有机废气经收集处理后可满足《挥发性有机物无组织排放控制标准》要求。</w:t>
                  </w:r>
                </w:p>
              </w:tc>
              <w:tc>
                <w:tcPr>
                  <w:tcW w:w="75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b/>
                      <w:color w:val="auto"/>
                      <w:szCs w:val="21"/>
                    </w:rPr>
                  </w:pPr>
                  <w:r>
                    <w:rPr>
                      <w:color w:val="auto"/>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3</w:t>
                  </w:r>
                </w:p>
              </w:tc>
              <w:tc>
                <w:tcPr>
                  <w:tcW w:w="3847" w:type="dxa"/>
                  <w:vAlign w:val="center"/>
                </w:tcPr>
                <w:p>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textAlignment w:val="auto"/>
                    <w:rPr>
                      <w:color w:val="auto"/>
                      <w:szCs w:val="21"/>
                    </w:rPr>
                  </w:pPr>
                  <w:r>
                    <w:rPr>
                      <w:color w:val="auto"/>
                      <w:szCs w:val="21"/>
                    </w:rPr>
                    <w:t>三、聚焦治污设施“三率”，提升综合治理效率</w:t>
                  </w:r>
                </w:p>
                <w:p>
                  <w:pPr>
                    <w:pStyle w:val="42"/>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ascii="Times New Roman" w:hAnsi="Times New Roman"/>
                      <w:color w:val="auto"/>
                      <w:sz w:val="21"/>
                      <w:szCs w:val="21"/>
                    </w:rPr>
                  </w:pPr>
                  <w:r>
                    <w:rPr>
                      <w:rFonts w:ascii="Times New Roman" w:hAnsi="Times New Roman"/>
                      <w:color w:val="auto"/>
                      <w:sz w:val="21"/>
                      <w:szCs w:val="21"/>
                    </w:rPr>
                    <w:t>组织企业对现有VOCs废气收集率、治理设施同步运行率和去除率开展自查，重点关注单一采用光氧化、光催化、低温等离子、一次性活性炭吸附、喷淋吸收等工艺的治理设施，7月15日前完成。对达不到要求的VOCs收集、治理设施进行更换或升级改造，确保实现达标排放。除恶臭异味治理外，一般不采用低温等离子、光催化、光氧化等技术。行业排放标准中规定特别排放限值和控制要求的，应按相关规定执行；未制定行业标准的应执行大气污染物综合排放标准和挥发性有机物无组织排放控制标准；已制定更严格地方排放标准的，按地方标准执行。</w:t>
                  </w:r>
                </w:p>
              </w:tc>
              <w:tc>
                <w:tcPr>
                  <w:tcW w:w="2019" w:type="dxa"/>
                  <w:vAlign w:val="center"/>
                </w:tcPr>
                <w:p>
                  <w:pPr>
                    <w:pStyle w:val="42"/>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Times New Roman" w:hAnsi="Times New Roman"/>
                      <w:color w:val="auto"/>
                      <w:sz w:val="21"/>
                      <w:szCs w:val="21"/>
                    </w:rPr>
                  </w:pPr>
                  <w:r>
                    <w:rPr>
                      <w:rFonts w:hint="eastAsia" w:ascii="Times New Roman" w:hAnsi="Times New Roman"/>
                      <w:color w:val="auto"/>
                      <w:sz w:val="21"/>
                      <w:szCs w:val="21"/>
                    </w:rPr>
                    <w:t>热熔挤出等生产过程产生的颗粒物、有机废气（以非甲烷总烃计）经</w:t>
                  </w:r>
                  <w:r>
                    <w:rPr>
                      <w:rFonts w:ascii="Times New Roman" w:hAnsi="Times New Roman"/>
                      <w:color w:val="auto"/>
                      <w:sz w:val="21"/>
                      <w:szCs w:val="21"/>
                    </w:rPr>
                    <w:t>“过滤棉+</w:t>
                  </w:r>
                  <w:r>
                    <w:rPr>
                      <w:rFonts w:hint="eastAsia" w:ascii="Times New Roman" w:hAnsi="Times New Roman"/>
                      <w:color w:val="auto"/>
                      <w:sz w:val="21"/>
                      <w:szCs w:val="21"/>
                      <w:lang w:eastAsia="zh-CN"/>
                    </w:rPr>
                    <w:t>三级活性炭</w:t>
                  </w:r>
                  <w:r>
                    <w:rPr>
                      <w:rFonts w:ascii="Times New Roman" w:hAnsi="Times New Roman"/>
                      <w:color w:val="auto"/>
                      <w:sz w:val="21"/>
                      <w:szCs w:val="21"/>
                    </w:rPr>
                    <w:t>吸附装置”</w:t>
                  </w:r>
                  <w:r>
                    <w:rPr>
                      <w:rFonts w:hint="eastAsia" w:ascii="Times New Roman" w:hAnsi="Times New Roman"/>
                      <w:color w:val="auto"/>
                      <w:sz w:val="21"/>
                      <w:szCs w:val="21"/>
                    </w:rPr>
                    <w:t>处理后经1根</w:t>
                  </w:r>
                  <w:r>
                    <w:rPr>
                      <w:rFonts w:hint="eastAsia" w:ascii="Times New Roman" w:hAnsi="Times New Roman"/>
                      <w:color w:val="auto"/>
                      <w:sz w:val="21"/>
                      <w:szCs w:val="21"/>
                      <w:lang w:eastAsia="zh-CN"/>
                    </w:rPr>
                    <w:t>15m高</w:t>
                  </w:r>
                  <w:r>
                    <w:rPr>
                      <w:rFonts w:hint="eastAsia" w:ascii="Times New Roman" w:hAnsi="Times New Roman"/>
                      <w:color w:val="auto"/>
                      <w:sz w:val="21"/>
                      <w:szCs w:val="21"/>
                    </w:rPr>
                    <w:t>排气筒排放。</w:t>
                  </w:r>
                  <w:r>
                    <w:rPr>
                      <w:rFonts w:ascii="Times New Roman" w:hAnsi="Times New Roman"/>
                      <w:color w:val="auto"/>
                      <w:sz w:val="21"/>
                      <w:szCs w:val="21"/>
                    </w:rPr>
                    <w:t>收集处理满足VOCs治污设施“三率”要求，废气排放满足</w:t>
                  </w:r>
                  <w:r>
                    <w:rPr>
                      <w:rFonts w:hint="eastAsia" w:ascii="Times New Roman" w:hAnsi="Times New Roman"/>
                      <w:color w:val="auto"/>
                      <w:sz w:val="21"/>
                      <w:szCs w:val="21"/>
                    </w:rPr>
                    <w:t>《大气污染物综合排放标准》（GB16297-1996）</w:t>
                  </w:r>
                  <w:r>
                    <w:rPr>
                      <w:rFonts w:ascii="Times New Roman" w:hAnsi="Times New Roman"/>
                      <w:color w:val="auto"/>
                      <w:sz w:val="21"/>
                      <w:szCs w:val="21"/>
                    </w:rPr>
                    <w:t>、《挥发性有机物无组织排放控制标准》要求。</w:t>
                  </w:r>
                </w:p>
              </w:tc>
              <w:tc>
                <w:tcPr>
                  <w:tcW w:w="75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符合</w:t>
                  </w:r>
                </w:p>
              </w:tc>
            </w:tr>
          </w:tbl>
          <w:p>
            <w:pPr>
              <w:adjustRightInd w:val="0"/>
              <w:snapToGrid w:val="0"/>
              <w:spacing w:line="360" w:lineRule="auto"/>
              <w:ind w:firstLine="480" w:firstLineChars="200"/>
              <w:rPr>
                <w:b/>
                <w:color w:val="auto"/>
                <w:sz w:val="24"/>
                <w:szCs w:val="24"/>
              </w:rPr>
            </w:pPr>
            <w:r>
              <w:rPr>
                <w:color w:val="auto"/>
                <w:sz w:val="24"/>
                <w:szCs w:val="24"/>
              </w:rPr>
              <w:t>由上表分析可知，项目的建设符合</w:t>
            </w:r>
            <w:r>
              <w:rPr>
                <w:bCs/>
                <w:color w:val="auto"/>
                <w:sz w:val="24"/>
                <w:szCs w:val="24"/>
              </w:rPr>
              <w:t>《2020年挥发性有机物治理攻坚方案》</w:t>
            </w:r>
            <w:r>
              <w:rPr>
                <w:color w:val="auto"/>
                <w:sz w:val="24"/>
                <w:szCs w:val="24"/>
              </w:rPr>
              <w:t>的相关要求。</w:t>
            </w:r>
          </w:p>
          <w:p>
            <w:pPr>
              <w:adjustRightInd w:val="0"/>
              <w:snapToGrid w:val="0"/>
              <w:spacing w:line="360" w:lineRule="auto"/>
              <w:ind w:firstLine="482" w:firstLineChars="200"/>
              <w:rPr>
                <w:b/>
                <w:color w:val="auto"/>
                <w:sz w:val="24"/>
                <w:szCs w:val="24"/>
              </w:rPr>
            </w:pPr>
            <w:r>
              <w:rPr>
                <w:b/>
                <w:color w:val="auto"/>
                <w:sz w:val="24"/>
                <w:szCs w:val="24"/>
              </w:rPr>
              <w:t>1</w:t>
            </w:r>
            <w:r>
              <w:rPr>
                <w:rFonts w:hint="eastAsia"/>
                <w:b/>
                <w:color w:val="auto"/>
                <w:sz w:val="24"/>
                <w:szCs w:val="24"/>
              </w:rPr>
              <w:t>1</w:t>
            </w:r>
            <w:r>
              <w:rPr>
                <w:b/>
                <w:color w:val="auto"/>
                <w:sz w:val="24"/>
                <w:szCs w:val="24"/>
              </w:rPr>
              <w:t>、与《云南省重点行业挥发性有机物综合治理实施方案》的符合性分析</w:t>
            </w:r>
          </w:p>
          <w:p>
            <w:pPr>
              <w:adjustRightInd w:val="0"/>
              <w:snapToGrid w:val="0"/>
              <w:spacing w:line="360" w:lineRule="auto"/>
              <w:ind w:firstLine="480" w:firstLineChars="200"/>
              <w:rPr>
                <w:b/>
                <w:bCs/>
                <w:color w:val="auto"/>
                <w:sz w:val="24"/>
                <w:szCs w:val="24"/>
              </w:rPr>
            </w:pPr>
            <w:r>
              <w:rPr>
                <w:color w:val="auto"/>
                <w:sz w:val="24"/>
                <w:szCs w:val="24"/>
              </w:rPr>
              <w:t>2019年9月4日，云南省生态环境厅印发了《云南省重点行业挥发性有机物综合治理实施方案》（云环通〔2019〕125号）。项目与《云南省重点行业挥发性有机物综合治理实施方案》的相符性分析见</w:t>
            </w:r>
            <w:r>
              <w:rPr>
                <w:rFonts w:hint="eastAsia"/>
                <w:color w:val="auto"/>
                <w:sz w:val="24"/>
                <w:szCs w:val="24"/>
                <w:lang w:val="en-US" w:eastAsia="zh-CN"/>
              </w:rPr>
              <w:t>下表</w:t>
            </w:r>
            <w:r>
              <w:rPr>
                <w:color w:val="auto"/>
                <w:sz w:val="24"/>
                <w:szCs w:val="24"/>
              </w:rPr>
              <w:t>。</w:t>
            </w:r>
          </w:p>
          <w:p>
            <w:pPr>
              <w:pStyle w:val="68"/>
              <w:tabs>
                <w:tab w:val="left" w:pos="420"/>
              </w:tabs>
              <w:spacing w:before="120"/>
              <w:ind w:left="0" w:firstLine="0"/>
              <w:rPr>
                <w:rFonts w:hint="default"/>
                <w:color w:val="auto"/>
                <w:sz w:val="24"/>
                <w:szCs w:val="24"/>
              </w:rPr>
            </w:pPr>
            <w:r>
              <w:rPr>
                <w:rFonts w:hint="default"/>
                <w:color w:val="auto"/>
                <w:sz w:val="24"/>
                <w:szCs w:val="24"/>
              </w:rPr>
              <w:t>与《云南省重点行业挥发性有机物综合治理实施方案》符合性分析</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
              <w:gridCol w:w="3655"/>
              <w:gridCol w:w="2126"/>
              <w:gridCol w:w="7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pStyle w:val="4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b/>
                      <w:bCs/>
                      <w:color w:val="auto"/>
                      <w:sz w:val="21"/>
                      <w:szCs w:val="21"/>
                    </w:rPr>
                  </w:pPr>
                  <w:r>
                    <w:rPr>
                      <w:rFonts w:ascii="Times New Roman" w:hAnsi="Times New Roman"/>
                      <w:b/>
                      <w:bCs/>
                      <w:color w:val="auto"/>
                      <w:sz w:val="21"/>
                      <w:szCs w:val="21"/>
                    </w:rPr>
                    <w:t>序号</w:t>
                  </w:r>
                </w:p>
              </w:tc>
              <w:tc>
                <w:tcPr>
                  <w:tcW w:w="3655" w:type="dxa"/>
                  <w:vAlign w:val="center"/>
                </w:tcPr>
                <w:p>
                  <w:pPr>
                    <w:pStyle w:val="4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b/>
                      <w:bCs/>
                      <w:color w:val="auto"/>
                      <w:sz w:val="21"/>
                      <w:szCs w:val="21"/>
                    </w:rPr>
                  </w:pPr>
                  <w:r>
                    <w:rPr>
                      <w:rFonts w:ascii="Times New Roman" w:hAnsi="Times New Roman"/>
                      <w:b/>
                      <w:bCs/>
                      <w:color w:val="auto"/>
                      <w:sz w:val="21"/>
                      <w:szCs w:val="21"/>
                    </w:rPr>
                    <w:t>相关要求</w:t>
                  </w:r>
                </w:p>
              </w:tc>
              <w:tc>
                <w:tcPr>
                  <w:tcW w:w="2126" w:type="dxa"/>
                  <w:vAlign w:val="center"/>
                </w:tcPr>
                <w:p>
                  <w:pPr>
                    <w:pStyle w:val="4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b/>
                      <w:bCs/>
                      <w:color w:val="auto"/>
                      <w:sz w:val="21"/>
                      <w:szCs w:val="21"/>
                    </w:rPr>
                  </w:pPr>
                  <w:r>
                    <w:rPr>
                      <w:rFonts w:ascii="Times New Roman" w:hAnsi="Times New Roman"/>
                      <w:b/>
                      <w:bCs/>
                      <w:color w:val="auto"/>
                      <w:sz w:val="21"/>
                      <w:szCs w:val="21"/>
                    </w:rPr>
                    <w:t>本项目情况</w:t>
                  </w:r>
                </w:p>
              </w:tc>
              <w:tc>
                <w:tcPr>
                  <w:tcW w:w="775" w:type="dxa"/>
                  <w:vAlign w:val="center"/>
                </w:tcPr>
                <w:p>
                  <w:pPr>
                    <w:pStyle w:val="4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b/>
                      <w:bCs/>
                      <w:color w:val="auto"/>
                      <w:sz w:val="21"/>
                      <w:szCs w:val="21"/>
                    </w:rPr>
                  </w:pPr>
                  <w:r>
                    <w:rPr>
                      <w:rFonts w:ascii="Times New Roman" w:hAnsi="Times New Roman"/>
                      <w:b/>
                      <w:bCs/>
                      <w:color w:val="auto"/>
                      <w:sz w:val="21"/>
                      <w:szCs w:val="21"/>
                    </w:rPr>
                    <w:t>是否相符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1</w:t>
                  </w:r>
                </w:p>
              </w:tc>
              <w:tc>
                <w:tcPr>
                  <w:tcW w:w="365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color w:val="auto"/>
                      <w:szCs w:val="21"/>
                    </w:rPr>
                  </w:pPr>
                  <w:r>
                    <w:rPr>
                      <w:color w:val="auto"/>
                      <w:szCs w:val="21"/>
                      <w:shd w:val="clear" w:color="auto" w:fill="FFFFFF"/>
                    </w:rPr>
                    <w:t>全面加强无组织排放控制。重点对含VOCs物料（包括含VOCs原辅材料、含VOCs产品、含VOCs废料以及有机聚合物材料等）储存、转移和输送、设备与管线组件泄漏、敞开液面逸散以及工艺过程等五类排放源实施管控，通过采取设备与场所密闭、工艺改进、废气有效收集等措施，削减VOCs无组织排放。</w:t>
                  </w:r>
                </w:p>
              </w:tc>
              <w:tc>
                <w:tcPr>
                  <w:tcW w:w="212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color w:val="auto"/>
                      <w:szCs w:val="21"/>
                    </w:rPr>
                  </w:pPr>
                  <w:r>
                    <w:rPr>
                      <w:color w:val="auto"/>
                      <w:szCs w:val="21"/>
                    </w:rPr>
                    <w:t>本项目</w:t>
                  </w:r>
                  <w:r>
                    <w:rPr>
                      <w:rFonts w:hint="eastAsia"/>
                      <w:color w:val="auto"/>
                      <w:szCs w:val="21"/>
                    </w:rPr>
                    <w:t>热熔挤出等生产过程产生的颗粒物、有机废气（以非甲烷总烃计）经</w:t>
                  </w:r>
                  <w:r>
                    <w:rPr>
                      <w:color w:val="auto"/>
                      <w:szCs w:val="21"/>
                    </w:rPr>
                    <w:t>“过滤棉+</w:t>
                  </w:r>
                  <w:r>
                    <w:rPr>
                      <w:rFonts w:hint="eastAsia"/>
                      <w:color w:val="auto"/>
                      <w:szCs w:val="21"/>
                      <w:lang w:eastAsia="zh-CN"/>
                    </w:rPr>
                    <w:t>三级活性炭</w:t>
                  </w:r>
                  <w:r>
                    <w:rPr>
                      <w:color w:val="auto"/>
                      <w:szCs w:val="21"/>
                    </w:rPr>
                    <w:t>吸附装置”</w:t>
                  </w:r>
                  <w:r>
                    <w:rPr>
                      <w:rFonts w:hint="eastAsia"/>
                      <w:color w:val="auto"/>
                      <w:szCs w:val="21"/>
                    </w:rPr>
                    <w:t>处理后经1根</w:t>
                  </w:r>
                  <w:r>
                    <w:rPr>
                      <w:rFonts w:hint="eastAsia"/>
                      <w:color w:val="auto"/>
                      <w:szCs w:val="21"/>
                      <w:lang w:eastAsia="zh-CN"/>
                    </w:rPr>
                    <w:t>15m高</w:t>
                  </w:r>
                  <w:r>
                    <w:rPr>
                      <w:rFonts w:hint="eastAsia"/>
                      <w:color w:val="auto"/>
                      <w:szCs w:val="21"/>
                    </w:rPr>
                    <w:t>排气筒排放。</w:t>
                  </w:r>
                  <w:r>
                    <w:rPr>
                      <w:color w:val="auto"/>
                      <w:szCs w:val="21"/>
                      <w:shd w:val="clear" w:color="auto" w:fill="FFFFFF"/>
                    </w:rPr>
                    <w:t>VOCs无组织排放量很少。</w:t>
                  </w:r>
                </w:p>
              </w:tc>
              <w:tc>
                <w:tcPr>
                  <w:tcW w:w="7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color w:val="auto"/>
                      <w:szCs w:val="21"/>
                    </w:rPr>
                  </w:pPr>
                  <w:r>
                    <w:rPr>
                      <w:color w:val="auto"/>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2</w:t>
                  </w:r>
                </w:p>
              </w:tc>
              <w:tc>
                <w:tcPr>
                  <w:tcW w:w="365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color w:val="auto"/>
                      <w:szCs w:val="21"/>
                      <w:shd w:val="clear" w:color="auto" w:fill="FFFFFF"/>
                    </w:rPr>
                  </w:pPr>
                  <w:r>
                    <w:rPr>
                      <w:color w:val="auto"/>
                      <w:szCs w:val="21"/>
                      <w:shd w:val="clear" w:color="auto" w:fill="FFFFFF"/>
                    </w:rPr>
                    <w:t>加强设备与场所密闭管理。含VOCs物料应储存于密闭容器、包装袋，高效密封储罐，封闭式储库、料仓等。含VOCs物料转移和输送，应采用密闭管道或密闭容器、罐车等。高VOCs含量废水（废水液面上方100毫米处VOCs检测浓度超过200ppm，其中，重点区域超过100ppm，以碳计）的集输、储存和处理过程，应加盖密闭。含VOCs物料生产和使用过</w:t>
                  </w:r>
                  <w:r>
                    <w:rPr>
                      <w:rFonts w:hint="eastAsia"/>
                      <w:color w:val="auto"/>
                      <w:szCs w:val="21"/>
                      <w:shd w:val="clear" w:color="auto" w:fill="FFFFFF"/>
                      <w:lang w:eastAsia="zh-CN"/>
                    </w:rPr>
                    <w:t>程中</w:t>
                  </w:r>
                  <w:r>
                    <w:rPr>
                      <w:color w:val="auto"/>
                      <w:szCs w:val="21"/>
                      <w:shd w:val="clear" w:color="auto" w:fill="FFFFFF"/>
                    </w:rPr>
                    <w:t>，应采取有效收集措施或在密闭空间中操作。</w:t>
                  </w:r>
                </w:p>
              </w:tc>
              <w:tc>
                <w:tcPr>
                  <w:tcW w:w="212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color w:val="auto"/>
                      <w:szCs w:val="21"/>
                    </w:rPr>
                  </w:pPr>
                  <w:r>
                    <w:rPr>
                      <w:color w:val="auto"/>
                      <w:szCs w:val="21"/>
                    </w:rPr>
                    <w:t>本项目使用原料主要为</w:t>
                  </w:r>
                  <w:r>
                    <w:rPr>
                      <w:rFonts w:hint="eastAsia"/>
                      <w:color w:val="auto"/>
                      <w:szCs w:val="21"/>
                    </w:rPr>
                    <w:t>废旧塑料，储存于生产车间内</w:t>
                  </w:r>
                  <w:r>
                    <w:rPr>
                      <w:color w:val="auto"/>
                      <w:szCs w:val="21"/>
                    </w:rPr>
                    <w:t>。</w:t>
                  </w:r>
                </w:p>
              </w:tc>
              <w:tc>
                <w:tcPr>
                  <w:tcW w:w="7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3</w:t>
                  </w:r>
                </w:p>
              </w:tc>
              <w:tc>
                <w:tcPr>
                  <w:tcW w:w="365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color w:val="auto"/>
                      <w:szCs w:val="21"/>
                      <w:shd w:val="clear" w:color="auto" w:fill="FFFFFF"/>
                    </w:rPr>
                  </w:pPr>
                  <w:r>
                    <w:rPr>
                      <w:color w:val="auto"/>
                      <w:szCs w:val="21"/>
                      <w:shd w:val="clear" w:color="auto" w:fill="FFFFFF"/>
                    </w:rPr>
                    <w:t>推进使用先进生产工艺。通过采用全密闭、连续化、自动化等生产技术，以及高效工艺与设备等，减少工艺过程无组织排放。挥发性有机液体装载优先采用底部装载方式。石化、化工行业重点推进使用低（无）泄漏的泵、压缩机、过滤机、离心机、干燥设备等，推广采用油品在线调和技术、密闭式循环水冷却系统等。工业涂装行业重点推进使用紧凑式涂装工艺，推广采用辊涂、静电喷涂、高压无气喷涂、空气辅助无气喷涂、热喷涂等涂装技术，鼓励企业采用自动化、智能化喷涂设备替代人工喷涂，减少使用空气喷涂技术。包装印刷行业大力推广使用无溶剂复合、挤出复合、共挤出复合技术，鼓励采用水性凹印、醇水凹印、辐射固化凹印、柔版印刷、无水胶印等印刷工艺。</w:t>
                  </w:r>
                </w:p>
              </w:tc>
              <w:tc>
                <w:tcPr>
                  <w:tcW w:w="212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color w:val="auto"/>
                      <w:szCs w:val="21"/>
                    </w:rPr>
                  </w:pPr>
                  <w:r>
                    <w:rPr>
                      <w:color w:val="auto"/>
                      <w:szCs w:val="21"/>
                    </w:rPr>
                    <w:t>本项目采用自动化生产技术，使用高效工艺与设备，采用塑料熔融挤出工艺。</w:t>
                  </w:r>
                </w:p>
              </w:tc>
              <w:tc>
                <w:tcPr>
                  <w:tcW w:w="7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4</w:t>
                  </w:r>
                </w:p>
              </w:tc>
              <w:tc>
                <w:tcPr>
                  <w:tcW w:w="365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color w:val="auto"/>
                      <w:szCs w:val="21"/>
                      <w:shd w:val="clear" w:color="auto" w:fill="FFFFFF"/>
                    </w:rPr>
                  </w:pPr>
                  <w:r>
                    <w:rPr>
                      <w:color w:val="auto"/>
                      <w:szCs w:val="21"/>
                      <w:shd w:val="clear" w:color="auto" w:fill="FFFFFF"/>
                    </w:rPr>
                    <w:t>提高废气收集率。遵循“应收尽收、分质收集”的原则，科学设计废气收集系统，将无组织排放转变为有组织排放进行控制。采用全密闭集气罩或密闭空间的，除行业有特殊要求外，应保持微负压状态，并根据相关规范合理设置通风量。采用局部集气罩的，距集气罩开口面最远处的VOCs无组织排放位置，控制风速应不低于0.3米/秒，有行业要求的按相关规定执行。</w:t>
                  </w:r>
                </w:p>
              </w:tc>
              <w:tc>
                <w:tcPr>
                  <w:tcW w:w="212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color w:val="auto"/>
                      <w:szCs w:val="21"/>
                    </w:rPr>
                  </w:pPr>
                  <w:r>
                    <w:rPr>
                      <w:color w:val="auto"/>
                      <w:szCs w:val="21"/>
                    </w:rPr>
                    <w:t>项目在</w:t>
                  </w:r>
                  <w:r>
                    <w:rPr>
                      <w:rFonts w:hint="eastAsia"/>
                      <w:color w:val="auto"/>
                      <w:szCs w:val="21"/>
                    </w:rPr>
                    <w:t>热熔挤出机</w:t>
                  </w:r>
                  <w:r>
                    <w:rPr>
                      <w:bCs/>
                      <w:color w:val="auto"/>
                      <w:szCs w:val="21"/>
                    </w:rPr>
                    <w:t>上方设置集气罩</w:t>
                  </w:r>
                  <w:r>
                    <w:rPr>
                      <w:color w:val="auto"/>
                      <w:szCs w:val="21"/>
                    </w:rPr>
                    <w:t>收集废气，收集效率为70%，风速控制在0.3m/s以上。</w:t>
                  </w:r>
                </w:p>
              </w:tc>
              <w:tc>
                <w:tcPr>
                  <w:tcW w:w="7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5</w:t>
                  </w:r>
                </w:p>
              </w:tc>
              <w:tc>
                <w:tcPr>
                  <w:tcW w:w="365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color w:val="auto"/>
                      <w:szCs w:val="21"/>
                      <w:shd w:val="clear" w:color="auto" w:fill="FFFFFF"/>
                    </w:rPr>
                  </w:pPr>
                  <w:r>
                    <w:rPr>
                      <w:color w:val="auto"/>
                      <w:szCs w:val="21"/>
                      <w:shd w:val="clear" w:color="auto" w:fill="FFFFFF"/>
                    </w:rPr>
                    <w:t>推进建设适宜高效的治污设施。企业新建治污设施或对现有治污设施实施改造，应依据排放废气的浓度、组分、风量，温度、湿度、压力，以及生产工况等，合理选择治理技术。鼓励企业采用多种技术的组合工艺，提高VOCs治理效率。低浓度、大风量废气，宜采用沸石转轮吸附、活性炭吸附、减风增浓等浓缩技术，提高VOCs浓度后净化处理；高浓度废气，优先进行溶剂回收，难以回收的，宜采用高温焚烧、催化燃烧等技术。油气（溶剂）回收宜采用冷凝+吸附、吸附+吸收、膜分离+吸附等技术。低温等离子、光催化、光氧化技术主要适用于恶臭异味等治理；生物法主要适用于低浓度VOCs废气治理和恶臭异味治理。非水溶性的VOCs废气禁止采用水或水溶液喷淋吸收处理。采用一次性活性炭吸附技术的，应定期更换活性炭，废旧活性炭应再生或处理处置。有条件的工业园区和产业集群等，推广集中喷涂、溶剂集中回收、活性炭集中再生等，加强资源共享，提高VOCs治理效率。</w:t>
                  </w:r>
                </w:p>
              </w:tc>
              <w:tc>
                <w:tcPr>
                  <w:tcW w:w="212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color w:val="auto"/>
                      <w:szCs w:val="21"/>
                    </w:rPr>
                  </w:pPr>
                  <w:r>
                    <w:rPr>
                      <w:color w:val="auto"/>
                      <w:szCs w:val="21"/>
                    </w:rPr>
                    <w:t>本项目废气产生量小、浓度低，已采取有效的治理工艺对VOC</w:t>
                  </w:r>
                  <w:r>
                    <w:rPr>
                      <w:color w:val="auto"/>
                      <w:szCs w:val="21"/>
                      <w:vertAlign w:val="subscript"/>
                    </w:rPr>
                    <w:t>s</w:t>
                  </w:r>
                  <w:r>
                    <w:rPr>
                      <w:color w:val="auto"/>
                      <w:szCs w:val="21"/>
                    </w:rPr>
                    <w:t>进行控制，有机废气</w:t>
                  </w:r>
                  <w:r>
                    <w:rPr>
                      <w:color w:val="auto"/>
                      <w:kern w:val="1"/>
                      <w:szCs w:val="21"/>
                    </w:rPr>
                    <w:t>经</w:t>
                  </w:r>
                  <w:r>
                    <w:rPr>
                      <w:color w:val="auto"/>
                      <w:szCs w:val="21"/>
                    </w:rPr>
                    <w:t>“过滤棉+</w:t>
                  </w:r>
                  <w:r>
                    <w:rPr>
                      <w:rFonts w:hint="eastAsia"/>
                      <w:color w:val="auto"/>
                      <w:szCs w:val="21"/>
                      <w:lang w:eastAsia="zh-CN"/>
                    </w:rPr>
                    <w:t>三级活性炭</w:t>
                  </w:r>
                  <w:r>
                    <w:rPr>
                      <w:color w:val="auto"/>
                      <w:szCs w:val="21"/>
                    </w:rPr>
                    <w:t>吸附装置”处理后</w:t>
                  </w:r>
                  <w:r>
                    <w:rPr>
                      <w:color w:val="auto"/>
                      <w:kern w:val="1"/>
                      <w:szCs w:val="21"/>
                    </w:rPr>
                    <w:t>经</w:t>
                  </w:r>
                  <w:r>
                    <w:rPr>
                      <w:rFonts w:hint="eastAsia"/>
                      <w:color w:val="auto"/>
                      <w:kern w:val="1"/>
                      <w:szCs w:val="21"/>
                      <w:lang w:val="en-US" w:eastAsia="zh-CN"/>
                    </w:rPr>
                    <w:t>15</w:t>
                  </w:r>
                  <w:r>
                    <w:rPr>
                      <w:color w:val="auto"/>
                      <w:kern w:val="1"/>
                      <w:szCs w:val="21"/>
                    </w:rPr>
                    <w:t>m排气筒达标排放，</w:t>
                  </w:r>
                  <w:r>
                    <w:rPr>
                      <w:color w:val="auto"/>
                      <w:szCs w:val="21"/>
                      <w:shd w:val="clear" w:color="auto" w:fill="FFFFFF"/>
                    </w:rPr>
                    <w:t>定期更换活性炭，</w:t>
                  </w:r>
                  <w:r>
                    <w:rPr>
                      <w:color w:val="auto"/>
                      <w:kern w:val="1"/>
                      <w:szCs w:val="21"/>
                    </w:rPr>
                    <w:t>废气治理效率可满足达标排放的要求</w:t>
                  </w:r>
                  <w:r>
                    <w:rPr>
                      <w:color w:val="auto"/>
                      <w:szCs w:val="21"/>
                    </w:rPr>
                    <w:t>。</w:t>
                  </w:r>
                </w:p>
              </w:tc>
              <w:tc>
                <w:tcPr>
                  <w:tcW w:w="7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6</w:t>
                  </w:r>
                </w:p>
              </w:tc>
              <w:tc>
                <w:tcPr>
                  <w:tcW w:w="365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color w:val="auto"/>
                      <w:szCs w:val="21"/>
                      <w:shd w:val="clear" w:color="auto" w:fill="FFFFFF"/>
                    </w:rPr>
                  </w:pPr>
                  <w:r>
                    <w:rPr>
                      <w:color w:val="auto"/>
                      <w:szCs w:val="21"/>
                      <w:shd w:val="clear" w:color="auto" w:fill="FFFFFF"/>
                    </w:rPr>
                    <w:t>实行重点排放源排放浓度与去除效率双重控制。车间或生产设施收集排放的废气，VOCs初始排放速率大于等于3千克/小时、重点区域大于等于2千克/小时的，应加大控制力度，除确保排放浓度稳定达标外，还应实行去除效率控制，去除效率不低于80%；采用的原辅材料符合国家有关低VOCs含量产品规定的除外，有行业排放标准的按其相关规定执行。</w:t>
                  </w:r>
                </w:p>
              </w:tc>
              <w:tc>
                <w:tcPr>
                  <w:tcW w:w="212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color w:val="auto"/>
                      <w:szCs w:val="21"/>
                    </w:rPr>
                  </w:pPr>
                  <w:r>
                    <w:rPr>
                      <w:color w:val="auto"/>
                      <w:szCs w:val="21"/>
                    </w:rPr>
                    <w:t>本项目所在区域不属于重点区域，设置集气罩收集废气，有组织</w:t>
                  </w:r>
                  <w:r>
                    <w:rPr>
                      <w:color w:val="auto"/>
                      <w:szCs w:val="21"/>
                      <w:shd w:val="clear" w:color="auto" w:fill="FFFFFF"/>
                    </w:rPr>
                    <w:t>VOCs初始排放速率小于3kg/h，</w:t>
                  </w:r>
                  <w:r>
                    <w:rPr>
                      <w:color w:val="auto"/>
                      <w:szCs w:val="21"/>
                    </w:rPr>
                    <w:t>有机废气产生浓度及产生量较小，</w:t>
                  </w:r>
                  <w:r>
                    <w:rPr>
                      <w:color w:val="auto"/>
                      <w:kern w:val="1"/>
                      <w:szCs w:val="21"/>
                    </w:rPr>
                    <w:t>经</w:t>
                  </w:r>
                  <w:r>
                    <w:rPr>
                      <w:color w:val="auto"/>
                      <w:szCs w:val="21"/>
                    </w:rPr>
                    <w:t>“过滤棉+</w:t>
                  </w:r>
                  <w:r>
                    <w:rPr>
                      <w:rFonts w:hint="eastAsia"/>
                      <w:color w:val="auto"/>
                      <w:szCs w:val="21"/>
                      <w:lang w:eastAsia="zh-CN"/>
                    </w:rPr>
                    <w:t>三级活性炭</w:t>
                  </w:r>
                  <w:r>
                    <w:rPr>
                      <w:color w:val="auto"/>
                      <w:szCs w:val="21"/>
                    </w:rPr>
                    <w:t>吸附装置”处理后可实现稳定达标排放</w:t>
                  </w:r>
                  <w:r>
                    <w:rPr>
                      <w:color w:val="auto"/>
                      <w:szCs w:val="21"/>
                      <w:shd w:val="clear" w:color="auto" w:fill="FFFFFF"/>
                    </w:rPr>
                    <w:t>。</w:t>
                  </w:r>
                </w:p>
              </w:tc>
              <w:tc>
                <w:tcPr>
                  <w:tcW w:w="7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7</w:t>
                  </w:r>
                </w:p>
              </w:tc>
              <w:tc>
                <w:tcPr>
                  <w:tcW w:w="365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color w:val="auto"/>
                      <w:szCs w:val="21"/>
                      <w:shd w:val="clear" w:color="auto" w:fill="FFFFFF"/>
                    </w:rPr>
                  </w:pPr>
                  <w:r>
                    <w:rPr>
                      <w:color w:val="auto"/>
                      <w:szCs w:val="21"/>
                      <w:shd w:val="clear" w:color="auto" w:fill="FFFFFF"/>
                    </w:rPr>
                    <w:t>加强制药、农药、涂料、油墨、胶粘剂、橡胶和塑料制品等行业VOCs治理力度。重点提高涉VOCs排放主要工序密闭化水平，加强无组织排放收集，加大含VOCs物料储存和装卸治理力度。废水储存、曝气池及其之前废水处理设施应按要求加盖封闭，实施废气收集与处理。密封点大于等于2000个的，要开展LDAR工作。</w:t>
                  </w:r>
                </w:p>
              </w:tc>
              <w:tc>
                <w:tcPr>
                  <w:tcW w:w="212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color w:val="auto"/>
                      <w:szCs w:val="21"/>
                    </w:rPr>
                  </w:pPr>
                  <w:r>
                    <w:rPr>
                      <w:color w:val="auto"/>
                      <w:szCs w:val="21"/>
                    </w:rPr>
                    <w:t>本项目为非金属废料和碎屑加工处理。</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color w:val="auto"/>
                      <w:szCs w:val="21"/>
                    </w:rPr>
                  </w:pPr>
                  <w:r>
                    <w:rPr>
                      <w:color w:val="auto"/>
                      <w:szCs w:val="21"/>
                    </w:rPr>
                    <w:t>项目废气产生量小、浓度低，已采取有效的治理工艺对VOC</w:t>
                  </w:r>
                  <w:r>
                    <w:rPr>
                      <w:color w:val="auto"/>
                      <w:szCs w:val="21"/>
                      <w:vertAlign w:val="subscript"/>
                    </w:rPr>
                    <w:t>s</w:t>
                  </w:r>
                  <w:r>
                    <w:rPr>
                      <w:color w:val="auto"/>
                      <w:szCs w:val="21"/>
                    </w:rPr>
                    <w:t>进行控制，有机废气</w:t>
                  </w:r>
                  <w:r>
                    <w:rPr>
                      <w:color w:val="auto"/>
                      <w:kern w:val="1"/>
                      <w:szCs w:val="21"/>
                    </w:rPr>
                    <w:t>经</w:t>
                  </w:r>
                  <w:r>
                    <w:rPr>
                      <w:color w:val="auto"/>
                      <w:szCs w:val="21"/>
                    </w:rPr>
                    <w:t>“过滤棉+</w:t>
                  </w:r>
                  <w:r>
                    <w:rPr>
                      <w:rFonts w:hint="eastAsia"/>
                      <w:color w:val="auto"/>
                      <w:szCs w:val="21"/>
                      <w:lang w:eastAsia="zh-CN"/>
                    </w:rPr>
                    <w:t>三级活性炭</w:t>
                  </w:r>
                  <w:r>
                    <w:rPr>
                      <w:color w:val="auto"/>
                      <w:szCs w:val="21"/>
                    </w:rPr>
                    <w:t>吸附装置”处理后</w:t>
                  </w:r>
                  <w:r>
                    <w:rPr>
                      <w:color w:val="auto"/>
                      <w:kern w:val="1"/>
                      <w:szCs w:val="21"/>
                    </w:rPr>
                    <w:t>经</w:t>
                  </w:r>
                  <w:r>
                    <w:rPr>
                      <w:rFonts w:hint="eastAsia"/>
                      <w:color w:val="auto"/>
                      <w:kern w:val="1"/>
                      <w:szCs w:val="21"/>
                      <w:lang w:val="en-US" w:eastAsia="zh-CN"/>
                    </w:rPr>
                    <w:t>15</w:t>
                  </w:r>
                  <w:r>
                    <w:rPr>
                      <w:color w:val="auto"/>
                      <w:kern w:val="1"/>
                      <w:szCs w:val="21"/>
                    </w:rPr>
                    <w:t>m排气筒达标排放</w:t>
                  </w:r>
                  <w:r>
                    <w:rPr>
                      <w:color w:val="auto"/>
                      <w:szCs w:val="21"/>
                    </w:rPr>
                    <w:t>。</w:t>
                  </w:r>
                </w:p>
              </w:tc>
              <w:tc>
                <w:tcPr>
                  <w:tcW w:w="7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符合</w:t>
                  </w:r>
                </w:p>
              </w:tc>
            </w:tr>
          </w:tbl>
          <w:p>
            <w:pPr>
              <w:adjustRightInd w:val="0"/>
              <w:snapToGrid w:val="0"/>
              <w:spacing w:line="360" w:lineRule="auto"/>
              <w:ind w:firstLine="480" w:firstLineChars="200"/>
              <w:rPr>
                <w:b/>
                <w:bCs/>
                <w:color w:val="auto"/>
                <w:sz w:val="24"/>
                <w:szCs w:val="24"/>
              </w:rPr>
            </w:pPr>
            <w:r>
              <w:rPr>
                <w:color w:val="auto"/>
                <w:sz w:val="24"/>
                <w:szCs w:val="24"/>
              </w:rPr>
              <w:t>根据分析，项目的建设符合《云南省重点行业挥发性有机物综合治理实施方案》的相关要求。</w:t>
            </w:r>
          </w:p>
          <w:p>
            <w:pPr>
              <w:autoSpaceDE w:val="0"/>
              <w:autoSpaceDN w:val="0"/>
              <w:adjustRightInd w:val="0"/>
              <w:snapToGrid w:val="0"/>
              <w:spacing w:line="360" w:lineRule="auto"/>
              <w:ind w:firstLine="482" w:firstLineChars="200"/>
              <w:rPr>
                <w:b/>
                <w:bCs/>
                <w:color w:val="auto"/>
                <w:kern w:val="0"/>
                <w:sz w:val="24"/>
                <w:szCs w:val="24"/>
              </w:rPr>
            </w:pPr>
            <w:r>
              <w:rPr>
                <w:rFonts w:hint="eastAsia"/>
                <w:b/>
                <w:bCs/>
                <w:color w:val="auto"/>
                <w:sz w:val="24"/>
                <w:szCs w:val="24"/>
              </w:rPr>
              <w:t>12</w:t>
            </w:r>
            <w:r>
              <w:rPr>
                <w:b/>
                <w:bCs/>
                <w:color w:val="auto"/>
                <w:sz w:val="24"/>
                <w:szCs w:val="24"/>
              </w:rPr>
              <w:t>、与</w:t>
            </w:r>
            <w:r>
              <w:rPr>
                <w:rFonts w:hint="eastAsia"/>
                <w:b/>
                <w:bCs/>
                <w:color w:val="auto"/>
                <w:sz w:val="24"/>
                <w:szCs w:val="24"/>
                <w:lang w:eastAsia="zh-CN"/>
              </w:rPr>
              <w:t>《昆明市河道管理条例》</w:t>
            </w:r>
            <w:r>
              <w:rPr>
                <w:b/>
                <w:bCs/>
                <w:color w:val="auto"/>
                <w:sz w:val="24"/>
                <w:szCs w:val="24"/>
              </w:rPr>
              <w:t>符合性</w:t>
            </w:r>
          </w:p>
          <w:p>
            <w:pPr>
              <w:autoSpaceDE w:val="0"/>
              <w:autoSpaceDN w:val="0"/>
              <w:adjustRightInd w:val="0"/>
              <w:snapToGrid w:val="0"/>
              <w:spacing w:line="360" w:lineRule="auto"/>
              <w:ind w:firstLine="480" w:firstLineChars="200"/>
              <w:rPr>
                <w:color w:val="auto"/>
                <w:sz w:val="24"/>
                <w:szCs w:val="24"/>
              </w:rPr>
            </w:pPr>
            <w:r>
              <w:rPr>
                <w:color w:val="auto"/>
                <w:sz w:val="24"/>
                <w:szCs w:val="24"/>
              </w:rPr>
              <w:t>项目所在区域最近的地表水体为南盘江，南盘江距离项目</w:t>
            </w:r>
            <w:r>
              <w:rPr>
                <w:rFonts w:hint="eastAsia"/>
                <w:color w:val="auto"/>
                <w:sz w:val="24"/>
                <w:szCs w:val="24"/>
              </w:rPr>
              <w:t>南</w:t>
            </w:r>
            <w:r>
              <w:rPr>
                <w:color w:val="auto"/>
                <w:sz w:val="24"/>
                <w:szCs w:val="24"/>
              </w:rPr>
              <w:t>侧直线距离</w:t>
            </w:r>
            <w:r>
              <w:rPr>
                <w:rFonts w:hint="eastAsia"/>
                <w:color w:val="auto"/>
                <w:sz w:val="24"/>
                <w:szCs w:val="24"/>
                <w:lang w:val="en-US" w:eastAsia="zh-CN"/>
              </w:rPr>
              <w:t>1.53</w:t>
            </w:r>
            <w:r>
              <w:rPr>
                <w:rFonts w:hint="eastAsia"/>
                <w:color w:val="auto"/>
                <w:sz w:val="24"/>
                <w:szCs w:val="24"/>
              </w:rPr>
              <w:t>k</w:t>
            </w:r>
            <w:r>
              <w:rPr>
                <w:color w:val="auto"/>
                <w:sz w:val="24"/>
                <w:szCs w:val="24"/>
              </w:rPr>
              <w:t>m。</w:t>
            </w:r>
            <w:r>
              <w:rPr>
                <w:rFonts w:hint="eastAsia"/>
                <w:color w:val="auto"/>
                <w:kern w:val="0"/>
                <w:sz w:val="24"/>
                <w:szCs w:val="24"/>
              </w:rPr>
              <w:t>根据</w:t>
            </w:r>
            <w:r>
              <w:rPr>
                <w:color w:val="auto"/>
                <w:kern w:val="0"/>
                <w:sz w:val="24"/>
                <w:szCs w:val="24"/>
              </w:rPr>
              <w:t>《昆明市河道管理条例》</w:t>
            </w:r>
            <w:r>
              <w:rPr>
                <w:rFonts w:hint="eastAsia"/>
                <w:color w:val="auto"/>
                <w:kern w:val="0"/>
                <w:sz w:val="24"/>
                <w:szCs w:val="24"/>
              </w:rPr>
              <w:t>，本项目不涉及</w:t>
            </w:r>
            <w:r>
              <w:rPr>
                <w:color w:val="auto"/>
                <w:kern w:val="0"/>
                <w:sz w:val="24"/>
                <w:szCs w:val="24"/>
              </w:rPr>
              <w:t>河道管理范围</w:t>
            </w:r>
            <w:r>
              <w:rPr>
                <w:rFonts w:hint="eastAsia"/>
                <w:color w:val="auto"/>
                <w:kern w:val="0"/>
                <w:sz w:val="24"/>
                <w:szCs w:val="24"/>
              </w:rPr>
              <w:t>、</w:t>
            </w:r>
            <w:r>
              <w:rPr>
                <w:color w:val="auto"/>
                <w:kern w:val="0"/>
                <w:sz w:val="24"/>
                <w:szCs w:val="24"/>
              </w:rPr>
              <w:t>河道保护范围</w:t>
            </w:r>
            <w:r>
              <w:rPr>
                <w:rFonts w:hint="eastAsia"/>
                <w:color w:val="auto"/>
                <w:kern w:val="0"/>
                <w:sz w:val="24"/>
                <w:szCs w:val="24"/>
              </w:rPr>
              <w:t>。</w:t>
            </w:r>
          </w:p>
          <w:p>
            <w:pPr>
              <w:adjustRightInd w:val="0"/>
              <w:snapToGrid w:val="0"/>
              <w:spacing w:line="360" w:lineRule="auto"/>
              <w:ind w:firstLine="482" w:firstLineChars="200"/>
              <w:rPr>
                <w:color w:val="auto"/>
                <w:sz w:val="24"/>
                <w:szCs w:val="24"/>
              </w:rPr>
            </w:pPr>
            <w:r>
              <w:rPr>
                <w:b/>
                <w:color w:val="auto"/>
                <w:sz w:val="24"/>
                <w:szCs w:val="24"/>
              </w:rPr>
              <w:t>1</w:t>
            </w:r>
            <w:r>
              <w:rPr>
                <w:rFonts w:hint="eastAsia"/>
                <w:b/>
                <w:color w:val="auto"/>
                <w:sz w:val="24"/>
                <w:szCs w:val="24"/>
              </w:rPr>
              <w:t>3</w:t>
            </w:r>
            <w:r>
              <w:rPr>
                <w:b/>
                <w:color w:val="auto"/>
                <w:sz w:val="24"/>
                <w:szCs w:val="24"/>
              </w:rPr>
              <w:t>、</w:t>
            </w:r>
            <w:r>
              <w:rPr>
                <w:b/>
                <w:bCs/>
                <w:color w:val="auto"/>
                <w:sz w:val="24"/>
                <w:szCs w:val="24"/>
              </w:rPr>
              <w:t>环境相容性及选址合理性分析</w:t>
            </w:r>
          </w:p>
          <w:p>
            <w:pPr>
              <w:adjustRightInd w:val="0"/>
              <w:snapToGrid w:val="0"/>
              <w:spacing w:line="360" w:lineRule="auto"/>
              <w:ind w:firstLine="480" w:firstLineChars="200"/>
              <w:rPr>
                <w:color w:val="auto"/>
                <w:sz w:val="24"/>
                <w:szCs w:val="24"/>
              </w:rPr>
            </w:pPr>
            <w:r>
              <w:rPr>
                <w:color w:val="auto"/>
                <w:sz w:val="24"/>
                <w:szCs w:val="24"/>
              </w:rPr>
              <w:t>本项目位于宜良产业园区北古城片区，根据现场调查，项目周边主要为生产加工型企业，如</w:t>
            </w:r>
            <w:r>
              <w:rPr>
                <w:rFonts w:hint="eastAsia"/>
                <w:color w:val="auto"/>
                <w:sz w:val="24"/>
                <w:szCs w:val="24"/>
                <w:lang w:eastAsia="zh-CN"/>
              </w:rPr>
              <w:t>云南宝塑塑料管业有限公司</w:t>
            </w:r>
            <w:r>
              <w:rPr>
                <w:rFonts w:hint="eastAsia"/>
                <w:color w:val="auto"/>
                <w:sz w:val="24"/>
                <w:szCs w:val="24"/>
              </w:rPr>
              <w:t>、</w:t>
            </w:r>
            <w:r>
              <w:rPr>
                <w:rFonts w:hint="eastAsia"/>
                <w:color w:val="auto"/>
                <w:sz w:val="24"/>
                <w:szCs w:val="24"/>
                <w:lang w:val="en-US" w:eastAsia="zh-CN"/>
              </w:rPr>
              <w:t>云南睿鑫新型建材制造有限公司、昆明红枫湖耐火材料有限公司、昆明市宜良通洲塑业有限公司、宜良三宝棕业制品有限公司、云南贞锐乐智慧农业科技有限公司</w:t>
            </w:r>
            <w:r>
              <w:rPr>
                <w:rFonts w:hint="eastAsia"/>
                <w:color w:val="auto"/>
                <w:sz w:val="24"/>
                <w:szCs w:val="24"/>
              </w:rPr>
              <w:t>等</w:t>
            </w:r>
            <w:r>
              <w:rPr>
                <w:color w:val="auto"/>
                <w:sz w:val="24"/>
                <w:szCs w:val="24"/>
              </w:rPr>
              <w:t>；项目厂界外500m范围内不存在环境保护目标。</w:t>
            </w:r>
          </w:p>
          <w:p>
            <w:pPr>
              <w:adjustRightInd w:val="0"/>
              <w:snapToGrid w:val="0"/>
              <w:spacing w:line="360" w:lineRule="auto"/>
              <w:ind w:firstLine="480" w:firstLineChars="200"/>
              <w:rPr>
                <w:color w:val="auto"/>
                <w:sz w:val="24"/>
                <w:szCs w:val="24"/>
              </w:rPr>
            </w:pPr>
            <w:r>
              <w:rPr>
                <w:color w:val="auto"/>
                <w:sz w:val="24"/>
                <w:szCs w:val="24"/>
              </w:rPr>
              <w:t>根据《云南宜良产业园区总体规划（2021-2035）》，</w:t>
            </w:r>
            <w:r>
              <w:rPr>
                <w:rFonts w:hint="eastAsia"/>
                <w:color w:val="auto"/>
                <w:sz w:val="24"/>
                <w:szCs w:val="24"/>
              </w:rPr>
              <w:t>园区</w:t>
            </w:r>
            <w:r>
              <w:rPr>
                <w:rFonts w:hint="eastAsia"/>
                <w:color w:val="auto"/>
                <w:kern w:val="0"/>
                <w:sz w:val="24"/>
                <w:szCs w:val="24"/>
              </w:rPr>
              <w:t>规划用地性质为二类工业用地</w:t>
            </w:r>
            <w:r>
              <w:rPr>
                <w:color w:val="auto"/>
                <w:sz w:val="24"/>
                <w:szCs w:val="24"/>
              </w:rPr>
              <w:t>；厂地所在区域供电、供水、交通等基础条件十分便利。根据</w:t>
            </w:r>
            <w:r>
              <w:rPr>
                <w:rFonts w:hint="eastAsia"/>
                <w:color w:val="auto"/>
                <w:sz w:val="24"/>
                <w:szCs w:val="24"/>
              </w:rPr>
              <w:t>云南省国土空间规划"一张图"信息系统</w:t>
            </w:r>
            <w:r>
              <w:rPr>
                <w:rFonts w:hint="eastAsia"/>
                <w:color w:val="auto"/>
                <w:sz w:val="24"/>
                <w:szCs w:val="24"/>
                <w:lang w:val="en-US" w:eastAsia="zh-CN"/>
              </w:rPr>
              <w:t>查询结果</w:t>
            </w:r>
            <w:r>
              <w:rPr>
                <w:color w:val="auto"/>
                <w:sz w:val="24"/>
                <w:szCs w:val="24"/>
              </w:rPr>
              <w:t>，</w:t>
            </w:r>
            <w:r>
              <w:rPr>
                <w:rFonts w:hint="eastAsia"/>
                <w:color w:val="auto"/>
                <w:sz w:val="24"/>
                <w:szCs w:val="24"/>
              </w:rPr>
              <w:t>项目</w:t>
            </w:r>
            <w:r>
              <w:rPr>
                <w:color w:val="auto"/>
                <w:sz w:val="24"/>
                <w:szCs w:val="24"/>
              </w:rPr>
              <w:t>位于城镇开发边界内，不</w:t>
            </w:r>
            <w:r>
              <w:rPr>
                <w:rFonts w:hint="eastAsia"/>
                <w:color w:val="auto"/>
                <w:sz w:val="24"/>
                <w:szCs w:val="24"/>
              </w:rPr>
              <w:t>涉及</w:t>
            </w:r>
            <w:r>
              <w:rPr>
                <w:color w:val="auto"/>
                <w:sz w:val="24"/>
                <w:szCs w:val="24"/>
              </w:rPr>
              <w:t>永久基本农田、生态保护红线范围。</w:t>
            </w:r>
          </w:p>
          <w:p>
            <w:pPr>
              <w:adjustRightInd w:val="0"/>
              <w:snapToGrid w:val="0"/>
              <w:spacing w:line="360" w:lineRule="auto"/>
              <w:ind w:firstLine="480" w:firstLineChars="200"/>
              <w:rPr>
                <w:color w:val="auto"/>
                <w:sz w:val="24"/>
                <w:szCs w:val="24"/>
              </w:rPr>
            </w:pPr>
            <w:r>
              <w:rPr>
                <w:color w:val="auto"/>
                <w:sz w:val="24"/>
                <w:szCs w:val="24"/>
              </w:rPr>
              <w:t>本项目属于云南宜良产业园区重点管控单元，项目周围无需要特殊保护的文物、名胜、古迹和文化、自然遗产，不属于自然保护区和风景名胜区的保护范围。根据引用的环境质量数据，项目区具有一定的环境容量，对项目建设无重大环境制约因素。项目在采取环评提出的相应环保措施后，产生的废气、废水对周围环境影响较小，厂界噪声可达标排放，固体废物均能得到100%合理处置，环境风险可接受。</w:t>
            </w:r>
          </w:p>
          <w:p>
            <w:pPr>
              <w:adjustRightInd w:val="0"/>
              <w:snapToGrid w:val="0"/>
              <w:spacing w:line="360" w:lineRule="auto"/>
              <w:ind w:firstLine="480" w:firstLineChars="200"/>
              <w:rPr>
                <w:color w:val="auto"/>
                <w:sz w:val="24"/>
                <w:szCs w:val="24"/>
              </w:rPr>
            </w:pPr>
            <w:r>
              <w:rPr>
                <w:color w:val="auto"/>
                <w:sz w:val="24"/>
                <w:szCs w:val="24"/>
              </w:rPr>
              <w:t>综上，项目建设场地条件、交通运输、环境保护和水、电、通信等条件好，无重大的环境制约因素，项目选址合理。</w:t>
            </w: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tc>
      </w:tr>
    </w:tbl>
    <w:p>
      <w:pPr>
        <w:spacing w:line="360" w:lineRule="auto"/>
        <w:outlineLvl w:val="0"/>
        <w:rPr>
          <w:rFonts w:eastAsia="黑体"/>
          <w:color w:val="auto"/>
          <w:sz w:val="30"/>
        </w:rPr>
        <w:sectPr>
          <w:footerReference r:id="rId5" w:type="default"/>
          <w:pgSz w:w="11906" w:h="16838"/>
          <w:pgMar w:top="1701" w:right="1531" w:bottom="1701" w:left="1531" w:header="851" w:footer="1077" w:gutter="0"/>
          <w:pgNumType w:start="1"/>
          <w:cols w:space="720" w:num="1"/>
          <w:docGrid w:linePitch="312" w:charSpace="0"/>
        </w:sectPr>
      </w:pPr>
    </w:p>
    <w:p>
      <w:pPr>
        <w:pStyle w:val="20"/>
        <w:jc w:val="center"/>
        <w:outlineLvl w:val="0"/>
        <w:rPr>
          <w:rFonts w:ascii="Times New Roman" w:hAnsi="Times New Roman" w:eastAsia="黑体"/>
          <w:snapToGrid w:val="0"/>
          <w:color w:val="auto"/>
          <w:sz w:val="30"/>
          <w:szCs w:val="30"/>
        </w:rPr>
      </w:pPr>
      <w:bookmarkStart w:id="15" w:name="_Toc163725974"/>
      <w:r>
        <w:rPr>
          <w:rFonts w:ascii="Times New Roman" w:hAnsi="Times New Roman" w:eastAsia="黑体"/>
          <w:snapToGrid w:val="0"/>
          <w:color w:val="auto"/>
          <w:sz w:val="30"/>
          <w:szCs w:val="30"/>
        </w:rPr>
        <w:t>二、建设项目工程分析</w:t>
      </w:r>
      <w:bookmarkEnd w:id="15"/>
    </w:p>
    <w:tbl>
      <w:tblPr>
        <w:tblStyle w:val="2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16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00" w:hRule="atLeast"/>
          <w:jc w:val="center"/>
        </w:trPr>
        <w:tc>
          <w:tcPr>
            <w:tcW w:w="823" w:type="dxa"/>
            <w:vAlign w:val="center"/>
          </w:tcPr>
          <w:p>
            <w:pPr>
              <w:pStyle w:val="20"/>
              <w:adjustRightInd w:val="0"/>
              <w:snapToGrid w:val="0"/>
              <w:spacing w:before="0" w:beforeAutospacing="0" w:after="0" w:afterAutospacing="0"/>
              <w:jc w:val="center"/>
              <w:rPr>
                <w:rFonts w:ascii="Times New Roman" w:hAnsi="Times New Roman"/>
                <w:color w:val="auto"/>
                <w:sz w:val="24"/>
                <w:szCs w:val="24"/>
              </w:rPr>
            </w:pPr>
            <w:r>
              <w:rPr>
                <w:rFonts w:ascii="Times New Roman" w:hAnsi="Times New Roman"/>
                <w:color w:val="auto"/>
                <w:sz w:val="24"/>
                <w:szCs w:val="24"/>
              </w:rPr>
              <w:t>建设内容</w:t>
            </w:r>
          </w:p>
        </w:tc>
        <w:tc>
          <w:tcPr>
            <w:tcW w:w="8161" w:type="dxa"/>
          </w:tcPr>
          <w:p>
            <w:pPr>
              <w:pStyle w:val="35"/>
              <w:numPr>
                <w:ilvl w:val="0"/>
                <w:numId w:val="3"/>
              </w:numPr>
              <w:adjustRightInd w:val="0"/>
              <w:snapToGrid w:val="0"/>
              <w:spacing w:line="360" w:lineRule="auto"/>
              <w:ind w:firstLineChars="0"/>
              <w:rPr>
                <w:b/>
                <w:bCs/>
                <w:color w:val="auto"/>
                <w:sz w:val="24"/>
                <w:szCs w:val="24"/>
              </w:rPr>
            </w:pPr>
            <w:r>
              <w:rPr>
                <w:b/>
                <w:bCs/>
                <w:color w:val="auto"/>
                <w:sz w:val="24"/>
                <w:szCs w:val="24"/>
              </w:rPr>
              <w:t>项目由来</w:t>
            </w:r>
          </w:p>
          <w:p>
            <w:pPr>
              <w:pStyle w:val="35"/>
              <w:adjustRightInd w:val="0"/>
              <w:snapToGrid w:val="0"/>
              <w:spacing w:line="360" w:lineRule="auto"/>
              <w:rPr>
                <w:color w:val="auto"/>
                <w:sz w:val="24"/>
                <w:szCs w:val="24"/>
              </w:rPr>
            </w:pPr>
            <w:r>
              <w:rPr>
                <w:rFonts w:hint="eastAsia"/>
                <w:color w:val="auto"/>
                <w:sz w:val="24"/>
                <w:szCs w:val="24"/>
                <w:lang w:val="en-US" w:eastAsia="zh-CN"/>
              </w:rPr>
              <w:t>根据</w:t>
            </w:r>
            <w:r>
              <w:rPr>
                <w:rFonts w:hint="eastAsia"/>
                <w:color w:val="auto"/>
                <w:sz w:val="24"/>
                <w:szCs w:val="24"/>
              </w:rPr>
              <w:t>《国家发展改革委 生态环境部关于印发“十四五”塑料污染治理行动方案的通知》（发改环资</w:t>
            </w:r>
            <w:r>
              <w:rPr>
                <w:rFonts w:hint="eastAsia"/>
                <w:color w:val="auto"/>
                <w:sz w:val="24"/>
                <w:szCs w:val="24"/>
                <w:lang w:eastAsia="zh-CN"/>
              </w:rPr>
              <w:t>〔2021〕1298号</w:t>
            </w:r>
            <w:r>
              <w:rPr>
                <w:rFonts w:hint="eastAsia"/>
                <w:color w:val="auto"/>
                <w:sz w:val="24"/>
                <w:szCs w:val="24"/>
              </w:rPr>
              <w:t>）中提出</w:t>
            </w:r>
            <w:r>
              <w:rPr>
                <w:rFonts w:hint="eastAsia"/>
                <w:color w:val="auto"/>
                <w:sz w:val="24"/>
                <w:szCs w:val="24"/>
                <w:lang w:eastAsia="zh-CN"/>
              </w:rPr>
              <w:t>：</w:t>
            </w:r>
            <w:r>
              <w:rPr>
                <w:rFonts w:hint="eastAsia"/>
                <w:color w:val="auto"/>
                <w:sz w:val="24"/>
                <w:szCs w:val="24"/>
              </w:rPr>
              <w:t>“加大塑料废弃物再生利用。支持塑料废弃物再生利用项目建设，发布废塑料综合利用规范企业名单，引导相关项目向资源循环利用基地、工业资源综合利用基地等园区集聚，推动塑料废弃物再生利用产业规模化、规范化、清洁化发展。”这为废旧塑料的综合加工利用行业提供了有力的政策支撑和良好的发展前景。正是在这种背景和前提下，</w:t>
            </w:r>
            <w:r>
              <w:rPr>
                <w:rFonts w:hint="eastAsia"/>
                <w:color w:val="auto"/>
                <w:sz w:val="24"/>
                <w:szCs w:val="24"/>
                <w:lang w:val="en-US" w:eastAsia="zh-CN"/>
              </w:rPr>
              <w:t>建设单位</w:t>
            </w:r>
            <w:r>
              <w:rPr>
                <w:rFonts w:hint="eastAsia"/>
                <w:color w:val="auto"/>
                <w:sz w:val="24"/>
                <w:szCs w:val="24"/>
              </w:rPr>
              <w:t>经过大量考察和调研</w:t>
            </w:r>
            <w:r>
              <w:rPr>
                <w:rFonts w:hint="eastAsia"/>
                <w:color w:val="auto"/>
                <w:sz w:val="24"/>
                <w:szCs w:val="24"/>
                <w:lang w:eastAsia="zh-CN"/>
              </w:rPr>
              <w:t>，</w:t>
            </w:r>
            <w:r>
              <w:rPr>
                <w:rFonts w:hint="eastAsia"/>
                <w:color w:val="auto"/>
                <w:sz w:val="24"/>
                <w:szCs w:val="24"/>
                <w:lang w:val="en-US" w:eastAsia="zh-CN"/>
              </w:rPr>
              <w:t>计划在</w:t>
            </w:r>
            <w:r>
              <w:rPr>
                <w:rFonts w:hint="eastAsia"/>
                <w:color w:val="auto"/>
                <w:sz w:val="24"/>
                <w:szCs w:val="24"/>
              </w:rPr>
              <w:t>宜良产业园区</w:t>
            </w:r>
            <w:r>
              <w:rPr>
                <w:rFonts w:hint="eastAsia"/>
                <w:color w:val="auto"/>
                <w:sz w:val="24"/>
                <w:szCs w:val="24"/>
                <w:lang w:val="en-US" w:eastAsia="zh-CN"/>
              </w:rPr>
              <w:t>建设“</w:t>
            </w:r>
            <w:r>
              <w:rPr>
                <w:rFonts w:hint="eastAsia"/>
                <w:color w:val="auto"/>
                <w:sz w:val="24"/>
                <w:szCs w:val="24"/>
                <w:lang w:eastAsia="zh-CN"/>
              </w:rPr>
              <w:t>昆明温嘉环保科技有限公司年处理9万吨废塑料综合利用建设项目</w:t>
            </w:r>
            <w:r>
              <w:rPr>
                <w:rFonts w:hint="eastAsia"/>
                <w:color w:val="auto"/>
                <w:sz w:val="24"/>
                <w:szCs w:val="24"/>
                <w:lang w:val="en-US" w:eastAsia="zh-CN"/>
              </w:rPr>
              <w:t>”，本项目为一期，主要建设内容为塑料回收颗粒的熔融造粒生产线，年回收4.5万t废塑料干料，年产量1.6万吨塑料颗粒，原料回收来源来自</w:t>
            </w:r>
            <w:r>
              <w:rPr>
                <w:color w:val="auto"/>
                <w:sz w:val="24"/>
                <w:szCs w:val="24"/>
              </w:rPr>
              <w:t>东晟纸业</w:t>
            </w:r>
            <w:r>
              <w:rPr>
                <w:rFonts w:hint="eastAsia"/>
                <w:color w:val="auto"/>
                <w:sz w:val="24"/>
                <w:szCs w:val="24"/>
                <w:lang w:eastAsia="zh-CN"/>
              </w:rPr>
              <w:t>（</w:t>
            </w:r>
            <w:r>
              <w:rPr>
                <w:rFonts w:hint="eastAsia"/>
                <w:color w:val="auto"/>
                <w:sz w:val="24"/>
                <w:szCs w:val="24"/>
                <w:lang w:val="en-US" w:eastAsia="zh-CN"/>
              </w:rPr>
              <w:t>购买协议详见附件</w:t>
            </w:r>
            <w:r>
              <w:rPr>
                <w:rFonts w:hint="eastAsia"/>
                <w:color w:val="auto"/>
                <w:sz w:val="24"/>
                <w:szCs w:val="24"/>
                <w:lang w:eastAsia="zh-CN"/>
              </w:rPr>
              <w:t>），建成后有稳定的原料来源。</w:t>
            </w:r>
            <w:r>
              <w:rPr>
                <w:rFonts w:hint="eastAsia"/>
                <w:color w:val="auto"/>
                <w:sz w:val="24"/>
                <w:szCs w:val="24"/>
                <w:lang w:val="en-US" w:eastAsia="zh-CN"/>
              </w:rPr>
              <w:t>项目区同时预留二期建设区域，二期建设项目选址不变，项目目前</w:t>
            </w:r>
            <w:r>
              <w:rPr>
                <w:rFonts w:hint="eastAsia"/>
                <w:color w:val="auto"/>
                <w:kern w:val="0"/>
                <w:sz w:val="24"/>
                <w:szCs w:val="24"/>
              </w:rPr>
              <w:t>已取得云南宜良产业园区管理委员会出具的《入园</w:t>
            </w:r>
            <w:r>
              <w:rPr>
                <w:rFonts w:hint="eastAsia"/>
                <w:color w:val="auto"/>
                <w:kern w:val="0"/>
                <w:sz w:val="24"/>
                <w:szCs w:val="24"/>
                <w:lang w:val="en-US" w:eastAsia="zh-CN"/>
              </w:rPr>
              <w:t>通知</w:t>
            </w:r>
            <w:r>
              <w:rPr>
                <w:rFonts w:hint="eastAsia"/>
                <w:color w:val="auto"/>
                <w:kern w:val="0"/>
                <w:sz w:val="24"/>
                <w:szCs w:val="24"/>
              </w:rPr>
              <w:t>》，同意项目入园。</w:t>
            </w:r>
            <w:r>
              <w:rPr>
                <w:rFonts w:hint="eastAsia"/>
                <w:color w:val="auto"/>
                <w:sz w:val="24"/>
                <w:szCs w:val="24"/>
              </w:rPr>
              <w:t>建设单位</w:t>
            </w:r>
            <w:r>
              <w:rPr>
                <w:color w:val="auto"/>
                <w:sz w:val="24"/>
                <w:szCs w:val="24"/>
              </w:rPr>
              <w:t>已于202</w:t>
            </w:r>
            <w:r>
              <w:rPr>
                <w:rFonts w:hint="eastAsia"/>
                <w:color w:val="auto"/>
                <w:sz w:val="24"/>
                <w:szCs w:val="24"/>
                <w:lang w:val="en-US" w:eastAsia="zh-CN"/>
              </w:rPr>
              <w:t>6</w:t>
            </w:r>
            <w:r>
              <w:rPr>
                <w:color w:val="auto"/>
                <w:sz w:val="24"/>
                <w:szCs w:val="24"/>
              </w:rPr>
              <w:t>年</w:t>
            </w:r>
            <w:r>
              <w:rPr>
                <w:rFonts w:hint="eastAsia"/>
                <w:color w:val="auto"/>
                <w:sz w:val="24"/>
                <w:szCs w:val="24"/>
                <w:lang w:val="en-US" w:eastAsia="zh-CN"/>
              </w:rPr>
              <w:t>6</w:t>
            </w:r>
            <w:r>
              <w:rPr>
                <w:color w:val="auto"/>
                <w:sz w:val="24"/>
                <w:szCs w:val="24"/>
              </w:rPr>
              <w:t>月</w:t>
            </w:r>
            <w:r>
              <w:rPr>
                <w:rFonts w:hint="eastAsia"/>
                <w:color w:val="auto"/>
                <w:sz w:val="24"/>
                <w:szCs w:val="24"/>
              </w:rPr>
              <w:t>25</w:t>
            </w:r>
            <w:r>
              <w:rPr>
                <w:color w:val="auto"/>
                <w:sz w:val="24"/>
                <w:szCs w:val="24"/>
              </w:rPr>
              <w:t>日取得了宜良县发展和改革局出具的《投资项目备案证》（项目代码：</w:t>
            </w:r>
            <w:r>
              <w:rPr>
                <w:rFonts w:hint="eastAsia"/>
                <w:color w:val="auto"/>
                <w:sz w:val="24"/>
                <w:szCs w:val="24"/>
              </w:rPr>
              <w:t>2606-530125-04-01-650847</w:t>
            </w:r>
            <w:r>
              <w:rPr>
                <w:color w:val="auto"/>
                <w:sz w:val="24"/>
                <w:szCs w:val="24"/>
              </w:rPr>
              <w:t>）。</w:t>
            </w:r>
          </w:p>
          <w:p>
            <w:pPr>
              <w:pStyle w:val="35"/>
              <w:adjustRightInd w:val="0"/>
              <w:snapToGrid w:val="0"/>
              <w:spacing w:line="360" w:lineRule="auto"/>
              <w:rPr>
                <w:color w:val="auto"/>
                <w:sz w:val="24"/>
                <w:szCs w:val="24"/>
              </w:rPr>
            </w:pPr>
            <w:r>
              <w:rPr>
                <w:color w:val="auto"/>
                <w:sz w:val="24"/>
                <w:szCs w:val="24"/>
              </w:rPr>
              <w:t>根据</w:t>
            </w:r>
            <w:r>
              <w:rPr>
                <w:rFonts w:hint="eastAsia"/>
                <w:color w:val="auto"/>
                <w:sz w:val="24"/>
                <w:szCs w:val="24"/>
              </w:rPr>
              <w:t>生态环境部</w:t>
            </w:r>
            <w:r>
              <w:rPr>
                <w:color w:val="auto"/>
                <w:sz w:val="24"/>
                <w:szCs w:val="24"/>
              </w:rPr>
              <w:t>部令第16号《建设项目环境影响评价分类管理名录》（2021年版）中的规定，本项目属于“</w:t>
            </w:r>
            <w:r>
              <w:rPr>
                <w:rFonts w:hint="eastAsia"/>
                <w:color w:val="auto"/>
                <w:sz w:val="24"/>
                <w:szCs w:val="24"/>
                <w:shd w:val="clear" w:color="auto" w:fill="FFFFFF"/>
              </w:rPr>
              <w:t>三十九、废弃资源综合利用业42</w:t>
            </w:r>
            <w:r>
              <w:rPr>
                <w:color w:val="auto"/>
                <w:sz w:val="24"/>
                <w:szCs w:val="24"/>
              </w:rPr>
              <w:t>”中的“85.金属废料和碎屑加工处理421；非金属废料和碎屑加工处理422（421和422均不含原料为危险废物的，均不含仅分拣、破碎的）”中的“废弃电器电子产品、废机动车、废电机、废电线电缆、废钢、废铁、金属和金属化合物矿灰及残渣、有色金属废料与碎屑、废塑料、废轮胎、废船、含水洗工艺的其他废料和碎屑加工处理（农业生产产生的废旧秧盘、薄膜破碎和清洗工艺的除外）”类别，需编制环评报告表。因此，</w:t>
            </w:r>
            <w:r>
              <w:rPr>
                <w:rFonts w:hint="eastAsia"/>
                <w:color w:val="auto"/>
                <w:sz w:val="24"/>
                <w:szCs w:val="24"/>
                <w:lang w:eastAsia="zh-CN"/>
              </w:rPr>
              <w:t>昆明温嘉环保科技有限公司</w:t>
            </w:r>
            <w:r>
              <w:rPr>
                <w:color w:val="auto"/>
                <w:sz w:val="24"/>
                <w:szCs w:val="24"/>
              </w:rPr>
              <w:t>委托</w:t>
            </w:r>
            <w:r>
              <w:rPr>
                <w:rFonts w:hint="eastAsia"/>
                <w:color w:val="auto"/>
                <w:kern w:val="0"/>
                <w:sz w:val="24"/>
                <w:szCs w:val="24"/>
              </w:rPr>
              <w:t>云南</w:t>
            </w:r>
            <w:r>
              <w:rPr>
                <w:rFonts w:hint="eastAsia"/>
                <w:color w:val="auto"/>
                <w:kern w:val="0"/>
                <w:sz w:val="24"/>
                <w:szCs w:val="24"/>
                <w:lang w:eastAsia="zh-CN"/>
              </w:rPr>
              <w:t>适新</w:t>
            </w:r>
            <w:r>
              <w:rPr>
                <w:rFonts w:hint="eastAsia"/>
                <w:color w:val="auto"/>
                <w:kern w:val="0"/>
                <w:sz w:val="24"/>
                <w:szCs w:val="24"/>
              </w:rPr>
              <w:t>环保科技有限公司开展该项目环境影响报告表的编制工作，我公司接受委托后，开展了现场踏勘、资料收集工作，在对本项目工程有关环境现状和可能造成的环境影响进行分析后，按相关技术规范要求编制了</w:t>
            </w:r>
            <w:r>
              <w:rPr>
                <w:color w:val="auto"/>
                <w:sz w:val="24"/>
                <w:szCs w:val="24"/>
              </w:rPr>
              <w:t>《</w:t>
            </w:r>
            <w:r>
              <w:rPr>
                <w:rFonts w:hint="eastAsia"/>
                <w:color w:val="auto"/>
                <w:sz w:val="24"/>
                <w:szCs w:val="24"/>
                <w:lang w:eastAsia="zh-CN"/>
              </w:rPr>
              <w:t>昆明温嘉环保科技有限公司年处理9万吨废塑料综合利用建设项目（</w:t>
            </w:r>
            <w:r>
              <w:rPr>
                <w:rFonts w:hint="eastAsia"/>
                <w:color w:val="auto"/>
                <w:sz w:val="24"/>
                <w:szCs w:val="24"/>
                <w:lang w:val="en-US" w:eastAsia="zh-CN"/>
              </w:rPr>
              <w:t>一期</w:t>
            </w:r>
            <w:r>
              <w:rPr>
                <w:rFonts w:hint="eastAsia"/>
                <w:color w:val="auto"/>
                <w:sz w:val="24"/>
                <w:szCs w:val="24"/>
                <w:lang w:eastAsia="zh-CN"/>
              </w:rPr>
              <w:t>）</w:t>
            </w:r>
            <w:r>
              <w:rPr>
                <w:color w:val="auto"/>
                <w:sz w:val="24"/>
                <w:szCs w:val="24"/>
              </w:rPr>
              <w:t>环境影响报告表》</w:t>
            </w:r>
            <w:r>
              <w:rPr>
                <w:rFonts w:hint="eastAsia"/>
                <w:color w:val="auto"/>
                <w:kern w:val="0"/>
                <w:sz w:val="24"/>
                <w:szCs w:val="24"/>
              </w:rPr>
              <w:t>，供建设单位上报审查，</w:t>
            </w:r>
            <w:r>
              <w:rPr>
                <w:color w:val="auto"/>
                <w:kern w:val="0"/>
                <w:sz w:val="24"/>
                <w:szCs w:val="24"/>
              </w:rPr>
              <w:t>为各级主管部门的决策和环境管理提供依据。</w:t>
            </w:r>
          </w:p>
          <w:p>
            <w:pPr>
              <w:pStyle w:val="35"/>
              <w:adjustRightInd w:val="0"/>
              <w:snapToGrid w:val="0"/>
              <w:spacing w:line="360" w:lineRule="auto"/>
              <w:ind w:firstLine="0" w:firstLineChars="0"/>
              <w:rPr>
                <w:b/>
                <w:bCs/>
                <w:color w:val="auto"/>
                <w:sz w:val="24"/>
                <w:szCs w:val="24"/>
              </w:rPr>
            </w:pPr>
            <w:r>
              <w:rPr>
                <w:b/>
                <w:color w:val="auto"/>
                <w:sz w:val="24"/>
                <w:szCs w:val="24"/>
              </w:rPr>
              <w:t>2、</w:t>
            </w:r>
            <w:r>
              <w:rPr>
                <w:b/>
                <w:bCs/>
                <w:color w:val="auto"/>
                <w:sz w:val="24"/>
                <w:szCs w:val="24"/>
              </w:rPr>
              <w:t>项目建设内容及规模</w:t>
            </w:r>
          </w:p>
          <w:p>
            <w:pPr>
              <w:adjustRightInd w:val="0"/>
              <w:snapToGrid w:val="0"/>
              <w:spacing w:line="360" w:lineRule="auto"/>
              <w:ind w:firstLine="482" w:firstLineChars="200"/>
              <w:rPr>
                <w:b/>
                <w:color w:val="auto"/>
                <w:sz w:val="24"/>
                <w:szCs w:val="24"/>
              </w:rPr>
            </w:pPr>
            <w:r>
              <w:rPr>
                <w:b/>
                <w:color w:val="auto"/>
                <w:sz w:val="24"/>
                <w:szCs w:val="24"/>
              </w:rPr>
              <w:t>（1）项目概况</w:t>
            </w:r>
          </w:p>
          <w:p>
            <w:pPr>
              <w:adjustRightInd w:val="0"/>
              <w:snapToGrid w:val="0"/>
              <w:spacing w:line="360" w:lineRule="auto"/>
              <w:ind w:firstLine="480" w:firstLineChars="200"/>
              <w:rPr>
                <w:rFonts w:hint="default" w:eastAsia="宋体"/>
                <w:bCs/>
                <w:color w:val="auto"/>
                <w:sz w:val="24"/>
                <w:szCs w:val="24"/>
                <w:lang w:val="en-US" w:eastAsia="zh-CN"/>
              </w:rPr>
            </w:pPr>
            <w:r>
              <w:rPr>
                <w:bCs/>
                <w:color w:val="auto"/>
                <w:sz w:val="24"/>
                <w:szCs w:val="24"/>
              </w:rPr>
              <w:t>项目名称：</w:t>
            </w:r>
            <w:r>
              <w:rPr>
                <w:rFonts w:hint="eastAsia"/>
                <w:color w:val="auto"/>
                <w:sz w:val="24"/>
                <w:szCs w:val="24"/>
                <w:lang w:eastAsia="zh-CN"/>
              </w:rPr>
              <w:t>昆明温嘉环保科技有限公司年处理9万吨废塑料综合利用建设项目</w:t>
            </w:r>
            <w:r>
              <w:rPr>
                <w:rFonts w:hint="eastAsia"/>
                <w:color w:val="auto"/>
                <w:sz w:val="24"/>
                <w:szCs w:val="24"/>
                <w:lang w:val="en-US" w:eastAsia="zh-CN"/>
              </w:rPr>
              <w:t>；</w:t>
            </w:r>
          </w:p>
          <w:p>
            <w:pPr>
              <w:adjustRightInd w:val="0"/>
              <w:snapToGrid w:val="0"/>
              <w:spacing w:line="360" w:lineRule="auto"/>
              <w:ind w:firstLine="480" w:firstLineChars="200"/>
              <w:rPr>
                <w:rFonts w:hint="default" w:eastAsia="宋体"/>
                <w:bCs/>
                <w:color w:val="auto"/>
                <w:sz w:val="24"/>
                <w:szCs w:val="24"/>
                <w:lang w:val="en-US" w:eastAsia="zh-CN"/>
              </w:rPr>
            </w:pPr>
            <w:r>
              <w:rPr>
                <w:bCs/>
                <w:color w:val="auto"/>
                <w:sz w:val="24"/>
                <w:szCs w:val="24"/>
              </w:rPr>
              <w:t>建设单位：</w:t>
            </w:r>
            <w:r>
              <w:rPr>
                <w:rFonts w:hint="eastAsia"/>
                <w:color w:val="auto"/>
                <w:sz w:val="24"/>
                <w:szCs w:val="24"/>
                <w:lang w:eastAsia="zh-CN"/>
              </w:rPr>
              <w:t>昆明温嘉环保科技有限公司</w:t>
            </w:r>
            <w:r>
              <w:rPr>
                <w:rFonts w:hint="eastAsia"/>
                <w:color w:val="auto"/>
                <w:sz w:val="24"/>
                <w:szCs w:val="24"/>
                <w:lang w:val="en-US" w:eastAsia="zh-CN"/>
              </w:rPr>
              <w:t>；</w:t>
            </w:r>
          </w:p>
          <w:p>
            <w:pPr>
              <w:adjustRightInd w:val="0"/>
              <w:snapToGrid w:val="0"/>
              <w:spacing w:line="360" w:lineRule="auto"/>
              <w:ind w:firstLine="480" w:firstLineChars="200"/>
              <w:rPr>
                <w:rFonts w:hint="eastAsia" w:eastAsia="宋体"/>
                <w:bCs/>
                <w:color w:val="auto"/>
                <w:sz w:val="24"/>
                <w:szCs w:val="24"/>
                <w:lang w:val="en-US" w:eastAsia="zh-CN"/>
              </w:rPr>
            </w:pPr>
            <w:r>
              <w:rPr>
                <w:bCs/>
                <w:color w:val="auto"/>
                <w:sz w:val="24"/>
                <w:szCs w:val="24"/>
              </w:rPr>
              <w:t>建设性质：新建</w:t>
            </w:r>
            <w:r>
              <w:rPr>
                <w:rFonts w:hint="eastAsia"/>
                <w:bCs/>
                <w:color w:val="auto"/>
                <w:sz w:val="24"/>
                <w:szCs w:val="24"/>
                <w:lang w:val="en-US" w:eastAsia="zh-CN"/>
              </w:rPr>
              <w:t>；</w:t>
            </w:r>
          </w:p>
          <w:p>
            <w:pPr>
              <w:adjustRightInd w:val="0"/>
              <w:snapToGrid w:val="0"/>
              <w:spacing w:line="360" w:lineRule="auto"/>
              <w:ind w:firstLine="480" w:firstLineChars="200"/>
              <w:rPr>
                <w:rFonts w:hint="eastAsia" w:eastAsia="宋体"/>
                <w:bCs/>
                <w:color w:val="auto"/>
                <w:sz w:val="24"/>
                <w:szCs w:val="24"/>
                <w:lang w:val="en-US" w:eastAsia="zh-CN"/>
              </w:rPr>
            </w:pPr>
            <w:r>
              <w:rPr>
                <w:bCs/>
                <w:color w:val="auto"/>
                <w:sz w:val="24"/>
                <w:szCs w:val="24"/>
              </w:rPr>
              <w:t>建设地点：</w:t>
            </w:r>
            <w:r>
              <w:rPr>
                <w:rFonts w:hint="eastAsia"/>
                <w:bCs/>
                <w:color w:val="auto"/>
                <w:sz w:val="24"/>
                <w:szCs w:val="24"/>
              </w:rPr>
              <w:t>云南省昆明市宜良产业园区云南宝塑塑料管业有限公司厂房内</w:t>
            </w:r>
            <w:r>
              <w:rPr>
                <w:rFonts w:hint="eastAsia"/>
                <w:bCs/>
                <w:color w:val="auto"/>
                <w:sz w:val="24"/>
                <w:szCs w:val="24"/>
                <w:lang w:val="en-US" w:eastAsia="zh-CN"/>
              </w:rPr>
              <w:t>；</w:t>
            </w:r>
          </w:p>
          <w:p>
            <w:pPr>
              <w:adjustRightInd w:val="0"/>
              <w:snapToGrid w:val="0"/>
              <w:spacing w:line="360" w:lineRule="auto"/>
              <w:ind w:firstLine="480" w:firstLineChars="200"/>
              <w:rPr>
                <w:bCs/>
                <w:color w:val="auto"/>
                <w:sz w:val="24"/>
                <w:szCs w:val="24"/>
              </w:rPr>
            </w:pPr>
            <w:r>
              <w:rPr>
                <w:bCs/>
                <w:color w:val="auto"/>
                <w:sz w:val="24"/>
                <w:szCs w:val="24"/>
              </w:rPr>
              <w:t>总占地面积：项目</w:t>
            </w:r>
            <w:r>
              <w:rPr>
                <w:color w:val="auto"/>
                <w:sz w:val="24"/>
                <w:szCs w:val="24"/>
              </w:rPr>
              <w:t>租用已建成的闲置厂房</w:t>
            </w:r>
            <w:r>
              <w:rPr>
                <w:rFonts w:hint="eastAsia"/>
                <w:color w:val="auto"/>
                <w:sz w:val="24"/>
                <w:szCs w:val="24"/>
                <w:lang w:eastAsia="zh-CN"/>
              </w:rPr>
              <w:t>，</w:t>
            </w:r>
            <w:r>
              <w:rPr>
                <w:bCs/>
                <w:color w:val="auto"/>
                <w:sz w:val="24"/>
                <w:szCs w:val="24"/>
              </w:rPr>
              <w:t>总占地面积为</w:t>
            </w:r>
            <w:r>
              <w:rPr>
                <w:rFonts w:hint="eastAsia"/>
                <w:bCs/>
                <w:color w:val="auto"/>
                <w:sz w:val="24"/>
                <w:szCs w:val="24"/>
                <w:lang w:val="en-US" w:eastAsia="zh-CN"/>
              </w:rPr>
              <w:t>3</w:t>
            </w:r>
            <w:r>
              <w:rPr>
                <w:rFonts w:hint="eastAsia"/>
                <w:color w:val="auto"/>
                <w:sz w:val="24"/>
                <w:szCs w:val="24"/>
                <w:lang w:val="en-US" w:eastAsia="zh-CN"/>
              </w:rPr>
              <w:t>780</w:t>
            </w:r>
            <w:r>
              <w:rPr>
                <w:color w:val="auto"/>
                <w:sz w:val="24"/>
                <w:szCs w:val="24"/>
              </w:rPr>
              <w:t>m</w:t>
            </w:r>
            <w:r>
              <w:rPr>
                <w:color w:val="auto"/>
                <w:sz w:val="24"/>
                <w:szCs w:val="24"/>
                <w:vertAlign w:val="superscript"/>
              </w:rPr>
              <w:t>2</w:t>
            </w:r>
            <w:r>
              <w:rPr>
                <w:color w:val="auto"/>
                <w:sz w:val="24"/>
                <w:szCs w:val="24"/>
              </w:rPr>
              <w:t>。</w:t>
            </w:r>
          </w:p>
          <w:p>
            <w:pPr>
              <w:adjustRightInd w:val="0"/>
              <w:snapToGrid w:val="0"/>
              <w:spacing w:line="360" w:lineRule="auto"/>
              <w:ind w:firstLine="480" w:firstLineChars="200"/>
              <w:rPr>
                <w:color w:val="auto"/>
                <w:sz w:val="24"/>
                <w:szCs w:val="24"/>
              </w:rPr>
            </w:pPr>
            <w:r>
              <w:rPr>
                <w:bCs/>
                <w:color w:val="auto"/>
                <w:sz w:val="24"/>
                <w:szCs w:val="24"/>
              </w:rPr>
              <w:t>项目投资：总投资</w:t>
            </w:r>
            <w:r>
              <w:rPr>
                <w:rFonts w:hint="eastAsia"/>
                <w:color w:val="auto"/>
                <w:sz w:val="24"/>
                <w:szCs w:val="24"/>
                <w:lang w:val="en-US" w:eastAsia="zh-CN"/>
              </w:rPr>
              <w:t>25</w:t>
            </w:r>
            <w:r>
              <w:rPr>
                <w:rFonts w:hint="eastAsia"/>
                <w:color w:val="auto"/>
                <w:sz w:val="24"/>
                <w:szCs w:val="24"/>
              </w:rPr>
              <w:t>00</w:t>
            </w:r>
            <w:r>
              <w:rPr>
                <w:color w:val="auto"/>
                <w:sz w:val="24"/>
                <w:szCs w:val="24"/>
              </w:rPr>
              <w:t>万元，其中环保投资为</w:t>
            </w:r>
            <w:r>
              <w:rPr>
                <w:rFonts w:hint="eastAsia"/>
                <w:color w:val="auto"/>
                <w:sz w:val="24"/>
                <w:szCs w:val="24"/>
                <w:lang w:val="en-US" w:eastAsia="zh-CN"/>
              </w:rPr>
              <w:t>25.2</w:t>
            </w:r>
            <w:r>
              <w:rPr>
                <w:color w:val="auto"/>
                <w:sz w:val="24"/>
                <w:szCs w:val="24"/>
              </w:rPr>
              <w:t>万元，占总投资的</w:t>
            </w:r>
            <w:r>
              <w:rPr>
                <w:rFonts w:hint="eastAsia"/>
                <w:color w:val="auto"/>
                <w:sz w:val="24"/>
                <w:szCs w:val="24"/>
                <w:lang w:val="en-US" w:eastAsia="zh-CN"/>
              </w:rPr>
              <w:t>1.008</w:t>
            </w:r>
            <w:r>
              <w:rPr>
                <w:color w:val="auto"/>
                <w:sz w:val="24"/>
                <w:szCs w:val="24"/>
              </w:rPr>
              <w:t>%。</w:t>
            </w:r>
          </w:p>
          <w:p>
            <w:pPr>
              <w:adjustRightInd w:val="0"/>
              <w:snapToGrid w:val="0"/>
              <w:spacing w:line="360" w:lineRule="auto"/>
              <w:ind w:firstLine="480" w:firstLineChars="200"/>
              <w:rPr>
                <w:color w:val="auto"/>
                <w:sz w:val="24"/>
                <w:szCs w:val="24"/>
              </w:rPr>
            </w:pPr>
            <w:r>
              <w:rPr>
                <w:bCs/>
                <w:color w:val="auto"/>
                <w:sz w:val="24"/>
                <w:szCs w:val="24"/>
              </w:rPr>
              <w:t>建设规模及内容：</w:t>
            </w:r>
            <w:r>
              <w:rPr>
                <w:rFonts w:hint="eastAsia"/>
                <w:bCs/>
                <w:color w:val="auto"/>
                <w:sz w:val="24"/>
                <w:szCs w:val="24"/>
                <w:lang w:val="en-US" w:eastAsia="zh-CN"/>
              </w:rPr>
              <w:t>项目租用已建成的闲置厂房，建设2条熔融造粒生产线，</w:t>
            </w:r>
            <w:r>
              <w:rPr>
                <w:rFonts w:hint="eastAsia"/>
                <w:bCs/>
                <w:color w:val="auto"/>
                <w:sz w:val="24"/>
                <w:szCs w:val="24"/>
              </w:rPr>
              <w:t>原料</w:t>
            </w:r>
            <w:r>
              <w:rPr>
                <w:rFonts w:hint="eastAsia"/>
                <w:bCs/>
                <w:color w:val="auto"/>
                <w:sz w:val="24"/>
                <w:szCs w:val="24"/>
                <w:lang w:val="en-US" w:eastAsia="zh-CN"/>
              </w:rPr>
              <w:t>来自</w:t>
            </w:r>
            <w:r>
              <w:rPr>
                <w:rFonts w:hint="eastAsia"/>
                <w:bCs/>
                <w:color w:val="auto"/>
                <w:sz w:val="24"/>
                <w:szCs w:val="24"/>
              </w:rPr>
              <w:t>东晟纸业</w:t>
            </w:r>
            <w:r>
              <w:rPr>
                <w:rFonts w:hint="eastAsia"/>
                <w:bCs/>
                <w:color w:val="auto"/>
                <w:sz w:val="24"/>
                <w:szCs w:val="24"/>
                <w:lang w:val="en-US" w:eastAsia="zh-CN"/>
              </w:rPr>
              <w:t>产生的</w:t>
            </w:r>
            <w:r>
              <w:rPr>
                <w:color w:val="auto"/>
                <w:sz w:val="24"/>
                <w:szCs w:val="24"/>
              </w:rPr>
              <w:t>碎浆废渣中</w:t>
            </w:r>
            <w:r>
              <w:rPr>
                <w:rFonts w:hint="eastAsia"/>
                <w:color w:val="auto"/>
                <w:sz w:val="24"/>
                <w:szCs w:val="24"/>
              </w:rPr>
              <w:t>已被</w:t>
            </w:r>
            <w:r>
              <w:rPr>
                <w:color w:val="auto"/>
                <w:sz w:val="24"/>
                <w:szCs w:val="24"/>
              </w:rPr>
              <w:t>分离出的废塑料</w:t>
            </w:r>
            <w:r>
              <w:rPr>
                <w:rFonts w:hint="eastAsia"/>
                <w:color w:val="auto"/>
                <w:sz w:val="24"/>
                <w:szCs w:val="24"/>
              </w:rPr>
              <w:t>，</w:t>
            </w:r>
            <w:r>
              <w:rPr>
                <w:rFonts w:hint="eastAsia"/>
                <w:bCs/>
                <w:color w:val="auto"/>
                <w:sz w:val="24"/>
                <w:szCs w:val="24"/>
              </w:rPr>
              <w:t>年加工处理量合计</w:t>
            </w:r>
            <w:r>
              <w:rPr>
                <w:rFonts w:hint="eastAsia"/>
                <w:bCs/>
                <w:color w:val="auto"/>
                <w:sz w:val="24"/>
                <w:szCs w:val="24"/>
                <w:lang w:val="en-US" w:eastAsia="zh-CN"/>
              </w:rPr>
              <w:t>4.5</w:t>
            </w:r>
            <w:r>
              <w:rPr>
                <w:rFonts w:hint="eastAsia"/>
                <w:bCs/>
                <w:color w:val="auto"/>
                <w:sz w:val="24"/>
                <w:szCs w:val="24"/>
              </w:rPr>
              <w:t>万t</w:t>
            </w:r>
            <w:r>
              <w:rPr>
                <w:rFonts w:hint="eastAsia"/>
                <w:bCs/>
                <w:color w:val="auto"/>
                <w:sz w:val="24"/>
                <w:szCs w:val="24"/>
                <w:lang w:eastAsia="zh-CN"/>
              </w:rPr>
              <w:t>，</w:t>
            </w:r>
            <w:r>
              <w:rPr>
                <w:color w:val="auto"/>
                <w:sz w:val="24"/>
                <w:szCs w:val="24"/>
              </w:rPr>
              <w:t>分离回收得到的废塑料经挤压造粒</w:t>
            </w:r>
            <w:r>
              <w:rPr>
                <w:rFonts w:hint="eastAsia"/>
                <w:bCs/>
                <w:color w:val="auto"/>
                <w:sz w:val="24"/>
                <w:szCs w:val="24"/>
              </w:rPr>
              <w:t>加工成再生塑料颗粒</w:t>
            </w:r>
            <w:r>
              <w:rPr>
                <w:rFonts w:hint="eastAsia"/>
                <w:color w:val="auto"/>
                <w:sz w:val="24"/>
                <w:szCs w:val="24"/>
                <w:lang w:val="en-US" w:eastAsia="zh-CN"/>
              </w:rPr>
              <w:t>16</w:t>
            </w:r>
            <w:r>
              <w:rPr>
                <w:rFonts w:hint="eastAsia"/>
                <w:color w:val="auto"/>
                <w:sz w:val="24"/>
                <w:szCs w:val="24"/>
              </w:rPr>
              <w:t>000t/a</w:t>
            </w:r>
            <w:r>
              <w:rPr>
                <w:rFonts w:hint="eastAsia"/>
                <w:color w:val="auto"/>
                <w:sz w:val="24"/>
                <w:szCs w:val="24"/>
                <w:lang w:eastAsia="zh-CN"/>
              </w:rPr>
              <w:t>，</w:t>
            </w:r>
            <w:r>
              <w:rPr>
                <w:rFonts w:hint="eastAsia"/>
                <w:bCs/>
                <w:color w:val="auto"/>
                <w:sz w:val="24"/>
                <w:szCs w:val="24"/>
                <w:lang w:val="en-US" w:eastAsia="zh-CN"/>
              </w:rPr>
              <w:t>厂区设置有原料暂存区、生产区、生产废料暂存区等</w:t>
            </w:r>
            <w:r>
              <w:rPr>
                <w:color w:val="auto"/>
                <w:sz w:val="24"/>
                <w:szCs w:val="24"/>
              </w:rPr>
              <w:t>。</w:t>
            </w:r>
          </w:p>
          <w:p>
            <w:pPr>
              <w:adjustRightInd w:val="0"/>
              <w:snapToGrid w:val="0"/>
              <w:spacing w:line="360" w:lineRule="auto"/>
              <w:ind w:firstLine="482" w:firstLineChars="200"/>
              <w:rPr>
                <w:b/>
                <w:color w:val="auto"/>
                <w:sz w:val="24"/>
                <w:szCs w:val="24"/>
              </w:rPr>
            </w:pPr>
            <w:r>
              <w:rPr>
                <w:b/>
                <w:color w:val="auto"/>
                <w:sz w:val="24"/>
                <w:szCs w:val="24"/>
              </w:rPr>
              <w:t>（2）项目建设内容及组成</w:t>
            </w:r>
          </w:p>
          <w:p>
            <w:pPr>
              <w:adjustRightInd w:val="0"/>
              <w:snapToGrid w:val="0"/>
              <w:spacing w:line="360" w:lineRule="auto"/>
              <w:ind w:firstLine="480" w:firstLineChars="200"/>
              <w:rPr>
                <w:bCs/>
                <w:color w:val="auto"/>
                <w:sz w:val="24"/>
                <w:szCs w:val="24"/>
              </w:rPr>
            </w:pPr>
            <w:r>
              <w:rPr>
                <w:bCs/>
                <w:color w:val="auto"/>
                <w:sz w:val="24"/>
                <w:szCs w:val="24"/>
              </w:rPr>
              <w:t>项目主要由主体工程、辅助工程、公用工程、环保工程组成。项目建设内容见表2-1。</w:t>
            </w:r>
          </w:p>
          <w:p>
            <w:pPr>
              <w:adjustRightInd w:val="0"/>
              <w:snapToGrid w:val="0"/>
              <w:spacing w:before="120" w:beforeLines="50"/>
              <w:jc w:val="center"/>
              <w:rPr>
                <w:bCs/>
                <w:color w:val="auto"/>
                <w:sz w:val="24"/>
                <w:szCs w:val="24"/>
              </w:rPr>
            </w:pPr>
            <w:r>
              <w:rPr>
                <w:b/>
                <w:bCs/>
                <w:color w:val="auto"/>
                <w:sz w:val="24"/>
                <w:szCs w:val="24"/>
              </w:rPr>
              <w:t>表2-1  项目建设内容一览表</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617"/>
              <w:gridCol w:w="708"/>
              <w:gridCol w:w="4985"/>
              <w:gridCol w:w="8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3" w:type="pct"/>
                  <w:vAlign w:val="center"/>
                </w:tcPr>
                <w:p>
                  <w:pPr>
                    <w:adjustRightInd w:val="0"/>
                    <w:snapToGrid w:val="0"/>
                    <w:jc w:val="center"/>
                    <w:rPr>
                      <w:b/>
                      <w:bCs/>
                      <w:color w:val="auto"/>
                      <w:sz w:val="21"/>
                      <w:szCs w:val="21"/>
                    </w:rPr>
                  </w:pPr>
                  <w:r>
                    <w:rPr>
                      <w:b/>
                      <w:bCs/>
                      <w:color w:val="auto"/>
                      <w:sz w:val="21"/>
                      <w:szCs w:val="21"/>
                    </w:rPr>
                    <w:t>类型</w:t>
                  </w:r>
                </w:p>
              </w:tc>
              <w:tc>
                <w:tcPr>
                  <w:tcW w:w="835" w:type="pct"/>
                  <w:gridSpan w:val="2"/>
                  <w:vAlign w:val="center"/>
                </w:tcPr>
                <w:p>
                  <w:pPr>
                    <w:adjustRightInd w:val="0"/>
                    <w:snapToGrid w:val="0"/>
                    <w:jc w:val="center"/>
                    <w:rPr>
                      <w:b/>
                      <w:bCs/>
                      <w:color w:val="auto"/>
                      <w:sz w:val="21"/>
                      <w:szCs w:val="21"/>
                    </w:rPr>
                  </w:pPr>
                  <w:r>
                    <w:rPr>
                      <w:b/>
                      <w:bCs/>
                      <w:color w:val="auto"/>
                      <w:sz w:val="21"/>
                      <w:szCs w:val="21"/>
                    </w:rPr>
                    <w:t>工程名称</w:t>
                  </w:r>
                </w:p>
              </w:tc>
              <w:tc>
                <w:tcPr>
                  <w:tcW w:w="3142" w:type="pct"/>
                  <w:vAlign w:val="center"/>
                </w:tcPr>
                <w:p>
                  <w:pPr>
                    <w:adjustRightInd w:val="0"/>
                    <w:snapToGrid w:val="0"/>
                    <w:jc w:val="center"/>
                    <w:rPr>
                      <w:b/>
                      <w:bCs/>
                      <w:color w:val="auto"/>
                      <w:sz w:val="21"/>
                      <w:szCs w:val="21"/>
                    </w:rPr>
                  </w:pPr>
                  <w:r>
                    <w:rPr>
                      <w:b/>
                      <w:bCs/>
                      <w:color w:val="auto"/>
                      <w:sz w:val="21"/>
                      <w:szCs w:val="21"/>
                    </w:rPr>
                    <w:t>工程内容</w:t>
                  </w:r>
                </w:p>
              </w:tc>
              <w:tc>
                <w:tcPr>
                  <w:tcW w:w="559" w:type="pct"/>
                  <w:vAlign w:val="center"/>
                </w:tcPr>
                <w:p>
                  <w:pPr>
                    <w:adjustRightInd w:val="0"/>
                    <w:snapToGrid w:val="0"/>
                    <w:jc w:val="center"/>
                    <w:rPr>
                      <w:b/>
                      <w:bCs/>
                      <w:color w:val="auto"/>
                      <w:sz w:val="21"/>
                      <w:szCs w:val="21"/>
                    </w:rPr>
                  </w:pPr>
                  <w:r>
                    <w:rPr>
                      <w:b/>
                      <w:bCs/>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463" w:type="pct"/>
                  <w:vAlign w:val="center"/>
                </w:tcPr>
                <w:p>
                  <w:pPr>
                    <w:adjustRightInd w:val="0"/>
                    <w:snapToGrid w:val="0"/>
                    <w:jc w:val="center"/>
                    <w:rPr>
                      <w:bCs/>
                      <w:color w:val="auto"/>
                      <w:sz w:val="21"/>
                      <w:szCs w:val="21"/>
                    </w:rPr>
                  </w:pPr>
                  <w:r>
                    <w:rPr>
                      <w:bCs/>
                      <w:color w:val="auto"/>
                      <w:sz w:val="21"/>
                      <w:szCs w:val="21"/>
                    </w:rPr>
                    <w:t>主体工程</w:t>
                  </w:r>
                </w:p>
              </w:tc>
              <w:tc>
                <w:tcPr>
                  <w:tcW w:w="835" w:type="pct"/>
                  <w:gridSpan w:val="2"/>
                  <w:vAlign w:val="center"/>
                </w:tcPr>
                <w:p>
                  <w:pPr>
                    <w:adjustRightInd w:val="0"/>
                    <w:snapToGrid w:val="0"/>
                    <w:jc w:val="center"/>
                    <w:rPr>
                      <w:bCs/>
                      <w:color w:val="auto"/>
                      <w:sz w:val="21"/>
                      <w:szCs w:val="21"/>
                    </w:rPr>
                  </w:pPr>
                  <w:r>
                    <w:rPr>
                      <w:bCs/>
                      <w:color w:val="auto"/>
                      <w:sz w:val="21"/>
                      <w:szCs w:val="21"/>
                    </w:rPr>
                    <w:t>生产车间</w:t>
                  </w:r>
                </w:p>
              </w:tc>
              <w:tc>
                <w:tcPr>
                  <w:tcW w:w="3142" w:type="pct"/>
                  <w:vAlign w:val="center"/>
                </w:tcPr>
                <w:p>
                  <w:pPr>
                    <w:adjustRightInd w:val="0"/>
                    <w:rPr>
                      <w:bCs/>
                      <w:color w:val="auto"/>
                      <w:kern w:val="0"/>
                      <w:sz w:val="21"/>
                      <w:szCs w:val="21"/>
                    </w:rPr>
                  </w:pPr>
                  <w:r>
                    <w:rPr>
                      <w:rFonts w:hint="eastAsia"/>
                      <w:bCs/>
                      <w:color w:val="auto"/>
                      <w:sz w:val="21"/>
                      <w:szCs w:val="21"/>
                    </w:rPr>
                    <w:t>本项目租用</w:t>
                  </w:r>
                  <w:r>
                    <w:rPr>
                      <w:rFonts w:hint="eastAsia"/>
                      <w:bCs/>
                      <w:color w:val="auto"/>
                      <w:sz w:val="21"/>
                      <w:szCs w:val="21"/>
                      <w:lang w:eastAsia="zh-CN"/>
                    </w:rPr>
                    <w:t>宝塑管业</w:t>
                  </w:r>
                  <w:r>
                    <w:rPr>
                      <w:rFonts w:hint="eastAsia"/>
                      <w:bCs/>
                      <w:color w:val="auto"/>
                      <w:sz w:val="21"/>
                      <w:szCs w:val="21"/>
                    </w:rPr>
                    <w:t>闲置的原料堆场厂房，将其作为本项目的</w:t>
                  </w:r>
                  <w:r>
                    <w:rPr>
                      <w:bCs/>
                      <w:color w:val="auto"/>
                      <w:sz w:val="21"/>
                      <w:szCs w:val="21"/>
                    </w:rPr>
                    <w:t>生产车间</w:t>
                  </w:r>
                  <w:r>
                    <w:rPr>
                      <w:rFonts w:hint="eastAsia"/>
                      <w:bCs/>
                      <w:color w:val="auto"/>
                      <w:sz w:val="21"/>
                      <w:szCs w:val="21"/>
                    </w:rPr>
                    <w:t>，生产车间</w:t>
                  </w:r>
                  <w:r>
                    <w:rPr>
                      <w:bCs/>
                      <w:color w:val="auto"/>
                      <w:sz w:val="21"/>
                      <w:szCs w:val="21"/>
                    </w:rPr>
                    <w:t>位于厂区</w:t>
                  </w:r>
                  <w:r>
                    <w:rPr>
                      <w:rFonts w:hint="eastAsia"/>
                      <w:bCs/>
                      <w:color w:val="auto"/>
                      <w:sz w:val="21"/>
                      <w:szCs w:val="21"/>
                    </w:rPr>
                    <w:t>西部，紧邻</w:t>
                  </w:r>
                  <w:r>
                    <w:rPr>
                      <w:rFonts w:hint="eastAsia"/>
                      <w:bCs/>
                      <w:color w:val="auto"/>
                      <w:sz w:val="21"/>
                      <w:szCs w:val="21"/>
                      <w:lang w:eastAsia="zh-CN"/>
                    </w:rPr>
                    <w:t>宝塑管业</w:t>
                  </w:r>
                  <w:r>
                    <w:rPr>
                      <w:rFonts w:hint="eastAsia"/>
                      <w:bCs/>
                      <w:color w:val="auto"/>
                      <w:sz w:val="21"/>
                      <w:szCs w:val="21"/>
                    </w:rPr>
                    <w:t>生产车间</w:t>
                  </w:r>
                  <w:r>
                    <w:rPr>
                      <w:bCs/>
                      <w:color w:val="auto"/>
                      <w:sz w:val="21"/>
                      <w:szCs w:val="21"/>
                    </w:rPr>
                    <w:t>，</w:t>
                  </w:r>
                  <w:r>
                    <w:rPr>
                      <w:rFonts w:hint="eastAsia"/>
                      <w:bCs/>
                      <w:color w:val="auto"/>
                      <w:sz w:val="21"/>
                      <w:szCs w:val="21"/>
                    </w:rPr>
                    <w:t>为</w:t>
                  </w:r>
                  <w:r>
                    <w:rPr>
                      <w:bCs/>
                      <w:color w:val="auto"/>
                      <w:sz w:val="21"/>
                      <w:szCs w:val="21"/>
                    </w:rPr>
                    <w:t>1F</w:t>
                  </w:r>
                  <w:r>
                    <w:rPr>
                      <w:rFonts w:hint="eastAsia"/>
                      <w:bCs/>
                      <w:color w:val="auto"/>
                      <w:sz w:val="21"/>
                      <w:szCs w:val="21"/>
                    </w:rPr>
                    <w:t>钢架结构</w:t>
                  </w:r>
                  <w:r>
                    <w:rPr>
                      <w:bCs/>
                      <w:color w:val="auto"/>
                      <w:sz w:val="21"/>
                      <w:szCs w:val="21"/>
                    </w:rPr>
                    <w:t>，建筑面积为</w:t>
                  </w:r>
                  <w:r>
                    <w:rPr>
                      <w:rFonts w:hint="eastAsia"/>
                      <w:bCs/>
                      <w:color w:val="auto"/>
                      <w:sz w:val="21"/>
                      <w:szCs w:val="21"/>
                      <w:lang w:val="en-US" w:eastAsia="zh-CN"/>
                    </w:rPr>
                    <w:t>3780</w:t>
                  </w:r>
                  <w:r>
                    <w:rPr>
                      <w:bCs/>
                      <w:color w:val="auto"/>
                      <w:sz w:val="21"/>
                      <w:szCs w:val="21"/>
                    </w:rPr>
                    <w:t>m</w:t>
                  </w:r>
                  <w:r>
                    <w:rPr>
                      <w:bCs/>
                      <w:color w:val="auto"/>
                      <w:sz w:val="21"/>
                      <w:szCs w:val="21"/>
                      <w:vertAlign w:val="superscript"/>
                    </w:rPr>
                    <w:t>2</w:t>
                  </w:r>
                  <w:r>
                    <w:rPr>
                      <w:bCs/>
                      <w:color w:val="auto"/>
                      <w:sz w:val="21"/>
                      <w:szCs w:val="21"/>
                    </w:rPr>
                    <w:t>，</w:t>
                  </w:r>
                  <w:r>
                    <w:rPr>
                      <w:rFonts w:hint="eastAsia"/>
                      <w:bCs/>
                      <w:color w:val="auto"/>
                      <w:sz w:val="21"/>
                      <w:szCs w:val="21"/>
                    </w:rPr>
                    <w:t>生产车间内</w:t>
                  </w:r>
                  <w:r>
                    <w:rPr>
                      <w:bCs/>
                      <w:color w:val="auto"/>
                      <w:sz w:val="21"/>
                      <w:szCs w:val="21"/>
                    </w:rPr>
                    <w:t>设置</w:t>
                  </w:r>
                  <w:r>
                    <w:rPr>
                      <w:rFonts w:hint="eastAsia"/>
                      <w:bCs/>
                      <w:color w:val="auto"/>
                      <w:sz w:val="21"/>
                      <w:szCs w:val="21"/>
                    </w:rPr>
                    <w:t>纸塑分离机、造粒机等</w:t>
                  </w:r>
                  <w:r>
                    <w:rPr>
                      <w:color w:val="auto"/>
                      <w:sz w:val="21"/>
                      <w:szCs w:val="21"/>
                    </w:rPr>
                    <w:t>、</w:t>
                  </w:r>
                  <w:r>
                    <w:rPr>
                      <w:rFonts w:hint="eastAsia"/>
                      <w:color w:val="auto"/>
                      <w:sz w:val="21"/>
                      <w:szCs w:val="21"/>
                    </w:rPr>
                    <w:t>原料堆放区、不可利用废物堆放区、成品塑料颗粒堆放区等</w:t>
                  </w:r>
                  <w:r>
                    <w:rPr>
                      <w:color w:val="auto"/>
                      <w:sz w:val="21"/>
                      <w:szCs w:val="21"/>
                    </w:rPr>
                    <w:t>。</w:t>
                  </w:r>
                </w:p>
              </w:tc>
              <w:tc>
                <w:tcPr>
                  <w:tcW w:w="559" w:type="pct"/>
                  <w:vAlign w:val="center"/>
                </w:tcPr>
                <w:p>
                  <w:pPr>
                    <w:adjustRightInd w:val="0"/>
                    <w:snapToGrid w:val="0"/>
                    <w:jc w:val="center"/>
                    <w:rPr>
                      <w:bCs/>
                      <w:color w:val="auto"/>
                      <w:sz w:val="21"/>
                      <w:szCs w:val="21"/>
                    </w:rPr>
                  </w:pPr>
                  <w:r>
                    <w:rPr>
                      <w:bCs/>
                      <w:color w:val="auto"/>
                      <w:sz w:val="21"/>
                      <w:szCs w:val="21"/>
                    </w:rPr>
                    <w:t>租用</w:t>
                  </w:r>
                  <w:r>
                    <w:rPr>
                      <w:rFonts w:hint="eastAsia"/>
                      <w:bCs/>
                      <w:color w:val="auto"/>
                      <w:sz w:val="21"/>
                      <w:szCs w:val="21"/>
                      <w:lang w:val="en-US" w:eastAsia="zh-CN"/>
                    </w:rPr>
                    <w:t>宝塑</w:t>
                  </w:r>
                  <w:r>
                    <w:rPr>
                      <w:rFonts w:hint="eastAsia"/>
                      <w:bCs/>
                      <w:color w:val="auto"/>
                      <w:sz w:val="21"/>
                      <w:szCs w:val="21"/>
                    </w:rPr>
                    <w:t>公司已建原</w:t>
                  </w:r>
                  <w:r>
                    <w:rPr>
                      <w:rFonts w:hint="eastAsia"/>
                      <w:bCs/>
                      <w:color w:val="auto"/>
                      <w:sz w:val="21"/>
                      <w:szCs w:val="21"/>
                      <w:lang w:val="en-US" w:eastAsia="zh-CN"/>
                    </w:rPr>
                    <w:t>生产</w:t>
                  </w:r>
                  <w:r>
                    <w:rPr>
                      <w:bCs/>
                      <w:color w:val="auto"/>
                      <w:sz w:val="21"/>
                      <w:szCs w:val="21"/>
                    </w:rPr>
                    <w:t>厂房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3" w:type="pct"/>
                  <w:vMerge w:val="restart"/>
                  <w:vAlign w:val="center"/>
                </w:tcPr>
                <w:p>
                  <w:pPr>
                    <w:adjustRightInd w:val="0"/>
                    <w:snapToGrid w:val="0"/>
                    <w:jc w:val="center"/>
                    <w:rPr>
                      <w:bCs/>
                      <w:color w:val="auto"/>
                      <w:sz w:val="21"/>
                      <w:szCs w:val="21"/>
                    </w:rPr>
                  </w:pPr>
                  <w:r>
                    <w:rPr>
                      <w:bCs/>
                      <w:color w:val="auto"/>
                      <w:sz w:val="21"/>
                      <w:szCs w:val="21"/>
                    </w:rPr>
                    <w:t>辅助工程</w:t>
                  </w:r>
                </w:p>
              </w:tc>
              <w:tc>
                <w:tcPr>
                  <w:tcW w:w="835" w:type="pct"/>
                  <w:gridSpan w:val="2"/>
                  <w:vAlign w:val="center"/>
                </w:tcPr>
                <w:p>
                  <w:pPr>
                    <w:adjustRightInd w:val="0"/>
                    <w:snapToGrid w:val="0"/>
                    <w:jc w:val="center"/>
                    <w:rPr>
                      <w:bCs/>
                      <w:color w:val="auto"/>
                      <w:sz w:val="21"/>
                      <w:szCs w:val="21"/>
                    </w:rPr>
                  </w:pPr>
                  <w:r>
                    <w:rPr>
                      <w:bCs/>
                      <w:color w:val="auto"/>
                      <w:sz w:val="21"/>
                      <w:szCs w:val="21"/>
                    </w:rPr>
                    <w:t>配电室</w:t>
                  </w:r>
                </w:p>
              </w:tc>
              <w:tc>
                <w:tcPr>
                  <w:tcW w:w="3142" w:type="pct"/>
                  <w:vAlign w:val="center"/>
                </w:tcPr>
                <w:p>
                  <w:pPr>
                    <w:adjustRightInd w:val="0"/>
                    <w:snapToGrid w:val="0"/>
                    <w:rPr>
                      <w:bCs/>
                      <w:color w:val="auto"/>
                      <w:sz w:val="21"/>
                      <w:szCs w:val="21"/>
                    </w:rPr>
                  </w:pPr>
                  <w:r>
                    <w:rPr>
                      <w:rFonts w:hint="eastAsia"/>
                      <w:bCs/>
                      <w:color w:val="auto"/>
                      <w:sz w:val="21"/>
                      <w:szCs w:val="21"/>
                    </w:rPr>
                    <w:t>新建配电室1座</w:t>
                  </w:r>
                  <w:r>
                    <w:rPr>
                      <w:bCs/>
                      <w:color w:val="auto"/>
                      <w:sz w:val="21"/>
                      <w:szCs w:val="21"/>
                    </w:rPr>
                    <w:t>，设置10kV配电</w:t>
                  </w:r>
                  <w:r>
                    <w:rPr>
                      <w:rFonts w:hint="eastAsia"/>
                      <w:bCs/>
                      <w:color w:val="auto"/>
                      <w:sz w:val="21"/>
                      <w:szCs w:val="21"/>
                    </w:rPr>
                    <w:t>箱</w:t>
                  </w:r>
                  <w:r>
                    <w:rPr>
                      <w:bCs/>
                      <w:color w:val="auto"/>
                      <w:sz w:val="21"/>
                      <w:szCs w:val="21"/>
                    </w:rPr>
                    <w:t>。</w:t>
                  </w:r>
                </w:p>
              </w:tc>
              <w:tc>
                <w:tcPr>
                  <w:tcW w:w="559" w:type="pct"/>
                  <w:vAlign w:val="center"/>
                </w:tcPr>
                <w:p>
                  <w:pPr>
                    <w:adjustRightInd w:val="0"/>
                    <w:snapToGrid w:val="0"/>
                    <w:jc w:val="center"/>
                    <w:rPr>
                      <w:rFonts w:hint="eastAsia" w:eastAsia="宋体"/>
                      <w:bCs/>
                      <w:color w:val="auto"/>
                      <w:sz w:val="21"/>
                      <w:szCs w:val="21"/>
                      <w:lang w:eastAsia="zh-CN"/>
                    </w:rPr>
                  </w:pPr>
                  <w:r>
                    <w:rPr>
                      <w:rFonts w:hint="eastAsia"/>
                      <w:bCs/>
                      <w:color w:val="auto"/>
                      <w:sz w:val="21"/>
                      <w:szCs w:val="21"/>
                    </w:rPr>
                    <w:t>依托</w:t>
                  </w:r>
                  <w:r>
                    <w:rPr>
                      <w:rFonts w:hint="eastAsia"/>
                      <w:bCs/>
                      <w:color w:val="auto"/>
                      <w:sz w:val="21"/>
                      <w:szCs w:val="21"/>
                      <w:lang w:eastAsia="zh-CN"/>
                    </w:rPr>
                    <w:t>宝塑管业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3" w:type="pct"/>
                  <w:vMerge w:val="continue"/>
                  <w:vAlign w:val="center"/>
                </w:tcPr>
                <w:p>
                  <w:pPr>
                    <w:adjustRightInd w:val="0"/>
                    <w:snapToGrid w:val="0"/>
                    <w:jc w:val="center"/>
                    <w:rPr>
                      <w:bCs/>
                      <w:color w:val="auto"/>
                      <w:sz w:val="21"/>
                      <w:szCs w:val="21"/>
                    </w:rPr>
                  </w:pPr>
                </w:p>
              </w:tc>
              <w:tc>
                <w:tcPr>
                  <w:tcW w:w="835" w:type="pct"/>
                  <w:gridSpan w:val="2"/>
                  <w:vAlign w:val="center"/>
                </w:tcPr>
                <w:p>
                  <w:pPr>
                    <w:adjustRightInd w:val="0"/>
                    <w:snapToGrid w:val="0"/>
                    <w:jc w:val="center"/>
                    <w:rPr>
                      <w:bCs/>
                      <w:color w:val="auto"/>
                      <w:sz w:val="21"/>
                      <w:szCs w:val="21"/>
                    </w:rPr>
                  </w:pPr>
                  <w:r>
                    <w:rPr>
                      <w:bCs/>
                      <w:color w:val="auto"/>
                      <w:sz w:val="21"/>
                      <w:szCs w:val="21"/>
                    </w:rPr>
                    <w:t>卫生间</w:t>
                  </w:r>
                </w:p>
              </w:tc>
              <w:tc>
                <w:tcPr>
                  <w:tcW w:w="3142" w:type="pct"/>
                  <w:vAlign w:val="center"/>
                </w:tcPr>
                <w:p>
                  <w:pPr>
                    <w:adjustRightInd w:val="0"/>
                    <w:snapToGrid w:val="0"/>
                    <w:jc w:val="left"/>
                    <w:rPr>
                      <w:bCs/>
                      <w:color w:val="auto"/>
                      <w:sz w:val="21"/>
                      <w:szCs w:val="21"/>
                    </w:rPr>
                  </w:pPr>
                  <w:r>
                    <w:rPr>
                      <w:bCs/>
                      <w:color w:val="auto"/>
                      <w:sz w:val="21"/>
                      <w:szCs w:val="21"/>
                    </w:rPr>
                    <w:t>位于</w:t>
                  </w:r>
                  <w:r>
                    <w:rPr>
                      <w:rFonts w:hint="eastAsia"/>
                      <w:bCs/>
                      <w:color w:val="auto"/>
                      <w:sz w:val="21"/>
                      <w:szCs w:val="21"/>
                      <w:lang w:eastAsia="zh-CN"/>
                    </w:rPr>
                    <w:t>宝塑管业</w:t>
                  </w:r>
                  <w:r>
                    <w:rPr>
                      <w:bCs/>
                      <w:color w:val="auto"/>
                      <w:sz w:val="21"/>
                      <w:szCs w:val="21"/>
                    </w:rPr>
                    <w:t>生产车间东南侧，为水冲厕。</w:t>
                  </w:r>
                </w:p>
              </w:tc>
              <w:tc>
                <w:tcPr>
                  <w:tcW w:w="559" w:type="pct"/>
                  <w:vAlign w:val="center"/>
                </w:tcPr>
                <w:p>
                  <w:pPr>
                    <w:adjustRightInd w:val="0"/>
                    <w:snapToGrid w:val="0"/>
                    <w:jc w:val="center"/>
                    <w:rPr>
                      <w:rFonts w:hint="eastAsia" w:eastAsia="宋体"/>
                      <w:bCs/>
                      <w:color w:val="auto"/>
                      <w:sz w:val="21"/>
                      <w:szCs w:val="21"/>
                      <w:lang w:eastAsia="zh-CN"/>
                    </w:rPr>
                  </w:pPr>
                  <w:r>
                    <w:rPr>
                      <w:rFonts w:hint="eastAsia"/>
                      <w:bCs/>
                      <w:color w:val="auto"/>
                      <w:sz w:val="21"/>
                      <w:szCs w:val="21"/>
                    </w:rPr>
                    <w:t>依托</w:t>
                  </w:r>
                  <w:r>
                    <w:rPr>
                      <w:rFonts w:hint="eastAsia"/>
                      <w:bCs/>
                      <w:color w:val="auto"/>
                      <w:sz w:val="21"/>
                      <w:szCs w:val="21"/>
                      <w:lang w:eastAsia="zh-CN"/>
                    </w:rPr>
                    <w:t>宝塑管业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3" w:type="pct"/>
                  <w:vMerge w:val="restart"/>
                  <w:vAlign w:val="center"/>
                </w:tcPr>
                <w:p>
                  <w:pPr>
                    <w:adjustRightInd w:val="0"/>
                    <w:snapToGrid w:val="0"/>
                    <w:jc w:val="center"/>
                    <w:rPr>
                      <w:bCs/>
                      <w:color w:val="auto"/>
                      <w:sz w:val="21"/>
                      <w:szCs w:val="21"/>
                    </w:rPr>
                  </w:pPr>
                  <w:r>
                    <w:rPr>
                      <w:bCs/>
                      <w:color w:val="auto"/>
                      <w:sz w:val="21"/>
                      <w:szCs w:val="21"/>
                    </w:rPr>
                    <w:t>公用工程</w:t>
                  </w:r>
                </w:p>
              </w:tc>
              <w:tc>
                <w:tcPr>
                  <w:tcW w:w="835" w:type="pct"/>
                  <w:gridSpan w:val="2"/>
                  <w:vAlign w:val="center"/>
                </w:tcPr>
                <w:p>
                  <w:pPr>
                    <w:adjustRightInd w:val="0"/>
                    <w:snapToGrid w:val="0"/>
                    <w:jc w:val="center"/>
                    <w:rPr>
                      <w:bCs/>
                      <w:color w:val="auto"/>
                      <w:sz w:val="21"/>
                      <w:szCs w:val="21"/>
                    </w:rPr>
                  </w:pPr>
                  <w:r>
                    <w:rPr>
                      <w:bCs/>
                      <w:color w:val="auto"/>
                      <w:sz w:val="21"/>
                      <w:szCs w:val="21"/>
                    </w:rPr>
                    <w:t>供电</w:t>
                  </w:r>
                </w:p>
              </w:tc>
              <w:tc>
                <w:tcPr>
                  <w:tcW w:w="3142" w:type="pct"/>
                  <w:vAlign w:val="center"/>
                </w:tcPr>
                <w:p>
                  <w:pPr>
                    <w:adjustRightInd w:val="0"/>
                    <w:snapToGrid w:val="0"/>
                    <w:jc w:val="left"/>
                    <w:rPr>
                      <w:b/>
                      <w:bCs/>
                      <w:color w:val="auto"/>
                      <w:sz w:val="21"/>
                      <w:szCs w:val="21"/>
                    </w:rPr>
                  </w:pPr>
                  <w:r>
                    <w:rPr>
                      <w:color w:val="auto"/>
                      <w:sz w:val="21"/>
                      <w:szCs w:val="21"/>
                    </w:rPr>
                    <w:t>由市政供电线路统一供电。</w:t>
                  </w:r>
                </w:p>
              </w:tc>
              <w:tc>
                <w:tcPr>
                  <w:tcW w:w="559" w:type="pct"/>
                  <w:vMerge w:val="restart"/>
                  <w:vAlign w:val="center"/>
                </w:tcPr>
                <w:p>
                  <w:pPr>
                    <w:adjustRightInd w:val="0"/>
                    <w:snapToGrid w:val="0"/>
                    <w:jc w:val="center"/>
                    <w:rPr>
                      <w:rFonts w:hint="default" w:eastAsia="宋体"/>
                      <w:color w:val="auto"/>
                      <w:sz w:val="21"/>
                      <w:szCs w:val="21"/>
                      <w:lang w:val="en-US" w:eastAsia="zh-CN"/>
                    </w:rPr>
                  </w:pPr>
                  <w:r>
                    <w:rPr>
                      <w:rFonts w:hint="eastAsia"/>
                      <w:bCs/>
                      <w:color w:val="auto"/>
                      <w:sz w:val="21"/>
                      <w:szCs w:val="21"/>
                    </w:rPr>
                    <w:t>依托</w:t>
                  </w:r>
                  <w:r>
                    <w:rPr>
                      <w:rFonts w:hint="eastAsia"/>
                      <w:bCs/>
                      <w:color w:val="auto"/>
                      <w:sz w:val="21"/>
                      <w:szCs w:val="21"/>
                      <w:lang w:eastAsia="zh-CN"/>
                    </w:rPr>
                    <w:t>宝塑管业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3" w:type="pct"/>
                  <w:vMerge w:val="continue"/>
                  <w:vAlign w:val="center"/>
                </w:tcPr>
                <w:p>
                  <w:pPr>
                    <w:adjustRightInd w:val="0"/>
                    <w:snapToGrid w:val="0"/>
                    <w:jc w:val="center"/>
                    <w:rPr>
                      <w:bCs/>
                      <w:color w:val="auto"/>
                      <w:sz w:val="21"/>
                      <w:szCs w:val="21"/>
                    </w:rPr>
                  </w:pPr>
                </w:p>
              </w:tc>
              <w:tc>
                <w:tcPr>
                  <w:tcW w:w="835" w:type="pct"/>
                  <w:gridSpan w:val="2"/>
                  <w:vAlign w:val="center"/>
                </w:tcPr>
                <w:p>
                  <w:pPr>
                    <w:adjustRightInd w:val="0"/>
                    <w:snapToGrid w:val="0"/>
                    <w:jc w:val="center"/>
                    <w:rPr>
                      <w:bCs/>
                      <w:color w:val="auto"/>
                      <w:sz w:val="21"/>
                      <w:szCs w:val="21"/>
                    </w:rPr>
                  </w:pPr>
                  <w:r>
                    <w:rPr>
                      <w:bCs/>
                      <w:color w:val="auto"/>
                      <w:sz w:val="21"/>
                      <w:szCs w:val="21"/>
                    </w:rPr>
                    <w:t>供水</w:t>
                  </w:r>
                </w:p>
              </w:tc>
              <w:tc>
                <w:tcPr>
                  <w:tcW w:w="3142" w:type="pct"/>
                  <w:vAlign w:val="center"/>
                </w:tcPr>
                <w:p>
                  <w:pPr>
                    <w:adjustRightInd w:val="0"/>
                    <w:snapToGrid w:val="0"/>
                    <w:jc w:val="left"/>
                    <w:rPr>
                      <w:b/>
                      <w:bCs/>
                      <w:color w:val="auto"/>
                      <w:sz w:val="21"/>
                      <w:szCs w:val="21"/>
                    </w:rPr>
                  </w:pPr>
                  <w:r>
                    <w:rPr>
                      <w:rFonts w:hint="eastAsia"/>
                      <w:color w:val="auto"/>
                      <w:sz w:val="21"/>
                      <w:szCs w:val="21"/>
                      <w:lang w:val="en-US" w:eastAsia="zh-CN"/>
                    </w:rPr>
                    <w:t>使用现状宝塑管业已建成使用的供水系统</w:t>
                  </w:r>
                  <w:r>
                    <w:rPr>
                      <w:color w:val="auto"/>
                      <w:sz w:val="21"/>
                      <w:szCs w:val="21"/>
                    </w:rPr>
                    <w:t>。</w:t>
                  </w:r>
                </w:p>
              </w:tc>
              <w:tc>
                <w:tcPr>
                  <w:tcW w:w="559" w:type="pct"/>
                  <w:vMerge w:val="continue"/>
                  <w:vAlign w:val="center"/>
                </w:tcPr>
                <w:p>
                  <w:pPr>
                    <w:adjustRightInd w:val="0"/>
                    <w:snapToGrid w:val="0"/>
                    <w:jc w:val="center"/>
                    <w:rPr>
                      <w:b/>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3" w:type="pct"/>
                  <w:vMerge w:val="continue"/>
                  <w:vAlign w:val="center"/>
                </w:tcPr>
                <w:p>
                  <w:pPr>
                    <w:adjustRightInd w:val="0"/>
                    <w:snapToGrid w:val="0"/>
                    <w:jc w:val="center"/>
                    <w:rPr>
                      <w:bCs/>
                      <w:color w:val="auto"/>
                      <w:sz w:val="21"/>
                      <w:szCs w:val="21"/>
                    </w:rPr>
                  </w:pPr>
                </w:p>
              </w:tc>
              <w:tc>
                <w:tcPr>
                  <w:tcW w:w="835" w:type="pct"/>
                  <w:gridSpan w:val="2"/>
                  <w:vAlign w:val="center"/>
                </w:tcPr>
                <w:p>
                  <w:pPr>
                    <w:adjustRightInd w:val="0"/>
                    <w:snapToGrid w:val="0"/>
                    <w:jc w:val="center"/>
                    <w:rPr>
                      <w:bCs/>
                      <w:color w:val="auto"/>
                      <w:sz w:val="21"/>
                      <w:szCs w:val="21"/>
                    </w:rPr>
                  </w:pPr>
                  <w:r>
                    <w:rPr>
                      <w:bCs/>
                      <w:color w:val="auto"/>
                      <w:sz w:val="21"/>
                      <w:szCs w:val="21"/>
                    </w:rPr>
                    <w:t>排水</w:t>
                  </w:r>
                </w:p>
              </w:tc>
              <w:tc>
                <w:tcPr>
                  <w:tcW w:w="3142" w:type="pct"/>
                  <w:vAlign w:val="center"/>
                </w:tcPr>
                <w:p>
                  <w:pPr>
                    <w:adjustRightInd w:val="0"/>
                    <w:snapToGrid w:val="0"/>
                    <w:rPr>
                      <w:color w:val="auto"/>
                      <w:sz w:val="21"/>
                      <w:szCs w:val="21"/>
                    </w:rPr>
                  </w:pPr>
                  <w:r>
                    <w:rPr>
                      <w:color w:val="auto"/>
                      <w:sz w:val="21"/>
                      <w:szCs w:val="21"/>
                    </w:rPr>
                    <w:t>项目实行雨污分流排水制，雨水经雨水管收集后排入</w:t>
                  </w:r>
                  <w:bookmarkStart w:id="16" w:name="OLE_LINK15"/>
                  <w:r>
                    <w:rPr>
                      <w:rFonts w:hint="eastAsia"/>
                      <w:color w:val="auto"/>
                      <w:sz w:val="21"/>
                      <w:szCs w:val="21"/>
                      <w:lang w:eastAsia="zh-CN"/>
                    </w:rPr>
                    <w:t>宝塑管业</w:t>
                  </w:r>
                  <w:r>
                    <w:rPr>
                      <w:rFonts w:hint="eastAsia"/>
                      <w:color w:val="auto"/>
                      <w:sz w:val="21"/>
                      <w:szCs w:val="21"/>
                    </w:rPr>
                    <w:t>已建</w:t>
                  </w:r>
                  <w:bookmarkEnd w:id="16"/>
                  <w:r>
                    <w:rPr>
                      <w:rFonts w:hint="eastAsia"/>
                      <w:color w:val="auto"/>
                      <w:sz w:val="21"/>
                      <w:szCs w:val="21"/>
                    </w:rPr>
                    <w:t>初期雨水收集池沉淀处理后回用于</w:t>
                  </w:r>
                  <w:r>
                    <w:rPr>
                      <w:rFonts w:hint="eastAsia"/>
                      <w:color w:val="auto"/>
                      <w:sz w:val="21"/>
                      <w:szCs w:val="21"/>
                      <w:lang w:eastAsia="zh-CN"/>
                    </w:rPr>
                    <w:t>宝塑管业</w:t>
                  </w:r>
                  <w:r>
                    <w:rPr>
                      <w:rFonts w:hint="eastAsia"/>
                      <w:color w:val="auto"/>
                      <w:sz w:val="21"/>
                      <w:szCs w:val="21"/>
                    </w:rPr>
                    <w:t>厂区道路洒水降尘。</w:t>
                  </w:r>
                </w:p>
                <w:p>
                  <w:pPr>
                    <w:adjustRightInd w:val="0"/>
                    <w:snapToGrid w:val="0"/>
                    <w:rPr>
                      <w:color w:val="auto"/>
                      <w:sz w:val="21"/>
                      <w:szCs w:val="21"/>
                    </w:rPr>
                  </w:pPr>
                  <w:r>
                    <w:rPr>
                      <w:rFonts w:hint="eastAsia"/>
                      <w:color w:val="auto"/>
                      <w:sz w:val="21"/>
                      <w:szCs w:val="21"/>
                      <w:lang w:val="en-US" w:eastAsia="zh-CN"/>
                    </w:rPr>
                    <w:t>项目运营期不产生</w:t>
                  </w:r>
                  <w:r>
                    <w:rPr>
                      <w:rFonts w:hint="eastAsia"/>
                      <w:color w:val="auto"/>
                      <w:sz w:val="21"/>
                      <w:szCs w:val="21"/>
                    </w:rPr>
                    <w:t>生产废水</w:t>
                  </w:r>
                  <w:r>
                    <w:rPr>
                      <w:rFonts w:hint="eastAsia"/>
                      <w:color w:val="auto"/>
                      <w:sz w:val="21"/>
                      <w:szCs w:val="21"/>
                      <w:lang w:eastAsia="zh-CN"/>
                    </w:rPr>
                    <w:t>，</w:t>
                  </w:r>
                  <w:r>
                    <w:rPr>
                      <w:color w:val="auto"/>
                      <w:sz w:val="21"/>
                      <w:szCs w:val="21"/>
                    </w:rPr>
                    <w:t>生活污水依托经</w:t>
                  </w:r>
                  <w:r>
                    <w:rPr>
                      <w:rFonts w:hint="eastAsia"/>
                      <w:color w:val="auto"/>
                      <w:sz w:val="21"/>
                      <w:szCs w:val="21"/>
                      <w:lang w:eastAsia="zh-CN"/>
                    </w:rPr>
                    <w:t>宝塑管业</w:t>
                  </w:r>
                  <w:r>
                    <w:rPr>
                      <w:color w:val="auto"/>
                      <w:sz w:val="21"/>
                      <w:szCs w:val="21"/>
                    </w:rPr>
                    <w:t>已建设的化粪池</w:t>
                  </w:r>
                  <w:r>
                    <w:rPr>
                      <w:rFonts w:hint="eastAsia"/>
                      <w:color w:val="auto"/>
                      <w:sz w:val="21"/>
                      <w:szCs w:val="21"/>
                      <w:lang w:val="en-US" w:eastAsia="zh-CN"/>
                    </w:rPr>
                    <w:t>委托宜良县汇金环境卫生服务部定期清运、清掏</w:t>
                  </w:r>
                  <w:r>
                    <w:rPr>
                      <w:color w:val="auto"/>
                      <w:sz w:val="21"/>
                      <w:szCs w:val="21"/>
                    </w:rPr>
                    <w:t>。</w:t>
                  </w:r>
                </w:p>
              </w:tc>
              <w:tc>
                <w:tcPr>
                  <w:tcW w:w="559" w:type="pct"/>
                  <w:vAlign w:val="center"/>
                </w:tcPr>
                <w:p>
                  <w:pPr>
                    <w:adjustRightInd w:val="0"/>
                    <w:snapToGrid w:val="0"/>
                    <w:jc w:val="center"/>
                    <w:rPr>
                      <w:rFonts w:hint="default" w:eastAsia="宋体"/>
                      <w:bCs/>
                      <w:color w:val="auto"/>
                      <w:sz w:val="21"/>
                      <w:szCs w:val="21"/>
                      <w:lang w:val="en-US" w:eastAsia="zh-CN"/>
                    </w:rPr>
                  </w:pPr>
                  <w:r>
                    <w:rPr>
                      <w:rFonts w:hint="eastAsia"/>
                      <w:bCs/>
                      <w:color w:val="auto"/>
                      <w:sz w:val="21"/>
                      <w:szCs w:val="21"/>
                      <w:lang w:val="en-US" w:eastAsia="zh-CN"/>
                    </w:rPr>
                    <w:t>依托现有处理设施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3" w:type="pct"/>
                  <w:vMerge w:val="restart"/>
                  <w:vAlign w:val="center"/>
                </w:tcPr>
                <w:p>
                  <w:pPr>
                    <w:adjustRightInd w:val="0"/>
                    <w:snapToGrid w:val="0"/>
                    <w:jc w:val="center"/>
                    <w:rPr>
                      <w:bCs/>
                      <w:color w:val="auto"/>
                      <w:sz w:val="21"/>
                      <w:szCs w:val="21"/>
                    </w:rPr>
                  </w:pPr>
                  <w:r>
                    <w:rPr>
                      <w:bCs/>
                      <w:color w:val="auto"/>
                      <w:sz w:val="21"/>
                      <w:szCs w:val="21"/>
                    </w:rPr>
                    <w:t>环保工程</w:t>
                  </w:r>
                </w:p>
              </w:tc>
              <w:tc>
                <w:tcPr>
                  <w:tcW w:w="388" w:type="pct"/>
                  <w:vMerge w:val="restart"/>
                  <w:vAlign w:val="center"/>
                </w:tcPr>
                <w:p>
                  <w:pPr>
                    <w:adjustRightInd w:val="0"/>
                    <w:snapToGrid w:val="0"/>
                    <w:jc w:val="center"/>
                    <w:rPr>
                      <w:bCs/>
                      <w:color w:val="auto"/>
                      <w:sz w:val="21"/>
                      <w:szCs w:val="21"/>
                    </w:rPr>
                  </w:pPr>
                  <w:r>
                    <w:rPr>
                      <w:bCs/>
                      <w:color w:val="auto"/>
                      <w:sz w:val="21"/>
                      <w:szCs w:val="21"/>
                    </w:rPr>
                    <w:t>废气</w:t>
                  </w:r>
                </w:p>
              </w:tc>
              <w:tc>
                <w:tcPr>
                  <w:tcW w:w="446" w:type="pct"/>
                  <w:vAlign w:val="center"/>
                </w:tcPr>
                <w:p>
                  <w:pPr>
                    <w:adjustRightInd w:val="0"/>
                    <w:snapToGrid w:val="0"/>
                    <w:jc w:val="center"/>
                    <w:rPr>
                      <w:bCs/>
                      <w:color w:val="auto"/>
                      <w:sz w:val="21"/>
                      <w:szCs w:val="21"/>
                    </w:rPr>
                  </w:pPr>
                  <w:r>
                    <w:rPr>
                      <w:bCs/>
                      <w:color w:val="auto"/>
                      <w:sz w:val="21"/>
                      <w:szCs w:val="21"/>
                    </w:rPr>
                    <w:t>活性炭吸附装置</w:t>
                  </w:r>
                </w:p>
              </w:tc>
              <w:tc>
                <w:tcPr>
                  <w:tcW w:w="3142" w:type="pct"/>
                  <w:vAlign w:val="center"/>
                </w:tcPr>
                <w:p>
                  <w:pPr>
                    <w:adjustRightInd w:val="0"/>
                    <w:snapToGrid w:val="0"/>
                    <w:rPr>
                      <w:bCs/>
                      <w:color w:val="auto"/>
                      <w:sz w:val="21"/>
                      <w:szCs w:val="21"/>
                    </w:rPr>
                  </w:pPr>
                  <w:r>
                    <w:rPr>
                      <w:bCs/>
                      <w:color w:val="auto"/>
                      <w:sz w:val="21"/>
                      <w:szCs w:val="21"/>
                    </w:rPr>
                    <w:t>项目</w:t>
                  </w:r>
                  <w:r>
                    <w:rPr>
                      <w:rFonts w:hint="eastAsia"/>
                      <w:bCs/>
                      <w:color w:val="auto"/>
                      <w:sz w:val="21"/>
                      <w:szCs w:val="21"/>
                    </w:rPr>
                    <w:t>热熔造粒热熔挤出</w:t>
                  </w:r>
                  <w:r>
                    <w:rPr>
                      <w:bCs/>
                      <w:color w:val="auto"/>
                      <w:sz w:val="21"/>
                      <w:szCs w:val="21"/>
                    </w:rPr>
                    <w:t>工序产生的挥发性有机废气（以非甲烷总烃计）经</w:t>
                  </w:r>
                  <w:r>
                    <w:rPr>
                      <w:rFonts w:ascii="宋体" w:hAnsi="宋体"/>
                      <w:bCs/>
                      <w:color w:val="auto"/>
                      <w:sz w:val="21"/>
                      <w:szCs w:val="21"/>
                    </w:rPr>
                    <w:t>“</w:t>
                  </w:r>
                  <w:r>
                    <w:rPr>
                      <w:bCs/>
                      <w:color w:val="auto"/>
                      <w:sz w:val="21"/>
                      <w:szCs w:val="21"/>
                    </w:rPr>
                    <w:t>集气罩收集+</w:t>
                  </w:r>
                  <w:r>
                    <w:rPr>
                      <w:rFonts w:hint="eastAsia"/>
                      <w:bCs/>
                      <w:color w:val="auto"/>
                      <w:sz w:val="21"/>
                      <w:szCs w:val="21"/>
                    </w:rPr>
                    <w:t>过滤棉+</w:t>
                  </w:r>
                  <w:r>
                    <w:rPr>
                      <w:rFonts w:hint="eastAsia"/>
                      <w:bCs/>
                      <w:color w:val="auto"/>
                      <w:sz w:val="21"/>
                      <w:szCs w:val="21"/>
                      <w:lang w:eastAsia="zh-CN"/>
                    </w:rPr>
                    <w:t>三级活性炭</w:t>
                  </w:r>
                  <w:r>
                    <w:rPr>
                      <w:bCs/>
                      <w:color w:val="auto"/>
                      <w:sz w:val="21"/>
                      <w:szCs w:val="21"/>
                    </w:rPr>
                    <w:t>吸附装置</w:t>
                  </w:r>
                  <w:r>
                    <w:rPr>
                      <w:rFonts w:ascii="宋体" w:hAnsi="宋体"/>
                      <w:bCs/>
                      <w:color w:val="auto"/>
                      <w:sz w:val="21"/>
                      <w:szCs w:val="21"/>
                    </w:rPr>
                    <w:t>”</w:t>
                  </w:r>
                  <w:r>
                    <w:rPr>
                      <w:bCs/>
                      <w:color w:val="auto"/>
                      <w:sz w:val="21"/>
                      <w:szCs w:val="21"/>
                    </w:rPr>
                    <w:t>处理后由1根</w:t>
                  </w:r>
                  <w:r>
                    <w:rPr>
                      <w:rFonts w:hint="eastAsia"/>
                      <w:bCs/>
                      <w:color w:val="auto"/>
                      <w:sz w:val="21"/>
                      <w:szCs w:val="21"/>
                      <w:lang w:val="en-US" w:eastAsia="zh-CN"/>
                    </w:rPr>
                    <w:t>15</w:t>
                  </w:r>
                  <w:r>
                    <w:rPr>
                      <w:bCs/>
                      <w:color w:val="auto"/>
                      <w:sz w:val="21"/>
                      <w:szCs w:val="21"/>
                    </w:rPr>
                    <w:t>m高的排气筒（DA001）排放。</w:t>
                  </w:r>
                </w:p>
              </w:tc>
              <w:tc>
                <w:tcPr>
                  <w:tcW w:w="559" w:type="pct"/>
                  <w:vMerge w:val="restart"/>
                  <w:vAlign w:val="center"/>
                </w:tcPr>
                <w:p>
                  <w:pPr>
                    <w:adjustRightInd w:val="0"/>
                    <w:snapToGrid w:val="0"/>
                    <w:jc w:val="center"/>
                    <w:rPr>
                      <w:bCs/>
                      <w:color w:val="auto"/>
                      <w:sz w:val="21"/>
                      <w:szCs w:val="21"/>
                    </w:rPr>
                  </w:pPr>
                  <w:r>
                    <w:rPr>
                      <w:rFonts w:hint="eastAsia"/>
                      <w:bCs/>
                      <w:color w:val="auto"/>
                      <w:sz w:val="21"/>
                      <w:szCs w:val="21"/>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3" w:type="pct"/>
                  <w:vMerge w:val="continue"/>
                  <w:vAlign w:val="center"/>
                </w:tcPr>
                <w:p>
                  <w:pPr>
                    <w:adjustRightInd w:val="0"/>
                    <w:snapToGrid w:val="0"/>
                    <w:jc w:val="center"/>
                    <w:rPr>
                      <w:bCs/>
                      <w:color w:val="auto"/>
                      <w:sz w:val="21"/>
                      <w:szCs w:val="21"/>
                    </w:rPr>
                  </w:pPr>
                </w:p>
              </w:tc>
              <w:tc>
                <w:tcPr>
                  <w:tcW w:w="388" w:type="pct"/>
                  <w:vMerge w:val="continue"/>
                  <w:vAlign w:val="center"/>
                </w:tcPr>
                <w:p>
                  <w:pPr>
                    <w:adjustRightInd w:val="0"/>
                    <w:snapToGrid w:val="0"/>
                    <w:jc w:val="center"/>
                    <w:rPr>
                      <w:bCs/>
                      <w:color w:val="auto"/>
                      <w:sz w:val="21"/>
                      <w:szCs w:val="21"/>
                    </w:rPr>
                  </w:pPr>
                </w:p>
              </w:tc>
              <w:tc>
                <w:tcPr>
                  <w:tcW w:w="446" w:type="pct"/>
                  <w:vAlign w:val="center"/>
                </w:tcPr>
                <w:p>
                  <w:pPr>
                    <w:adjustRightInd w:val="0"/>
                    <w:snapToGrid w:val="0"/>
                    <w:jc w:val="center"/>
                    <w:rPr>
                      <w:bCs/>
                      <w:color w:val="auto"/>
                      <w:sz w:val="21"/>
                      <w:szCs w:val="21"/>
                    </w:rPr>
                  </w:pPr>
                  <w:r>
                    <w:rPr>
                      <w:rFonts w:hint="eastAsia"/>
                      <w:bCs/>
                      <w:color w:val="auto"/>
                      <w:sz w:val="21"/>
                      <w:szCs w:val="21"/>
                    </w:rPr>
                    <w:t>除臭</w:t>
                  </w:r>
                </w:p>
              </w:tc>
              <w:tc>
                <w:tcPr>
                  <w:tcW w:w="3142" w:type="pct"/>
                  <w:vAlign w:val="center"/>
                </w:tcPr>
                <w:p>
                  <w:pPr>
                    <w:adjustRightInd w:val="0"/>
                    <w:snapToGrid w:val="0"/>
                    <w:rPr>
                      <w:bCs/>
                      <w:color w:val="auto"/>
                      <w:sz w:val="21"/>
                      <w:szCs w:val="21"/>
                    </w:rPr>
                  </w:pPr>
                  <w:r>
                    <w:rPr>
                      <w:rFonts w:hint="eastAsia"/>
                      <w:bCs/>
                      <w:color w:val="auto"/>
                      <w:sz w:val="21"/>
                      <w:szCs w:val="21"/>
                    </w:rPr>
                    <w:t>针对项目原料堆放、生产过程中产生的恶臭，在生产车间内安装排气扇，加强车间通风；原料最大暂存量不超过五天，尽量减少堆放时间、定期对原料喷洒除臭剂。</w:t>
                  </w:r>
                </w:p>
              </w:tc>
              <w:tc>
                <w:tcPr>
                  <w:tcW w:w="559" w:type="pct"/>
                  <w:vMerge w:val="continue"/>
                  <w:vAlign w:val="center"/>
                </w:tcPr>
                <w:p>
                  <w:pPr>
                    <w:adjustRightInd w:val="0"/>
                    <w:snapToGrid w:val="0"/>
                    <w:jc w:val="center"/>
                    <w:rPr>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3" w:type="pct"/>
                  <w:vMerge w:val="continue"/>
                  <w:vAlign w:val="center"/>
                </w:tcPr>
                <w:p>
                  <w:pPr>
                    <w:adjustRightInd w:val="0"/>
                    <w:snapToGrid w:val="0"/>
                    <w:jc w:val="center"/>
                    <w:rPr>
                      <w:bCs/>
                      <w:color w:val="auto"/>
                      <w:sz w:val="21"/>
                      <w:szCs w:val="21"/>
                    </w:rPr>
                  </w:pPr>
                </w:p>
              </w:tc>
              <w:tc>
                <w:tcPr>
                  <w:tcW w:w="388" w:type="pct"/>
                  <w:vMerge w:val="restart"/>
                  <w:vAlign w:val="center"/>
                </w:tcPr>
                <w:p>
                  <w:pPr>
                    <w:adjustRightInd w:val="0"/>
                    <w:snapToGrid w:val="0"/>
                    <w:jc w:val="center"/>
                    <w:rPr>
                      <w:bCs/>
                      <w:color w:val="auto"/>
                      <w:sz w:val="21"/>
                      <w:szCs w:val="21"/>
                      <w:highlight w:val="yellow"/>
                    </w:rPr>
                  </w:pPr>
                  <w:r>
                    <w:rPr>
                      <w:bCs/>
                      <w:color w:val="auto"/>
                      <w:sz w:val="21"/>
                      <w:szCs w:val="21"/>
                    </w:rPr>
                    <w:t>废水</w:t>
                  </w:r>
                </w:p>
              </w:tc>
              <w:tc>
                <w:tcPr>
                  <w:tcW w:w="446" w:type="pct"/>
                  <w:vAlign w:val="center"/>
                </w:tcPr>
                <w:p>
                  <w:pPr>
                    <w:adjustRightInd w:val="0"/>
                    <w:snapToGrid w:val="0"/>
                    <w:jc w:val="center"/>
                    <w:rPr>
                      <w:bCs/>
                      <w:color w:val="auto"/>
                      <w:sz w:val="21"/>
                      <w:szCs w:val="21"/>
                    </w:rPr>
                  </w:pPr>
                  <w:r>
                    <w:rPr>
                      <w:bCs/>
                      <w:color w:val="auto"/>
                      <w:sz w:val="21"/>
                      <w:szCs w:val="21"/>
                    </w:rPr>
                    <w:t>雨污分流管网</w:t>
                  </w:r>
                </w:p>
              </w:tc>
              <w:tc>
                <w:tcPr>
                  <w:tcW w:w="3142" w:type="pct"/>
                  <w:vAlign w:val="center"/>
                </w:tcPr>
                <w:p>
                  <w:pPr>
                    <w:adjustRightInd w:val="0"/>
                    <w:snapToGrid w:val="0"/>
                    <w:rPr>
                      <w:bCs/>
                      <w:color w:val="auto"/>
                      <w:sz w:val="21"/>
                      <w:szCs w:val="21"/>
                    </w:rPr>
                  </w:pPr>
                  <w:r>
                    <w:rPr>
                      <w:bCs/>
                      <w:color w:val="auto"/>
                      <w:sz w:val="21"/>
                      <w:szCs w:val="21"/>
                    </w:rPr>
                    <w:t>厂区排水实行雨污分流制，建设雨水管网、</w:t>
                  </w:r>
                  <w:r>
                    <w:rPr>
                      <w:rFonts w:hint="eastAsia"/>
                      <w:bCs/>
                      <w:color w:val="auto"/>
                      <w:sz w:val="21"/>
                      <w:szCs w:val="21"/>
                    </w:rPr>
                    <w:t>生活</w:t>
                  </w:r>
                  <w:r>
                    <w:rPr>
                      <w:bCs/>
                      <w:color w:val="auto"/>
                      <w:sz w:val="21"/>
                      <w:szCs w:val="21"/>
                    </w:rPr>
                    <w:t>污水管网。</w:t>
                  </w:r>
                </w:p>
              </w:tc>
              <w:tc>
                <w:tcPr>
                  <w:tcW w:w="559" w:type="pct"/>
                  <w:vMerge w:val="restart"/>
                  <w:vAlign w:val="center"/>
                </w:tcPr>
                <w:p>
                  <w:pPr>
                    <w:adjustRightInd w:val="0"/>
                    <w:snapToGrid w:val="0"/>
                    <w:jc w:val="center"/>
                    <w:rPr>
                      <w:rFonts w:hint="eastAsia" w:eastAsia="宋体"/>
                      <w:bCs/>
                      <w:color w:val="auto"/>
                      <w:sz w:val="21"/>
                      <w:szCs w:val="21"/>
                      <w:lang w:eastAsia="zh-CN"/>
                    </w:rPr>
                  </w:pPr>
                  <w:r>
                    <w:rPr>
                      <w:rFonts w:hint="eastAsia"/>
                      <w:bCs/>
                      <w:color w:val="auto"/>
                      <w:sz w:val="21"/>
                      <w:szCs w:val="21"/>
                    </w:rPr>
                    <w:t>依托</w:t>
                  </w:r>
                  <w:r>
                    <w:rPr>
                      <w:rFonts w:hint="eastAsia"/>
                      <w:bCs/>
                      <w:color w:val="auto"/>
                      <w:sz w:val="21"/>
                      <w:szCs w:val="21"/>
                      <w:lang w:eastAsia="zh-CN"/>
                    </w:rPr>
                    <w:t>宝塑管业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3" w:type="pct"/>
                  <w:vMerge w:val="continue"/>
                  <w:vAlign w:val="center"/>
                </w:tcPr>
                <w:p>
                  <w:pPr>
                    <w:adjustRightInd w:val="0"/>
                    <w:snapToGrid w:val="0"/>
                    <w:jc w:val="center"/>
                    <w:rPr>
                      <w:bCs/>
                      <w:color w:val="auto"/>
                      <w:sz w:val="21"/>
                      <w:szCs w:val="21"/>
                    </w:rPr>
                  </w:pPr>
                </w:p>
              </w:tc>
              <w:tc>
                <w:tcPr>
                  <w:tcW w:w="388" w:type="pct"/>
                  <w:vMerge w:val="continue"/>
                  <w:vAlign w:val="center"/>
                </w:tcPr>
                <w:p>
                  <w:pPr>
                    <w:adjustRightInd w:val="0"/>
                    <w:snapToGrid w:val="0"/>
                    <w:jc w:val="center"/>
                    <w:rPr>
                      <w:bCs/>
                      <w:color w:val="auto"/>
                      <w:sz w:val="21"/>
                      <w:szCs w:val="21"/>
                    </w:rPr>
                  </w:pPr>
                </w:p>
              </w:tc>
              <w:tc>
                <w:tcPr>
                  <w:tcW w:w="446" w:type="pct"/>
                  <w:vAlign w:val="center"/>
                </w:tcPr>
                <w:p>
                  <w:pPr>
                    <w:adjustRightInd w:val="0"/>
                    <w:snapToGrid w:val="0"/>
                    <w:jc w:val="center"/>
                    <w:rPr>
                      <w:bCs/>
                      <w:color w:val="auto"/>
                      <w:sz w:val="21"/>
                      <w:szCs w:val="21"/>
                    </w:rPr>
                  </w:pPr>
                  <w:r>
                    <w:rPr>
                      <w:bCs/>
                      <w:color w:val="auto"/>
                      <w:sz w:val="21"/>
                      <w:szCs w:val="21"/>
                    </w:rPr>
                    <w:t>化粪池</w:t>
                  </w:r>
                </w:p>
              </w:tc>
              <w:tc>
                <w:tcPr>
                  <w:tcW w:w="3142" w:type="pct"/>
                  <w:vAlign w:val="center"/>
                </w:tcPr>
                <w:p>
                  <w:pPr>
                    <w:adjustRightInd w:val="0"/>
                    <w:snapToGrid w:val="0"/>
                    <w:rPr>
                      <w:bCs/>
                      <w:color w:val="auto"/>
                      <w:sz w:val="21"/>
                      <w:szCs w:val="21"/>
                    </w:rPr>
                  </w:pPr>
                  <w:r>
                    <w:rPr>
                      <w:rFonts w:hint="eastAsia"/>
                      <w:bCs/>
                      <w:color w:val="auto"/>
                      <w:sz w:val="21"/>
                      <w:szCs w:val="21"/>
                      <w:lang w:eastAsia="zh-CN"/>
                    </w:rPr>
                    <w:t>宝塑管业</w:t>
                  </w:r>
                  <w:r>
                    <w:rPr>
                      <w:rFonts w:hint="eastAsia"/>
                      <w:bCs/>
                      <w:color w:val="auto"/>
                      <w:sz w:val="21"/>
                      <w:szCs w:val="21"/>
                    </w:rPr>
                    <w:t>卫生间</w:t>
                  </w:r>
                  <w:r>
                    <w:rPr>
                      <w:bCs/>
                      <w:color w:val="auto"/>
                      <w:sz w:val="21"/>
                      <w:szCs w:val="21"/>
                    </w:rPr>
                    <w:t>设置1个化粪池，容积为</w:t>
                  </w:r>
                  <w:r>
                    <w:rPr>
                      <w:rFonts w:hint="eastAsia"/>
                      <w:bCs/>
                      <w:color w:val="auto"/>
                      <w:sz w:val="21"/>
                      <w:szCs w:val="21"/>
                      <w:lang w:val="en-US" w:eastAsia="zh-CN"/>
                    </w:rPr>
                    <w:t>4</w:t>
                  </w:r>
                  <w:r>
                    <w:rPr>
                      <w:bCs/>
                      <w:color w:val="auto"/>
                      <w:sz w:val="21"/>
                      <w:szCs w:val="21"/>
                    </w:rPr>
                    <w:t>m</w:t>
                  </w:r>
                  <w:r>
                    <w:rPr>
                      <w:bCs/>
                      <w:color w:val="auto"/>
                      <w:sz w:val="21"/>
                      <w:szCs w:val="21"/>
                      <w:vertAlign w:val="superscript"/>
                    </w:rPr>
                    <w:t>3</w:t>
                  </w:r>
                  <w:r>
                    <w:rPr>
                      <w:bCs/>
                      <w:color w:val="auto"/>
                      <w:sz w:val="21"/>
                      <w:szCs w:val="21"/>
                    </w:rPr>
                    <w:t>。</w:t>
                  </w:r>
                </w:p>
              </w:tc>
              <w:tc>
                <w:tcPr>
                  <w:tcW w:w="559" w:type="pct"/>
                  <w:vMerge w:val="continue"/>
                  <w:vAlign w:val="center"/>
                </w:tcPr>
                <w:p>
                  <w:pPr>
                    <w:adjustRightInd w:val="0"/>
                    <w:snapToGrid w:val="0"/>
                    <w:jc w:val="center"/>
                    <w:rPr>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3" w:type="pct"/>
                  <w:vMerge w:val="continue"/>
                  <w:vAlign w:val="center"/>
                </w:tcPr>
                <w:p>
                  <w:pPr>
                    <w:adjustRightInd w:val="0"/>
                    <w:snapToGrid w:val="0"/>
                    <w:jc w:val="center"/>
                    <w:rPr>
                      <w:bCs/>
                      <w:color w:val="auto"/>
                      <w:sz w:val="21"/>
                      <w:szCs w:val="21"/>
                    </w:rPr>
                  </w:pPr>
                </w:p>
              </w:tc>
              <w:tc>
                <w:tcPr>
                  <w:tcW w:w="388" w:type="pct"/>
                  <w:vMerge w:val="continue"/>
                  <w:vAlign w:val="center"/>
                </w:tcPr>
                <w:p>
                  <w:pPr>
                    <w:adjustRightInd w:val="0"/>
                    <w:snapToGrid w:val="0"/>
                    <w:jc w:val="center"/>
                    <w:rPr>
                      <w:bCs/>
                      <w:color w:val="auto"/>
                      <w:sz w:val="21"/>
                      <w:szCs w:val="21"/>
                      <w:highlight w:val="yellow"/>
                    </w:rPr>
                  </w:pPr>
                </w:p>
              </w:tc>
              <w:tc>
                <w:tcPr>
                  <w:tcW w:w="446" w:type="pct"/>
                  <w:vAlign w:val="center"/>
                </w:tcPr>
                <w:p>
                  <w:pPr>
                    <w:adjustRightInd w:val="0"/>
                    <w:snapToGrid w:val="0"/>
                    <w:jc w:val="center"/>
                    <w:rPr>
                      <w:bCs/>
                      <w:color w:val="auto"/>
                      <w:sz w:val="21"/>
                      <w:szCs w:val="21"/>
                    </w:rPr>
                  </w:pPr>
                  <w:r>
                    <w:rPr>
                      <w:rFonts w:hint="eastAsia"/>
                      <w:bCs/>
                      <w:color w:val="auto"/>
                      <w:sz w:val="21"/>
                      <w:szCs w:val="21"/>
                    </w:rPr>
                    <w:t>冷却水池</w:t>
                  </w:r>
                </w:p>
              </w:tc>
              <w:tc>
                <w:tcPr>
                  <w:tcW w:w="3142" w:type="pct"/>
                  <w:vAlign w:val="center"/>
                </w:tcPr>
                <w:p>
                  <w:pPr>
                    <w:adjustRightInd w:val="0"/>
                    <w:snapToGrid w:val="0"/>
                    <w:rPr>
                      <w:bCs/>
                      <w:color w:val="auto"/>
                      <w:sz w:val="21"/>
                      <w:szCs w:val="21"/>
                    </w:rPr>
                  </w:pPr>
                  <w:r>
                    <w:rPr>
                      <w:rFonts w:hint="eastAsia"/>
                      <w:bCs/>
                      <w:color w:val="auto"/>
                      <w:sz w:val="21"/>
                      <w:szCs w:val="21"/>
                      <w:lang w:val="en-US" w:eastAsia="zh-CN"/>
                    </w:rPr>
                    <w:t>2</w:t>
                  </w:r>
                  <w:r>
                    <w:rPr>
                      <w:bCs/>
                      <w:color w:val="auto"/>
                      <w:sz w:val="21"/>
                      <w:szCs w:val="21"/>
                    </w:rPr>
                    <w:t>个，</w:t>
                  </w:r>
                  <w:r>
                    <w:rPr>
                      <w:rFonts w:hint="eastAsia"/>
                      <w:bCs/>
                      <w:color w:val="auto"/>
                      <w:sz w:val="21"/>
                      <w:szCs w:val="21"/>
                      <w:lang w:val="en-US" w:eastAsia="zh-CN"/>
                    </w:rPr>
                    <w:t>每个</w:t>
                  </w:r>
                  <w:r>
                    <w:rPr>
                      <w:bCs/>
                      <w:color w:val="auto"/>
                      <w:sz w:val="21"/>
                      <w:szCs w:val="21"/>
                    </w:rPr>
                    <w:t>容积为</w:t>
                  </w:r>
                  <w:r>
                    <w:rPr>
                      <w:rFonts w:hint="eastAsia"/>
                      <w:bCs/>
                      <w:color w:val="auto"/>
                      <w:sz w:val="21"/>
                      <w:szCs w:val="21"/>
                      <w:lang w:val="en-US" w:eastAsia="zh-CN"/>
                    </w:rPr>
                    <w:t>3</w:t>
                  </w:r>
                  <w:r>
                    <w:rPr>
                      <w:color w:val="auto"/>
                      <w:sz w:val="21"/>
                      <w:szCs w:val="21"/>
                    </w:rPr>
                    <w:t>m</w:t>
                  </w:r>
                  <w:r>
                    <w:rPr>
                      <w:color w:val="auto"/>
                      <w:sz w:val="21"/>
                      <w:szCs w:val="21"/>
                      <w:vertAlign w:val="superscript"/>
                    </w:rPr>
                    <w:t>3</w:t>
                  </w:r>
                  <w:r>
                    <w:rPr>
                      <w:bCs/>
                      <w:color w:val="auto"/>
                      <w:sz w:val="21"/>
                      <w:szCs w:val="21"/>
                    </w:rPr>
                    <w:t>，位于</w:t>
                  </w:r>
                  <w:r>
                    <w:rPr>
                      <w:rFonts w:hint="eastAsia"/>
                      <w:bCs/>
                      <w:color w:val="auto"/>
                      <w:sz w:val="21"/>
                      <w:szCs w:val="21"/>
                    </w:rPr>
                    <w:t>生产</w:t>
                  </w:r>
                  <w:r>
                    <w:rPr>
                      <w:bCs/>
                      <w:color w:val="auto"/>
                      <w:sz w:val="21"/>
                      <w:szCs w:val="21"/>
                    </w:rPr>
                    <w:t>车间</w:t>
                  </w:r>
                  <w:r>
                    <w:rPr>
                      <w:rFonts w:hint="eastAsia"/>
                      <w:bCs/>
                      <w:color w:val="auto"/>
                      <w:sz w:val="21"/>
                      <w:szCs w:val="21"/>
                    </w:rPr>
                    <w:t>东侧，用于热熔造粒冷却水收集及循环使用</w:t>
                  </w:r>
                  <w:r>
                    <w:rPr>
                      <w:bCs/>
                      <w:color w:val="auto"/>
                      <w:sz w:val="21"/>
                      <w:szCs w:val="21"/>
                    </w:rPr>
                    <w:t>。</w:t>
                  </w:r>
                </w:p>
              </w:tc>
              <w:tc>
                <w:tcPr>
                  <w:tcW w:w="559" w:type="pct"/>
                  <w:vAlign w:val="center"/>
                </w:tcPr>
                <w:p>
                  <w:pPr>
                    <w:adjustRightInd w:val="0"/>
                    <w:snapToGrid w:val="0"/>
                    <w:jc w:val="center"/>
                    <w:rPr>
                      <w:bCs/>
                      <w:color w:val="auto"/>
                      <w:sz w:val="21"/>
                      <w:szCs w:val="21"/>
                    </w:rPr>
                  </w:pPr>
                  <w:r>
                    <w:rPr>
                      <w:rFonts w:hint="eastAsia"/>
                      <w:bCs/>
                      <w:color w:val="auto"/>
                      <w:sz w:val="21"/>
                      <w:szCs w:val="21"/>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3" w:type="pct"/>
                  <w:vMerge w:val="continue"/>
                  <w:vAlign w:val="center"/>
                </w:tcPr>
                <w:p>
                  <w:pPr>
                    <w:adjustRightInd w:val="0"/>
                    <w:snapToGrid w:val="0"/>
                    <w:jc w:val="center"/>
                    <w:rPr>
                      <w:bCs/>
                      <w:color w:val="auto"/>
                      <w:sz w:val="21"/>
                      <w:szCs w:val="21"/>
                    </w:rPr>
                  </w:pPr>
                </w:p>
              </w:tc>
              <w:tc>
                <w:tcPr>
                  <w:tcW w:w="835" w:type="pct"/>
                  <w:gridSpan w:val="2"/>
                  <w:vAlign w:val="center"/>
                </w:tcPr>
                <w:p>
                  <w:pPr>
                    <w:adjustRightInd w:val="0"/>
                    <w:snapToGrid w:val="0"/>
                    <w:jc w:val="center"/>
                    <w:rPr>
                      <w:bCs/>
                      <w:color w:val="auto"/>
                      <w:sz w:val="21"/>
                      <w:szCs w:val="21"/>
                    </w:rPr>
                  </w:pPr>
                  <w:r>
                    <w:rPr>
                      <w:bCs/>
                      <w:color w:val="auto"/>
                      <w:sz w:val="21"/>
                      <w:szCs w:val="21"/>
                    </w:rPr>
                    <w:t>噪声治理</w:t>
                  </w:r>
                </w:p>
              </w:tc>
              <w:tc>
                <w:tcPr>
                  <w:tcW w:w="3142" w:type="pct"/>
                  <w:vAlign w:val="center"/>
                </w:tcPr>
                <w:p>
                  <w:pPr>
                    <w:adjustRightInd w:val="0"/>
                    <w:snapToGrid w:val="0"/>
                    <w:rPr>
                      <w:b/>
                      <w:bCs/>
                      <w:color w:val="auto"/>
                      <w:sz w:val="21"/>
                      <w:szCs w:val="21"/>
                    </w:rPr>
                  </w:pPr>
                  <w:r>
                    <w:rPr>
                      <w:color w:val="auto"/>
                      <w:sz w:val="21"/>
                      <w:szCs w:val="21"/>
                    </w:rPr>
                    <w:t>合理布局，产噪大的设备安装减振基础、厂房隔声等。</w:t>
                  </w:r>
                </w:p>
              </w:tc>
              <w:tc>
                <w:tcPr>
                  <w:tcW w:w="559" w:type="pct"/>
                  <w:vAlign w:val="center"/>
                </w:tcPr>
                <w:p>
                  <w:pPr>
                    <w:adjustRightInd w:val="0"/>
                    <w:snapToGrid w:val="0"/>
                    <w:jc w:val="center"/>
                    <w:rPr>
                      <w:b/>
                      <w:bCs/>
                      <w:color w:val="auto"/>
                      <w:sz w:val="21"/>
                      <w:szCs w:val="21"/>
                    </w:rPr>
                  </w:pPr>
                  <w:r>
                    <w:rPr>
                      <w:rFonts w:hint="eastAsia"/>
                      <w:bCs/>
                      <w:color w:val="auto"/>
                      <w:sz w:val="21"/>
                      <w:szCs w:val="21"/>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3" w:type="pct"/>
                  <w:vMerge w:val="continue"/>
                  <w:vAlign w:val="center"/>
                </w:tcPr>
                <w:p>
                  <w:pPr>
                    <w:adjustRightInd w:val="0"/>
                    <w:snapToGrid w:val="0"/>
                    <w:jc w:val="center"/>
                    <w:rPr>
                      <w:bCs/>
                      <w:color w:val="auto"/>
                      <w:sz w:val="21"/>
                      <w:szCs w:val="21"/>
                    </w:rPr>
                  </w:pPr>
                </w:p>
              </w:tc>
              <w:tc>
                <w:tcPr>
                  <w:tcW w:w="388" w:type="pct"/>
                  <w:vMerge w:val="restart"/>
                  <w:vAlign w:val="center"/>
                </w:tcPr>
                <w:p>
                  <w:pPr>
                    <w:adjustRightInd w:val="0"/>
                    <w:snapToGrid w:val="0"/>
                    <w:jc w:val="center"/>
                    <w:rPr>
                      <w:bCs/>
                      <w:color w:val="auto"/>
                      <w:sz w:val="21"/>
                      <w:szCs w:val="21"/>
                    </w:rPr>
                  </w:pPr>
                  <w:r>
                    <w:rPr>
                      <w:bCs/>
                      <w:color w:val="auto"/>
                      <w:sz w:val="21"/>
                      <w:szCs w:val="21"/>
                    </w:rPr>
                    <w:t>固废</w:t>
                  </w:r>
                </w:p>
              </w:tc>
              <w:tc>
                <w:tcPr>
                  <w:tcW w:w="446" w:type="pct"/>
                  <w:vAlign w:val="center"/>
                </w:tcPr>
                <w:p>
                  <w:pPr>
                    <w:adjustRightInd w:val="0"/>
                    <w:snapToGrid w:val="0"/>
                    <w:jc w:val="center"/>
                    <w:rPr>
                      <w:bCs/>
                      <w:color w:val="auto"/>
                      <w:sz w:val="21"/>
                      <w:szCs w:val="21"/>
                    </w:rPr>
                  </w:pPr>
                  <w:r>
                    <w:rPr>
                      <w:bCs/>
                      <w:color w:val="auto"/>
                      <w:sz w:val="21"/>
                      <w:szCs w:val="21"/>
                    </w:rPr>
                    <w:t>垃圾桶</w:t>
                  </w:r>
                </w:p>
              </w:tc>
              <w:tc>
                <w:tcPr>
                  <w:tcW w:w="3142" w:type="pct"/>
                  <w:vAlign w:val="center"/>
                </w:tcPr>
                <w:p>
                  <w:pPr>
                    <w:adjustRightInd w:val="0"/>
                    <w:snapToGrid w:val="0"/>
                    <w:rPr>
                      <w:bCs/>
                      <w:color w:val="auto"/>
                      <w:sz w:val="21"/>
                      <w:szCs w:val="21"/>
                    </w:rPr>
                  </w:pPr>
                  <w:r>
                    <w:rPr>
                      <w:bCs/>
                      <w:color w:val="auto"/>
                      <w:sz w:val="21"/>
                      <w:szCs w:val="21"/>
                    </w:rPr>
                    <w:t>厂区内设置垃圾桶，生活垃圾收集于垃圾桶内，委托环卫部门清运处置。</w:t>
                  </w:r>
                </w:p>
              </w:tc>
              <w:tc>
                <w:tcPr>
                  <w:tcW w:w="559" w:type="pct"/>
                  <w:vAlign w:val="center"/>
                </w:tcPr>
                <w:p>
                  <w:pPr>
                    <w:adjustRightInd w:val="0"/>
                    <w:snapToGrid w:val="0"/>
                    <w:jc w:val="center"/>
                    <w:rPr>
                      <w:bCs/>
                      <w:color w:val="auto"/>
                      <w:sz w:val="21"/>
                      <w:szCs w:val="21"/>
                    </w:rPr>
                  </w:pPr>
                  <w:r>
                    <w:rPr>
                      <w:rFonts w:hint="eastAsia"/>
                      <w:bCs/>
                      <w:color w:val="auto"/>
                      <w:sz w:val="21"/>
                      <w:szCs w:val="21"/>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3" w:type="pct"/>
                  <w:vMerge w:val="continue"/>
                  <w:vAlign w:val="center"/>
                </w:tcPr>
                <w:p>
                  <w:pPr>
                    <w:adjustRightInd w:val="0"/>
                    <w:snapToGrid w:val="0"/>
                    <w:jc w:val="center"/>
                    <w:rPr>
                      <w:bCs/>
                      <w:color w:val="auto"/>
                      <w:sz w:val="21"/>
                      <w:szCs w:val="21"/>
                    </w:rPr>
                  </w:pPr>
                </w:p>
              </w:tc>
              <w:tc>
                <w:tcPr>
                  <w:tcW w:w="388" w:type="pct"/>
                  <w:vMerge w:val="continue"/>
                  <w:vAlign w:val="center"/>
                </w:tcPr>
                <w:p>
                  <w:pPr>
                    <w:adjustRightInd w:val="0"/>
                    <w:snapToGrid w:val="0"/>
                    <w:jc w:val="center"/>
                    <w:rPr>
                      <w:bCs/>
                      <w:color w:val="auto"/>
                      <w:sz w:val="21"/>
                      <w:szCs w:val="21"/>
                      <w:highlight w:val="yellow"/>
                    </w:rPr>
                  </w:pPr>
                </w:p>
              </w:tc>
              <w:tc>
                <w:tcPr>
                  <w:tcW w:w="446" w:type="pct"/>
                  <w:vAlign w:val="center"/>
                </w:tcPr>
                <w:p>
                  <w:pPr>
                    <w:adjustRightInd w:val="0"/>
                    <w:snapToGrid w:val="0"/>
                    <w:jc w:val="center"/>
                    <w:rPr>
                      <w:bCs/>
                      <w:color w:val="auto"/>
                      <w:sz w:val="21"/>
                      <w:szCs w:val="21"/>
                      <w:highlight w:val="yellow"/>
                    </w:rPr>
                  </w:pPr>
                  <w:r>
                    <w:rPr>
                      <w:bCs/>
                      <w:color w:val="auto"/>
                      <w:sz w:val="21"/>
                      <w:szCs w:val="21"/>
                    </w:rPr>
                    <w:t>一般工业固废暂存区</w:t>
                  </w:r>
                </w:p>
              </w:tc>
              <w:tc>
                <w:tcPr>
                  <w:tcW w:w="3142" w:type="pct"/>
                  <w:vAlign w:val="center"/>
                </w:tcPr>
                <w:p>
                  <w:pPr>
                    <w:adjustRightInd w:val="0"/>
                    <w:snapToGrid w:val="0"/>
                    <w:rPr>
                      <w:color w:val="auto"/>
                      <w:sz w:val="21"/>
                      <w:szCs w:val="21"/>
                    </w:rPr>
                  </w:pPr>
                  <w:r>
                    <w:rPr>
                      <w:color w:val="auto"/>
                      <w:kern w:val="0"/>
                      <w:sz w:val="21"/>
                      <w:szCs w:val="21"/>
                    </w:rPr>
                    <w:t>生产车间内设置</w:t>
                  </w:r>
                  <w:r>
                    <w:rPr>
                      <w:bCs/>
                      <w:color w:val="auto"/>
                      <w:sz w:val="21"/>
                      <w:szCs w:val="21"/>
                    </w:rPr>
                    <w:t>一般工业固废暂存区暂存</w:t>
                  </w:r>
                  <w:r>
                    <w:rPr>
                      <w:rFonts w:hint="eastAsia"/>
                      <w:bCs/>
                      <w:color w:val="auto"/>
                      <w:sz w:val="21"/>
                      <w:szCs w:val="21"/>
                    </w:rPr>
                    <w:t>不可回收利用废物、污泥等</w:t>
                  </w:r>
                  <w:r>
                    <w:rPr>
                      <w:color w:val="auto"/>
                      <w:kern w:val="0"/>
                      <w:sz w:val="21"/>
                      <w:szCs w:val="21"/>
                    </w:rPr>
                    <w:t>，占地面积为</w:t>
                  </w:r>
                  <w:r>
                    <w:rPr>
                      <w:rFonts w:hint="eastAsia"/>
                      <w:color w:val="auto"/>
                      <w:kern w:val="1"/>
                      <w:sz w:val="21"/>
                      <w:szCs w:val="21"/>
                    </w:rPr>
                    <w:t>100</w:t>
                  </w:r>
                  <w:r>
                    <w:rPr>
                      <w:color w:val="auto"/>
                      <w:sz w:val="21"/>
                      <w:szCs w:val="21"/>
                    </w:rPr>
                    <w:t>m</w:t>
                  </w:r>
                  <w:r>
                    <w:rPr>
                      <w:color w:val="auto"/>
                      <w:sz w:val="21"/>
                      <w:szCs w:val="21"/>
                      <w:vertAlign w:val="superscript"/>
                    </w:rPr>
                    <w:t>2</w:t>
                  </w:r>
                  <w:r>
                    <w:rPr>
                      <w:color w:val="auto"/>
                      <w:sz w:val="21"/>
                      <w:szCs w:val="21"/>
                    </w:rPr>
                    <w:t>。</w:t>
                  </w:r>
                </w:p>
                <w:p>
                  <w:pPr>
                    <w:adjustRightInd w:val="0"/>
                    <w:snapToGrid w:val="0"/>
                    <w:rPr>
                      <w:color w:val="auto"/>
                      <w:sz w:val="21"/>
                      <w:szCs w:val="21"/>
                    </w:rPr>
                  </w:pPr>
                  <w:r>
                    <w:rPr>
                      <w:rFonts w:ascii="宋体" w:hAnsi="宋体" w:cs="Cambria Math"/>
                      <w:color w:val="auto"/>
                      <w:sz w:val="21"/>
                      <w:szCs w:val="21"/>
                    </w:rPr>
                    <w:t>①</w:t>
                  </w:r>
                  <w:r>
                    <w:rPr>
                      <w:bCs/>
                      <w:color w:val="auto"/>
                      <w:sz w:val="21"/>
                      <w:szCs w:val="21"/>
                    </w:rPr>
                    <w:t>一般工业固废暂存区符合</w:t>
                  </w:r>
                  <w:r>
                    <w:rPr>
                      <w:color w:val="auto"/>
                      <w:sz w:val="21"/>
                      <w:szCs w:val="21"/>
                    </w:rPr>
                    <w:t>《一般工业固体废物贮存和填埋污染控制标准》（GB18599-2020）中的相关要求。</w:t>
                  </w:r>
                </w:p>
                <w:p>
                  <w:pPr>
                    <w:adjustRightInd w:val="0"/>
                    <w:snapToGrid w:val="0"/>
                    <w:rPr>
                      <w:color w:val="auto"/>
                      <w:sz w:val="21"/>
                      <w:szCs w:val="21"/>
                    </w:rPr>
                  </w:pPr>
                  <w:r>
                    <w:rPr>
                      <w:rFonts w:ascii="宋体" w:hAnsi="宋体" w:cs="Cambria Math"/>
                      <w:color w:val="auto"/>
                      <w:sz w:val="21"/>
                      <w:szCs w:val="21"/>
                    </w:rPr>
                    <w:t>②</w:t>
                  </w:r>
                  <w:r>
                    <w:rPr>
                      <w:color w:val="auto"/>
                      <w:sz w:val="21"/>
                      <w:szCs w:val="21"/>
                    </w:rPr>
                    <w:t>按《环境保护图形标志</w:t>
                  </w:r>
                  <w:r>
                    <w:rPr>
                      <w:rFonts w:hint="eastAsia"/>
                      <w:color w:val="auto"/>
                      <w:sz w:val="21"/>
                      <w:szCs w:val="21"/>
                      <w:lang w:eastAsia="zh-CN"/>
                    </w:rPr>
                    <w:t>－</w:t>
                  </w:r>
                  <w:r>
                    <w:rPr>
                      <w:color w:val="auto"/>
                      <w:sz w:val="21"/>
                      <w:szCs w:val="21"/>
                    </w:rPr>
                    <w:t>固体废物贮存（处置）场》（GB15562.2-1995）设立警示标志。</w:t>
                  </w:r>
                </w:p>
                <w:p>
                  <w:pPr>
                    <w:adjustRightInd w:val="0"/>
                    <w:snapToGrid w:val="0"/>
                    <w:rPr>
                      <w:color w:val="auto"/>
                      <w:sz w:val="21"/>
                      <w:szCs w:val="21"/>
                      <w:highlight w:val="yellow"/>
                    </w:rPr>
                  </w:pPr>
                  <w:r>
                    <w:rPr>
                      <w:rFonts w:ascii="宋体" w:hAnsi="宋体" w:cs="Cambria Math"/>
                      <w:color w:val="auto"/>
                      <w:sz w:val="21"/>
                      <w:szCs w:val="21"/>
                    </w:rPr>
                    <w:t>③</w:t>
                  </w:r>
                  <w:r>
                    <w:rPr>
                      <w:color w:val="auto"/>
                      <w:sz w:val="21"/>
                      <w:szCs w:val="21"/>
                    </w:rPr>
                    <w:t>按照《一般工业固体废物管理台账制定指南（试行）》（公告2021年第82号）的要求建立一般工业固废管理台账。</w:t>
                  </w:r>
                </w:p>
              </w:tc>
              <w:tc>
                <w:tcPr>
                  <w:tcW w:w="559" w:type="pct"/>
                  <w:vAlign w:val="center"/>
                </w:tcPr>
                <w:p>
                  <w:pPr>
                    <w:adjustRightInd w:val="0"/>
                    <w:snapToGrid w:val="0"/>
                    <w:jc w:val="center"/>
                    <w:rPr>
                      <w:bCs/>
                      <w:color w:val="auto"/>
                      <w:sz w:val="21"/>
                      <w:szCs w:val="21"/>
                    </w:rPr>
                  </w:pPr>
                  <w:r>
                    <w:rPr>
                      <w:bCs/>
                      <w:color w:val="auto"/>
                      <w:sz w:val="21"/>
                      <w:szCs w:val="21"/>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3" w:type="pct"/>
                  <w:vMerge w:val="continue"/>
                  <w:vAlign w:val="center"/>
                </w:tcPr>
                <w:p>
                  <w:pPr>
                    <w:adjustRightInd w:val="0"/>
                    <w:snapToGrid w:val="0"/>
                    <w:jc w:val="center"/>
                    <w:rPr>
                      <w:b/>
                      <w:bCs/>
                      <w:color w:val="auto"/>
                      <w:sz w:val="21"/>
                      <w:szCs w:val="21"/>
                    </w:rPr>
                  </w:pPr>
                </w:p>
              </w:tc>
              <w:tc>
                <w:tcPr>
                  <w:tcW w:w="388" w:type="pct"/>
                  <w:vMerge w:val="continue"/>
                  <w:vAlign w:val="center"/>
                </w:tcPr>
                <w:p>
                  <w:pPr>
                    <w:adjustRightInd w:val="0"/>
                    <w:snapToGrid w:val="0"/>
                    <w:jc w:val="center"/>
                    <w:rPr>
                      <w:bCs/>
                      <w:color w:val="auto"/>
                      <w:sz w:val="21"/>
                      <w:szCs w:val="21"/>
                    </w:rPr>
                  </w:pPr>
                </w:p>
              </w:tc>
              <w:tc>
                <w:tcPr>
                  <w:tcW w:w="446" w:type="pct"/>
                  <w:vAlign w:val="center"/>
                </w:tcPr>
                <w:p>
                  <w:pPr>
                    <w:adjustRightInd w:val="0"/>
                    <w:snapToGrid w:val="0"/>
                    <w:jc w:val="center"/>
                    <w:rPr>
                      <w:bCs/>
                      <w:color w:val="auto"/>
                      <w:sz w:val="21"/>
                      <w:szCs w:val="21"/>
                    </w:rPr>
                  </w:pPr>
                  <w:r>
                    <w:rPr>
                      <w:bCs/>
                      <w:color w:val="auto"/>
                      <w:sz w:val="21"/>
                      <w:szCs w:val="21"/>
                    </w:rPr>
                    <w:t>危废暂存间</w:t>
                  </w:r>
                </w:p>
              </w:tc>
              <w:tc>
                <w:tcPr>
                  <w:tcW w:w="3142" w:type="pct"/>
                  <w:vAlign w:val="center"/>
                </w:tcPr>
                <w:p>
                  <w:pPr>
                    <w:adjustRightInd w:val="0"/>
                    <w:snapToGrid w:val="0"/>
                    <w:rPr>
                      <w:color w:val="auto"/>
                      <w:sz w:val="21"/>
                      <w:szCs w:val="21"/>
                    </w:rPr>
                  </w:pPr>
                  <w:r>
                    <w:rPr>
                      <w:color w:val="auto"/>
                      <w:kern w:val="0"/>
                      <w:sz w:val="21"/>
                      <w:szCs w:val="21"/>
                    </w:rPr>
                    <w:t>设置1间危废暂存间，占地面积为</w:t>
                  </w:r>
                  <w:r>
                    <w:rPr>
                      <w:color w:val="auto"/>
                      <w:kern w:val="1"/>
                      <w:sz w:val="21"/>
                      <w:szCs w:val="21"/>
                    </w:rPr>
                    <w:t>5</w:t>
                  </w:r>
                  <w:r>
                    <w:rPr>
                      <w:color w:val="auto"/>
                      <w:sz w:val="21"/>
                      <w:szCs w:val="21"/>
                    </w:rPr>
                    <w:t>m</w:t>
                  </w:r>
                  <w:r>
                    <w:rPr>
                      <w:color w:val="auto"/>
                      <w:sz w:val="21"/>
                      <w:szCs w:val="21"/>
                      <w:vertAlign w:val="superscript"/>
                    </w:rPr>
                    <w:t>2</w:t>
                  </w:r>
                  <w:r>
                    <w:rPr>
                      <w:color w:val="auto"/>
                      <w:sz w:val="21"/>
                      <w:szCs w:val="21"/>
                    </w:rPr>
                    <w:t>。</w:t>
                  </w:r>
                </w:p>
                <w:p>
                  <w:pPr>
                    <w:adjustRightInd w:val="0"/>
                    <w:snapToGrid w:val="0"/>
                    <w:rPr>
                      <w:color w:val="auto"/>
                      <w:sz w:val="21"/>
                      <w:szCs w:val="21"/>
                    </w:rPr>
                  </w:pPr>
                  <w:r>
                    <w:rPr>
                      <w:color w:val="auto"/>
                      <w:sz w:val="21"/>
                      <w:szCs w:val="21"/>
                    </w:rPr>
                    <w:t>按照《危险废物贮存污染物控制标准》（GB18597-2023）有关要求进行建设。</w:t>
                  </w:r>
                </w:p>
                <w:p>
                  <w:pPr>
                    <w:pStyle w:val="62"/>
                    <w:spacing w:line="240" w:lineRule="auto"/>
                    <w:ind w:left="0" w:leftChars="0" w:firstLine="0" w:firstLineChars="0"/>
                    <w:rPr>
                      <w:rFonts w:ascii="Times New Roman" w:hAnsi="Times New Roman"/>
                      <w:color w:val="auto"/>
                      <w:sz w:val="21"/>
                      <w:szCs w:val="21"/>
                    </w:rPr>
                  </w:pPr>
                  <w:r>
                    <w:rPr>
                      <w:rFonts w:ascii="宋体" w:hAnsi="宋体" w:cs="Cambria Math"/>
                      <w:color w:val="auto"/>
                      <w:sz w:val="21"/>
                      <w:szCs w:val="21"/>
                    </w:rPr>
                    <w:t>①</w:t>
                  </w:r>
                  <w:r>
                    <w:rPr>
                      <w:rFonts w:ascii="Times New Roman" w:hAnsi="Times New Roman"/>
                      <w:color w:val="auto"/>
                      <w:sz w:val="21"/>
                      <w:szCs w:val="21"/>
                    </w:rPr>
                    <w:t>防渗措施：贮存设施地面与裙脚应采取表面防渗措施，表面防渗材料应与所接触的物料或污染物相容，可采用抗渗混凝土、高密度聚乙烯膜、钠基膨润土防水毯或其他防渗性能等效的材料。</w:t>
                  </w:r>
                </w:p>
                <w:p>
                  <w:pPr>
                    <w:pStyle w:val="62"/>
                    <w:spacing w:line="240" w:lineRule="auto"/>
                    <w:ind w:left="0" w:leftChars="0" w:firstLine="0" w:firstLineChars="0"/>
                    <w:rPr>
                      <w:rFonts w:ascii="Times New Roman" w:hAnsi="Times New Roman"/>
                      <w:color w:val="auto"/>
                      <w:sz w:val="21"/>
                      <w:szCs w:val="21"/>
                    </w:rPr>
                  </w:pPr>
                  <w:r>
                    <w:rPr>
                      <w:rFonts w:ascii="宋体" w:hAnsi="宋体" w:cs="Cambria Math"/>
                      <w:color w:val="auto"/>
                      <w:sz w:val="21"/>
                      <w:szCs w:val="21"/>
                    </w:rPr>
                    <w:t>②</w:t>
                  </w:r>
                  <w:r>
                    <w:rPr>
                      <w:rFonts w:ascii="Times New Roman" w:hAnsi="Times New Roman"/>
                      <w:color w:val="auto"/>
                      <w:sz w:val="21"/>
                      <w:szCs w:val="21"/>
                    </w:rPr>
                    <w:t>危废暂存间、危废收集容器和包装物按照《危险废物识别标志设置技术规范》（</w:t>
                  </w:r>
                  <w:r>
                    <w:rPr>
                      <w:rFonts w:ascii="Times New Roman" w:hAnsi="Times New Roman"/>
                      <w:color w:val="auto"/>
                      <w:sz w:val="21"/>
                      <w:szCs w:val="21"/>
                      <w:shd w:val="clear" w:color="auto" w:fill="FFFFFF"/>
                    </w:rPr>
                    <w:t>HJ1276-2022）</w:t>
                  </w:r>
                  <w:r>
                    <w:rPr>
                      <w:rFonts w:ascii="Times New Roman" w:hAnsi="Times New Roman"/>
                      <w:color w:val="auto"/>
                      <w:sz w:val="21"/>
                      <w:szCs w:val="21"/>
                    </w:rPr>
                    <w:t>要求设置危险废物贮存设施或场所标志、危险废物贮存分区标志和危险废物标签等危险废物识别标志。</w:t>
                  </w:r>
                </w:p>
                <w:p>
                  <w:pPr>
                    <w:pStyle w:val="62"/>
                    <w:spacing w:line="240" w:lineRule="auto"/>
                    <w:ind w:left="0" w:leftChars="0" w:firstLine="0" w:firstLineChars="0"/>
                    <w:rPr>
                      <w:rFonts w:ascii="Times New Roman" w:hAnsi="Times New Roman"/>
                      <w:color w:val="auto"/>
                      <w:sz w:val="21"/>
                      <w:szCs w:val="21"/>
                    </w:rPr>
                  </w:pPr>
                  <w:r>
                    <w:rPr>
                      <w:rFonts w:ascii="宋体" w:hAnsi="宋体" w:cs="Cambria Math"/>
                      <w:color w:val="auto"/>
                      <w:sz w:val="21"/>
                      <w:szCs w:val="21"/>
                    </w:rPr>
                    <w:t>③</w:t>
                  </w:r>
                  <w:r>
                    <w:rPr>
                      <w:rFonts w:ascii="Times New Roman" w:hAnsi="Times New Roman"/>
                      <w:color w:val="auto"/>
                      <w:sz w:val="21"/>
                      <w:szCs w:val="21"/>
                    </w:rPr>
                    <w:t>建立危险废物管理台账，参照《危险废物管理计划和管理台账制定技术导则》（HJ 1259-2022）制定。</w:t>
                  </w:r>
                </w:p>
                <w:p>
                  <w:pPr>
                    <w:adjustRightInd w:val="0"/>
                    <w:snapToGrid w:val="0"/>
                    <w:rPr>
                      <w:color w:val="auto"/>
                      <w:sz w:val="21"/>
                      <w:szCs w:val="21"/>
                    </w:rPr>
                  </w:pPr>
                  <w:r>
                    <w:rPr>
                      <w:rFonts w:ascii="宋体" w:hAnsi="宋体" w:cs="Cambria Math"/>
                      <w:color w:val="auto"/>
                      <w:sz w:val="21"/>
                      <w:szCs w:val="21"/>
                    </w:rPr>
                    <w:t>④</w:t>
                  </w:r>
                  <w:r>
                    <w:rPr>
                      <w:color w:val="auto"/>
                      <w:sz w:val="21"/>
                      <w:szCs w:val="21"/>
                    </w:rPr>
                    <w:t>危险废物转移</w:t>
                  </w:r>
                  <w:r>
                    <w:rPr>
                      <w:rFonts w:hint="eastAsia"/>
                      <w:color w:val="auto"/>
                      <w:sz w:val="21"/>
                      <w:szCs w:val="21"/>
                      <w:lang w:eastAsia="zh-CN"/>
                    </w:rPr>
                    <w:t>须</w:t>
                  </w:r>
                  <w:r>
                    <w:rPr>
                      <w:color w:val="auto"/>
                      <w:sz w:val="21"/>
                      <w:szCs w:val="21"/>
                    </w:rPr>
                    <w:t>严格执行《危险废物转移管理办法》（部令第23号）的相关规定。</w:t>
                  </w:r>
                </w:p>
              </w:tc>
              <w:tc>
                <w:tcPr>
                  <w:tcW w:w="559" w:type="pct"/>
                  <w:vAlign w:val="center"/>
                </w:tcPr>
                <w:p>
                  <w:pPr>
                    <w:adjustRightInd w:val="0"/>
                    <w:snapToGrid w:val="0"/>
                    <w:jc w:val="center"/>
                    <w:rPr>
                      <w:b/>
                      <w:bCs/>
                      <w:color w:val="auto"/>
                      <w:sz w:val="21"/>
                      <w:szCs w:val="21"/>
                    </w:rPr>
                  </w:pPr>
                  <w:r>
                    <w:rPr>
                      <w:bCs/>
                      <w:color w:val="auto"/>
                      <w:sz w:val="21"/>
                      <w:szCs w:val="21"/>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3" w:type="pct"/>
                  <w:vMerge w:val="continue"/>
                  <w:vAlign w:val="center"/>
                </w:tcPr>
                <w:p>
                  <w:pPr>
                    <w:adjustRightInd w:val="0"/>
                    <w:snapToGrid w:val="0"/>
                    <w:jc w:val="center"/>
                    <w:rPr>
                      <w:b/>
                      <w:bCs/>
                      <w:color w:val="auto"/>
                      <w:sz w:val="21"/>
                      <w:szCs w:val="21"/>
                    </w:rPr>
                  </w:pPr>
                </w:p>
              </w:tc>
              <w:tc>
                <w:tcPr>
                  <w:tcW w:w="388" w:type="pct"/>
                  <w:vMerge w:val="restart"/>
                  <w:vAlign w:val="center"/>
                </w:tcPr>
                <w:p>
                  <w:pPr>
                    <w:adjustRightInd w:val="0"/>
                    <w:snapToGrid w:val="0"/>
                    <w:jc w:val="center"/>
                    <w:rPr>
                      <w:bCs/>
                      <w:color w:val="auto"/>
                      <w:sz w:val="21"/>
                      <w:szCs w:val="21"/>
                    </w:rPr>
                  </w:pPr>
                  <w:r>
                    <w:rPr>
                      <w:rFonts w:hint="eastAsia"/>
                      <w:bCs/>
                      <w:color w:val="auto"/>
                      <w:sz w:val="21"/>
                      <w:szCs w:val="21"/>
                    </w:rPr>
                    <w:t>防渗</w:t>
                  </w:r>
                </w:p>
              </w:tc>
              <w:tc>
                <w:tcPr>
                  <w:tcW w:w="446" w:type="pct"/>
                  <w:vAlign w:val="center"/>
                </w:tcPr>
                <w:p>
                  <w:pPr>
                    <w:adjustRightInd w:val="0"/>
                    <w:snapToGrid w:val="0"/>
                    <w:jc w:val="center"/>
                    <w:rPr>
                      <w:bCs/>
                      <w:color w:val="auto"/>
                      <w:sz w:val="21"/>
                      <w:szCs w:val="21"/>
                    </w:rPr>
                  </w:pPr>
                  <w:r>
                    <w:rPr>
                      <w:rFonts w:hint="eastAsia"/>
                      <w:bCs/>
                      <w:color w:val="auto"/>
                      <w:sz w:val="21"/>
                      <w:szCs w:val="21"/>
                    </w:rPr>
                    <w:t>重点防渗区</w:t>
                  </w:r>
                </w:p>
              </w:tc>
              <w:tc>
                <w:tcPr>
                  <w:tcW w:w="3142" w:type="pct"/>
                  <w:vAlign w:val="center"/>
                </w:tcPr>
                <w:p>
                  <w:pPr>
                    <w:adjustRightInd w:val="0"/>
                    <w:snapToGrid w:val="0"/>
                    <w:rPr>
                      <w:color w:val="auto"/>
                      <w:kern w:val="0"/>
                      <w:sz w:val="21"/>
                      <w:szCs w:val="21"/>
                    </w:rPr>
                  </w:pPr>
                  <w:r>
                    <w:rPr>
                      <w:color w:val="auto"/>
                      <w:sz w:val="21"/>
                      <w:szCs w:val="21"/>
                    </w:rPr>
                    <w:t>危废暂存间的基础地面必须防渗，防渗层为至少1m厚粘土层（渗透系数≤10</w:t>
                  </w:r>
                  <w:r>
                    <w:rPr>
                      <w:rFonts w:hint="eastAsia"/>
                      <w:color w:val="auto"/>
                      <w:sz w:val="21"/>
                      <w:szCs w:val="21"/>
                      <w:vertAlign w:val="superscript"/>
                      <w:lang w:val="en-US" w:eastAsia="zh-CN"/>
                    </w:rPr>
                    <w:t>-</w:t>
                  </w:r>
                  <w:r>
                    <w:rPr>
                      <w:color w:val="auto"/>
                      <w:sz w:val="21"/>
                      <w:szCs w:val="21"/>
                      <w:vertAlign w:val="superscript"/>
                    </w:rPr>
                    <w:t>7</w:t>
                  </w:r>
                  <w:r>
                    <w:rPr>
                      <w:color w:val="auto"/>
                      <w:sz w:val="21"/>
                      <w:szCs w:val="21"/>
                    </w:rPr>
                    <w:t>cm/s），或2mm厚高密度聚乙烯，或至少2mm厚的其他人工材料，渗透系数≤10</w:t>
                  </w:r>
                  <w:r>
                    <w:rPr>
                      <w:rFonts w:hint="eastAsia"/>
                      <w:color w:val="auto"/>
                      <w:sz w:val="21"/>
                      <w:szCs w:val="21"/>
                      <w:vertAlign w:val="superscript"/>
                      <w:lang w:val="en-US" w:eastAsia="zh-CN"/>
                    </w:rPr>
                    <w:t>-</w:t>
                  </w:r>
                  <w:r>
                    <w:rPr>
                      <w:color w:val="auto"/>
                      <w:sz w:val="21"/>
                      <w:szCs w:val="21"/>
                      <w:vertAlign w:val="superscript"/>
                    </w:rPr>
                    <w:t>10</w:t>
                  </w:r>
                  <w:r>
                    <w:rPr>
                      <w:color w:val="auto"/>
                      <w:sz w:val="21"/>
                      <w:szCs w:val="21"/>
                    </w:rPr>
                    <w:t>cm/s</w:t>
                  </w:r>
                  <w:r>
                    <w:rPr>
                      <w:rFonts w:hint="eastAsia"/>
                      <w:color w:val="auto"/>
                      <w:sz w:val="21"/>
                      <w:szCs w:val="21"/>
                    </w:rPr>
                    <w:t>。</w:t>
                  </w:r>
                </w:p>
              </w:tc>
              <w:tc>
                <w:tcPr>
                  <w:tcW w:w="559" w:type="pct"/>
                  <w:vMerge w:val="restart"/>
                  <w:vAlign w:val="center"/>
                </w:tcPr>
                <w:p>
                  <w:pPr>
                    <w:adjustRightInd w:val="0"/>
                    <w:snapToGrid w:val="0"/>
                    <w:jc w:val="center"/>
                    <w:rPr>
                      <w:bCs/>
                      <w:color w:val="auto"/>
                      <w:sz w:val="21"/>
                      <w:szCs w:val="21"/>
                    </w:rPr>
                  </w:pPr>
                  <w:r>
                    <w:rPr>
                      <w:rFonts w:hint="eastAsia"/>
                      <w:bCs/>
                      <w:color w:val="auto"/>
                      <w:sz w:val="21"/>
                      <w:szCs w:val="21"/>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3" w:type="pct"/>
                  <w:vMerge w:val="continue"/>
                  <w:vAlign w:val="center"/>
                </w:tcPr>
                <w:p>
                  <w:pPr>
                    <w:adjustRightInd w:val="0"/>
                    <w:snapToGrid w:val="0"/>
                    <w:jc w:val="center"/>
                    <w:rPr>
                      <w:b/>
                      <w:bCs/>
                      <w:color w:val="auto"/>
                      <w:sz w:val="21"/>
                      <w:szCs w:val="21"/>
                    </w:rPr>
                  </w:pPr>
                </w:p>
              </w:tc>
              <w:tc>
                <w:tcPr>
                  <w:tcW w:w="388" w:type="pct"/>
                  <w:vMerge w:val="continue"/>
                  <w:vAlign w:val="center"/>
                </w:tcPr>
                <w:p>
                  <w:pPr>
                    <w:adjustRightInd w:val="0"/>
                    <w:snapToGrid w:val="0"/>
                    <w:jc w:val="center"/>
                    <w:rPr>
                      <w:bCs/>
                      <w:color w:val="auto"/>
                      <w:sz w:val="21"/>
                      <w:szCs w:val="21"/>
                    </w:rPr>
                  </w:pPr>
                </w:p>
              </w:tc>
              <w:tc>
                <w:tcPr>
                  <w:tcW w:w="446" w:type="pct"/>
                  <w:vAlign w:val="center"/>
                </w:tcPr>
                <w:p>
                  <w:pPr>
                    <w:adjustRightInd w:val="0"/>
                    <w:snapToGrid w:val="0"/>
                    <w:jc w:val="center"/>
                    <w:rPr>
                      <w:bCs/>
                      <w:color w:val="auto"/>
                      <w:sz w:val="21"/>
                      <w:szCs w:val="21"/>
                    </w:rPr>
                  </w:pPr>
                  <w:r>
                    <w:rPr>
                      <w:rFonts w:hint="eastAsia"/>
                      <w:bCs/>
                      <w:color w:val="auto"/>
                      <w:sz w:val="21"/>
                      <w:szCs w:val="21"/>
                    </w:rPr>
                    <w:t>简单防渗区</w:t>
                  </w:r>
                </w:p>
              </w:tc>
              <w:tc>
                <w:tcPr>
                  <w:tcW w:w="3142" w:type="pct"/>
                  <w:vAlign w:val="center"/>
                </w:tcPr>
                <w:p>
                  <w:pPr>
                    <w:adjustRightInd w:val="0"/>
                    <w:snapToGrid w:val="0"/>
                    <w:ind w:firstLine="420" w:firstLineChars="200"/>
                    <w:rPr>
                      <w:color w:val="auto"/>
                      <w:kern w:val="0"/>
                      <w:sz w:val="21"/>
                      <w:szCs w:val="21"/>
                    </w:rPr>
                  </w:pPr>
                  <w:r>
                    <w:rPr>
                      <w:rFonts w:hint="eastAsia"/>
                      <w:color w:val="auto"/>
                      <w:sz w:val="21"/>
                      <w:szCs w:val="21"/>
                    </w:rPr>
                    <w:t>厂区其他区域</w:t>
                  </w:r>
                  <w:r>
                    <w:rPr>
                      <w:color w:val="auto"/>
                      <w:sz w:val="21"/>
                      <w:szCs w:val="21"/>
                    </w:rPr>
                    <w:t>地面水泥硬化。</w:t>
                  </w:r>
                </w:p>
              </w:tc>
              <w:tc>
                <w:tcPr>
                  <w:tcW w:w="559" w:type="pct"/>
                  <w:vMerge w:val="continue"/>
                  <w:vAlign w:val="center"/>
                </w:tcPr>
                <w:p>
                  <w:pPr>
                    <w:adjustRightInd w:val="0"/>
                    <w:snapToGrid w:val="0"/>
                    <w:jc w:val="center"/>
                    <w:rPr>
                      <w:bCs/>
                      <w:color w:val="auto"/>
                      <w:sz w:val="21"/>
                      <w:szCs w:val="21"/>
                    </w:rPr>
                  </w:pPr>
                </w:p>
              </w:tc>
            </w:tr>
          </w:tbl>
          <w:p>
            <w:pPr>
              <w:adjustRightInd w:val="0"/>
              <w:snapToGrid w:val="0"/>
              <w:spacing w:before="120" w:beforeLines="50" w:line="360" w:lineRule="auto"/>
              <w:rPr>
                <w:b/>
                <w:bCs/>
                <w:color w:val="auto"/>
                <w:sz w:val="24"/>
                <w:szCs w:val="24"/>
              </w:rPr>
            </w:pPr>
            <w:r>
              <w:rPr>
                <w:b/>
                <w:bCs/>
                <w:color w:val="auto"/>
                <w:sz w:val="24"/>
                <w:szCs w:val="24"/>
              </w:rPr>
              <w:t>3、产品及产能</w:t>
            </w:r>
          </w:p>
          <w:p>
            <w:pPr>
              <w:adjustRightInd w:val="0"/>
              <w:snapToGrid w:val="0"/>
              <w:spacing w:line="360" w:lineRule="auto"/>
              <w:ind w:firstLine="480" w:firstLineChars="200"/>
              <w:rPr>
                <w:bCs/>
                <w:color w:val="auto"/>
                <w:sz w:val="24"/>
                <w:szCs w:val="24"/>
              </w:rPr>
            </w:pPr>
            <w:r>
              <w:rPr>
                <w:rFonts w:hint="eastAsia"/>
                <w:bCs/>
                <w:color w:val="auto"/>
                <w:sz w:val="24"/>
                <w:szCs w:val="24"/>
              </w:rPr>
              <w:t>本项目主要原料</w:t>
            </w:r>
            <w:r>
              <w:rPr>
                <w:rFonts w:hint="eastAsia"/>
                <w:bCs/>
                <w:color w:val="auto"/>
                <w:sz w:val="24"/>
                <w:szCs w:val="24"/>
                <w:lang w:val="en-US" w:eastAsia="zh-CN"/>
              </w:rPr>
              <w:t>为</w:t>
            </w:r>
            <w:r>
              <w:rPr>
                <w:rFonts w:hint="eastAsia"/>
                <w:bCs/>
                <w:color w:val="auto"/>
                <w:sz w:val="24"/>
                <w:szCs w:val="24"/>
              </w:rPr>
              <w:t>东晟纸业废纸预处理产生的废塑料，年加工处理量合计</w:t>
            </w:r>
            <w:r>
              <w:rPr>
                <w:rFonts w:hint="eastAsia"/>
                <w:bCs/>
                <w:color w:val="auto"/>
                <w:sz w:val="24"/>
                <w:szCs w:val="24"/>
                <w:lang w:val="en-US" w:eastAsia="zh-CN"/>
              </w:rPr>
              <w:t>4.5</w:t>
            </w:r>
            <w:r>
              <w:rPr>
                <w:rFonts w:hint="eastAsia"/>
                <w:bCs/>
                <w:color w:val="auto"/>
                <w:sz w:val="24"/>
                <w:szCs w:val="24"/>
              </w:rPr>
              <w:t>万t。</w:t>
            </w:r>
            <w:r>
              <w:rPr>
                <w:bCs/>
                <w:color w:val="auto"/>
                <w:sz w:val="24"/>
                <w:szCs w:val="24"/>
              </w:rPr>
              <w:t>产品方案见表2-2。</w:t>
            </w:r>
          </w:p>
          <w:p>
            <w:pPr>
              <w:keepNext w:val="0"/>
              <w:keepLines w:val="0"/>
              <w:pageBreakBefore w:val="0"/>
              <w:widowControl w:val="0"/>
              <w:kinsoku/>
              <w:wordWrap/>
              <w:overflowPunct/>
              <w:topLinePunct w:val="0"/>
              <w:autoSpaceDE/>
              <w:autoSpaceDN/>
              <w:bidi w:val="0"/>
              <w:adjustRightInd w:val="0"/>
              <w:snapToGrid w:val="0"/>
              <w:jc w:val="center"/>
              <w:textAlignment w:val="auto"/>
              <w:rPr>
                <w:b/>
                <w:bCs/>
                <w:color w:val="auto"/>
                <w:sz w:val="24"/>
                <w:szCs w:val="24"/>
              </w:rPr>
            </w:pPr>
            <w:r>
              <w:rPr>
                <w:b/>
                <w:bCs/>
                <w:color w:val="auto"/>
                <w:sz w:val="24"/>
                <w:szCs w:val="24"/>
              </w:rPr>
              <w:t>表2-2  项目产品方案表</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1862"/>
              <w:gridCol w:w="2093"/>
              <w:gridCol w:w="1955"/>
              <w:gridCol w:w="1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2" w:type="pct"/>
                  <w:vAlign w:val="center"/>
                </w:tcPr>
                <w:p>
                  <w:pPr>
                    <w:adjustRightInd w:val="0"/>
                    <w:snapToGrid w:val="0"/>
                    <w:jc w:val="center"/>
                    <w:rPr>
                      <w:b/>
                      <w:bCs/>
                      <w:color w:val="auto"/>
                      <w:sz w:val="21"/>
                      <w:szCs w:val="21"/>
                    </w:rPr>
                  </w:pPr>
                  <w:r>
                    <w:rPr>
                      <w:rFonts w:hint="eastAsia"/>
                      <w:b/>
                      <w:bCs/>
                      <w:color w:val="auto"/>
                      <w:sz w:val="21"/>
                      <w:szCs w:val="21"/>
                    </w:rPr>
                    <w:t>序号</w:t>
                  </w:r>
                </w:p>
              </w:tc>
              <w:tc>
                <w:tcPr>
                  <w:tcW w:w="1173" w:type="pct"/>
                  <w:vAlign w:val="center"/>
                </w:tcPr>
                <w:p>
                  <w:pPr>
                    <w:adjustRightInd w:val="0"/>
                    <w:snapToGrid w:val="0"/>
                    <w:jc w:val="center"/>
                    <w:rPr>
                      <w:b/>
                      <w:bCs/>
                      <w:color w:val="auto"/>
                      <w:sz w:val="21"/>
                      <w:szCs w:val="21"/>
                    </w:rPr>
                  </w:pPr>
                  <w:r>
                    <w:rPr>
                      <w:b/>
                      <w:bCs/>
                      <w:color w:val="auto"/>
                      <w:sz w:val="21"/>
                      <w:szCs w:val="21"/>
                    </w:rPr>
                    <w:t>产品名称</w:t>
                  </w:r>
                </w:p>
              </w:tc>
              <w:tc>
                <w:tcPr>
                  <w:tcW w:w="1319" w:type="pct"/>
                  <w:vAlign w:val="center"/>
                </w:tcPr>
                <w:p>
                  <w:pPr>
                    <w:adjustRightInd w:val="0"/>
                    <w:snapToGrid w:val="0"/>
                    <w:jc w:val="center"/>
                    <w:rPr>
                      <w:b/>
                      <w:bCs/>
                      <w:color w:val="auto"/>
                      <w:sz w:val="21"/>
                      <w:szCs w:val="21"/>
                    </w:rPr>
                  </w:pPr>
                  <w:r>
                    <w:rPr>
                      <w:rFonts w:hint="eastAsia"/>
                      <w:b/>
                      <w:bCs/>
                      <w:color w:val="auto"/>
                      <w:sz w:val="21"/>
                      <w:szCs w:val="21"/>
                    </w:rPr>
                    <w:t>生产线名称</w:t>
                  </w:r>
                </w:p>
              </w:tc>
              <w:tc>
                <w:tcPr>
                  <w:tcW w:w="1232" w:type="pct"/>
                  <w:vAlign w:val="center"/>
                </w:tcPr>
                <w:p>
                  <w:pPr>
                    <w:adjustRightInd w:val="0"/>
                    <w:snapToGrid w:val="0"/>
                    <w:jc w:val="center"/>
                    <w:rPr>
                      <w:b/>
                      <w:bCs/>
                      <w:color w:val="auto"/>
                      <w:sz w:val="21"/>
                      <w:szCs w:val="21"/>
                    </w:rPr>
                  </w:pPr>
                  <w:r>
                    <w:rPr>
                      <w:b/>
                      <w:bCs/>
                      <w:color w:val="auto"/>
                      <w:sz w:val="21"/>
                      <w:szCs w:val="21"/>
                    </w:rPr>
                    <w:t>产量（t/a）</w:t>
                  </w:r>
                </w:p>
              </w:tc>
              <w:tc>
                <w:tcPr>
                  <w:tcW w:w="702" w:type="pct"/>
                  <w:vAlign w:val="center"/>
                </w:tcPr>
                <w:p>
                  <w:pPr>
                    <w:adjustRightInd w:val="0"/>
                    <w:snapToGrid w:val="0"/>
                    <w:jc w:val="center"/>
                    <w:rPr>
                      <w:rFonts w:hint="eastAsia" w:eastAsia="宋体"/>
                      <w:b/>
                      <w:bCs/>
                      <w:color w:val="auto"/>
                      <w:sz w:val="21"/>
                      <w:szCs w:val="21"/>
                      <w:lang w:val="en-US" w:eastAsia="zh-CN"/>
                    </w:rPr>
                  </w:pPr>
                  <w:r>
                    <w:rPr>
                      <w:rFonts w:hint="eastAsia"/>
                      <w:b/>
                      <w:bCs/>
                      <w:color w:val="auto"/>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2" w:type="pct"/>
                  <w:vAlign w:val="center"/>
                </w:tcPr>
                <w:p>
                  <w:pPr>
                    <w:adjustRightInd w:val="0"/>
                    <w:snapToGrid w:val="0"/>
                    <w:jc w:val="center"/>
                    <w:rPr>
                      <w:color w:val="auto"/>
                      <w:sz w:val="21"/>
                      <w:szCs w:val="21"/>
                    </w:rPr>
                  </w:pPr>
                  <w:r>
                    <w:rPr>
                      <w:rFonts w:hint="eastAsia"/>
                      <w:color w:val="auto"/>
                      <w:sz w:val="21"/>
                      <w:szCs w:val="21"/>
                    </w:rPr>
                    <w:t>1</w:t>
                  </w:r>
                </w:p>
              </w:tc>
              <w:tc>
                <w:tcPr>
                  <w:tcW w:w="1173" w:type="pct"/>
                  <w:vAlign w:val="center"/>
                </w:tcPr>
                <w:p>
                  <w:pPr>
                    <w:adjustRightInd w:val="0"/>
                    <w:snapToGrid w:val="0"/>
                    <w:jc w:val="center"/>
                    <w:rPr>
                      <w:color w:val="auto"/>
                      <w:sz w:val="21"/>
                      <w:szCs w:val="21"/>
                    </w:rPr>
                  </w:pPr>
                  <w:r>
                    <w:rPr>
                      <w:rFonts w:hint="eastAsia"/>
                      <w:color w:val="auto"/>
                      <w:sz w:val="21"/>
                      <w:szCs w:val="21"/>
                    </w:rPr>
                    <w:t>再生塑料颗粒</w:t>
                  </w:r>
                </w:p>
              </w:tc>
              <w:tc>
                <w:tcPr>
                  <w:tcW w:w="1319" w:type="pct"/>
                  <w:vAlign w:val="center"/>
                </w:tcPr>
                <w:p>
                  <w:pPr>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熔融造粒</w:t>
                  </w:r>
                </w:p>
              </w:tc>
              <w:tc>
                <w:tcPr>
                  <w:tcW w:w="1232" w:type="pct"/>
                  <w:vAlign w:val="center"/>
                </w:tcPr>
                <w:p>
                  <w:pPr>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16000</w:t>
                  </w:r>
                </w:p>
              </w:tc>
              <w:tc>
                <w:tcPr>
                  <w:tcW w:w="702" w:type="pct"/>
                  <w:vAlign w:val="center"/>
                </w:tcPr>
                <w:p>
                  <w:pPr>
                    <w:adjustRightInd w:val="0"/>
                    <w:snapToGrid w:val="0"/>
                    <w:jc w:val="center"/>
                    <w:rPr>
                      <w:rFonts w:hint="eastAsia"/>
                      <w:color w:val="auto"/>
                      <w:sz w:val="21"/>
                      <w:szCs w:val="21"/>
                      <w:lang w:val="en-US" w:eastAsia="zh-CN"/>
                    </w:rPr>
                  </w:pPr>
                </w:p>
              </w:tc>
            </w:tr>
          </w:tbl>
          <w:p>
            <w:pPr>
              <w:adjustRightInd w:val="0"/>
              <w:snapToGrid w:val="0"/>
              <w:spacing w:line="360" w:lineRule="auto"/>
              <w:rPr>
                <w:b/>
                <w:bCs/>
                <w:color w:val="auto"/>
                <w:sz w:val="24"/>
                <w:szCs w:val="24"/>
              </w:rPr>
            </w:pPr>
            <w:r>
              <w:rPr>
                <w:b/>
                <w:bCs/>
                <w:color w:val="auto"/>
                <w:sz w:val="24"/>
                <w:szCs w:val="24"/>
              </w:rPr>
              <w:t>4、主要生产</w:t>
            </w:r>
            <w:r>
              <w:rPr>
                <w:rFonts w:hint="eastAsia"/>
                <w:b/>
                <w:bCs/>
                <w:color w:val="auto"/>
                <w:sz w:val="24"/>
                <w:szCs w:val="24"/>
              </w:rPr>
              <w:t>设备</w:t>
            </w:r>
          </w:p>
          <w:p>
            <w:pPr>
              <w:adjustRightInd w:val="0"/>
              <w:snapToGrid w:val="0"/>
              <w:spacing w:line="360" w:lineRule="auto"/>
              <w:ind w:firstLine="480" w:firstLineChars="200"/>
              <w:rPr>
                <w:bCs/>
                <w:color w:val="auto"/>
                <w:sz w:val="24"/>
                <w:szCs w:val="24"/>
              </w:rPr>
            </w:pPr>
            <w:r>
              <w:rPr>
                <w:bCs/>
                <w:color w:val="auto"/>
                <w:sz w:val="24"/>
                <w:szCs w:val="24"/>
              </w:rPr>
              <w:t>项目主要生产</w:t>
            </w:r>
            <w:r>
              <w:rPr>
                <w:rFonts w:hint="eastAsia"/>
                <w:bCs/>
                <w:color w:val="auto"/>
                <w:sz w:val="24"/>
                <w:szCs w:val="24"/>
              </w:rPr>
              <w:t>设备</w:t>
            </w:r>
            <w:r>
              <w:rPr>
                <w:bCs/>
                <w:color w:val="auto"/>
                <w:sz w:val="24"/>
                <w:szCs w:val="24"/>
              </w:rPr>
              <w:t>情况见表2-3。</w:t>
            </w:r>
          </w:p>
          <w:p>
            <w:pPr>
              <w:adjustRightInd w:val="0"/>
              <w:snapToGrid w:val="0"/>
              <w:spacing w:before="120" w:beforeLines="50"/>
              <w:jc w:val="center"/>
              <w:rPr>
                <w:b/>
                <w:bCs/>
                <w:color w:val="auto"/>
                <w:sz w:val="24"/>
                <w:szCs w:val="24"/>
              </w:rPr>
            </w:pPr>
            <w:r>
              <w:rPr>
                <w:b/>
                <w:bCs/>
                <w:color w:val="auto"/>
                <w:sz w:val="24"/>
                <w:szCs w:val="24"/>
              </w:rPr>
              <w:t>表2-3  主要生产</w:t>
            </w:r>
            <w:r>
              <w:rPr>
                <w:rFonts w:hint="eastAsia"/>
                <w:b/>
                <w:bCs/>
                <w:color w:val="auto"/>
                <w:sz w:val="24"/>
                <w:szCs w:val="24"/>
              </w:rPr>
              <w:t>设备</w:t>
            </w:r>
          </w:p>
          <w:tbl>
            <w:tblPr>
              <w:tblStyle w:val="2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8"/>
              <w:gridCol w:w="2726"/>
              <w:gridCol w:w="1983"/>
              <w:gridCol w:w="20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768" w:type="pct"/>
                  <w:vAlign w:val="center"/>
                </w:tcPr>
                <w:p>
                  <w:pPr>
                    <w:numPr>
                      <w:ilvl w:val="0"/>
                      <w:numId w:val="0"/>
                    </w:numPr>
                    <w:spacing w:line="240" w:lineRule="auto"/>
                    <w:jc w:val="center"/>
                    <w:rPr>
                      <w:rFonts w:hint="eastAsia"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auto"/>
                      <w:kern w:val="2"/>
                      <w:sz w:val="21"/>
                      <w:szCs w:val="21"/>
                      <w:lang w:val="en-US" w:eastAsia="zh-CN" w:bidi="ar-SA"/>
                    </w:rPr>
                    <w:t>序号</w:t>
                  </w:r>
                </w:p>
              </w:tc>
              <w:tc>
                <w:tcPr>
                  <w:tcW w:w="1719" w:type="pct"/>
                  <w:vAlign w:val="center"/>
                </w:tcPr>
                <w:p>
                  <w:pPr>
                    <w:numPr>
                      <w:ilvl w:val="0"/>
                      <w:numId w:val="0"/>
                    </w:numPr>
                    <w:spacing w:line="240" w:lineRule="auto"/>
                    <w:jc w:val="center"/>
                    <w:rPr>
                      <w:rFonts w:hint="eastAsia"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auto"/>
                      <w:kern w:val="2"/>
                      <w:sz w:val="21"/>
                      <w:szCs w:val="21"/>
                      <w:lang w:val="en-US" w:eastAsia="zh-CN" w:bidi="ar-SA"/>
                    </w:rPr>
                    <w:t>设备名称</w:t>
                  </w:r>
                </w:p>
              </w:tc>
              <w:tc>
                <w:tcPr>
                  <w:tcW w:w="1250" w:type="pct"/>
                  <w:vAlign w:val="center"/>
                </w:tcPr>
                <w:p>
                  <w:pPr>
                    <w:numPr>
                      <w:ilvl w:val="0"/>
                      <w:numId w:val="0"/>
                    </w:numPr>
                    <w:spacing w:line="240" w:lineRule="auto"/>
                    <w:jc w:val="center"/>
                    <w:rPr>
                      <w:rFonts w:hint="default" w:ascii="Times New Roman" w:hAnsi="Times New Roman" w:eastAsia="宋体" w:cs="Times New Roman"/>
                      <w:b/>
                      <w:bCs/>
                      <w:color w:val="auto"/>
                      <w:kern w:val="2"/>
                      <w:sz w:val="21"/>
                      <w:szCs w:val="21"/>
                      <w:lang w:val="en-US" w:eastAsia="zh-CN" w:bidi="ar-SA"/>
                    </w:rPr>
                  </w:pPr>
                  <w:r>
                    <w:rPr>
                      <w:rFonts w:hint="eastAsia" w:cs="Times New Roman"/>
                      <w:b/>
                      <w:bCs/>
                      <w:color w:val="auto"/>
                      <w:kern w:val="2"/>
                      <w:sz w:val="21"/>
                      <w:szCs w:val="21"/>
                      <w:lang w:val="en-US" w:eastAsia="zh-CN" w:bidi="ar-SA"/>
                    </w:rPr>
                    <w:t>功率</w:t>
                  </w:r>
                </w:p>
              </w:tc>
              <w:tc>
                <w:tcPr>
                  <w:tcW w:w="1260" w:type="pct"/>
                  <w:vAlign w:val="center"/>
                </w:tcPr>
                <w:p>
                  <w:pPr>
                    <w:numPr>
                      <w:ilvl w:val="0"/>
                      <w:numId w:val="0"/>
                    </w:numPr>
                    <w:spacing w:line="240" w:lineRule="auto"/>
                    <w:jc w:val="center"/>
                    <w:rPr>
                      <w:rFonts w:hint="default"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auto"/>
                      <w:kern w:val="2"/>
                      <w:sz w:val="21"/>
                      <w:szCs w:val="21"/>
                      <w:lang w:val="en-US" w:eastAsia="zh-CN" w:bidi="ar-SA"/>
                    </w:rPr>
                    <w:t>数量（台/套）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768" w:type="pct"/>
                  <w:vAlign w:val="center"/>
                </w:tcPr>
                <w:p>
                  <w:pPr>
                    <w:numPr>
                      <w:ilvl w:val="0"/>
                      <w:numId w:val="0"/>
                    </w:numPr>
                    <w:spacing w:line="240" w:lineRule="auto"/>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w:t>
                  </w:r>
                </w:p>
              </w:tc>
              <w:tc>
                <w:tcPr>
                  <w:tcW w:w="1719"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料仓</w:t>
                  </w:r>
                </w:p>
              </w:tc>
              <w:tc>
                <w:tcPr>
                  <w:tcW w:w="1250"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5kW</w:t>
                  </w:r>
                </w:p>
              </w:tc>
              <w:tc>
                <w:tcPr>
                  <w:tcW w:w="1260" w:type="pct"/>
                  <w:shd w:val="clear" w:color="auto" w:fill="auto"/>
                  <w:vAlign w:val="center"/>
                </w:tcPr>
                <w:p>
                  <w:pPr>
                    <w:numPr>
                      <w:ilvl w:val="0"/>
                      <w:numId w:val="0"/>
                    </w:numPr>
                    <w:spacing w:line="240" w:lineRule="auto"/>
                    <w:ind w:left="0" w:leftChars="0"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768"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w:t>
                  </w:r>
                </w:p>
              </w:tc>
              <w:tc>
                <w:tcPr>
                  <w:tcW w:w="1719" w:type="pct"/>
                  <w:vAlign w:val="center"/>
                </w:tcPr>
                <w:p>
                  <w:pPr>
                    <w:numPr>
                      <w:ilvl w:val="0"/>
                      <w:numId w:val="0"/>
                    </w:numPr>
                    <w:spacing w:line="240" w:lineRule="auto"/>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上料机</w:t>
                  </w:r>
                </w:p>
              </w:tc>
              <w:tc>
                <w:tcPr>
                  <w:tcW w:w="1250" w:type="pct"/>
                  <w:vAlign w:val="center"/>
                </w:tcPr>
                <w:p>
                  <w:pPr>
                    <w:numPr>
                      <w:ilvl w:val="0"/>
                      <w:numId w:val="0"/>
                    </w:numPr>
                    <w:spacing w:line="240" w:lineRule="auto"/>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3kW</w:t>
                  </w:r>
                </w:p>
              </w:tc>
              <w:tc>
                <w:tcPr>
                  <w:tcW w:w="1260" w:type="pct"/>
                  <w:shd w:val="clear" w:color="auto" w:fill="auto"/>
                  <w:vAlign w:val="center"/>
                </w:tcPr>
                <w:p>
                  <w:pPr>
                    <w:numPr>
                      <w:ilvl w:val="0"/>
                      <w:numId w:val="0"/>
                    </w:numPr>
                    <w:spacing w:line="240" w:lineRule="auto"/>
                    <w:ind w:left="0" w:leftChars="0"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768"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3</w:t>
                  </w:r>
                </w:p>
              </w:tc>
              <w:tc>
                <w:tcPr>
                  <w:tcW w:w="1719"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入料机</w:t>
                  </w:r>
                </w:p>
              </w:tc>
              <w:tc>
                <w:tcPr>
                  <w:tcW w:w="1250"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7.5kW</w:t>
                  </w:r>
                </w:p>
              </w:tc>
              <w:tc>
                <w:tcPr>
                  <w:tcW w:w="1260" w:type="pct"/>
                  <w:shd w:val="clear" w:color="auto" w:fill="auto"/>
                  <w:vAlign w:val="center"/>
                </w:tcPr>
                <w:p>
                  <w:pPr>
                    <w:numPr>
                      <w:ilvl w:val="0"/>
                      <w:numId w:val="0"/>
                    </w:numPr>
                    <w:spacing w:line="240" w:lineRule="auto"/>
                    <w:ind w:left="0" w:leftChars="0" w:firstLine="0" w:firstLine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768"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4</w:t>
                  </w:r>
                </w:p>
              </w:tc>
              <w:tc>
                <w:tcPr>
                  <w:tcW w:w="1719"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主机一套</w:t>
                  </w:r>
                </w:p>
              </w:tc>
              <w:tc>
                <w:tcPr>
                  <w:tcW w:w="1250"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110kW</w:t>
                  </w:r>
                </w:p>
              </w:tc>
              <w:tc>
                <w:tcPr>
                  <w:tcW w:w="1260" w:type="pct"/>
                  <w:shd w:val="clear" w:color="auto" w:fill="auto"/>
                  <w:vAlign w:val="center"/>
                </w:tcPr>
                <w:p>
                  <w:pPr>
                    <w:numPr>
                      <w:ilvl w:val="0"/>
                      <w:numId w:val="0"/>
                    </w:numPr>
                    <w:spacing w:line="240" w:lineRule="auto"/>
                    <w:ind w:left="0" w:lef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768"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5</w:t>
                  </w:r>
                </w:p>
              </w:tc>
              <w:tc>
                <w:tcPr>
                  <w:tcW w:w="1719"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总配电柜</w:t>
                  </w:r>
                </w:p>
              </w:tc>
              <w:tc>
                <w:tcPr>
                  <w:tcW w:w="1250"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700变压器</w:t>
                  </w:r>
                </w:p>
              </w:tc>
              <w:tc>
                <w:tcPr>
                  <w:tcW w:w="1260" w:type="pct"/>
                  <w:shd w:val="clear" w:color="auto" w:fill="auto"/>
                  <w:vAlign w:val="center"/>
                </w:tcPr>
                <w:p>
                  <w:pPr>
                    <w:numPr>
                      <w:ilvl w:val="0"/>
                      <w:numId w:val="0"/>
                    </w:numPr>
                    <w:spacing w:line="240" w:lineRule="auto"/>
                    <w:ind w:left="0" w:lef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768"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6</w:t>
                  </w:r>
                </w:p>
              </w:tc>
              <w:tc>
                <w:tcPr>
                  <w:tcW w:w="1719"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二部机</w:t>
                  </w:r>
                </w:p>
              </w:tc>
              <w:tc>
                <w:tcPr>
                  <w:tcW w:w="1250"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90kW</w:t>
                  </w:r>
                </w:p>
              </w:tc>
              <w:tc>
                <w:tcPr>
                  <w:tcW w:w="1260" w:type="pct"/>
                  <w:shd w:val="clear" w:color="auto" w:fill="auto"/>
                  <w:vAlign w:val="center"/>
                </w:tcPr>
                <w:p>
                  <w:pPr>
                    <w:numPr>
                      <w:ilvl w:val="0"/>
                      <w:numId w:val="0"/>
                    </w:numPr>
                    <w:spacing w:line="240" w:lineRule="auto"/>
                    <w:ind w:left="0" w:lef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768"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7</w:t>
                  </w:r>
                </w:p>
              </w:tc>
              <w:tc>
                <w:tcPr>
                  <w:tcW w:w="1719"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三部机</w:t>
                  </w:r>
                </w:p>
              </w:tc>
              <w:tc>
                <w:tcPr>
                  <w:tcW w:w="1250"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90kW</w:t>
                  </w:r>
                </w:p>
              </w:tc>
              <w:tc>
                <w:tcPr>
                  <w:tcW w:w="1260" w:type="pct"/>
                  <w:shd w:val="clear" w:color="auto" w:fill="auto"/>
                  <w:vAlign w:val="center"/>
                </w:tcPr>
                <w:p>
                  <w:pPr>
                    <w:numPr>
                      <w:ilvl w:val="0"/>
                      <w:numId w:val="0"/>
                    </w:numPr>
                    <w:spacing w:line="240" w:lineRule="auto"/>
                    <w:ind w:left="0" w:lef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768"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8</w:t>
                  </w:r>
                </w:p>
              </w:tc>
              <w:tc>
                <w:tcPr>
                  <w:tcW w:w="1719"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水槽</w:t>
                  </w:r>
                </w:p>
              </w:tc>
              <w:tc>
                <w:tcPr>
                  <w:tcW w:w="1250" w:type="pct"/>
                  <w:vAlign w:val="center"/>
                </w:tcPr>
                <w:p>
                  <w:pPr>
                    <w:numPr>
                      <w:ilvl w:val="0"/>
                      <w:numId w:val="0"/>
                    </w:numPr>
                    <w:spacing w:line="240" w:lineRule="auto"/>
                    <w:jc w:val="center"/>
                    <w:rPr>
                      <w:rFonts w:hint="eastAsia" w:ascii="Times New Roman" w:hAnsi="Times New Roman" w:eastAsia="宋体" w:cs="Times New Roman"/>
                      <w:color w:val="auto"/>
                      <w:kern w:val="2"/>
                      <w:sz w:val="21"/>
                      <w:szCs w:val="21"/>
                      <w:lang w:val="en-US" w:eastAsia="zh-CN" w:bidi="ar-SA"/>
                    </w:rPr>
                  </w:pPr>
                </w:p>
              </w:tc>
              <w:tc>
                <w:tcPr>
                  <w:tcW w:w="1260" w:type="pct"/>
                  <w:shd w:val="clear" w:color="auto" w:fill="auto"/>
                  <w:vAlign w:val="center"/>
                </w:tcPr>
                <w:p>
                  <w:pPr>
                    <w:numPr>
                      <w:ilvl w:val="0"/>
                      <w:numId w:val="0"/>
                    </w:numPr>
                    <w:spacing w:line="240" w:lineRule="auto"/>
                    <w:ind w:left="0" w:lef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768"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w:t>
                  </w:r>
                </w:p>
              </w:tc>
              <w:tc>
                <w:tcPr>
                  <w:tcW w:w="1719"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吹条机</w:t>
                  </w:r>
                </w:p>
              </w:tc>
              <w:tc>
                <w:tcPr>
                  <w:tcW w:w="1250"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2.2KW</w:t>
                  </w:r>
                </w:p>
              </w:tc>
              <w:tc>
                <w:tcPr>
                  <w:tcW w:w="1260" w:type="pct"/>
                  <w:shd w:val="clear" w:color="auto" w:fill="auto"/>
                  <w:vAlign w:val="center"/>
                </w:tcPr>
                <w:p>
                  <w:pPr>
                    <w:numPr>
                      <w:ilvl w:val="0"/>
                      <w:numId w:val="0"/>
                    </w:numPr>
                    <w:spacing w:line="240" w:lineRule="auto"/>
                    <w:ind w:left="0" w:lef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768"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10</w:t>
                  </w:r>
                </w:p>
              </w:tc>
              <w:tc>
                <w:tcPr>
                  <w:tcW w:w="1719"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切粒机</w:t>
                  </w:r>
                </w:p>
              </w:tc>
              <w:tc>
                <w:tcPr>
                  <w:tcW w:w="1250"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5.5kW</w:t>
                  </w:r>
                </w:p>
              </w:tc>
              <w:tc>
                <w:tcPr>
                  <w:tcW w:w="1260" w:type="pct"/>
                  <w:shd w:val="clear" w:color="auto" w:fill="auto"/>
                  <w:vAlign w:val="center"/>
                </w:tcPr>
                <w:p>
                  <w:pPr>
                    <w:numPr>
                      <w:ilvl w:val="0"/>
                      <w:numId w:val="0"/>
                    </w:numPr>
                    <w:spacing w:line="240" w:lineRule="auto"/>
                    <w:ind w:left="0" w:lef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768"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w:t>
                  </w:r>
                  <w:r>
                    <w:rPr>
                      <w:rFonts w:hint="eastAsia" w:cs="Times New Roman"/>
                      <w:color w:val="auto"/>
                      <w:kern w:val="2"/>
                      <w:sz w:val="21"/>
                      <w:szCs w:val="21"/>
                      <w:lang w:val="en-US" w:eastAsia="zh-CN" w:bidi="ar-SA"/>
                    </w:rPr>
                    <w:t>1</w:t>
                  </w:r>
                </w:p>
              </w:tc>
              <w:tc>
                <w:tcPr>
                  <w:tcW w:w="1719"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颗粒仓</w:t>
                  </w:r>
                </w:p>
              </w:tc>
              <w:tc>
                <w:tcPr>
                  <w:tcW w:w="1250"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7.5kW</w:t>
                  </w:r>
                </w:p>
              </w:tc>
              <w:tc>
                <w:tcPr>
                  <w:tcW w:w="1260" w:type="pct"/>
                  <w:shd w:val="clear" w:color="auto" w:fill="auto"/>
                  <w:vAlign w:val="center"/>
                </w:tcPr>
                <w:p>
                  <w:pPr>
                    <w:numPr>
                      <w:ilvl w:val="0"/>
                      <w:numId w:val="0"/>
                    </w:numPr>
                    <w:spacing w:line="240" w:lineRule="auto"/>
                    <w:ind w:left="0" w:lef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768"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w:t>
                  </w:r>
                  <w:r>
                    <w:rPr>
                      <w:rFonts w:hint="eastAsia" w:cs="Times New Roman"/>
                      <w:color w:val="auto"/>
                      <w:kern w:val="2"/>
                      <w:sz w:val="21"/>
                      <w:szCs w:val="21"/>
                      <w:lang w:val="en-US" w:eastAsia="zh-CN" w:bidi="ar-SA"/>
                    </w:rPr>
                    <w:t>2</w:t>
                  </w:r>
                </w:p>
              </w:tc>
              <w:tc>
                <w:tcPr>
                  <w:tcW w:w="1719"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电磁加热系统</w:t>
                  </w:r>
                </w:p>
              </w:tc>
              <w:tc>
                <w:tcPr>
                  <w:tcW w:w="1250"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500kW</w:t>
                  </w:r>
                </w:p>
              </w:tc>
              <w:tc>
                <w:tcPr>
                  <w:tcW w:w="1260" w:type="pct"/>
                  <w:shd w:val="clear" w:color="auto" w:fill="auto"/>
                  <w:vAlign w:val="center"/>
                </w:tcPr>
                <w:p>
                  <w:pPr>
                    <w:numPr>
                      <w:ilvl w:val="0"/>
                      <w:numId w:val="0"/>
                    </w:numPr>
                    <w:spacing w:line="240" w:lineRule="auto"/>
                    <w:ind w:left="0" w:leftChars="0"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5000" w:type="pct"/>
                  <w:gridSpan w:val="4"/>
                  <w:vAlign w:val="center"/>
                </w:tcPr>
                <w:p>
                  <w:pPr>
                    <w:numPr>
                      <w:ilvl w:val="0"/>
                      <w:numId w:val="0"/>
                    </w:numPr>
                    <w:spacing w:line="240" w:lineRule="auto"/>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烟气处理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768" w:type="pct"/>
                  <w:vAlign w:val="center"/>
                </w:tcPr>
                <w:p>
                  <w:pPr>
                    <w:numPr>
                      <w:ilvl w:val="0"/>
                      <w:numId w:val="0"/>
                    </w:numPr>
                    <w:spacing w:line="240" w:lineRule="auto"/>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13</w:t>
                  </w:r>
                </w:p>
              </w:tc>
              <w:tc>
                <w:tcPr>
                  <w:tcW w:w="1719"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喷淋罐</w:t>
                  </w:r>
                </w:p>
              </w:tc>
              <w:tc>
                <w:tcPr>
                  <w:tcW w:w="1250" w:type="pct"/>
                  <w:vAlign w:val="center"/>
                </w:tcPr>
                <w:p>
                  <w:pPr>
                    <w:numPr>
                      <w:ilvl w:val="0"/>
                      <w:numId w:val="0"/>
                    </w:numPr>
                    <w:spacing w:line="240" w:lineRule="auto"/>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5.5kW</w:t>
                  </w:r>
                </w:p>
              </w:tc>
              <w:tc>
                <w:tcPr>
                  <w:tcW w:w="1260" w:type="pct"/>
                  <w:shd w:val="clear" w:color="auto" w:fill="auto"/>
                  <w:vAlign w:val="center"/>
                </w:tcPr>
                <w:p>
                  <w:pPr>
                    <w:numPr>
                      <w:ilvl w:val="0"/>
                      <w:numId w:val="0"/>
                    </w:numPr>
                    <w:spacing w:line="240" w:lineRule="auto"/>
                    <w:ind w:left="0" w:lef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768"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w:t>
                  </w:r>
                  <w:r>
                    <w:rPr>
                      <w:rFonts w:hint="eastAsia" w:cs="Times New Roman"/>
                      <w:color w:val="auto"/>
                      <w:kern w:val="2"/>
                      <w:sz w:val="21"/>
                      <w:szCs w:val="21"/>
                      <w:lang w:val="en-US" w:eastAsia="zh-CN" w:bidi="ar-SA"/>
                    </w:rPr>
                    <w:t>4</w:t>
                  </w:r>
                </w:p>
              </w:tc>
              <w:tc>
                <w:tcPr>
                  <w:tcW w:w="1719"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电捕焦</w:t>
                  </w:r>
                </w:p>
              </w:tc>
              <w:tc>
                <w:tcPr>
                  <w:tcW w:w="1250"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7.5kW</w:t>
                  </w:r>
                </w:p>
              </w:tc>
              <w:tc>
                <w:tcPr>
                  <w:tcW w:w="1260" w:type="pct"/>
                  <w:shd w:val="clear" w:color="auto" w:fill="auto"/>
                  <w:vAlign w:val="center"/>
                </w:tcPr>
                <w:p>
                  <w:pPr>
                    <w:numPr>
                      <w:ilvl w:val="0"/>
                      <w:numId w:val="0"/>
                    </w:numPr>
                    <w:spacing w:line="240" w:lineRule="auto"/>
                    <w:ind w:left="0" w:leftChars="0"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768"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w:t>
                  </w:r>
                  <w:r>
                    <w:rPr>
                      <w:rFonts w:hint="eastAsia" w:cs="Times New Roman"/>
                      <w:color w:val="auto"/>
                      <w:kern w:val="2"/>
                      <w:sz w:val="21"/>
                      <w:szCs w:val="21"/>
                      <w:lang w:val="en-US" w:eastAsia="zh-CN" w:bidi="ar-SA"/>
                    </w:rPr>
                    <w:t>5</w:t>
                  </w:r>
                </w:p>
              </w:tc>
              <w:tc>
                <w:tcPr>
                  <w:tcW w:w="1719"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风机</w:t>
                  </w:r>
                </w:p>
              </w:tc>
              <w:tc>
                <w:tcPr>
                  <w:tcW w:w="1250"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75kW</w:t>
                  </w:r>
                </w:p>
              </w:tc>
              <w:tc>
                <w:tcPr>
                  <w:tcW w:w="1260" w:type="pct"/>
                  <w:shd w:val="clear" w:color="auto" w:fill="auto"/>
                  <w:vAlign w:val="center"/>
                </w:tcPr>
                <w:p>
                  <w:pPr>
                    <w:numPr>
                      <w:ilvl w:val="0"/>
                      <w:numId w:val="0"/>
                    </w:numPr>
                    <w:spacing w:line="240" w:lineRule="auto"/>
                    <w:ind w:left="0" w:lef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68"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w:t>
                  </w:r>
                  <w:r>
                    <w:rPr>
                      <w:rFonts w:hint="eastAsia" w:cs="Times New Roman"/>
                      <w:color w:val="auto"/>
                      <w:kern w:val="2"/>
                      <w:sz w:val="21"/>
                      <w:szCs w:val="21"/>
                      <w:lang w:val="en-US" w:eastAsia="zh-CN" w:bidi="ar-SA"/>
                    </w:rPr>
                    <w:t>6</w:t>
                  </w:r>
                </w:p>
              </w:tc>
              <w:tc>
                <w:tcPr>
                  <w:tcW w:w="1719" w:type="pct"/>
                  <w:vAlign w:val="center"/>
                </w:tcPr>
                <w:p>
                  <w:pPr>
                    <w:numPr>
                      <w:ilvl w:val="0"/>
                      <w:numId w:val="0"/>
                    </w:num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烟筒</w:t>
                  </w:r>
                </w:p>
              </w:tc>
              <w:tc>
                <w:tcPr>
                  <w:tcW w:w="1250" w:type="pct"/>
                  <w:vAlign w:val="center"/>
                </w:tcPr>
                <w:p>
                  <w:pPr>
                    <w:numPr>
                      <w:ilvl w:val="0"/>
                      <w:numId w:val="0"/>
                    </w:numPr>
                    <w:spacing w:line="240" w:lineRule="auto"/>
                    <w:jc w:val="center"/>
                    <w:rPr>
                      <w:rFonts w:hint="eastAsia" w:ascii="Times New Roman" w:hAnsi="Times New Roman" w:eastAsia="宋体" w:cs="Times New Roman"/>
                      <w:color w:val="auto"/>
                      <w:kern w:val="2"/>
                      <w:sz w:val="21"/>
                      <w:szCs w:val="21"/>
                      <w:lang w:val="en-US" w:eastAsia="zh-CN" w:bidi="ar-SA"/>
                    </w:rPr>
                  </w:pPr>
                </w:p>
              </w:tc>
              <w:tc>
                <w:tcPr>
                  <w:tcW w:w="1260" w:type="pct"/>
                  <w:shd w:val="clear" w:color="auto" w:fill="auto"/>
                  <w:vAlign w:val="center"/>
                </w:tcPr>
                <w:p>
                  <w:pPr>
                    <w:numPr>
                      <w:ilvl w:val="0"/>
                      <w:numId w:val="0"/>
                    </w:numPr>
                    <w:spacing w:line="240" w:lineRule="auto"/>
                    <w:ind w:left="0" w:leftChars="0"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w:t>
                  </w:r>
                </w:p>
              </w:tc>
            </w:tr>
          </w:tbl>
          <w:p>
            <w:pPr>
              <w:adjustRightInd w:val="0"/>
              <w:snapToGrid w:val="0"/>
              <w:spacing w:line="360" w:lineRule="auto"/>
              <w:rPr>
                <w:b/>
                <w:bCs/>
                <w:color w:val="auto"/>
                <w:sz w:val="24"/>
                <w:szCs w:val="24"/>
              </w:rPr>
            </w:pPr>
            <w:r>
              <w:rPr>
                <w:b/>
                <w:bCs/>
                <w:color w:val="auto"/>
                <w:sz w:val="24"/>
                <w:szCs w:val="24"/>
              </w:rPr>
              <w:t>5、主要原辅材料种类和用量</w:t>
            </w:r>
          </w:p>
          <w:p>
            <w:pPr>
              <w:adjustRightInd w:val="0"/>
              <w:snapToGrid w:val="0"/>
              <w:spacing w:line="360" w:lineRule="auto"/>
              <w:ind w:firstLine="480" w:firstLineChars="200"/>
              <w:rPr>
                <w:color w:val="auto"/>
                <w:kern w:val="0"/>
                <w:sz w:val="24"/>
                <w:szCs w:val="24"/>
              </w:rPr>
            </w:pPr>
            <w:r>
              <w:rPr>
                <w:rFonts w:hint="eastAsia"/>
                <w:color w:val="auto"/>
                <w:kern w:val="0"/>
                <w:sz w:val="24"/>
                <w:szCs w:val="24"/>
              </w:rPr>
              <w:t>根据建设单位提供资料，本项目年加工处理量合计</w:t>
            </w:r>
            <w:r>
              <w:rPr>
                <w:rFonts w:hint="eastAsia"/>
                <w:color w:val="auto"/>
                <w:kern w:val="0"/>
                <w:sz w:val="24"/>
                <w:szCs w:val="24"/>
                <w:lang w:val="en-US" w:eastAsia="zh-CN"/>
              </w:rPr>
              <w:t>4.5</w:t>
            </w:r>
            <w:r>
              <w:rPr>
                <w:rFonts w:hint="eastAsia"/>
                <w:color w:val="auto"/>
                <w:kern w:val="0"/>
                <w:sz w:val="24"/>
                <w:szCs w:val="24"/>
              </w:rPr>
              <w:t>万t/a。</w:t>
            </w:r>
            <w:r>
              <w:rPr>
                <w:color w:val="auto"/>
                <w:kern w:val="0"/>
                <w:sz w:val="24"/>
                <w:szCs w:val="24"/>
              </w:rPr>
              <w:t>项目主要原辅材料消耗情况见表2-4。</w:t>
            </w:r>
          </w:p>
          <w:p>
            <w:pPr>
              <w:adjustRightInd w:val="0"/>
              <w:snapToGrid w:val="0"/>
              <w:spacing w:before="120" w:beforeLines="50"/>
              <w:jc w:val="center"/>
              <w:rPr>
                <w:b/>
                <w:bCs/>
                <w:color w:val="auto"/>
                <w:sz w:val="24"/>
                <w:szCs w:val="24"/>
              </w:rPr>
            </w:pPr>
            <w:r>
              <w:rPr>
                <w:b/>
                <w:bCs/>
                <w:color w:val="auto"/>
                <w:sz w:val="24"/>
                <w:szCs w:val="24"/>
              </w:rPr>
              <w:t>表2-</w:t>
            </w:r>
            <w:r>
              <w:rPr>
                <w:rFonts w:hint="eastAsia"/>
                <w:b/>
                <w:bCs/>
                <w:color w:val="auto"/>
                <w:sz w:val="24"/>
                <w:szCs w:val="24"/>
              </w:rPr>
              <w:t>4</w:t>
            </w:r>
            <w:r>
              <w:rPr>
                <w:b/>
                <w:bCs/>
                <w:color w:val="auto"/>
                <w:sz w:val="24"/>
                <w:szCs w:val="24"/>
              </w:rPr>
              <w:t xml:space="preserve">  主要</w:t>
            </w:r>
            <w:r>
              <w:rPr>
                <w:rFonts w:hint="eastAsia"/>
                <w:b/>
                <w:bCs/>
                <w:color w:val="auto"/>
                <w:sz w:val="24"/>
                <w:szCs w:val="24"/>
              </w:rPr>
              <w:t>原辅材料消耗</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0"/>
              <w:gridCol w:w="1214"/>
              <w:gridCol w:w="622"/>
              <w:gridCol w:w="849"/>
              <w:gridCol w:w="756"/>
              <w:gridCol w:w="1105"/>
              <w:gridCol w:w="9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80" w:type="dxa"/>
                  <w:vMerge w:val="restart"/>
                  <w:vAlign w:val="center"/>
                </w:tcPr>
                <w:p>
                  <w:pPr>
                    <w:adjustRightInd w:val="0"/>
                    <w:snapToGrid w:val="0"/>
                    <w:jc w:val="center"/>
                    <w:rPr>
                      <w:b/>
                      <w:bCs/>
                      <w:color w:val="auto"/>
                      <w:sz w:val="21"/>
                      <w:szCs w:val="21"/>
                    </w:rPr>
                  </w:pPr>
                  <w:r>
                    <w:rPr>
                      <w:rFonts w:hint="eastAsia"/>
                      <w:b/>
                      <w:bCs/>
                      <w:color w:val="auto"/>
                      <w:sz w:val="21"/>
                      <w:szCs w:val="21"/>
                    </w:rPr>
                    <w:t>原料名称</w:t>
                  </w:r>
                </w:p>
              </w:tc>
              <w:tc>
                <w:tcPr>
                  <w:tcW w:w="1214" w:type="dxa"/>
                  <w:vMerge w:val="restart"/>
                  <w:vAlign w:val="center"/>
                </w:tcPr>
                <w:p>
                  <w:pPr>
                    <w:adjustRightInd w:val="0"/>
                    <w:snapToGrid w:val="0"/>
                    <w:jc w:val="center"/>
                    <w:rPr>
                      <w:b/>
                      <w:bCs/>
                      <w:color w:val="auto"/>
                      <w:sz w:val="21"/>
                      <w:szCs w:val="21"/>
                    </w:rPr>
                  </w:pPr>
                  <w:r>
                    <w:rPr>
                      <w:rFonts w:hint="eastAsia"/>
                      <w:b/>
                      <w:bCs/>
                      <w:color w:val="auto"/>
                      <w:sz w:val="21"/>
                      <w:szCs w:val="21"/>
                    </w:rPr>
                    <w:t>原料消耗量</w:t>
                  </w:r>
                </w:p>
              </w:tc>
              <w:tc>
                <w:tcPr>
                  <w:tcW w:w="4234" w:type="dxa"/>
                  <w:gridSpan w:val="5"/>
                  <w:vAlign w:val="center"/>
                </w:tcPr>
                <w:p>
                  <w:pPr>
                    <w:adjustRightInd w:val="0"/>
                    <w:snapToGrid w:val="0"/>
                    <w:jc w:val="center"/>
                    <w:rPr>
                      <w:b/>
                      <w:bCs/>
                      <w:color w:val="auto"/>
                      <w:sz w:val="21"/>
                      <w:szCs w:val="21"/>
                    </w:rPr>
                  </w:pPr>
                  <w:r>
                    <w:rPr>
                      <w:rFonts w:hint="eastAsia"/>
                      <w:b/>
                      <w:bCs/>
                      <w:color w:val="auto"/>
                      <w:sz w:val="21"/>
                      <w:szCs w:val="21"/>
                    </w:rPr>
                    <w:t>原辅料主要组成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2480" w:type="dxa"/>
                  <w:vMerge w:val="continue"/>
                  <w:vAlign w:val="center"/>
                </w:tcPr>
                <w:p>
                  <w:pPr>
                    <w:adjustRightInd w:val="0"/>
                    <w:snapToGrid w:val="0"/>
                    <w:jc w:val="center"/>
                    <w:rPr>
                      <w:b/>
                      <w:bCs/>
                      <w:color w:val="auto"/>
                      <w:sz w:val="21"/>
                      <w:szCs w:val="21"/>
                    </w:rPr>
                  </w:pPr>
                </w:p>
              </w:tc>
              <w:tc>
                <w:tcPr>
                  <w:tcW w:w="1214" w:type="dxa"/>
                  <w:vMerge w:val="continue"/>
                  <w:vAlign w:val="center"/>
                </w:tcPr>
                <w:p>
                  <w:pPr>
                    <w:adjustRightInd w:val="0"/>
                    <w:snapToGrid w:val="0"/>
                    <w:jc w:val="center"/>
                    <w:rPr>
                      <w:b/>
                      <w:bCs/>
                      <w:color w:val="auto"/>
                      <w:sz w:val="21"/>
                      <w:szCs w:val="21"/>
                    </w:rPr>
                  </w:pPr>
                </w:p>
              </w:tc>
              <w:tc>
                <w:tcPr>
                  <w:tcW w:w="622" w:type="dxa"/>
                  <w:vAlign w:val="center"/>
                </w:tcPr>
                <w:p>
                  <w:pPr>
                    <w:adjustRightInd w:val="0"/>
                    <w:snapToGrid w:val="0"/>
                    <w:jc w:val="center"/>
                    <w:rPr>
                      <w:rFonts w:hint="eastAsia" w:eastAsia="宋体"/>
                      <w:b/>
                      <w:bCs/>
                      <w:color w:val="auto"/>
                      <w:sz w:val="21"/>
                      <w:szCs w:val="21"/>
                      <w:lang w:val="en-US" w:eastAsia="zh-CN"/>
                    </w:rPr>
                  </w:pPr>
                  <w:r>
                    <w:rPr>
                      <w:rFonts w:hint="eastAsia"/>
                      <w:b/>
                      <w:bCs/>
                      <w:color w:val="auto"/>
                      <w:sz w:val="21"/>
                      <w:szCs w:val="21"/>
                      <w:lang w:val="en-US" w:eastAsia="zh-CN"/>
                    </w:rPr>
                    <w:t>含水率</w:t>
                  </w:r>
                </w:p>
              </w:tc>
              <w:tc>
                <w:tcPr>
                  <w:tcW w:w="849" w:type="dxa"/>
                  <w:shd w:val="clear" w:color="auto" w:fill="auto"/>
                  <w:vAlign w:val="center"/>
                </w:tcPr>
                <w:p>
                  <w:pPr>
                    <w:adjustRightInd w:val="0"/>
                    <w:snapToGrid w:val="0"/>
                    <w:jc w:val="center"/>
                    <w:rPr>
                      <w:rFonts w:ascii="Times New Roman" w:hAnsi="Times New Roman" w:eastAsia="宋体" w:cs="Times New Roman"/>
                      <w:b/>
                      <w:bCs/>
                      <w:color w:val="auto"/>
                      <w:kern w:val="2"/>
                      <w:sz w:val="21"/>
                      <w:szCs w:val="21"/>
                      <w:lang w:val="en-US" w:eastAsia="zh-CN" w:bidi="ar-SA"/>
                    </w:rPr>
                  </w:pPr>
                  <w:r>
                    <w:rPr>
                      <w:rFonts w:hint="eastAsia"/>
                      <w:b/>
                      <w:bCs/>
                      <w:color w:val="auto"/>
                      <w:sz w:val="21"/>
                      <w:szCs w:val="21"/>
                    </w:rPr>
                    <w:t>塑料</w:t>
                  </w:r>
                </w:p>
              </w:tc>
              <w:tc>
                <w:tcPr>
                  <w:tcW w:w="756" w:type="dxa"/>
                  <w:shd w:val="clear" w:color="auto" w:fill="auto"/>
                  <w:vAlign w:val="center"/>
                </w:tcPr>
                <w:p>
                  <w:pPr>
                    <w:adjustRightInd w:val="0"/>
                    <w:snapToGrid w:val="0"/>
                    <w:jc w:val="center"/>
                    <w:rPr>
                      <w:rFonts w:ascii="Times New Roman" w:hAnsi="Times New Roman" w:eastAsia="宋体" w:cs="Times New Roman"/>
                      <w:b/>
                      <w:bCs/>
                      <w:color w:val="auto"/>
                      <w:kern w:val="2"/>
                      <w:sz w:val="21"/>
                      <w:szCs w:val="21"/>
                      <w:lang w:val="en-US" w:eastAsia="zh-CN" w:bidi="ar-SA"/>
                    </w:rPr>
                  </w:pPr>
                  <w:r>
                    <w:rPr>
                      <w:rFonts w:hint="eastAsia"/>
                      <w:b/>
                      <w:bCs/>
                      <w:color w:val="auto"/>
                      <w:sz w:val="21"/>
                      <w:szCs w:val="21"/>
                    </w:rPr>
                    <w:t>纸浆纤维</w:t>
                  </w:r>
                </w:p>
              </w:tc>
              <w:tc>
                <w:tcPr>
                  <w:tcW w:w="1105" w:type="dxa"/>
                  <w:shd w:val="clear" w:color="auto" w:fill="auto"/>
                  <w:vAlign w:val="center"/>
                </w:tcPr>
                <w:p>
                  <w:pPr>
                    <w:adjustRightInd w:val="0"/>
                    <w:snapToGrid w:val="0"/>
                    <w:jc w:val="center"/>
                    <w:rPr>
                      <w:rFonts w:hint="eastAsia" w:ascii="Times New Roman" w:hAnsi="Times New Roman" w:eastAsia="宋体" w:cs="Times New Roman"/>
                      <w:b/>
                      <w:bCs/>
                      <w:color w:val="auto"/>
                      <w:kern w:val="2"/>
                      <w:sz w:val="21"/>
                      <w:szCs w:val="21"/>
                      <w:lang w:val="en-US" w:eastAsia="zh-CN" w:bidi="ar-SA"/>
                    </w:rPr>
                  </w:pPr>
                  <w:r>
                    <w:rPr>
                      <w:rFonts w:hint="eastAsia"/>
                      <w:b/>
                      <w:bCs/>
                      <w:color w:val="auto"/>
                      <w:sz w:val="21"/>
                      <w:szCs w:val="21"/>
                    </w:rPr>
                    <w:t>铝、铁、铜等金属杂质</w:t>
                  </w:r>
                </w:p>
              </w:tc>
              <w:tc>
                <w:tcPr>
                  <w:tcW w:w="902" w:type="dxa"/>
                  <w:vAlign w:val="center"/>
                </w:tcPr>
                <w:p>
                  <w:pPr>
                    <w:adjustRightInd w:val="0"/>
                    <w:snapToGrid w:val="0"/>
                    <w:jc w:val="center"/>
                    <w:rPr>
                      <w:b/>
                      <w:bCs/>
                      <w:color w:val="auto"/>
                      <w:sz w:val="21"/>
                      <w:szCs w:val="21"/>
                    </w:rPr>
                  </w:pPr>
                  <w:r>
                    <w:rPr>
                      <w:rFonts w:hint="eastAsia"/>
                      <w:b/>
                      <w:bCs/>
                      <w:color w:val="auto"/>
                      <w:sz w:val="21"/>
                      <w:szCs w:val="21"/>
                    </w:rPr>
                    <w:t>泥沙、</w:t>
                  </w:r>
                  <w:r>
                    <w:rPr>
                      <w:rFonts w:hint="eastAsia"/>
                      <w:b/>
                      <w:bCs/>
                      <w:color w:val="auto"/>
                      <w:sz w:val="21"/>
                      <w:szCs w:val="21"/>
                      <w:lang w:eastAsia="zh-CN"/>
                    </w:rPr>
                    <w:t>玻璃碴</w:t>
                  </w:r>
                  <w:r>
                    <w:rPr>
                      <w:rFonts w:hint="eastAsia"/>
                      <w:b/>
                      <w:bCs/>
                      <w:color w:val="auto"/>
                      <w:sz w:val="21"/>
                      <w:szCs w:val="21"/>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2480" w:type="dxa"/>
                  <w:vAlign w:val="center"/>
                </w:tcPr>
                <w:p>
                  <w:pPr>
                    <w:adjustRightInd w:val="0"/>
                    <w:snapToGrid w:val="0"/>
                    <w:jc w:val="center"/>
                    <w:rPr>
                      <w:color w:val="auto"/>
                      <w:sz w:val="21"/>
                      <w:szCs w:val="21"/>
                    </w:rPr>
                  </w:pPr>
                  <w:r>
                    <w:rPr>
                      <w:color w:val="auto"/>
                      <w:sz w:val="21"/>
                      <w:szCs w:val="21"/>
                    </w:rPr>
                    <w:t>碎浆废物、碎浆废渣</w:t>
                  </w:r>
                </w:p>
              </w:tc>
              <w:tc>
                <w:tcPr>
                  <w:tcW w:w="1214" w:type="dxa"/>
                  <w:vAlign w:val="center"/>
                </w:tcPr>
                <w:p>
                  <w:pPr>
                    <w:adjustRightInd w:val="0"/>
                    <w:snapToGrid w:val="0"/>
                    <w:jc w:val="center"/>
                    <w:rPr>
                      <w:color w:val="auto"/>
                      <w:sz w:val="21"/>
                      <w:szCs w:val="21"/>
                    </w:rPr>
                  </w:pPr>
                  <w:r>
                    <w:rPr>
                      <w:rFonts w:hint="eastAsia"/>
                      <w:color w:val="auto"/>
                      <w:sz w:val="21"/>
                      <w:szCs w:val="21"/>
                      <w:lang w:val="en-US" w:eastAsia="zh-CN"/>
                    </w:rPr>
                    <w:t>4.5</w:t>
                  </w:r>
                  <w:r>
                    <w:rPr>
                      <w:rFonts w:hint="eastAsia"/>
                      <w:color w:val="auto"/>
                      <w:sz w:val="21"/>
                      <w:szCs w:val="21"/>
                    </w:rPr>
                    <w:t>万t/a</w:t>
                  </w:r>
                </w:p>
              </w:tc>
              <w:tc>
                <w:tcPr>
                  <w:tcW w:w="622" w:type="dxa"/>
                  <w:vAlign w:val="center"/>
                </w:tcPr>
                <w:p>
                  <w:pPr>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45%</w:t>
                  </w:r>
                </w:p>
              </w:tc>
              <w:tc>
                <w:tcPr>
                  <w:tcW w:w="849" w:type="dxa"/>
                  <w:shd w:val="clear" w:color="auto" w:fill="auto"/>
                  <w:vAlign w:val="center"/>
                </w:tcPr>
                <w:p>
                  <w:pPr>
                    <w:adjustRightInd w:val="0"/>
                    <w:snapToGrid w:val="0"/>
                    <w:jc w:val="center"/>
                    <w:rPr>
                      <w:rFonts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36</w:t>
                  </w:r>
                  <w:r>
                    <w:rPr>
                      <w:rFonts w:hint="eastAsia"/>
                      <w:color w:val="auto"/>
                      <w:sz w:val="21"/>
                      <w:szCs w:val="21"/>
                    </w:rPr>
                    <w:t>%</w:t>
                  </w:r>
                </w:p>
              </w:tc>
              <w:tc>
                <w:tcPr>
                  <w:tcW w:w="756" w:type="dxa"/>
                  <w:shd w:val="clear" w:color="auto" w:fill="auto"/>
                  <w:vAlign w:val="center"/>
                </w:tcPr>
                <w:p>
                  <w:pPr>
                    <w:adjustRightInd w:val="0"/>
                    <w:snapToGrid w:val="0"/>
                    <w:jc w:val="center"/>
                    <w:rPr>
                      <w:rFonts w:ascii="Times New Roman" w:hAnsi="Times New Roman" w:eastAsia="宋体" w:cs="Times New Roman"/>
                      <w:color w:val="auto"/>
                      <w:kern w:val="2"/>
                      <w:sz w:val="21"/>
                      <w:szCs w:val="21"/>
                      <w:lang w:val="en-US" w:eastAsia="zh-CN" w:bidi="ar-SA"/>
                    </w:rPr>
                  </w:pPr>
                  <w:r>
                    <w:rPr>
                      <w:rFonts w:hint="eastAsia"/>
                      <w:color w:val="auto"/>
                      <w:sz w:val="21"/>
                      <w:szCs w:val="21"/>
                    </w:rPr>
                    <w:t>12%</w:t>
                  </w:r>
                </w:p>
              </w:tc>
              <w:tc>
                <w:tcPr>
                  <w:tcW w:w="1105" w:type="dxa"/>
                  <w:shd w:val="clear" w:color="auto" w:fill="auto"/>
                  <w:vAlign w:val="center"/>
                </w:tcPr>
                <w:p>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5%</w:t>
                  </w:r>
                </w:p>
              </w:tc>
              <w:tc>
                <w:tcPr>
                  <w:tcW w:w="902" w:type="dxa"/>
                  <w:vAlign w:val="center"/>
                </w:tcPr>
                <w:p>
                  <w:pPr>
                    <w:adjustRightInd w:val="0"/>
                    <w:snapToGrid w:val="0"/>
                    <w:jc w:val="center"/>
                    <w:rPr>
                      <w:color w:val="auto"/>
                      <w:sz w:val="21"/>
                      <w:szCs w:val="21"/>
                    </w:rPr>
                  </w:pPr>
                  <w:r>
                    <w:rPr>
                      <w:rFonts w:hint="eastAsia"/>
                      <w:color w:val="auto"/>
                      <w:sz w:val="21"/>
                      <w:szCs w:val="21"/>
                    </w:rPr>
                    <w:t>3%</w:t>
                  </w:r>
                </w:p>
              </w:tc>
            </w:tr>
          </w:tbl>
          <w:p>
            <w:pPr>
              <w:pStyle w:val="82"/>
              <w:snapToGrid w:val="0"/>
              <w:ind w:firstLine="422"/>
              <w:rPr>
                <w:rFonts w:hint="eastAsia"/>
                <w:b/>
                <w:bCs/>
                <w:color w:val="auto"/>
                <w:sz w:val="24"/>
                <w:szCs w:val="24"/>
              </w:rPr>
            </w:pPr>
            <w:r>
              <w:rPr>
                <w:rFonts w:hint="eastAsia"/>
                <w:color w:val="auto"/>
                <w:kern w:val="0"/>
                <w:sz w:val="24"/>
                <w:szCs w:val="24"/>
              </w:rPr>
              <w:t>本项目</w:t>
            </w:r>
            <w:r>
              <w:rPr>
                <w:rFonts w:hint="eastAsia"/>
                <w:color w:val="auto"/>
                <w:kern w:val="0"/>
                <w:sz w:val="24"/>
                <w:szCs w:val="24"/>
                <w:lang w:val="en-US" w:eastAsia="zh-CN"/>
              </w:rPr>
              <w:t>原料来源于云南</w:t>
            </w:r>
            <w:r>
              <w:rPr>
                <w:rFonts w:hint="eastAsia"/>
                <w:color w:val="auto"/>
                <w:kern w:val="0"/>
                <w:sz w:val="24"/>
                <w:szCs w:val="24"/>
              </w:rPr>
              <w:t>东晟纸业</w:t>
            </w:r>
            <w:r>
              <w:rPr>
                <w:rFonts w:hint="eastAsia"/>
                <w:color w:val="auto"/>
                <w:kern w:val="0"/>
                <w:sz w:val="24"/>
                <w:szCs w:val="24"/>
                <w:lang w:val="en-US" w:eastAsia="zh-CN"/>
              </w:rPr>
              <w:t>有限责任公司</w:t>
            </w:r>
            <w:r>
              <w:rPr>
                <w:rFonts w:hint="eastAsia"/>
                <w:color w:val="auto"/>
                <w:szCs w:val="21"/>
              </w:rPr>
              <w:t>碎浆工段产生的砂石、金属和塑料等。</w:t>
            </w:r>
            <w:r>
              <w:rPr>
                <w:rFonts w:ascii="宋体" w:hAnsi="宋体"/>
                <w:color w:val="auto"/>
                <w:szCs w:val="21"/>
              </w:rPr>
              <w:t>项目主要将再生纸生产企业碎浆预处理工段筛分出的碎浆废物中的废塑料回收后进行再生塑料颗粒的生产。</w:t>
            </w:r>
          </w:p>
          <w:p>
            <w:pPr>
              <w:pStyle w:val="82"/>
              <w:snapToGrid w:val="0"/>
              <w:ind w:firstLine="422"/>
              <w:rPr>
                <w:b/>
                <w:bCs/>
                <w:color w:val="auto"/>
                <w:sz w:val="24"/>
                <w:szCs w:val="24"/>
              </w:rPr>
            </w:pPr>
            <w:r>
              <w:rPr>
                <w:rFonts w:hint="eastAsia"/>
                <w:b/>
                <w:bCs/>
                <w:color w:val="auto"/>
                <w:sz w:val="24"/>
                <w:szCs w:val="24"/>
              </w:rPr>
              <w:t>入厂原料质量管理要求</w:t>
            </w:r>
          </w:p>
          <w:p>
            <w:pPr>
              <w:pStyle w:val="82"/>
              <w:snapToGrid w:val="0"/>
              <w:ind w:firstLine="420"/>
              <w:rPr>
                <w:color w:val="auto"/>
                <w:sz w:val="24"/>
                <w:szCs w:val="24"/>
              </w:rPr>
            </w:pPr>
            <w:r>
              <w:rPr>
                <w:rFonts w:hint="eastAsia" w:ascii="宋体" w:hAnsi="宋体" w:cs="宋体"/>
                <w:color w:val="auto"/>
                <w:sz w:val="24"/>
                <w:szCs w:val="24"/>
              </w:rPr>
              <w:t>①</w:t>
            </w:r>
            <w:r>
              <w:rPr>
                <w:rFonts w:hint="eastAsia"/>
                <w:color w:val="auto"/>
                <w:sz w:val="24"/>
                <w:szCs w:val="24"/>
              </w:rPr>
              <w:t>废塑料来源、种类控制及准入制度</w:t>
            </w:r>
          </w:p>
          <w:p>
            <w:pPr>
              <w:pStyle w:val="82"/>
              <w:snapToGrid w:val="0"/>
              <w:ind w:firstLine="420"/>
              <w:rPr>
                <w:color w:val="auto"/>
                <w:sz w:val="24"/>
                <w:szCs w:val="24"/>
              </w:rPr>
            </w:pPr>
            <w:r>
              <w:rPr>
                <w:rFonts w:hint="eastAsia"/>
                <w:color w:val="auto"/>
                <w:sz w:val="24"/>
                <w:szCs w:val="24"/>
              </w:rPr>
              <w:t>本项目主要原料</w:t>
            </w:r>
            <w:r>
              <w:rPr>
                <w:rFonts w:hint="eastAsia"/>
                <w:color w:val="auto"/>
                <w:sz w:val="24"/>
                <w:szCs w:val="24"/>
                <w:lang w:val="en-US" w:eastAsia="zh-CN"/>
              </w:rPr>
              <w:t>为</w:t>
            </w:r>
            <w:r>
              <w:rPr>
                <w:rFonts w:hint="eastAsia"/>
                <w:color w:val="auto"/>
                <w:sz w:val="24"/>
                <w:szCs w:val="24"/>
              </w:rPr>
              <w:t>废纸预处理产生的预处理废塑料，符合《废塑料加工利用污染防治管理规定</w:t>
            </w:r>
            <w:r>
              <w:rPr>
                <w:rFonts w:hint="eastAsia"/>
                <w:color w:val="auto"/>
                <w:sz w:val="24"/>
                <w:szCs w:val="24"/>
                <w:lang w:eastAsia="zh-CN"/>
              </w:rPr>
              <w:t>》</w:t>
            </w:r>
            <w:r>
              <w:rPr>
                <w:rFonts w:hint="eastAsia"/>
                <w:color w:val="auto"/>
                <w:sz w:val="24"/>
                <w:szCs w:val="24"/>
              </w:rPr>
              <w:t>的要求，同时本项目废塑料原料的回收、包装、运输和贮存应符合《废塑料污染控制技术规范》（HJ/T364-2022）的要求，对环境和人体健康不会造成危害。</w:t>
            </w:r>
          </w:p>
          <w:p>
            <w:pPr>
              <w:pStyle w:val="82"/>
              <w:snapToGrid w:val="0"/>
              <w:ind w:firstLine="420"/>
              <w:rPr>
                <w:color w:val="auto"/>
                <w:sz w:val="24"/>
                <w:szCs w:val="24"/>
              </w:rPr>
            </w:pPr>
            <w:r>
              <w:rPr>
                <w:rFonts w:hint="eastAsia" w:ascii="宋体" w:hAnsi="宋体" w:cs="宋体"/>
                <w:color w:val="auto"/>
                <w:sz w:val="24"/>
                <w:szCs w:val="24"/>
              </w:rPr>
              <w:t>②</w:t>
            </w:r>
            <w:r>
              <w:rPr>
                <w:rFonts w:hint="eastAsia"/>
                <w:color w:val="auto"/>
                <w:sz w:val="24"/>
                <w:szCs w:val="24"/>
              </w:rPr>
              <w:t>原料质量管理控制要求</w:t>
            </w:r>
          </w:p>
          <w:p>
            <w:pPr>
              <w:pStyle w:val="82"/>
              <w:snapToGrid w:val="0"/>
              <w:ind w:firstLine="420"/>
              <w:rPr>
                <w:color w:val="auto"/>
                <w:sz w:val="24"/>
                <w:szCs w:val="24"/>
              </w:rPr>
            </w:pPr>
            <w:r>
              <w:rPr>
                <w:rFonts w:hint="eastAsia"/>
                <w:color w:val="auto"/>
                <w:sz w:val="24"/>
                <w:szCs w:val="24"/>
              </w:rPr>
              <w:t>根据《废塑料加工利用污染防治管理规定》（环境保护部、发展改革委、商务部公告2012年第55号）中明确提出禁止无危险废物经营许可证从事废塑料类危险废物的回收利用活动，包括被危险化学品、农药等污染的废弃塑料包装物，废弃的一次性医疗用塑料制品（如输液器、血袋）等。本项目禁止收购被危险化学品、农药等污染的废弃塑料包装物（如盛装油漆、涂料及其它化工产品的塑料桶等），项目不涉及进口废塑料再生利用；不涉及使用废塑料类危险废物作为原料，包括被危险化学品、农药等污染的废弃塑料包装物，废弃的一次性医疗用塑料制品（如输液器、血袋），装农药、废染料、强酸、强碱的废塑料等。项目在购进原料时，应严格按照本环评中的规定购进相应种类废塑料并定点外购，保证废塑料原料质量，项目废塑料原料禁止使用本次环评未包括的废塑料。</w:t>
            </w:r>
          </w:p>
          <w:p>
            <w:pPr>
              <w:adjustRightInd w:val="0"/>
              <w:snapToGrid w:val="0"/>
              <w:spacing w:line="360" w:lineRule="auto"/>
              <w:rPr>
                <w:b/>
                <w:bCs/>
                <w:color w:val="auto"/>
                <w:kern w:val="0"/>
                <w:sz w:val="24"/>
                <w:szCs w:val="24"/>
              </w:rPr>
            </w:pPr>
            <w:r>
              <w:rPr>
                <w:b/>
                <w:bCs/>
                <w:color w:val="auto"/>
                <w:kern w:val="0"/>
                <w:sz w:val="24"/>
                <w:szCs w:val="24"/>
              </w:rPr>
              <w:t>6、物料平衡</w:t>
            </w:r>
          </w:p>
          <w:p>
            <w:pPr>
              <w:adjustRightInd w:val="0"/>
              <w:snapToGrid w:val="0"/>
              <w:spacing w:line="360" w:lineRule="auto"/>
              <w:ind w:firstLine="480" w:firstLineChars="200"/>
              <w:rPr>
                <w:color w:val="auto"/>
                <w:sz w:val="24"/>
                <w:szCs w:val="24"/>
              </w:rPr>
            </w:pPr>
            <w:r>
              <w:rPr>
                <w:color w:val="auto"/>
                <w:sz w:val="24"/>
                <w:szCs w:val="24"/>
              </w:rPr>
              <w:t>本项目物料平衡见下表。</w:t>
            </w:r>
          </w:p>
          <w:p>
            <w:pPr>
              <w:adjustRightInd w:val="0"/>
              <w:snapToGrid w:val="0"/>
              <w:spacing w:before="120" w:beforeLines="50" w:line="360" w:lineRule="auto"/>
              <w:jc w:val="center"/>
              <w:rPr>
                <w:rFonts w:hint="eastAsia"/>
                <w:b/>
                <w:bCs/>
                <w:color w:val="auto"/>
                <w:kern w:val="0"/>
                <w:sz w:val="24"/>
                <w:szCs w:val="24"/>
              </w:rPr>
            </w:pPr>
            <w:r>
              <w:rPr>
                <w:b/>
                <w:bCs/>
                <w:color w:val="auto"/>
                <w:kern w:val="0"/>
                <w:sz w:val="24"/>
                <w:szCs w:val="24"/>
              </w:rPr>
              <w:t>表2-5  物料平衡一览表</w:t>
            </w:r>
            <w:r>
              <w:rPr>
                <w:rFonts w:hint="eastAsia"/>
                <w:b/>
                <w:bCs/>
                <w:color w:val="auto"/>
                <w:kern w:val="0"/>
                <w:sz w:val="24"/>
                <w:szCs w:val="24"/>
              </w:rPr>
              <w:t>（单位：t/a）</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0"/>
              <w:gridCol w:w="1458"/>
              <w:gridCol w:w="3321"/>
              <w:gridCol w:w="1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35"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bCs/>
                      <w:color w:val="auto"/>
                      <w:sz w:val="21"/>
                      <w:szCs w:val="21"/>
                      <w:highlight w:val="none"/>
                      <w:vertAlign w:val="baseline"/>
                      <w:lang w:val="en-US" w:eastAsia="zh-CN"/>
                    </w:rPr>
                  </w:pPr>
                  <w:r>
                    <w:rPr>
                      <w:rFonts w:hint="eastAsia"/>
                      <w:b/>
                      <w:bCs/>
                      <w:color w:val="auto"/>
                      <w:sz w:val="21"/>
                      <w:szCs w:val="21"/>
                      <w:highlight w:val="none"/>
                      <w:vertAlign w:val="baseline"/>
                      <w:lang w:val="en-US" w:eastAsia="zh-CN"/>
                    </w:rPr>
                    <w:t>投入</w:t>
                  </w:r>
                </w:p>
              </w:tc>
              <w:tc>
                <w:tcPr>
                  <w:tcW w:w="2864"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bCs/>
                      <w:color w:val="auto"/>
                      <w:sz w:val="21"/>
                      <w:szCs w:val="21"/>
                      <w:highlight w:val="none"/>
                      <w:vertAlign w:val="baseline"/>
                      <w:lang w:val="en-US" w:eastAsia="zh-CN"/>
                    </w:rPr>
                  </w:pPr>
                  <w:r>
                    <w:rPr>
                      <w:rFonts w:hint="eastAsia"/>
                      <w:b/>
                      <w:bCs/>
                      <w:color w:val="auto"/>
                      <w:sz w:val="21"/>
                      <w:szCs w:val="21"/>
                      <w:highlight w:val="none"/>
                      <w:vertAlign w:val="baseline"/>
                      <w:lang w:val="en-US" w:eastAsia="zh-CN"/>
                    </w:rPr>
                    <w:t>产出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16"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bCs/>
                      <w:color w:val="auto"/>
                      <w:sz w:val="21"/>
                      <w:szCs w:val="21"/>
                      <w:highlight w:val="none"/>
                      <w:vertAlign w:val="baseline"/>
                      <w:lang w:val="en-US" w:eastAsia="zh-CN"/>
                    </w:rPr>
                  </w:pPr>
                  <w:r>
                    <w:rPr>
                      <w:rFonts w:hint="eastAsia"/>
                      <w:b/>
                      <w:bCs/>
                      <w:color w:val="auto"/>
                      <w:sz w:val="21"/>
                      <w:szCs w:val="21"/>
                      <w:highlight w:val="none"/>
                      <w:vertAlign w:val="baseline"/>
                      <w:lang w:val="en-US" w:eastAsia="zh-CN"/>
                    </w:rPr>
                    <w:t>物料名称</w:t>
                  </w:r>
                </w:p>
              </w:tc>
              <w:tc>
                <w:tcPr>
                  <w:tcW w:w="919"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bCs/>
                      <w:color w:val="auto"/>
                      <w:sz w:val="21"/>
                      <w:szCs w:val="21"/>
                      <w:highlight w:val="none"/>
                      <w:vertAlign w:val="baseline"/>
                      <w:lang w:val="en-US" w:eastAsia="zh-CN"/>
                    </w:rPr>
                  </w:pPr>
                  <w:r>
                    <w:rPr>
                      <w:rFonts w:hint="eastAsia"/>
                      <w:b/>
                      <w:bCs/>
                      <w:color w:val="auto"/>
                      <w:sz w:val="21"/>
                      <w:szCs w:val="21"/>
                      <w:highlight w:val="none"/>
                      <w:vertAlign w:val="baseline"/>
                      <w:lang w:val="en-US" w:eastAsia="zh-CN"/>
                    </w:rPr>
                    <w:t>数量</w:t>
                  </w:r>
                </w:p>
              </w:tc>
              <w:tc>
                <w:tcPr>
                  <w:tcW w:w="2093"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bCs/>
                      <w:color w:val="auto"/>
                      <w:sz w:val="21"/>
                      <w:szCs w:val="21"/>
                      <w:highlight w:val="none"/>
                      <w:vertAlign w:val="baseline"/>
                      <w:lang w:val="en-US"/>
                    </w:rPr>
                  </w:pPr>
                  <w:r>
                    <w:rPr>
                      <w:rFonts w:hint="eastAsia"/>
                      <w:b/>
                      <w:bCs/>
                      <w:color w:val="auto"/>
                      <w:sz w:val="21"/>
                      <w:szCs w:val="21"/>
                      <w:highlight w:val="none"/>
                      <w:vertAlign w:val="baseline"/>
                      <w:lang w:val="en-US" w:eastAsia="zh-CN"/>
                    </w:rPr>
                    <w:t>物料名称</w:t>
                  </w:r>
                </w:p>
              </w:tc>
              <w:tc>
                <w:tcPr>
                  <w:tcW w:w="770"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bCs/>
                      <w:color w:val="auto"/>
                      <w:sz w:val="21"/>
                      <w:szCs w:val="21"/>
                      <w:highlight w:val="none"/>
                      <w:vertAlign w:val="baseline"/>
                      <w:lang w:val="en-US"/>
                    </w:rPr>
                  </w:pPr>
                  <w:r>
                    <w:rPr>
                      <w:rFonts w:hint="eastAsia"/>
                      <w:b/>
                      <w:bCs/>
                      <w:color w:val="auto"/>
                      <w:sz w:val="21"/>
                      <w:szCs w:val="21"/>
                      <w:highlight w:val="none"/>
                      <w:vertAlign w:val="baseline"/>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1216"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废塑颗粒</w:t>
                  </w:r>
                </w:p>
              </w:tc>
              <w:tc>
                <w:tcPr>
                  <w:tcW w:w="919"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45000</w:t>
                  </w:r>
                </w:p>
              </w:tc>
              <w:tc>
                <w:tcPr>
                  <w:tcW w:w="2093" w:type="pct"/>
                  <w:noWrap w:val="0"/>
                  <w:vAlign w:val="center"/>
                </w:tcPr>
                <w:p>
                  <w:pPr>
                    <w:pStyle w:val="10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lang w:val="en-US" w:eastAsia="zh-CN"/>
                    </w:rPr>
                    <w:t>塑料颗粒</w:t>
                  </w:r>
                </w:p>
              </w:tc>
              <w:tc>
                <w:tcPr>
                  <w:tcW w:w="770" w:type="pct"/>
                  <w:noWrap w:val="0"/>
                  <w:vAlign w:val="center"/>
                </w:tcPr>
                <w:p>
                  <w:pPr>
                    <w:pStyle w:val="10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lang w:val="en-US" w:eastAsia="zh-CN"/>
                    </w:rPr>
                    <w:t>16000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16" w:type="pc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c>
                <w:tcPr>
                  <w:tcW w:w="919" w:type="pc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p>
              </w:tc>
              <w:tc>
                <w:tcPr>
                  <w:tcW w:w="2093" w:type="pct"/>
                  <w:shd w:val="clear" w:color="auto" w:fill="auto"/>
                  <w:noWrap w:val="0"/>
                  <w:vAlign w:val="center"/>
                </w:tcPr>
                <w:p>
                  <w:pPr>
                    <w:pStyle w:val="10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水分损耗</w:t>
                  </w:r>
                </w:p>
              </w:tc>
              <w:tc>
                <w:tcPr>
                  <w:tcW w:w="770" w:type="pc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20250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1216" w:type="pc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c>
                <w:tcPr>
                  <w:tcW w:w="919" w:type="pc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p>
              </w:tc>
              <w:tc>
                <w:tcPr>
                  <w:tcW w:w="2093" w:type="pc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非甲烷总烃</w:t>
                  </w:r>
                </w:p>
              </w:tc>
              <w:tc>
                <w:tcPr>
                  <w:tcW w:w="770" w:type="pc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15.75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1216"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highlight w:val="none"/>
                      <w:vertAlign w:val="baseline"/>
                      <w:lang w:val="en-US" w:eastAsia="zh-CN"/>
                    </w:rPr>
                  </w:pPr>
                </w:p>
              </w:tc>
              <w:tc>
                <w:tcPr>
                  <w:tcW w:w="919"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sz w:val="21"/>
                      <w:szCs w:val="21"/>
                      <w:highlight w:val="none"/>
                      <w:vertAlign w:val="baseline"/>
                      <w:lang w:val="en-US" w:eastAsia="zh-CN"/>
                    </w:rPr>
                  </w:pPr>
                </w:p>
              </w:tc>
              <w:tc>
                <w:tcPr>
                  <w:tcW w:w="2093" w:type="pc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颗粒物</w:t>
                  </w:r>
                </w:p>
              </w:tc>
              <w:tc>
                <w:tcPr>
                  <w:tcW w:w="770" w:type="pc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1216"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highlight w:val="none"/>
                      <w:vertAlign w:val="baseline"/>
                      <w:lang w:val="en-US" w:eastAsia="zh-CN"/>
                    </w:rPr>
                  </w:pPr>
                </w:p>
              </w:tc>
              <w:tc>
                <w:tcPr>
                  <w:tcW w:w="919"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sz w:val="21"/>
                      <w:szCs w:val="21"/>
                      <w:highlight w:val="none"/>
                      <w:vertAlign w:val="baseline"/>
                      <w:lang w:val="en-US" w:eastAsia="zh-CN"/>
                    </w:rPr>
                  </w:pPr>
                </w:p>
              </w:tc>
              <w:tc>
                <w:tcPr>
                  <w:tcW w:w="2093" w:type="pc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金属杂质</w:t>
                  </w:r>
                </w:p>
              </w:tc>
              <w:tc>
                <w:tcPr>
                  <w:tcW w:w="770" w:type="pc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2250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1216"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highlight w:val="none"/>
                      <w:vertAlign w:val="baseline"/>
                      <w:lang w:val="en-US" w:eastAsia="zh-CN"/>
                    </w:rPr>
                  </w:pPr>
                </w:p>
              </w:tc>
              <w:tc>
                <w:tcPr>
                  <w:tcW w:w="919"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sz w:val="21"/>
                      <w:szCs w:val="21"/>
                      <w:highlight w:val="none"/>
                      <w:vertAlign w:val="baseline"/>
                      <w:lang w:val="en-US" w:eastAsia="zh-CN"/>
                    </w:rPr>
                  </w:pPr>
                </w:p>
              </w:tc>
              <w:tc>
                <w:tcPr>
                  <w:tcW w:w="2093" w:type="pc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纸浆纤维、泥沙等其他垃圾</w:t>
                  </w:r>
                </w:p>
              </w:tc>
              <w:tc>
                <w:tcPr>
                  <w:tcW w:w="770" w:type="pc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6482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1216"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合计</w:t>
                  </w:r>
                </w:p>
              </w:tc>
              <w:tc>
                <w:tcPr>
                  <w:tcW w:w="919"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45000</w:t>
                  </w:r>
                </w:p>
              </w:tc>
              <w:tc>
                <w:tcPr>
                  <w:tcW w:w="2093" w:type="pc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合计</w:t>
                  </w:r>
                </w:p>
              </w:tc>
              <w:tc>
                <w:tcPr>
                  <w:tcW w:w="770" w:type="pc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45000</w:t>
                  </w:r>
                </w:p>
              </w:tc>
            </w:tr>
          </w:tbl>
          <w:p>
            <w:pPr>
              <w:adjustRightInd w:val="0"/>
              <w:snapToGrid w:val="0"/>
              <w:spacing w:line="360" w:lineRule="auto"/>
              <w:rPr>
                <w:b/>
                <w:bCs/>
                <w:color w:val="auto"/>
                <w:sz w:val="24"/>
                <w:szCs w:val="24"/>
              </w:rPr>
            </w:pPr>
            <w:r>
              <w:rPr>
                <w:b/>
                <w:bCs/>
                <w:color w:val="auto"/>
                <w:sz w:val="24"/>
                <w:szCs w:val="24"/>
              </w:rPr>
              <w:t>7、劳动定员及工作制度</w:t>
            </w:r>
          </w:p>
          <w:p>
            <w:pPr>
              <w:adjustRightInd w:val="0"/>
              <w:snapToGrid w:val="0"/>
              <w:spacing w:line="360" w:lineRule="auto"/>
              <w:ind w:firstLine="480" w:firstLineChars="200"/>
              <w:rPr>
                <w:color w:val="auto"/>
                <w:kern w:val="0"/>
                <w:sz w:val="24"/>
                <w:szCs w:val="24"/>
              </w:rPr>
            </w:pPr>
            <w:r>
              <w:rPr>
                <w:color w:val="auto"/>
                <w:kern w:val="0"/>
                <w:sz w:val="24"/>
                <w:szCs w:val="24"/>
              </w:rPr>
              <w:t>项目年运行3</w:t>
            </w:r>
            <w:r>
              <w:rPr>
                <w:rFonts w:hint="eastAsia"/>
                <w:color w:val="auto"/>
                <w:kern w:val="0"/>
                <w:sz w:val="24"/>
                <w:szCs w:val="24"/>
              </w:rPr>
              <w:t>0</w:t>
            </w:r>
            <w:r>
              <w:rPr>
                <w:color w:val="auto"/>
                <w:kern w:val="0"/>
                <w:sz w:val="24"/>
                <w:szCs w:val="24"/>
              </w:rPr>
              <w:t>0天，每天运行</w:t>
            </w:r>
            <w:r>
              <w:rPr>
                <w:rFonts w:hint="eastAsia"/>
                <w:color w:val="auto"/>
                <w:kern w:val="0"/>
                <w:sz w:val="24"/>
                <w:szCs w:val="24"/>
                <w:lang w:val="en-US" w:eastAsia="zh-CN"/>
              </w:rPr>
              <w:t>24</w:t>
            </w:r>
            <w:r>
              <w:rPr>
                <w:color w:val="auto"/>
                <w:kern w:val="0"/>
                <w:sz w:val="24"/>
                <w:szCs w:val="24"/>
              </w:rPr>
              <w:t>小时</w:t>
            </w:r>
            <w:r>
              <w:rPr>
                <w:rFonts w:hint="eastAsia"/>
                <w:color w:val="auto"/>
                <w:kern w:val="0"/>
                <w:sz w:val="24"/>
                <w:szCs w:val="24"/>
              </w:rPr>
              <w:t>（夜间不生产）</w:t>
            </w:r>
            <w:r>
              <w:rPr>
                <w:color w:val="auto"/>
                <w:kern w:val="0"/>
                <w:sz w:val="24"/>
                <w:szCs w:val="24"/>
              </w:rPr>
              <w:t>，年运行</w:t>
            </w:r>
            <w:r>
              <w:rPr>
                <w:rFonts w:hint="eastAsia"/>
                <w:color w:val="auto"/>
                <w:kern w:val="0"/>
                <w:sz w:val="24"/>
                <w:szCs w:val="24"/>
                <w:lang w:val="en-US" w:eastAsia="zh-CN"/>
              </w:rPr>
              <w:t>72</w:t>
            </w:r>
            <w:r>
              <w:rPr>
                <w:rFonts w:hint="eastAsia"/>
                <w:color w:val="auto"/>
                <w:kern w:val="0"/>
                <w:sz w:val="24"/>
                <w:szCs w:val="24"/>
              </w:rPr>
              <w:t>0</w:t>
            </w:r>
            <w:r>
              <w:rPr>
                <w:color w:val="auto"/>
                <w:kern w:val="0"/>
                <w:sz w:val="24"/>
                <w:szCs w:val="24"/>
              </w:rPr>
              <w:t>0h。</w:t>
            </w:r>
          </w:p>
          <w:p>
            <w:pPr>
              <w:adjustRightInd w:val="0"/>
              <w:snapToGrid w:val="0"/>
              <w:spacing w:line="360" w:lineRule="auto"/>
              <w:ind w:firstLine="480" w:firstLineChars="200"/>
              <w:rPr>
                <w:color w:val="auto"/>
                <w:kern w:val="0"/>
                <w:sz w:val="24"/>
                <w:szCs w:val="24"/>
              </w:rPr>
            </w:pPr>
            <w:r>
              <w:rPr>
                <w:color w:val="auto"/>
                <w:kern w:val="0"/>
                <w:sz w:val="24"/>
                <w:szCs w:val="24"/>
              </w:rPr>
              <w:t>项目员工总人数为</w:t>
            </w:r>
            <w:r>
              <w:rPr>
                <w:rFonts w:hint="eastAsia"/>
                <w:color w:val="auto"/>
                <w:kern w:val="0"/>
                <w:sz w:val="24"/>
                <w:szCs w:val="24"/>
                <w:lang w:val="en-US" w:eastAsia="zh-CN"/>
              </w:rPr>
              <w:t>10</w:t>
            </w:r>
            <w:r>
              <w:rPr>
                <w:color w:val="auto"/>
                <w:kern w:val="0"/>
                <w:sz w:val="24"/>
                <w:szCs w:val="24"/>
              </w:rPr>
              <w:t>人，项目区</w:t>
            </w:r>
            <w:r>
              <w:rPr>
                <w:rFonts w:hint="eastAsia"/>
                <w:color w:val="auto"/>
                <w:kern w:val="0"/>
                <w:sz w:val="24"/>
                <w:szCs w:val="24"/>
              </w:rPr>
              <w:t>不设</w:t>
            </w:r>
            <w:r>
              <w:rPr>
                <w:color w:val="auto"/>
                <w:kern w:val="0"/>
                <w:sz w:val="24"/>
                <w:szCs w:val="24"/>
              </w:rPr>
              <w:t>食堂</w:t>
            </w:r>
            <w:r>
              <w:rPr>
                <w:rFonts w:hint="eastAsia"/>
                <w:color w:val="auto"/>
                <w:kern w:val="0"/>
                <w:sz w:val="24"/>
                <w:szCs w:val="24"/>
              </w:rPr>
              <w:t>、员工宿舍</w:t>
            </w:r>
            <w:r>
              <w:rPr>
                <w:color w:val="auto"/>
                <w:kern w:val="0"/>
                <w:sz w:val="24"/>
                <w:szCs w:val="24"/>
              </w:rPr>
              <w:t>。</w:t>
            </w:r>
          </w:p>
          <w:p>
            <w:pPr>
              <w:adjustRightInd w:val="0"/>
              <w:snapToGrid w:val="0"/>
              <w:spacing w:line="360" w:lineRule="auto"/>
              <w:rPr>
                <w:b/>
                <w:bCs/>
                <w:color w:val="auto"/>
                <w:kern w:val="0"/>
                <w:sz w:val="24"/>
                <w:szCs w:val="24"/>
              </w:rPr>
            </w:pPr>
            <w:r>
              <w:rPr>
                <w:b/>
                <w:bCs/>
                <w:color w:val="auto"/>
                <w:kern w:val="0"/>
                <w:sz w:val="24"/>
                <w:szCs w:val="24"/>
              </w:rPr>
              <w:t>8、水平衡</w:t>
            </w:r>
          </w:p>
          <w:p>
            <w:pPr>
              <w:adjustRightInd w:val="0"/>
              <w:snapToGrid w:val="0"/>
              <w:spacing w:line="360" w:lineRule="auto"/>
              <w:ind w:firstLine="480" w:firstLineChars="200"/>
              <w:rPr>
                <w:bCs/>
                <w:color w:val="auto"/>
                <w:kern w:val="0"/>
                <w:sz w:val="24"/>
                <w:szCs w:val="24"/>
              </w:rPr>
            </w:pPr>
            <w:r>
              <w:rPr>
                <w:rFonts w:hint="eastAsia"/>
                <w:bCs/>
                <w:color w:val="auto"/>
                <w:kern w:val="0"/>
                <w:sz w:val="24"/>
                <w:szCs w:val="24"/>
                <w:lang w:val="en-US" w:eastAsia="zh-CN"/>
              </w:rPr>
              <w:t>本项目不清洗原料，运营期</w:t>
            </w:r>
            <w:r>
              <w:rPr>
                <w:bCs/>
                <w:color w:val="auto"/>
                <w:kern w:val="0"/>
                <w:sz w:val="24"/>
                <w:szCs w:val="24"/>
              </w:rPr>
              <w:t>项目</w:t>
            </w:r>
            <w:r>
              <w:rPr>
                <w:rFonts w:hint="eastAsia"/>
                <w:bCs/>
                <w:color w:val="auto"/>
                <w:kern w:val="0"/>
                <w:sz w:val="24"/>
                <w:szCs w:val="24"/>
              </w:rPr>
              <w:t>用水主要为设备冷却用水</w:t>
            </w:r>
            <w:r>
              <w:rPr>
                <w:rFonts w:hint="eastAsia"/>
                <w:bCs/>
                <w:color w:val="auto"/>
                <w:kern w:val="0"/>
                <w:sz w:val="24"/>
                <w:szCs w:val="24"/>
                <w:lang w:eastAsia="zh-CN"/>
              </w:rPr>
              <w:t>、电捕焦油器洗涤用水</w:t>
            </w:r>
            <w:r>
              <w:rPr>
                <w:rFonts w:hint="eastAsia"/>
                <w:bCs/>
                <w:color w:val="auto"/>
                <w:kern w:val="0"/>
                <w:sz w:val="24"/>
                <w:szCs w:val="24"/>
              </w:rPr>
              <w:t>及生活用水，水源依托</w:t>
            </w:r>
            <w:r>
              <w:rPr>
                <w:rFonts w:hint="eastAsia"/>
                <w:color w:val="auto"/>
                <w:sz w:val="24"/>
                <w:szCs w:val="24"/>
                <w:lang w:eastAsia="zh-CN"/>
              </w:rPr>
              <w:t>云南宝塑塑料管业有限公司</w:t>
            </w:r>
            <w:r>
              <w:rPr>
                <w:rFonts w:hint="eastAsia"/>
                <w:color w:val="auto"/>
                <w:sz w:val="24"/>
                <w:szCs w:val="24"/>
              </w:rPr>
              <w:t>现有</w:t>
            </w:r>
            <w:r>
              <w:rPr>
                <w:rFonts w:hint="eastAsia"/>
                <w:color w:val="auto"/>
                <w:sz w:val="24"/>
                <w:szCs w:val="24"/>
                <w:lang w:val="en-US" w:eastAsia="zh-CN"/>
              </w:rPr>
              <w:t>供水</w:t>
            </w:r>
            <w:r>
              <w:rPr>
                <w:rFonts w:hint="eastAsia"/>
                <w:color w:val="auto"/>
                <w:sz w:val="24"/>
                <w:szCs w:val="24"/>
              </w:rPr>
              <w:t>管网提供。</w:t>
            </w:r>
          </w:p>
          <w:p>
            <w:pPr>
              <w:adjustRightInd w:val="0"/>
              <w:snapToGrid w:val="0"/>
              <w:spacing w:line="360" w:lineRule="auto"/>
              <w:ind w:firstLine="482" w:firstLineChars="200"/>
              <w:rPr>
                <w:b/>
                <w:color w:val="auto"/>
                <w:kern w:val="0"/>
                <w:sz w:val="24"/>
                <w:szCs w:val="24"/>
              </w:rPr>
            </w:pPr>
            <w:r>
              <w:rPr>
                <w:b/>
                <w:bCs/>
                <w:color w:val="auto"/>
                <w:sz w:val="24"/>
                <w:szCs w:val="24"/>
              </w:rPr>
              <w:t>（1）</w:t>
            </w:r>
            <w:r>
              <w:rPr>
                <w:rFonts w:hint="eastAsia"/>
                <w:b/>
                <w:color w:val="auto"/>
                <w:kern w:val="0"/>
                <w:sz w:val="24"/>
                <w:szCs w:val="24"/>
                <w:lang w:val="en-US" w:eastAsia="zh-CN"/>
              </w:rPr>
              <w:t>循环</w:t>
            </w:r>
            <w:r>
              <w:rPr>
                <w:rFonts w:hint="eastAsia"/>
                <w:b/>
                <w:color w:val="auto"/>
                <w:kern w:val="0"/>
                <w:sz w:val="24"/>
                <w:szCs w:val="24"/>
              </w:rPr>
              <w:t>冷却水</w:t>
            </w:r>
          </w:p>
          <w:p>
            <w:pPr>
              <w:adjustRightInd w:val="0"/>
              <w:snapToGrid w:val="0"/>
              <w:spacing w:line="360" w:lineRule="auto"/>
              <w:ind w:firstLine="480" w:firstLineChars="200"/>
              <w:rPr>
                <w:color w:val="auto"/>
                <w:sz w:val="24"/>
                <w:szCs w:val="24"/>
                <w:shd w:val="clear" w:color="auto" w:fill="FFFFFF"/>
              </w:rPr>
            </w:pPr>
            <w:r>
              <w:rPr>
                <w:bCs/>
                <w:color w:val="auto"/>
                <w:kern w:val="0"/>
                <w:sz w:val="24"/>
                <w:szCs w:val="24"/>
              </w:rPr>
              <w:t>本项目</w:t>
            </w:r>
            <w:r>
              <w:rPr>
                <w:rFonts w:hint="eastAsia"/>
                <w:bCs/>
                <w:color w:val="auto"/>
                <w:kern w:val="0"/>
                <w:sz w:val="24"/>
                <w:szCs w:val="24"/>
              </w:rPr>
              <w:t>冷却水主要为</w:t>
            </w:r>
            <w:r>
              <w:rPr>
                <w:rFonts w:hint="eastAsia"/>
                <w:bCs/>
                <w:color w:val="auto"/>
                <w:sz w:val="24"/>
                <w:szCs w:val="24"/>
              </w:rPr>
              <w:t>热熔造粒机设备冷却水，</w:t>
            </w:r>
            <w:r>
              <w:rPr>
                <w:bCs/>
                <w:color w:val="auto"/>
                <w:kern w:val="0"/>
                <w:sz w:val="24"/>
                <w:szCs w:val="24"/>
              </w:rPr>
              <w:t>冷却水循环使用，不外排。</w:t>
            </w:r>
            <w:r>
              <w:rPr>
                <w:color w:val="auto"/>
                <w:sz w:val="24"/>
                <w:szCs w:val="24"/>
              </w:rPr>
              <w:t>冷却循环水量为</w:t>
            </w:r>
            <w:r>
              <w:rPr>
                <w:rFonts w:hint="eastAsia"/>
                <w:color w:val="auto"/>
                <w:sz w:val="24"/>
                <w:szCs w:val="24"/>
              </w:rPr>
              <w:t>1</w:t>
            </w:r>
            <w:r>
              <w:rPr>
                <w:color w:val="auto"/>
                <w:sz w:val="24"/>
                <w:szCs w:val="24"/>
              </w:rPr>
              <w:t>m</w:t>
            </w:r>
            <w:r>
              <w:rPr>
                <w:color w:val="auto"/>
                <w:sz w:val="24"/>
                <w:szCs w:val="24"/>
                <w:vertAlign w:val="superscript"/>
              </w:rPr>
              <w:t>3</w:t>
            </w:r>
            <w:r>
              <w:rPr>
                <w:color w:val="auto"/>
                <w:sz w:val="24"/>
                <w:szCs w:val="24"/>
              </w:rPr>
              <w:t>/h，</w:t>
            </w:r>
            <w:r>
              <w:rPr>
                <w:rFonts w:hint="eastAsia"/>
                <w:color w:val="auto"/>
                <w:sz w:val="24"/>
                <w:szCs w:val="24"/>
                <w:lang w:val="en-US" w:eastAsia="zh-CN"/>
              </w:rPr>
              <w:t>循环水池容积5</w:t>
            </w:r>
            <w:r>
              <w:rPr>
                <w:color w:val="auto"/>
                <w:sz w:val="24"/>
                <w:szCs w:val="24"/>
              </w:rPr>
              <w:t>m</w:t>
            </w:r>
            <w:r>
              <w:rPr>
                <w:color w:val="auto"/>
                <w:sz w:val="24"/>
                <w:szCs w:val="24"/>
                <w:vertAlign w:val="superscript"/>
              </w:rPr>
              <w:t>3</w:t>
            </w:r>
            <w:r>
              <w:rPr>
                <w:rFonts w:hint="eastAsia"/>
                <w:color w:val="auto"/>
                <w:sz w:val="24"/>
                <w:szCs w:val="24"/>
                <w:lang w:val="en-US" w:eastAsia="zh-CN"/>
              </w:rPr>
              <w:t>，</w:t>
            </w:r>
            <w:r>
              <w:rPr>
                <w:color w:val="auto"/>
                <w:sz w:val="24"/>
                <w:szCs w:val="24"/>
              </w:rPr>
              <w:t>全天运行</w:t>
            </w:r>
            <w:r>
              <w:rPr>
                <w:rFonts w:hint="eastAsia"/>
                <w:color w:val="auto"/>
                <w:sz w:val="24"/>
                <w:szCs w:val="24"/>
                <w:lang w:val="en-US" w:eastAsia="zh-CN"/>
              </w:rPr>
              <w:t>24</w:t>
            </w:r>
            <w:r>
              <w:rPr>
                <w:color w:val="auto"/>
                <w:sz w:val="24"/>
                <w:szCs w:val="24"/>
              </w:rPr>
              <w:t>h</w:t>
            </w:r>
            <w:r>
              <w:rPr>
                <w:rFonts w:hint="eastAsia"/>
                <w:color w:val="auto"/>
                <w:sz w:val="24"/>
                <w:szCs w:val="24"/>
                <w:lang w:eastAsia="zh-CN"/>
              </w:rPr>
              <w:t>，</w:t>
            </w:r>
            <w:r>
              <w:rPr>
                <w:color w:val="auto"/>
                <w:sz w:val="24"/>
                <w:szCs w:val="24"/>
                <w:shd w:val="clear" w:color="auto" w:fill="FFFFFF"/>
              </w:rPr>
              <w:t>考虑用水损耗，需补充新鲜水。</w:t>
            </w:r>
            <w:r>
              <w:rPr>
                <w:rFonts w:hint="eastAsia"/>
                <w:color w:val="auto"/>
                <w:sz w:val="24"/>
                <w:szCs w:val="24"/>
                <w:shd w:val="clear" w:color="auto" w:fill="FFFFFF"/>
                <w:lang w:val="en-US" w:eastAsia="zh-CN"/>
              </w:rPr>
              <w:t>该部分水量</w:t>
            </w:r>
            <w:r>
              <w:rPr>
                <w:color w:val="auto"/>
                <w:sz w:val="24"/>
                <w:szCs w:val="24"/>
                <w:shd w:val="clear" w:color="auto" w:fill="FFFFFF"/>
              </w:rPr>
              <w:t>参照《工业循环冷却水处理设计规范》（GB50050-2017）中的蒸发损失水量公式进行计算。</w:t>
            </w:r>
          </w:p>
          <w:p>
            <w:pPr>
              <w:adjustRightInd w:val="0"/>
              <w:snapToGrid w:val="0"/>
              <w:spacing w:line="360" w:lineRule="auto"/>
              <w:jc w:val="center"/>
              <w:rPr>
                <w:color w:val="auto"/>
                <w:sz w:val="24"/>
                <w:szCs w:val="24"/>
                <w:shd w:val="clear" w:color="auto" w:fill="FFFFFF"/>
              </w:rPr>
            </w:pPr>
            <w:r>
              <w:rPr>
                <w:color w:val="auto"/>
                <w:sz w:val="24"/>
                <w:szCs w:val="24"/>
                <w:shd w:val="clear" w:color="auto" w:fill="FFFFFF"/>
              </w:rPr>
              <w:t>Q</w:t>
            </w:r>
            <w:r>
              <w:rPr>
                <w:color w:val="auto"/>
                <w:sz w:val="24"/>
                <w:szCs w:val="24"/>
                <w:shd w:val="clear" w:color="auto" w:fill="FFFFFF"/>
                <w:vertAlign w:val="subscript"/>
              </w:rPr>
              <w:t>e</w:t>
            </w:r>
            <w:r>
              <w:rPr>
                <w:color w:val="auto"/>
                <w:sz w:val="24"/>
                <w:szCs w:val="24"/>
                <w:shd w:val="clear" w:color="auto" w:fill="FFFFFF"/>
              </w:rPr>
              <w:t>=k·Δt·Q</w:t>
            </w:r>
            <w:r>
              <w:rPr>
                <w:color w:val="auto"/>
                <w:sz w:val="24"/>
                <w:szCs w:val="24"/>
                <w:shd w:val="clear" w:color="auto" w:fill="FFFFFF"/>
                <w:vertAlign w:val="subscript"/>
              </w:rPr>
              <w:t>r</w:t>
            </w:r>
          </w:p>
          <w:p>
            <w:pPr>
              <w:adjustRightInd w:val="0"/>
              <w:snapToGrid w:val="0"/>
              <w:spacing w:line="360" w:lineRule="auto"/>
              <w:ind w:firstLine="480" w:firstLineChars="200"/>
              <w:rPr>
                <w:color w:val="auto"/>
                <w:sz w:val="24"/>
                <w:szCs w:val="24"/>
                <w:shd w:val="clear" w:color="auto" w:fill="FFFFFF"/>
              </w:rPr>
            </w:pPr>
            <w:r>
              <w:rPr>
                <w:color w:val="auto"/>
                <w:sz w:val="24"/>
                <w:szCs w:val="24"/>
                <w:shd w:val="clear" w:color="auto" w:fill="FFFFFF"/>
              </w:rPr>
              <w:t>式中：Q</w:t>
            </w:r>
            <w:r>
              <w:rPr>
                <w:color w:val="auto"/>
                <w:sz w:val="24"/>
                <w:szCs w:val="24"/>
                <w:shd w:val="clear" w:color="auto" w:fill="FFFFFF"/>
                <w:vertAlign w:val="subscript"/>
              </w:rPr>
              <w:t>e</w:t>
            </w:r>
            <w:r>
              <w:rPr>
                <w:color w:val="auto"/>
                <w:spacing w:val="-22"/>
                <w:sz w:val="24"/>
                <w:szCs w:val="24"/>
                <w:shd w:val="clear" w:color="auto" w:fill="FFFFFF"/>
              </w:rPr>
              <w:t>——</w:t>
            </w:r>
            <w:r>
              <w:rPr>
                <w:color w:val="auto"/>
                <w:sz w:val="24"/>
                <w:szCs w:val="24"/>
                <w:shd w:val="clear" w:color="auto" w:fill="FFFFFF"/>
              </w:rPr>
              <w:t>蒸发损失水量，m</w:t>
            </w:r>
            <w:r>
              <w:rPr>
                <w:color w:val="auto"/>
                <w:sz w:val="24"/>
                <w:szCs w:val="24"/>
                <w:shd w:val="clear" w:color="auto" w:fill="FFFFFF"/>
                <w:vertAlign w:val="superscript"/>
              </w:rPr>
              <w:t>3</w:t>
            </w:r>
            <w:r>
              <w:rPr>
                <w:color w:val="auto"/>
                <w:sz w:val="24"/>
                <w:szCs w:val="24"/>
                <w:shd w:val="clear" w:color="auto" w:fill="FFFFFF"/>
              </w:rPr>
              <w:t>/h；</w:t>
            </w:r>
          </w:p>
          <w:p>
            <w:pPr>
              <w:adjustRightInd w:val="0"/>
              <w:snapToGrid w:val="0"/>
              <w:spacing w:line="360" w:lineRule="auto"/>
              <w:ind w:firstLine="1200" w:firstLineChars="500"/>
              <w:rPr>
                <w:color w:val="auto"/>
                <w:sz w:val="24"/>
                <w:szCs w:val="24"/>
                <w:shd w:val="clear" w:color="auto" w:fill="FFFFFF"/>
              </w:rPr>
            </w:pPr>
            <w:r>
              <w:rPr>
                <w:color w:val="auto"/>
                <w:sz w:val="24"/>
                <w:szCs w:val="24"/>
                <w:shd w:val="clear" w:color="auto" w:fill="FFFFFF"/>
              </w:rPr>
              <w:t>k</w:t>
            </w:r>
            <w:r>
              <w:rPr>
                <w:color w:val="auto"/>
                <w:spacing w:val="-20"/>
                <w:sz w:val="24"/>
                <w:szCs w:val="24"/>
                <w:shd w:val="clear" w:color="auto" w:fill="FFFFFF"/>
              </w:rPr>
              <w:t>——</w:t>
            </w:r>
            <w:r>
              <w:rPr>
                <w:color w:val="auto"/>
                <w:sz w:val="24"/>
                <w:szCs w:val="24"/>
                <w:shd w:val="clear" w:color="auto" w:fill="FFFFFF"/>
              </w:rPr>
              <w:t>蒸发损失系数，1/℃，根据查表取0.0014；</w:t>
            </w:r>
          </w:p>
          <w:p>
            <w:pPr>
              <w:adjustRightInd w:val="0"/>
              <w:snapToGrid w:val="0"/>
              <w:spacing w:line="360" w:lineRule="auto"/>
              <w:ind w:firstLine="1200" w:firstLineChars="500"/>
              <w:rPr>
                <w:color w:val="auto"/>
                <w:sz w:val="24"/>
                <w:szCs w:val="24"/>
                <w:shd w:val="clear" w:color="auto" w:fill="FFFFFF"/>
              </w:rPr>
            </w:pPr>
            <w:r>
              <w:rPr>
                <w:color w:val="auto"/>
                <w:sz w:val="24"/>
                <w:szCs w:val="24"/>
                <w:shd w:val="clear" w:color="auto" w:fill="FFFFFF"/>
              </w:rPr>
              <w:t>Δt</w:t>
            </w:r>
            <w:r>
              <w:rPr>
                <w:color w:val="auto"/>
                <w:spacing w:val="-20"/>
                <w:sz w:val="24"/>
                <w:szCs w:val="24"/>
                <w:shd w:val="clear" w:color="auto" w:fill="FFFFFF"/>
              </w:rPr>
              <w:t>——</w:t>
            </w:r>
            <w:r>
              <w:rPr>
                <w:color w:val="auto"/>
                <w:sz w:val="24"/>
                <w:szCs w:val="24"/>
                <w:shd w:val="clear" w:color="auto" w:fill="FFFFFF"/>
              </w:rPr>
              <w:t>冷却塔进、出水的温度差，℃（设计进塔、出塔温差为</w:t>
            </w:r>
            <w:r>
              <w:rPr>
                <w:rFonts w:hint="eastAsia"/>
                <w:color w:val="auto"/>
                <w:sz w:val="24"/>
                <w:szCs w:val="24"/>
                <w:shd w:val="clear" w:color="auto" w:fill="FFFFFF"/>
              </w:rPr>
              <w:t>5</w:t>
            </w:r>
            <w:r>
              <w:rPr>
                <w:color w:val="auto"/>
                <w:sz w:val="24"/>
                <w:szCs w:val="24"/>
                <w:shd w:val="clear" w:color="auto" w:fill="FFFFFF"/>
              </w:rPr>
              <w:t>℃）；</w:t>
            </w:r>
          </w:p>
          <w:p>
            <w:pPr>
              <w:adjustRightInd w:val="0"/>
              <w:snapToGrid w:val="0"/>
              <w:spacing w:line="360" w:lineRule="auto"/>
              <w:ind w:firstLine="1200" w:firstLineChars="500"/>
              <w:rPr>
                <w:color w:val="auto"/>
                <w:sz w:val="24"/>
                <w:szCs w:val="24"/>
                <w:shd w:val="clear" w:color="auto" w:fill="FFFFFF"/>
              </w:rPr>
            </w:pPr>
            <w:r>
              <w:rPr>
                <w:color w:val="auto"/>
                <w:sz w:val="24"/>
                <w:szCs w:val="24"/>
                <w:shd w:val="clear" w:color="auto" w:fill="FFFFFF"/>
              </w:rPr>
              <w:t>Q</w:t>
            </w:r>
            <w:r>
              <w:rPr>
                <w:color w:val="auto"/>
                <w:sz w:val="24"/>
                <w:szCs w:val="24"/>
                <w:shd w:val="clear" w:color="auto" w:fill="FFFFFF"/>
                <w:vertAlign w:val="subscript"/>
              </w:rPr>
              <w:t>r</w:t>
            </w:r>
            <w:r>
              <w:rPr>
                <w:color w:val="auto"/>
                <w:spacing w:val="-20"/>
                <w:sz w:val="24"/>
                <w:szCs w:val="24"/>
                <w:shd w:val="clear" w:color="auto" w:fill="FFFFFF"/>
              </w:rPr>
              <w:t>——</w:t>
            </w:r>
            <w:r>
              <w:rPr>
                <w:color w:val="auto"/>
                <w:sz w:val="24"/>
                <w:szCs w:val="24"/>
                <w:shd w:val="clear" w:color="auto" w:fill="FFFFFF"/>
              </w:rPr>
              <w:t>循环冷却水量，m</w:t>
            </w:r>
            <w:r>
              <w:rPr>
                <w:color w:val="auto"/>
                <w:sz w:val="24"/>
                <w:szCs w:val="24"/>
                <w:shd w:val="clear" w:color="auto" w:fill="FFFFFF"/>
                <w:vertAlign w:val="superscript"/>
              </w:rPr>
              <w:t>3</w:t>
            </w:r>
            <w:r>
              <w:rPr>
                <w:color w:val="auto"/>
                <w:sz w:val="24"/>
                <w:szCs w:val="24"/>
                <w:shd w:val="clear" w:color="auto" w:fill="FFFFFF"/>
              </w:rPr>
              <w:t>/h。（取</w:t>
            </w:r>
            <w:r>
              <w:rPr>
                <w:rFonts w:hint="eastAsia"/>
                <w:bCs/>
                <w:color w:val="auto"/>
                <w:kern w:val="0"/>
                <w:sz w:val="24"/>
                <w:szCs w:val="24"/>
              </w:rPr>
              <w:t>1</w:t>
            </w:r>
            <w:r>
              <w:rPr>
                <w:color w:val="auto"/>
                <w:kern w:val="0"/>
                <w:sz w:val="24"/>
                <w:szCs w:val="24"/>
              </w:rPr>
              <w:t>m</w:t>
            </w:r>
            <w:r>
              <w:rPr>
                <w:color w:val="auto"/>
                <w:kern w:val="0"/>
                <w:sz w:val="24"/>
                <w:szCs w:val="24"/>
                <w:vertAlign w:val="superscript"/>
              </w:rPr>
              <w:t>3</w:t>
            </w:r>
            <w:r>
              <w:rPr>
                <w:color w:val="auto"/>
                <w:kern w:val="0"/>
                <w:sz w:val="24"/>
                <w:szCs w:val="24"/>
              </w:rPr>
              <w:t>/h</w:t>
            </w:r>
            <w:r>
              <w:rPr>
                <w:color w:val="auto"/>
                <w:sz w:val="24"/>
                <w:szCs w:val="24"/>
                <w:shd w:val="clear" w:color="auto" w:fill="FFFFFF"/>
              </w:rPr>
              <w:t>）</w:t>
            </w:r>
          </w:p>
          <w:p>
            <w:pPr>
              <w:adjustRightInd w:val="0"/>
              <w:snapToGrid w:val="0"/>
              <w:spacing w:line="360" w:lineRule="auto"/>
              <w:ind w:firstLine="480" w:firstLineChars="200"/>
              <w:rPr>
                <w:color w:val="auto"/>
                <w:sz w:val="24"/>
                <w:szCs w:val="24"/>
                <w:shd w:val="clear" w:color="auto" w:fill="FFFFFF"/>
              </w:rPr>
            </w:pPr>
            <w:r>
              <w:rPr>
                <w:color w:val="auto"/>
                <w:sz w:val="24"/>
                <w:szCs w:val="24"/>
                <w:shd w:val="clear" w:color="auto" w:fill="FFFFFF"/>
              </w:rPr>
              <w:t>经计算得蒸发损失水量为</w:t>
            </w:r>
            <w:r>
              <w:rPr>
                <w:rFonts w:hint="eastAsia"/>
                <w:color w:val="auto"/>
                <w:sz w:val="24"/>
                <w:szCs w:val="24"/>
                <w:shd w:val="clear" w:color="auto" w:fill="FFFFFF"/>
              </w:rPr>
              <w:t>0.0</w:t>
            </w:r>
            <w:r>
              <w:rPr>
                <w:rFonts w:hint="eastAsia"/>
                <w:color w:val="auto"/>
                <w:sz w:val="24"/>
                <w:szCs w:val="24"/>
                <w:shd w:val="clear" w:color="auto" w:fill="FFFFFF"/>
                <w:lang w:val="en-US" w:eastAsia="zh-CN"/>
              </w:rPr>
              <w:t>07</w:t>
            </w:r>
            <w:r>
              <w:rPr>
                <w:color w:val="auto"/>
                <w:sz w:val="24"/>
                <w:szCs w:val="24"/>
                <w:shd w:val="clear" w:color="auto" w:fill="FFFFFF"/>
              </w:rPr>
              <w:t>m</w:t>
            </w:r>
            <w:r>
              <w:rPr>
                <w:color w:val="auto"/>
                <w:sz w:val="24"/>
                <w:szCs w:val="24"/>
                <w:shd w:val="clear" w:color="auto" w:fill="FFFFFF"/>
                <w:vertAlign w:val="superscript"/>
              </w:rPr>
              <w:t>3</w:t>
            </w:r>
            <w:r>
              <w:rPr>
                <w:color w:val="auto"/>
                <w:sz w:val="24"/>
                <w:szCs w:val="24"/>
                <w:shd w:val="clear" w:color="auto" w:fill="FFFFFF"/>
              </w:rPr>
              <w:t>/h（</w:t>
            </w:r>
            <w:r>
              <w:rPr>
                <w:rFonts w:hint="eastAsia"/>
                <w:color w:val="auto"/>
                <w:sz w:val="24"/>
                <w:szCs w:val="24"/>
                <w:shd w:val="clear" w:color="auto" w:fill="FFFFFF"/>
                <w:lang w:val="en-US" w:eastAsia="zh-CN"/>
              </w:rPr>
              <w:t>0.168</w:t>
            </w:r>
            <w:r>
              <w:rPr>
                <w:color w:val="auto"/>
                <w:sz w:val="24"/>
                <w:szCs w:val="24"/>
                <w:shd w:val="clear" w:color="auto" w:fill="FFFFFF"/>
              </w:rPr>
              <w:t>m</w:t>
            </w:r>
            <w:r>
              <w:rPr>
                <w:color w:val="auto"/>
                <w:sz w:val="24"/>
                <w:szCs w:val="24"/>
                <w:shd w:val="clear" w:color="auto" w:fill="FFFFFF"/>
                <w:vertAlign w:val="superscript"/>
              </w:rPr>
              <w:t>3</w:t>
            </w:r>
            <w:r>
              <w:rPr>
                <w:color w:val="auto"/>
                <w:sz w:val="24"/>
                <w:szCs w:val="24"/>
                <w:shd w:val="clear" w:color="auto" w:fill="FFFFFF"/>
              </w:rPr>
              <w:t>/d）</w:t>
            </w:r>
            <w:r>
              <w:rPr>
                <w:rFonts w:hint="eastAsia"/>
                <w:color w:val="auto"/>
                <w:sz w:val="24"/>
                <w:szCs w:val="24"/>
                <w:shd w:val="clear" w:color="auto" w:fill="FFFFFF"/>
                <w:lang w:eastAsia="zh-CN"/>
              </w:rPr>
              <w:t>，</w:t>
            </w:r>
            <w:r>
              <w:rPr>
                <w:rFonts w:hint="eastAsia"/>
                <w:color w:val="auto"/>
                <w:sz w:val="24"/>
                <w:szCs w:val="24"/>
                <w:shd w:val="clear" w:color="auto" w:fill="FFFFFF"/>
                <w:lang w:val="en-US" w:eastAsia="zh-CN"/>
              </w:rPr>
              <w:t>50.4</w:t>
            </w:r>
            <w:r>
              <w:rPr>
                <w:color w:val="auto"/>
                <w:sz w:val="24"/>
                <w:szCs w:val="24"/>
                <w:shd w:val="clear" w:color="auto" w:fill="FFFFFF"/>
              </w:rPr>
              <w:t>m</w:t>
            </w:r>
            <w:r>
              <w:rPr>
                <w:color w:val="auto"/>
                <w:sz w:val="24"/>
                <w:szCs w:val="24"/>
                <w:shd w:val="clear" w:color="auto" w:fill="FFFFFF"/>
                <w:vertAlign w:val="superscript"/>
              </w:rPr>
              <w:t>3</w:t>
            </w:r>
            <w:r>
              <w:rPr>
                <w:color w:val="auto"/>
                <w:sz w:val="24"/>
                <w:szCs w:val="24"/>
                <w:shd w:val="clear" w:color="auto" w:fill="FFFFFF"/>
              </w:rPr>
              <w:t>/a，则</w:t>
            </w:r>
            <w:r>
              <w:rPr>
                <w:rFonts w:hint="eastAsia"/>
                <w:color w:val="auto"/>
                <w:sz w:val="24"/>
                <w:szCs w:val="24"/>
                <w:shd w:val="clear" w:color="auto" w:fill="FFFFFF"/>
                <w:lang w:val="en-US" w:eastAsia="zh-CN"/>
              </w:rPr>
              <w:t>每日</w:t>
            </w:r>
            <w:r>
              <w:rPr>
                <w:color w:val="auto"/>
                <w:sz w:val="24"/>
                <w:szCs w:val="24"/>
                <w:shd w:val="clear" w:color="auto" w:fill="FFFFFF"/>
              </w:rPr>
              <w:t>需补充新鲜水</w:t>
            </w:r>
            <w:r>
              <w:rPr>
                <w:rFonts w:hint="eastAsia"/>
                <w:color w:val="auto"/>
                <w:sz w:val="24"/>
                <w:szCs w:val="24"/>
                <w:shd w:val="clear" w:color="auto" w:fill="FFFFFF"/>
                <w:lang w:val="en-US" w:eastAsia="zh-CN"/>
              </w:rPr>
              <w:t>0.168</w:t>
            </w:r>
            <w:r>
              <w:rPr>
                <w:color w:val="auto"/>
                <w:sz w:val="24"/>
                <w:szCs w:val="24"/>
                <w:shd w:val="clear" w:color="auto" w:fill="FFFFFF"/>
              </w:rPr>
              <w:t>m</w:t>
            </w:r>
            <w:r>
              <w:rPr>
                <w:color w:val="auto"/>
                <w:sz w:val="24"/>
                <w:szCs w:val="24"/>
                <w:shd w:val="clear" w:color="auto" w:fill="FFFFFF"/>
                <w:vertAlign w:val="superscript"/>
              </w:rPr>
              <w:t>3</w:t>
            </w:r>
            <w:r>
              <w:rPr>
                <w:color w:val="auto"/>
                <w:sz w:val="24"/>
                <w:szCs w:val="24"/>
                <w:shd w:val="clear" w:color="auto" w:fill="FFFFFF"/>
              </w:rPr>
              <w:t>/d。</w:t>
            </w:r>
            <w:r>
              <w:rPr>
                <w:color w:val="auto"/>
                <w:sz w:val="24"/>
                <w:szCs w:val="24"/>
              </w:rPr>
              <w:t>冷却水循环使用，仅需要定期补充蒸发损失的水量，通过新鲜水补充稀释即可</w:t>
            </w:r>
            <w:r>
              <w:rPr>
                <w:color w:val="auto"/>
                <w:sz w:val="24"/>
                <w:szCs w:val="24"/>
                <w:shd w:val="clear" w:color="auto" w:fill="FFFFFF"/>
              </w:rPr>
              <w:t>。</w:t>
            </w:r>
          </w:p>
          <w:p>
            <w:pPr>
              <w:adjustRightInd w:val="0"/>
              <w:snapToGrid w:val="0"/>
              <w:spacing w:line="360" w:lineRule="auto"/>
              <w:ind w:firstLine="482" w:firstLineChars="200"/>
              <w:rPr>
                <w:rFonts w:hint="eastAsia"/>
                <w:b/>
                <w:bCs/>
                <w:color w:val="auto"/>
                <w:sz w:val="24"/>
                <w:szCs w:val="24"/>
                <w:lang w:eastAsia="zh-CN"/>
              </w:rPr>
            </w:pPr>
            <w:r>
              <w:rPr>
                <w:rFonts w:hint="eastAsia"/>
                <w:b/>
                <w:bCs/>
                <w:color w:val="auto"/>
                <w:sz w:val="24"/>
                <w:szCs w:val="24"/>
                <w:lang w:eastAsia="zh-CN"/>
              </w:rPr>
              <w:t>（</w:t>
            </w:r>
            <w:r>
              <w:rPr>
                <w:rFonts w:hint="eastAsia"/>
                <w:b/>
                <w:bCs/>
                <w:color w:val="auto"/>
                <w:sz w:val="24"/>
                <w:szCs w:val="24"/>
                <w:lang w:val="en-US" w:eastAsia="zh-CN"/>
              </w:rPr>
              <w:t>2</w:t>
            </w:r>
            <w:r>
              <w:rPr>
                <w:rFonts w:hint="eastAsia"/>
                <w:b/>
                <w:bCs/>
                <w:color w:val="auto"/>
                <w:sz w:val="24"/>
                <w:szCs w:val="24"/>
                <w:lang w:eastAsia="zh-CN"/>
              </w:rPr>
              <w:t>）电捕焦油器洗涤用水</w:t>
            </w:r>
          </w:p>
          <w:p>
            <w:pPr>
              <w:adjustRightInd w:val="0"/>
              <w:snapToGrid w:val="0"/>
              <w:spacing w:line="360" w:lineRule="auto"/>
              <w:ind w:firstLine="480" w:firstLineChars="200"/>
              <w:rPr>
                <w:rFonts w:hint="eastAsia"/>
                <w:b w:val="0"/>
                <w:bCs w:val="0"/>
                <w:color w:val="auto"/>
                <w:sz w:val="24"/>
                <w:szCs w:val="24"/>
                <w:lang w:eastAsia="zh-CN"/>
              </w:rPr>
            </w:pPr>
            <w:r>
              <w:rPr>
                <w:rFonts w:hint="eastAsia"/>
                <w:b w:val="0"/>
                <w:bCs w:val="0"/>
                <w:color w:val="auto"/>
                <w:sz w:val="24"/>
                <w:szCs w:val="24"/>
                <w:lang w:eastAsia="zh-CN"/>
              </w:rPr>
              <w:t>经</w:t>
            </w:r>
            <w:r>
              <w:rPr>
                <w:rFonts w:hint="eastAsia"/>
                <w:b w:val="0"/>
                <w:bCs w:val="0"/>
                <w:color w:val="auto"/>
                <w:sz w:val="24"/>
                <w:szCs w:val="24"/>
                <w:lang w:val="en-US" w:eastAsia="zh-CN"/>
              </w:rPr>
              <w:t>建设单位</w:t>
            </w:r>
            <w:r>
              <w:rPr>
                <w:rFonts w:hint="eastAsia"/>
                <w:b w:val="0"/>
                <w:bCs w:val="0"/>
                <w:color w:val="auto"/>
                <w:sz w:val="24"/>
                <w:szCs w:val="24"/>
                <w:lang w:eastAsia="zh-CN"/>
              </w:rPr>
              <w:t>咨询设备厂家，为保证电捕焦油器的去除效率，需要用水对其进行冲洗，冲洗频率为1次/1个月，每次10分钟，一次用水量为2m</w:t>
            </w:r>
            <w:r>
              <w:rPr>
                <w:rFonts w:hint="eastAsia"/>
                <w:b w:val="0"/>
                <w:bCs w:val="0"/>
                <w:color w:val="auto"/>
                <w:sz w:val="24"/>
                <w:szCs w:val="24"/>
                <w:vertAlign w:val="superscript"/>
                <w:lang w:eastAsia="zh-CN"/>
              </w:rPr>
              <w:t>3</w:t>
            </w:r>
            <w:r>
              <w:rPr>
                <w:rFonts w:hint="eastAsia"/>
                <w:b w:val="0"/>
                <w:bCs w:val="0"/>
                <w:color w:val="auto"/>
                <w:sz w:val="24"/>
                <w:szCs w:val="24"/>
                <w:lang w:eastAsia="zh-CN"/>
              </w:rPr>
              <w:t>，1个月换一次，项目每年生产时间为12个月，即电捕焦油器用水量为0.08m</w:t>
            </w:r>
            <w:r>
              <w:rPr>
                <w:rFonts w:hint="eastAsia"/>
                <w:b w:val="0"/>
                <w:bCs w:val="0"/>
                <w:color w:val="auto"/>
                <w:sz w:val="24"/>
                <w:szCs w:val="24"/>
                <w:vertAlign w:val="superscript"/>
                <w:lang w:eastAsia="zh-CN"/>
              </w:rPr>
              <w:t>3</w:t>
            </w:r>
            <w:r>
              <w:rPr>
                <w:rFonts w:hint="eastAsia"/>
                <w:b w:val="0"/>
                <w:bCs w:val="0"/>
                <w:color w:val="auto"/>
                <w:sz w:val="24"/>
                <w:szCs w:val="24"/>
                <w:lang w:eastAsia="zh-CN"/>
              </w:rPr>
              <w:t>/d，24m</w:t>
            </w:r>
            <w:r>
              <w:rPr>
                <w:rFonts w:hint="eastAsia"/>
                <w:b w:val="0"/>
                <w:bCs w:val="0"/>
                <w:color w:val="auto"/>
                <w:sz w:val="24"/>
                <w:szCs w:val="24"/>
                <w:vertAlign w:val="superscript"/>
                <w:lang w:eastAsia="zh-CN"/>
              </w:rPr>
              <w:t>3</w:t>
            </w:r>
            <w:r>
              <w:rPr>
                <w:rFonts w:hint="eastAsia"/>
                <w:b w:val="0"/>
                <w:bCs w:val="0"/>
                <w:color w:val="auto"/>
                <w:sz w:val="24"/>
                <w:szCs w:val="24"/>
                <w:lang w:eastAsia="zh-CN"/>
              </w:rPr>
              <w:t>/a。电捕焦油器冲洗液产生量按经验系数80%计算，则冲洗液产生量为0.064m</w:t>
            </w:r>
            <w:r>
              <w:rPr>
                <w:rFonts w:hint="eastAsia"/>
                <w:b w:val="0"/>
                <w:bCs w:val="0"/>
                <w:color w:val="auto"/>
                <w:sz w:val="24"/>
                <w:szCs w:val="24"/>
                <w:vertAlign w:val="superscript"/>
                <w:lang w:eastAsia="zh-CN"/>
              </w:rPr>
              <w:t>3</w:t>
            </w:r>
            <w:r>
              <w:rPr>
                <w:rFonts w:hint="eastAsia"/>
                <w:b w:val="0"/>
                <w:bCs w:val="0"/>
                <w:color w:val="auto"/>
                <w:sz w:val="24"/>
                <w:szCs w:val="24"/>
                <w:lang w:eastAsia="zh-CN"/>
              </w:rPr>
              <w:t>/d，19.2m</w:t>
            </w:r>
            <w:r>
              <w:rPr>
                <w:rFonts w:hint="eastAsia"/>
                <w:b w:val="0"/>
                <w:bCs w:val="0"/>
                <w:color w:val="auto"/>
                <w:sz w:val="24"/>
                <w:szCs w:val="24"/>
                <w:vertAlign w:val="superscript"/>
                <w:lang w:eastAsia="zh-CN"/>
              </w:rPr>
              <w:t>3</w:t>
            </w:r>
            <w:r>
              <w:rPr>
                <w:rFonts w:hint="eastAsia"/>
                <w:b w:val="0"/>
                <w:bCs w:val="0"/>
                <w:color w:val="auto"/>
                <w:sz w:val="24"/>
                <w:szCs w:val="24"/>
                <w:lang w:eastAsia="zh-CN"/>
              </w:rPr>
              <w:t>/a。</w:t>
            </w:r>
          </w:p>
          <w:p>
            <w:pPr>
              <w:adjustRightInd w:val="0"/>
              <w:snapToGrid w:val="0"/>
              <w:spacing w:line="360" w:lineRule="auto"/>
              <w:ind w:firstLine="480" w:firstLineChars="200"/>
              <w:rPr>
                <w:rFonts w:hint="eastAsia" w:eastAsia="宋体"/>
                <w:b w:val="0"/>
                <w:bCs w:val="0"/>
                <w:color w:val="auto"/>
                <w:sz w:val="24"/>
                <w:szCs w:val="24"/>
                <w:lang w:eastAsia="zh-CN"/>
              </w:rPr>
            </w:pPr>
            <w:r>
              <w:rPr>
                <w:rFonts w:hint="eastAsia"/>
                <w:b w:val="0"/>
                <w:bCs w:val="0"/>
                <w:color w:val="auto"/>
                <w:sz w:val="24"/>
                <w:szCs w:val="24"/>
                <w:lang w:eastAsia="zh-CN"/>
              </w:rPr>
              <w:t>电捕焦油器冲洗液属于危险废物，根据《国家危险废物名录》（2025年版），废物类别HW49其他废物（环境治理），废物代码772-006-49：采用物理、化学、物理化学或生物方法处理毒性或感染性危险废物过程产生的废水处理污泥、残渣（液）。电捕焦油器冲洗液收集暂存于危险废物贮存库，委托有资质单位定期清运处置。</w:t>
            </w:r>
          </w:p>
          <w:p>
            <w:pPr>
              <w:adjustRightInd w:val="0"/>
              <w:snapToGrid w:val="0"/>
              <w:spacing w:line="360" w:lineRule="auto"/>
              <w:ind w:firstLine="482" w:firstLineChars="200"/>
              <w:rPr>
                <w:b/>
                <w:bCs/>
                <w:color w:val="auto"/>
                <w:sz w:val="24"/>
                <w:szCs w:val="24"/>
              </w:rPr>
            </w:pPr>
            <w:r>
              <w:rPr>
                <w:b/>
                <w:bCs/>
                <w:color w:val="auto"/>
                <w:sz w:val="24"/>
                <w:szCs w:val="24"/>
              </w:rPr>
              <w:t>（</w:t>
            </w:r>
            <w:r>
              <w:rPr>
                <w:rFonts w:hint="eastAsia"/>
                <w:b/>
                <w:bCs/>
                <w:color w:val="auto"/>
                <w:sz w:val="24"/>
                <w:szCs w:val="24"/>
              </w:rPr>
              <w:t>3</w:t>
            </w:r>
            <w:r>
              <w:rPr>
                <w:b/>
                <w:bCs/>
                <w:color w:val="auto"/>
                <w:sz w:val="24"/>
                <w:szCs w:val="24"/>
              </w:rPr>
              <w:t>）生活用水</w:t>
            </w:r>
          </w:p>
          <w:p>
            <w:pPr>
              <w:adjustRightInd w:val="0"/>
              <w:snapToGrid w:val="0"/>
              <w:spacing w:line="360" w:lineRule="auto"/>
              <w:ind w:firstLine="480" w:firstLineChars="200"/>
              <w:rPr>
                <w:color w:val="auto"/>
                <w:kern w:val="0"/>
                <w:sz w:val="24"/>
                <w:szCs w:val="24"/>
              </w:rPr>
            </w:pPr>
            <w:r>
              <w:rPr>
                <w:color w:val="auto"/>
                <w:kern w:val="0"/>
                <w:sz w:val="24"/>
                <w:szCs w:val="24"/>
              </w:rPr>
              <w:t>项目员工总人数为</w:t>
            </w:r>
            <w:r>
              <w:rPr>
                <w:rFonts w:hint="eastAsia"/>
                <w:color w:val="auto"/>
                <w:kern w:val="0"/>
                <w:sz w:val="24"/>
                <w:szCs w:val="24"/>
                <w:lang w:val="en-US" w:eastAsia="zh-CN"/>
              </w:rPr>
              <w:t>10</w:t>
            </w:r>
            <w:r>
              <w:rPr>
                <w:rFonts w:hint="eastAsia"/>
                <w:color w:val="auto"/>
                <w:kern w:val="0"/>
                <w:sz w:val="24"/>
                <w:szCs w:val="24"/>
              </w:rPr>
              <w:t>人，</w:t>
            </w:r>
            <w:r>
              <w:rPr>
                <w:color w:val="auto"/>
                <w:kern w:val="0"/>
                <w:sz w:val="24"/>
                <w:szCs w:val="24"/>
              </w:rPr>
              <w:t>均</w:t>
            </w:r>
            <w:r>
              <w:rPr>
                <w:rFonts w:hint="eastAsia"/>
                <w:color w:val="auto"/>
                <w:kern w:val="0"/>
                <w:sz w:val="24"/>
                <w:szCs w:val="24"/>
              </w:rPr>
              <w:t>不</w:t>
            </w:r>
            <w:r>
              <w:rPr>
                <w:color w:val="auto"/>
                <w:kern w:val="0"/>
                <w:sz w:val="24"/>
                <w:szCs w:val="24"/>
              </w:rPr>
              <w:t>在项目区</w:t>
            </w:r>
            <w:r>
              <w:rPr>
                <w:rFonts w:hint="eastAsia"/>
                <w:color w:val="auto"/>
                <w:kern w:val="0"/>
                <w:sz w:val="24"/>
                <w:szCs w:val="24"/>
              </w:rPr>
              <w:t>内食宿</w:t>
            </w:r>
            <w:r>
              <w:rPr>
                <w:color w:val="auto"/>
                <w:kern w:val="0"/>
                <w:sz w:val="24"/>
                <w:szCs w:val="24"/>
              </w:rPr>
              <w:t>，</w:t>
            </w:r>
            <w:r>
              <w:rPr>
                <w:color w:val="auto"/>
                <w:sz w:val="24"/>
                <w:szCs w:val="24"/>
              </w:rPr>
              <w:t>依托使用</w:t>
            </w:r>
            <w:r>
              <w:rPr>
                <w:rFonts w:hint="eastAsia"/>
                <w:color w:val="auto"/>
                <w:sz w:val="24"/>
                <w:szCs w:val="24"/>
                <w:lang w:eastAsia="zh-CN"/>
              </w:rPr>
              <w:t>云南宝塑塑料管业有限公司</w:t>
            </w:r>
            <w:r>
              <w:rPr>
                <w:rFonts w:hint="eastAsia"/>
                <w:color w:val="auto"/>
                <w:sz w:val="24"/>
                <w:szCs w:val="24"/>
              </w:rPr>
              <w:t>已建设的</w:t>
            </w:r>
            <w:r>
              <w:rPr>
                <w:color w:val="auto"/>
                <w:kern w:val="0"/>
                <w:sz w:val="24"/>
                <w:szCs w:val="24"/>
              </w:rPr>
              <w:t>卫生间，</w:t>
            </w:r>
            <w:r>
              <w:rPr>
                <w:rFonts w:hint="eastAsia"/>
                <w:color w:val="auto"/>
                <w:sz w:val="24"/>
                <w:szCs w:val="24"/>
              </w:rPr>
              <w:t>员工洗手</w:t>
            </w:r>
            <w:r>
              <w:rPr>
                <w:color w:val="auto"/>
                <w:sz w:val="24"/>
                <w:szCs w:val="24"/>
              </w:rPr>
              <w:t>、冲厕废水等</w:t>
            </w:r>
            <w:r>
              <w:rPr>
                <w:rFonts w:hint="eastAsia"/>
                <w:color w:val="auto"/>
                <w:sz w:val="24"/>
                <w:szCs w:val="24"/>
              </w:rPr>
              <w:t>生活污水依托</w:t>
            </w:r>
            <w:r>
              <w:rPr>
                <w:rFonts w:hint="eastAsia"/>
                <w:color w:val="auto"/>
                <w:sz w:val="24"/>
                <w:szCs w:val="24"/>
                <w:lang w:eastAsia="zh-CN"/>
              </w:rPr>
              <w:t>云南宝塑塑料管业有限公司</w:t>
            </w:r>
            <w:r>
              <w:rPr>
                <w:rFonts w:hint="eastAsia"/>
                <w:color w:val="auto"/>
                <w:sz w:val="24"/>
                <w:szCs w:val="24"/>
              </w:rPr>
              <w:t>的化粪池</w:t>
            </w:r>
            <w:r>
              <w:rPr>
                <w:rFonts w:hint="eastAsia"/>
                <w:color w:val="auto"/>
                <w:sz w:val="24"/>
                <w:szCs w:val="24"/>
                <w:lang w:eastAsia="zh-CN"/>
              </w:rPr>
              <w:t>，</w:t>
            </w:r>
            <w:r>
              <w:rPr>
                <w:rFonts w:hint="eastAsia"/>
                <w:color w:val="auto"/>
                <w:sz w:val="24"/>
                <w:szCs w:val="24"/>
                <w:lang w:val="en-US" w:eastAsia="zh-CN"/>
              </w:rPr>
              <w:t>化粪池委托宜良县汇金环境卫生服务部定期清运</w:t>
            </w:r>
            <w:r>
              <w:rPr>
                <w:rFonts w:hint="eastAsia"/>
                <w:color w:val="auto"/>
                <w:sz w:val="24"/>
                <w:szCs w:val="24"/>
              </w:rPr>
              <w:t>。</w:t>
            </w:r>
          </w:p>
          <w:p>
            <w:pPr>
              <w:adjustRightInd w:val="0"/>
              <w:snapToGrid w:val="0"/>
              <w:spacing w:line="360" w:lineRule="auto"/>
              <w:ind w:firstLine="480" w:firstLineChars="200"/>
              <w:rPr>
                <w:color w:val="auto"/>
                <w:sz w:val="24"/>
                <w:szCs w:val="24"/>
              </w:rPr>
            </w:pPr>
            <w:r>
              <w:rPr>
                <w:color w:val="auto"/>
                <w:kern w:val="0"/>
                <w:sz w:val="24"/>
                <w:szCs w:val="24"/>
              </w:rPr>
              <w:t>参考</w:t>
            </w:r>
            <w:r>
              <w:rPr>
                <w:color w:val="auto"/>
                <w:kern w:val="0"/>
                <w:sz w:val="24"/>
                <w:szCs w:val="24"/>
                <w:lang w:bidi="ar"/>
              </w:rPr>
              <w:t>《云南省地方标准用水定额》</w:t>
            </w:r>
            <w:r>
              <w:rPr>
                <w:color w:val="auto"/>
                <w:sz w:val="24"/>
                <w:szCs w:val="24"/>
              </w:rPr>
              <w:t>（DB53/T168-20</w:t>
            </w:r>
            <w:r>
              <w:rPr>
                <w:rFonts w:hint="eastAsia"/>
                <w:color w:val="auto"/>
                <w:sz w:val="24"/>
                <w:szCs w:val="24"/>
                <w:lang w:val="en-US" w:eastAsia="zh-CN"/>
              </w:rPr>
              <w:t>26</w:t>
            </w:r>
            <w:r>
              <w:rPr>
                <w:color w:val="auto"/>
                <w:sz w:val="24"/>
                <w:szCs w:val="24"/>
              </w:rPr>
              <w:t>），非住宿员工用水参考：“办公</w:t>
            </w:r>
            <w:r>
              <w:rPr>
                <w:rFonts w:hint="eastAsia"/>
                <w:color w:val="auto"/>
                <w:sz w:val="24"/>
                <w:szCs w:val="24"/>
                <w:lang w:val="en-US" w:eastAsia="zh-CN"/>
              </w:rPr>
              <w:t>写字</w:t>
            </w:r>
            <w:r>
              <w:rPr>
                <w:color w:val="auto"/>
                <w:sz w:val="24"/>
                <w:szCs w:val="24"/>
              </w:rPr>
              <w:t>楼（</w:t>
            </w:r>
            <w:r>
              <w:rPr>
                <w:rFonts w:hint="eastAsia"/>
                <w:color w:val="auto"/>
                <w:sz w:val="24"/>
                <w:szCs w:val="24"/>
              </w:rPr>
              <w:t>无</w:t>
            </w:r>
            <w:r>
              <w:rPr>
                <w:color w:val="auto"/>
                <w:sz w:val="24"/>
                <w:szCs w:val="24"/>
              </w:rPr>
              <w:t>食堂）</w:t>
            </w:r>
            <w:r>
              <w:rPr>
                <w:color w:val="auto"/>
                <w:kern w:val="0"/>
                <w:sz w:val="24"/>
                <w:szCs w:val="24"/>
              </w:rPr>
              <w:t>用水量按</w:t>
            </w:r>
            <w:r>
              <w:rPr>
                <w:rFonts w:hint="eastAsia"/>
                <w:color w:val="auto"/>
                <w:sz w:val="24"/>
                <w:szCs w:val="24"/>
              </w:rPr>
              <w:t>3</w:t>
            </w:r>
            <w:r>
              <w:rPr>
                <w:color w:val="auto"/>
                <w:sz w:val="24"/>
                <w:szCs w:val="24"/>
              </w:rPr>
              <w:t>0L/（人·d）计”，计算得员工生活用水量为</w:t>
            </w:r>
            <w:r>
              <w:rPr>
                <w:rFonts w:hint="eastAsia"/>
                <w:color w:val="auto"/>
                <w:sz w:val="24"/>
                <w:szCs w:val="24"/>
                <w:lang w:val="en-US" w:eastAsia="zh-CN"/>
              </w:rPr>
              <w:t>0.3</w:t>
            </w:r>
            <w:r>
              <w:rPr>
                <w:color w:val="auto"/>
                <w:sz w:val="24"/>
                <w:szCs w:val="24"/>
              </w:rPr>
              <w:t>m</w:t>
            </w:r>
            <w:r>
              <w:rPr>
                <w:color w:val="auto"/>
                <w:sz w:val="24"/>
                <w:szCs w:val="24"/>
                <w:vertAlign w:val="superscript"/>
              </w:rPr>
              <w:t>3</w:t>
            </w:r>
            <w:r>
              <w:rPr>
                <w:color w:val="auto"/>
                <w:sz w:val="24"/>
                <w:szCs w:val="24"/>
              </w:rPr>
              <w:t>/d、</w:t>
            </w:r>
            <w:r>
              <w:rPr>
                <w:rFonts w:hint="eastAsia"/>
                <w:color w:val="auto"/>
                <w:sz w:val="24"/>
                <w:szCs w:val="24"/>
                <w:lang w:val="en-US" w:eastAsia="zh-CN"/>
              </w:rPr>
              <w:t>90</w:t>
            </w:r>
            <w:r>
              <w:rPr>
                <w:bCs/>
                <w:color w:val="auto"/>
                <w:sz w:val="24"/>
                <w:szCs w:val="24"/>
              </w:rPr>
              <w:t>m</w:t>
            </w:r>
            <w:r>
              <w:rPr>
                <w:bCs/>
                <w:color w:val="auto"/>
                <w:sz w:val="24"/>
                <w:szCs w:val="24"/>
                <w:vertAlign w:val="superscript"/>
              </w:rPr>
              <w:t>3</w:t>
            </w:r>
            <w:r>
              <w:rPr>
                <w:bCs/>
                <w:color w:val="auto"/>
                <w:sz w:val="24"/>
                <w:szCs w:val="24"/>
              </w:rPr>
              <w:t>/a</w:t>
            </w:r>
            <w:r>
              <w:rPr>
                <w:color w:val="auto"/>
                <w:sz w:val="24"/>
                <w:szCs w:val="24"/>
              </w:rPr>
              <w:t>，废水产污系数按0.8计，则</w:t>
            </w:r>
            <w:r>
              <w:rPr>
                <w:bCs/>
                <w:color w:val="auto"/>
                <w:sz w:val="24"/>
                <w:szCs w:val="24"/>
              </w:rPr>
              <w:t>员工生活废水产生量为</w:t>
            </w:r>
            <w:r>
              <w:rPr>
                <w:rFonts w:hint="eastAsia"/>
                <w:bCs/>
                <w:color w:val="auto"/>
                <w:sz w:val="24"/>
                <w:szCs w:val="24"/>
                <w:lang w:val="en-US" w:eastAsia="zh-CN"/>
              </w:rPr>
              <w:t>0.24</w:t>
            </w:r>
            <w:r>
              <w:rPr>
                <w:color w:val="auto"/>
                <w:sz w:val="24"/>
                <w:szCs w:val="24"/>
              </w:rPr>
              <w:t>m</w:t>
            </w:r>
            <w:r>
              <w:rPr>
                <w:color w:val="auto"/>
                <w:sz w:val="24"/>
                <w:szCs w:val="24"/>
                <w:vertAlign w:val="superscript"/>
              </w:rPr>
              <w:t>3</w:t>
            </w:r>
            <w:r>
              <w:rPr>
                <w:color w:val="auto"/>
                <w:sz w:val="24"/>
                <w:szCs w:val="24"/>
              </w:rPr>
              <w:t>/d、</w:t>
            </w:r>
            <w:r>
              <w:rPr>
                <w:rFonts w:hint="eastAsia"/>
                <w:color w:val="auto"/>
                <w:sz w:val="24"/>
                <w:szCs w:val="24"/>
                <w:lang w:val="en-US" w:eastAsia="zh-CN"/>
              </w:rPr>
              <w:t>72</w:t>
            </w:r>
            <w:r>
              <w:rPr>
                <w:bCs/>
                <w:color w:val="auto"/>
                <w:sz w:val="24"/>
                <w:szCs w:val="24"/>
              </w:rPr>
              <w:t>m</w:t>
            </w:r>
            <w:r>
              <w:rPr>
                <w:bCs/>
                <w:color w:val="auto"/>
                <w:sz w:val="24"/>
                <w:szCs w:val="24"/>
                <w:vertAlign w:val="superscript"/>
              </w:rPr>
              <w:t>3</w:t>
            </w:r>
            <w:r>
              <w:rPr>
                <w:bCs/>
                <w:color w:val="auto"/>
                <w:sz w:val="24"/>
                <w:szCs w:val="24"/>
              </w:rPr>
              <w:t>/a。</w:t>
            </w:r>
          </w:p>
          <w:p>
            <w:pPr>
              <w:adjustRightInd w:val="0"/>
              <w:snapToGrid w:val="0"/>
              <w:spacing w:line="360" w:lineRule="auto"/>
              <w:ind w:firstLine="480" w:firstLineChars="200"/>
              <w:rPr>
                <w:b/>
                <w:color w:val="auto"/>
                <w:kern w:val="0"/>
                <w:sz w:val="24"/>
                <w:szCs w:val="24"/>
              </w:rPr>
            </w:pPr>
            <w:r>
              <w:rPr>
                <w:color w:val="auto"/>
                <w:sz w:val="24"/>
                <w:szCs w:val="24"/>
              </w:rPr>
              <w:t>项目废水产排情况见下表。</w:t>
            </w:r>
          </w:p>
          <w:p>
            <w:pPr>
              <w:adjustRightInd w:val="0"/>
              <w:snapToGrid w:val="0"/>
              <w:spacing w:before="120" w:beforeLines="50" w:line="360" w:lineRule="auto"/>
              <w:jc w:val="center"/>
              <w:rPr>
                <w:b/>
                <w:color w:val="auto"/>
                <w:kern w:val="0"/>
                <w:sz w:val="24"/>
                <w:szCs w:val="24"/>
              </w:rPr>
            </w:pPr>
            <w:r>
              <w:rPr>
                <w:b/>
                <w:color w:val="auto"/>
                <w:kern w:val="0"/>
                <w:sz w:val="24"/>
                <w:szCs w:val="24"/>
              </w:rPr>
              <w:t>表2-6  项目</w:t>
            </w:r>
            <w:r>
              <w:rPr>
                <w:rFonts w:hint="eastAsia"/>
                <w:b/>
                <w:color w:val="auto"/>
                <w:kern w:val="0"/>
                <w:sz w:val="24"/>
                <w:szCs w:val="24"/>
              </w:rPr>
              <w:t>用</w:t>
            </w:r>
            <w:r>
              <w:rPr>
                <w:b/>
                <w:color w:val="auto"/>
                <w:kern w:val="0"/>
                <w:sz w:val="24"/>
                <w:szCs w:val="24"/>
              </w:rPr>
              <w:t>排水情况一览表</w:t>
            </w:r>
          </w:p>
          <w:tbl>
            <w:tblPr>
              <w:tblStyle w:val="23"/>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77"/>
              <w:gridCol w:w="1048"/>
              <w:gridCol w:w="929"/>
              <w:gridCol w:w="1368"/>
              <w:gridCol w:w="1121"/>
              <w:gridCol w:w="224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0" w:hRule="atLeast"/>
                <w:jc w:val="center"/>
              </w:trPr>
              <w:tc>
                <w:tcPr>
                  <w:tcW w:w="1077" w:type="dxa"/>
                  <w:vMerge w:val="restart"/>
                  <w:tcBorders>
                    <w:top w:val="single" w:color="auto" w:sz="6" w:space="0"/>
                    <w:left w:val="single" w:color="auto" w:sz="6" w:space="0"/>
                    <w:right w:val="single" w:color="auto" w:sz="6" w:space="0"/>
                  </w:tcBorders>
                  <w:noWrap w:val="0"/>
                  <w:vAlign w:val="center"/>
                </w:tcPr>
                <w:p>
                  <w:pPr>
                    <w:jc w:val="center"/>
                    <w:rPr>
                      <w:rFonts w:hint="default" w:ascii="Times New Roman" w:hAnsi="Times New Roman" w:cs="Times New Roman"/>
                      <w:bCs/>
                      <w:color w:val="auto"/>
                      <w:sz w:val="21"/>
                      <w:szCs w:val="21"/>
                      <w:highlight w:val="none"/>
                    </w:rPr>
                  </w:pPr>
                  <w:r>
                    <w:rPr>
                      <w:rFonts w:hint="default" w:ascii="Times New Roman" w:hAnsi="Times New Roman" w:cs="Times New Roman"/>
                      <w:b/>
                      <w:bCs w:val="0"/>
                      <w:color w:val="auto"/>
                      <w:sz w:val="21"/>
                      <w:szCs w:val="21"/>
                      <w:highlight w:val="none"/>
                    </w:rPr>
                    <w:t>用水单元</w:t>
                  </w:r>
                </w:p>
              </w:tc>
              <w:tc>
                <w:tcPr>
                  <w:tcW w:w="1977" w:type="dxa"/>
                  <w:gridSpan w:val="2"/>
                  <w:tcBorders>
                    <w:top w:val="single" w:color="auto" w:sz="6" w:space="0"/>
                    <w:left w:val="nil"/>
                    <w:bottom w:val="single" w:color="auto" w:sz="6" w:space="0"/>
                    <w:right w:val="single" w:color="auto" w:sz="4" w:space="0"/>
                  </w:tcBorders>
                  <w:noWrap w:val="0"/>
                  <w:vAlign w:val="center"/>
                </w:tcPr>
                <w:p>
                  <w:pPr>
                    <w:jc w:val="center"/>
                    <w:rPr>
                      <w:rFonts w:hint="default" w:ascii="Times New Roman" w:hAnsi="Times New Roman" w:cs="Times New Roman"/>
                      <w:b/>
                      <w:bCs w:val="0"/>
                      <w:color w:val="auto"/>
                      <w:sz w:val="21"/>
                      <w:szCs w:val="21"/>
                      <w:highlight w:val="none"/>
                    </w:rPr>
                  </w:pPr>
                  <w:r>
                    <w:rPr>
                      <w:rFonts w:hint="default" w:ascii="Times New Roman" w:hAnsi="Times New Roman" w:cs="Times New Roman"/>
                      <w:b/>
                      <w:bCs w:val="0"/>
                      <w:color w:val="auto"/>
                      <w:sz w:val="21"/>
                      <w:szCs w:val="21"/>
                      <w:highlight w:val="none"/>
                    </w:rPr>
                    <w:t>用水量</w:t>
                  </w:r>
                </w:p>
              </w:tc>
              <w:tc>
                <w:tcPr>
                  <w:tcW w:w="2489" w:type="dxa"/>
                  <w:gridSpan w:val="2"/>
                  <w:tcBorders>
                    <w:top w:val="single" w:color="auto" w:sz="6" w:space="0"/>
                    <w:left w:val="single" w:color="auto" w:sz="4" w:space="0"/>
                    <w:bottom w:val="single" w:color="auto" w:sz="6" w:space="0"/>
                    <w:right w:val="single" w:color="auto" w:sz="6" w:space="0"/>
                  </w:tcBorders>
                  <w:noWrap w:val="0"/>
                  <w:vAlign w:val="center"/>
                </w:tcPr>
                <w:p>
                  <w:pPr>
                    <w:jc w:val="center"/>
                    <w:rPr>
                      <w:rFonts w:hint="default" w:ascii="Times New Roman" w:hAnsi="Times New Roman" w:cs="Times New Roman"/>
                      <w:b/>
                      <w:bCs w:val="0"/>
                      <w:color w:val="auto"/>
                      <w:sz w:val="21"/>
                      <w:szCs w:val="21"/>
                      <w:highlight w:val="none"/>
                    </w:rPr>
                  </w:pPr>
                  <w:r>
                    <w:rPr>
                      <w:rFonts w:hint="default" w:ascii="Times New Roman" w:hAnsi="Times New Roman" w:cs="Times New Roman"/>
                      <w:b/>
                      <w:bCs w:val="0"/>
                      <w:color w:val="auto"/>
                      <w:sz w:val="21"/>
                      <w:szCs w:val="21"/>
                      <w:highlight w:val="none"/>
                    </w:rPr>
                    <w:t>废水产生量</w:t>
                  </w:r>
                </w:p>
              </w:tc>
              <w:tc>
                <w:tcPr>
                  <w:tcW w:w="2249" w:type="dxa"/>
                  <w:vMerge w:val="restart"/>
                  <w:tcBorders>
                    <w:top w:val="single" w:color="auto" w:sz="6" w:space="0"/>
                    <w:left w:val="nil"/>
                    <w:right w:val="single" w:color="auto" w:sz="6" w:space="0"/>
                  </w:tcBorders>
                  <w:noWrap w:val="0"/>
                  <w:vAlign w:val="center"/>
                </w:tcPr>
                <w:p>
                  <w:pPr>
                    <w:jc w:val="center"/>
                    <w:rPr>
                      <w:rFonts w:hint="default" w:ascii="Times New Roman" w:hAnsi="Times New Roman" w:cs="Times New Roman"/>
                      <w:bCs/>
                      <w:color w:val="auto"/>
                      <w:sz w:val="21"/>
                      <w:szCs w:val="21"/>
                      <w:highlight w:val="none"/>
                    </w:rPr>
                  </w:pPr>
                  <w:r>
                    <w:rPr>
                      <w:rFonts w:hint="default" w:ascii="Times New Roman" w:hAnsi="Times New Roman" w:cs="Times New Roman"/>
                      <w:b/>
                      <w:bCs w:val="0"/>
                      <w:color w:val="auto"/>
                      <w:sz w:val="21"/>
                      <w:szCs w:val="21"/>
                      <w:highlight w:val="none"/>
                    </w:rPr>
                    <w:t>废水去向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077" w:type="dxa"/>
                  <w:vMerge w:val="continue"/>
                  <w:tcBorders>
                    <w:left w:val="single" w:color="auto" w:sz="6" w:space="0"/>
                    <w:bottom w:val="single" w:color="auto" w:sz="6" w:space="0"/>
                    <w:right w:val="single" w:color="auto" w:sz="6" w:space="0"/>
                  </w:tcBorders>
                  <w:noWrap w:val="0"/>
                  <w:vAlign w:val="center"/>
                </w:tcPr>
                <w:p>
                  <w:pPr>
                    <w:widowControl/>
                    <w:jc w:val="left"/>
                    <w:rPr>
                      <w:rFonts w:hint="default" w:ascii="Times New Roman" w:hAnsi="Times New Roman" w:cs="Times New Roman"/>
                      <w:bCs/>
                      <w:color w:val="auto"/>
                      <w:sz w:val="21"/>
                      <w:szCs w:val="21"/>
                      <w:highlight w:val="none"/>
                    </w:rPr>
                  </w:pPr>
                </w:p>
              </w:tc>
              <w:tc>
                <w:tcPr>
                  <w:tcW w:w="1048" w:type="dxa"/>
                  <w:tcBorders>
                    <w:top w:val="single" w:color="auto" w:sz="6" w:space="0"/>
                    <w:left w:val="nil"/>
                    <w:bottom w:val="single" w:color="auto" w:sz="6" w:space="0"/>
                    <w:right w:val="single" w:color="auto" w:sz="6" w:space="0"/>
                  </w:tcBorders>
                  <w:noWrap w:val="0"/>
                  <w:vAlign w:val="center"/>
                </w:tcPr>
                <w:p>
                  <w:pPr>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m</w:t>
                  </w:r>
                  <w:r>
                    <w:rPr>
                      <w:rFonts w:hint="default" w:ascii="Times New Roman" w:hAnsi="Times New Roman" w:cs="Times New Roman"/>
                      <w:bCs/>
                      <w:color w:val="auto"/>
                      <w:sz w:val="21"/>
                      <w:szCs w:val="21"/>
                      <w:highlight w:val="none"/>
                      <w:vertAlign w:val="superscript"/>
                      <w:lang w:val="en-US" w:eastAsia="zh-CN"/>
                    </w:rPr>
                    <w:t>3</w:t>
                  </w:r>
                  <w:r>
                    <w:rPr>
                      <w:rFonts w:hint="default" w:ascii="Times New Roman" w:hAnsi="Times New Roman" w:cs="Times New Roman"/>
                      <w:bCs/>
                      <w:color w:val="auto"/>
                      <w:sz w:val="21"/>
                      <w:szCs w:val="21"/>
                      <w:highlight w:val="none"/>
                    </w:rPr>
                    <w:t>/d</w:t>
                  </w:r>
                </w:p>
              </w:tc>
              <w:tc>
                <w:tcPr>
                  <w:tcW w:w="929" w:type="dxa"/>
                  <w:tcBorders>
                    <w:top w:val="single" w:color="auto" w:sz="6" w:space="0"/>
                    <w:left w:val="nil"/>
                    <w:bottom w:val="single" w:color="auto" w:sz="6" w:space="0"/>
                    <w:right w:val="single" w:color="auto" w:sz="4" w:space="0"/>
                  </w:tcBorders>
                  <w:noWrap w:val="0"/>
                  <w:vAlign w:val="center"/>
                </w:tcPr>
                <w:p>
                  <w:pPr>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m</w:t>
                  </w:r>
                  <w:r>
                    <w:rPr>
                      <w:rFonts w:hint="default" w:ascii="Times New Roman" w:hAnsi="Times New Roman" w:cs="Times New Roman"/>
                      <w:bCs/>
                      <w:color w:val="auto"/>
                      <w:sz w:val="21"/>
                      <w:szCs w:val="21"/>
                      <w:highlight w:val="none"/>
                      <w:vertAlign w:val="superscript"/>
                      <w:lang w:val="en-US" w:eastAsia="zh-CN"/>
                    </w:rPr>
                    <w:t>3</w:t>
                  </w:r>
                  <w:r>
                    <w:rPr>
                      <w:rFonts w:hint="default" w:ascii="Times New Roman" w:hAnsi="Times New Roman" w:cs="Times New Roman"/>
                      <w:bCs/>
                      <w:color w:val="auto"/>
                      <w:sz w:val="21"/>
                      <w:szCs w:val="21"/>
                      <w:highlight w:val="none"/>
                    </w:rPr>
                    <w:t>/a</w:t>
                  </w:r>
                </w:p>
              </w:tc>
              <w:tc>
                <w:tcPr>
                  <w:tcW w:w="1368" w:type="dxa"/>
                  <w:tcBorders>
                    <w:top w:val="single" w:color="auto" w:sz="6" w:space="0"/>
                    <w:left w:val="single" w:color="auto" w:sz="4" w:space="0"/>
                    <w:bottom w:val="single" w:color="auto" w:sz="6" w:space="0"/>
                    <w:right w:val="single" w:color="auto" w:sz="6" w:space="0"/>
                  </w:tcBorders>
                  <w:noWrap w:val="0"/>
                  <w:vAlign w:val="center"/>
                </w:tcPr>
                <w:p>
                  <w:pPr>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m</w:t>
                  </w:r>
                  <w:r>
                    <w:rPr>
                      <w:rFonts w:hint="default" w:ascii="Times New Roman" w:hAnsi="Times New Roman" w:cs="Times New Roman"/>
                      <w:bCs/>
                      <w:color w:val="auto"/>
                      <w:sz w:val="21"/>
                      <w:szCs w:val="21"/>
                      <w:highlight w:val="none"/>
                      <w:vertAlign w:val="superscript"/>
                      <w:lang w:val="en-US" w:eastAsia="zh-CN"/>
                    </w:rPr>
                    <w:t>3</w:t>
                  </w:r>
                  <w:r>
                    <w:rPr>
                      <w:rFonts w:hint="default" w:ascii="Times New Roman" w:hAnsi="Times New Roman" w:cs="Times New Roman"/>
                      <w:bCs/>
                      <w:color w:val="auto"/>
                      <w:sz w:val="21"/>
                      <w:szCs w:val="21"/>
                      <w:highlight w:val="none"/>
                    </w:rPr>
                    <w:t>/d</w:t>
                  </w:r>
                </w:p>
              </w:tc>
              <w:tc>
                <w:tcPr>
                  <w:tcW w:w="1121" w:type="dxa"/>
                  <w:tcBorders>
                    <w:top w:val="single" w:color="auto" w:sz="6" w:space="0"/>
                    <w:left w:val="nil"/>
                    <w:bottom w:val="single" w:color="auto" w:sz="6" w:space="0"/>
                    <w:right w:val="single" w:color="auto" w:sz="6" w:space="0"/>
                  </w:tcBorders>
                  <w:noWrap w:val="0"/>
                  <w:vAlign w:val="center"/>
                </w:tcPr>
                <w:p>
                  <w:pPr>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m</w:t>
                  </w:r>
                  <w:r>
                    <w:rPr>
                      <w:rFonts w:hint="default" w:ascii="Times New Roman" w:hAnsi="Times New Roman" w:cs="Times New Roman"/>
                      <w:bCs/>
                      <w:color w:val="auto"/>
                      <w:sz w:val="21"/>
                      <w:szCs w:val="21"/>
                      <w:highlight w:val="none"/>
                      <w:vertAlign w:val="superscript"/>
                      <w:lang w:val="en-US" w:eastAsia="zh-CN"/>
                    </w:rPr>
                    <w:t>3</w:t>
                  </w:r>
                  <w:r>
                    <w:rPr>
                      <w:rFonts w:hint="default" w:ascii="Times New Roman" w:hAnsi="Times New Roman" w:cs="Times New Roman"/>
                      <w:bCs/>
                      <w:color w:val="auto"/>
                      <w:sz w:val="21"/>
                      <w:szCs w:val="21"/>
                      <w:highlight w:val="none"/>
                    </w:rPr>
                    <w:t>/a</w:t>
                  </w:r>
                </w:p>
              </w:tc>
              <w:tc>
                <w:tcPr>
                  <w:tcW w:w="2249" w:type="dxa"/>
                  <w:vMerge w:val="continue"/>
                  <w:tcBorders>
                    <w:left w:val="nil"/>
                    <w:bottom w:val="single" w:color="auto" w:sz="6" w:space="0"/>
                    <w:right w:val="single" w:color="auto" w:sz="6" w:space="0"/>
                  </w:tcBorders>
                  <w:noWrap w:val="0"/>
                  <w:vAlign w:val="center"/>
                </w:tcPr>
                <w:p>
                  <w:pPr>
                    <w:jc w:val="center"/>
                    <w:rPr>
                      <w:rFonts w:hint="default" w:ascii="Times New Roman" w:hAnsi="Times New Roman" w:cs="Times New Roman"/>
                      <w:bCs/>
                      <w:color w:val="auto"/>
                      <w:sz w:val="21"/>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077" w:type="dxa"/>
                  <w:tcBorders>
                    <w:top w:val="single" w:color="auto" w:sz="6" w:space="0"/>
                    <w:left w:val="single" w:color="auto" w:sz="6" w:space="0"/>
                    <w:right w:val="single" w:color="auto" w:sz="6" w:space="0"/>
                  </w:tcBorders>
                  <w:noWrap w:val="0"/>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生活用水</w:t>
                  </w:r>
                </w:p>
              </w:tc>
              <w:tc>
                <w:tcPr>
                  <w:tcW w:w="1048" w:type="dxa"/>
                  <w:tcBorders>
                    <w:top w:val="single" w:color="auto" w:sz="6" w:space="0"/>
                    <w:left w:val="nil"/>
                    <w:bottom w:val="single" w:color="auto" w:sz="6" w:space="0"/>
                    <w:right w:val="single" w:color="auto" w:sz="6" w:space="0"/>
                  </w:tcBorders>
                  <w:noWrap w:val="0"/>
                  <w:vAlign w:val="center"/>
                </w:tcPr>
                <w:p>
                  <w:pPr>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0.3</w:t>
                  </w:r>
                </w:p>
              </w:tc>
              <w:tc>
                <w:tcPr>
                  <w:tcW w:w="929" w:type="dxa"/>
                  <w:tcBorders>
                    <w:top w:val="single" w:color="auto" w:sz="6" w:space="0"/>
                    <w:left w:val="nil"/>
                    <w:bottom w:val="single" w:color="auto" w:sz="6" w:space="0"/>
                    <w:right w:val="single" w:color="auto" w:sz="4" w:space="0"/>
                  </w:tcBorders>
                  <w:noWrap w:val="0"/>
                  <w:vAlign w:val="center"/>
                </w:tcPr>
                <w:p>
                  <w:pPr>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90</w:t>
                  </w:r>
                </w:p>
              </w:tc>
              <w:tc>
                <w:tcPr>
                  <w:tcW w:w="1368" w:type="dxa"/>
                  <w:tcBorders>
                    <w:top w:val="single" w:color="auto" w:sz="6" w:space="0"/>
                    <w:left w:val="single" w:color="auto" w:sz="4" w:space="0"/>
                    <w:bottom w:val="single" w:color="auto" w:sz="6" w:space="0"/>
                    <w:right w:val="single" w:color="auto" w:sz="6" w:space="0"/>
                  </w:tcBorders>
                  <w:noWrap w:val="0"/>
                  <w:vAlign w:val="center"/>
                </w:tcPr>
                <w:p>
                  <w:pPr>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0.24</w:t>
                  </w:r>
                </w:p>
              </w:tc>
              <w:tc>
                <w:tcPr>
                  <w:tcW w:w="1121" w:type="dxa"/>
                  <w:tcBorders>
                    <w:top w:val="single" w:color="auto" w:sz="6" w:space="0"/>
                    <w:left w:val="nil"/>
                    <w:bottom w:val="single" w:color="auto" w:sz="6" w:space="0"/>
                    <w:right w:val="single" w:color="auto" w:sz="6" w:space="0"/>
                  </w:tcBorders>
                  <w:noWrap w:val="0"/>
                  <w:vAlign w:val="center"/>
                </w:tcPr>
                <w:p>
                  <w:pPr>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72</w:t>
                  </w:r>
                </w:p>
              </w:tc>
              <w:tc>
                <w:tcPr>
                  <w:tcW w:w="2249" w:type="dxa"/>
                  <w:tcBorders>
                    <w:top w:val="single" w:color="auto" w:sz="6" w:space="0"/>
                    <w:left w:val="nil"/>
                    <w:right w:val="single" w:color="auto" w:sz="6" w:space="0"/>
                  </w:tcBorders>
                  <w:noWrap w:val="0"/>
                  <w:vAlign w:val="center"/>
                </w:tcPr>
                <w:p>
                  <w:pPr>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val="en-US" w:eastAsia="zh-CN"/>
                    </w:rPr>
                    <w:t>经化粪池处理后</w:t>
                  </w:r>
                  <w:r>
                    <w:rPr>
                      <w:rFonts w:hint="eastAsia" w:ascii="Times New Roman" w:hAnsi="Times New Roman" w:cs="Times New Roman"/>
                      <w:color w:val="auto"/>
                      <w:kern w:val="0"/>
                      <w:sz w:val="21"/>
                      <w:szCs w:val="21"/>
                      <w:highlight w:val="none"/>
                      <w:lang w:val="en-US" w:eastAsia="zh-CN"/>
                    </w:rPr>
                    <w:t>委托定期清掏</w:t>
                  </w:r>
                  <w:r>
                    <w:rPr>
                      <w:rFonts w:hint="default" w:ascii="Times New Roman" w:hAnsi="Times New Roman" w:cs="Times New Roman"/>
                      <w:color w:val="auto"/>
                      <w:kern w:val="0"/>
                      <w:sz w:val="21"/>
                      <w:szCs w:val="21"/>
                      <w:highlight w:val="none"/>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077" w:type="dxa"/>
                  <w:tcBorders>
                    <w:left w:val="single" w:color="auto" w:sz="6" w:space="0"/>
                    <w:right w:val="single" w:color="auto" w:sz="6" w:space="0"/>
                  </w:tcBorders>
                  <w:noWrap w:val="0"/>
                  <w:vAlign w:val="center"/>
                </w:tcPr>
                <w:p>
                  <w:pPr>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循环冷却</w:t>
                  </w:r>
                </w:p>
                <w:p>
                  <w:pPr>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用水</w:t>
                  </w:r>
                </w:p>
              </w:tc>
              <w:tc>
                <w:tcPr>
                  <w:tcW w:w="1048" w:type="dxa"/>
                  <w:tcBorders>
                    <w:top w:val="single" w:color="auto" w:sz="6" w:space="0"/>
                    <w:left w:val="nil"/>
                    <w:bottom w:val="single" w:color="auto" w:sz="6" w:space="0"/>
                    <w:right w:val="single" w:color="auto" w:sz="6" w:space="0"/>
                  </w:tcBorders>
                  <w:noWrap w:val="0"/>
                  <w:vAlign w:val="center"/>
                </w:tcPr>
                <w:p>
                  <w:pPr>
                    <w:jc w:val="center"/>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0.168（循环水量1m</w:t>
                  </w:r>
                  <w:r>
                    <w:rPr>
                      <w:rFonts w:hint="eastAsia" w:cs="Times New Roman"/>
                      <w:color w:val="auto"/>
                      <w:kern w:val="0"/>
                      <w:sz w:val="21"/>
                      <w:szCs w:val="21"/>
                      <w:highlight w:val="none"/>
                      <w:vertAlign w:val="superscript"/>
                      <w:lang w:val="en-US" w:eastAsia="zh-CN"/>
                    </w:rPr>
                    <w:t>3</w:t>
                  </w:r>
                  <w:r>
                    <w:rPr>
                      <w:rFonts w:hint="eastAsia" w:cs="Times New Roman"/>
                      <w:color w:val="auto"/>
                      <w:kern w:val="0"/>
                      <w:sz w:val="21"/>
                      <w:szCs w:val="21"/>
                      <w:highlight w:val="none"/>
                      <w:lang w:val="en-US" w:eastAsia="zh-CN"/>
                    </w:rPr>
                    <w:t>/d）</w:t>
                  </w:r>
                </w:p>
              </w:tc>
              <w:tc>
                <w:tcPr>
                  <w:tcW w:w="929" w:type="dxa"/>
                  <w:tcBorders>
                    <w:top w:val="single" w:color="auto" w:sz="6" w:space="0"/>
                    <w:left w:val="nil"/>
                    <w:bottom w:val="single" w:color="auto" w:sz="6" w:space="0"/>
                    <w:right w:val="single" w:color="auto" w:sz="4" w:space="0"/>
                  </w:tcBorders>
                  <w:noWrap w:val="0"/>
                  <w:vAlign w:val="center"/>
                </w:tcPr>
                <w:p>
                  <w:pPr>
                    <w:jc w:val="center"/>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50.4（循环水量1m</w:t>
                  </w:r>
                  <w:r>
                    <w:rPr>
                      <w:rFonts w:hint="eastAsia" w:cs="Times New Roman"/>
                      <w:color w:val="auto"/>
                      <w:kern w:val="0"/>
                      <w:sz w:val="21"/>
                      <w:szCs w:val="21"/>
                      <w:highlight w:val="none"/>
                      <w:vertAlign w:val="superscript"/>
                      <w:lang w:val="en-US" w:eastAsia="zh-CN"/>
                    </w:rPr>
                    <w:t>3</w:t>
                  </w:r>
                  <w:r>
                    <w:rPr>
                      <w:rFonts w:hint="eastAsia" w:cs="Times New Roman"/>
                      <w:color w:val="auto"/>
                      <w:kern w:val="0"/>
                      <w:sz w:val="21"/>
                      <w:szCs w:val="21"/>
                      <w:highlight w:val="none"/>
                      <w:lang w:val="en-US" w:eastAsia="zh-CN"/>
                    </w:rPr>
                    <w:t>/d）</w:t>
                  </w:r>
                </w:p>
              </w:tc>
              <w:tc>
                <w:tcPr>
                  <w:tcW w:w="1368" w:type="dxa"/>
                  <w:tcBorders>
                    <w:top w:val="single" w:color="auto" w:sz="6" w:space="0"/>
                    <w:left w:val="single" w:color="auto" w:sz="4" w:space="0"/>
                    <w:bottom w:val="single" w:color="auto" w:sz="6" w:space="0"/>
                    <w:right w:val="single" w:color="auto" w:sz="6" w:space="0"/>
                  </w:tcBorders>
                  <w:noWrap w:val="0"/>
                  <w:vAlign w:val="center"/>
                </w:tcPr>
                <w:p>
                  <w:pPr>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0</w:t>
                  </w:r>
                </w:p>
              </w:tc>
              <w:tc>
                <w:tcPr>
                  <w:tcW w:w="1121" w:type="dxa"/>
                  <w:tcBorders>
                    <w:top w:val="single" w:color="auto" w:sz="6" w:space="0"/>
                    <w:left w:val="nil"/>
                    <w:bottom w:val="single" w:color="auto" w:sz="6" w:space="0"/>
                    <w:right w:val="single" w:color="auto" w:sz="6" w:space="0"/>
                  </w:tcBorders>
                  <w:noWrap w:val="0"/>
                  <w:vAlign w:val="center"/>
                </w:tcPr>
                <w:p>
                  <w:pPr>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0</w:t>
                  </w:r>
                </w:p>
              </w:tc>
              <w:tc>
                <w:tcPr>
                  <w:tcW w:w="2249" w:type="dxa"/>
                  <w:tcBorders>
                    <w:left w:val="nil"/>
                    <w:right w:val="single" w:color="auto" w:sz="6" w:space="0"/>
                  </w:tcBorders>
                  <w:noWrap w:val="0"/>
                  <w:vAlign w:val="center"/>
                </w:tcPr>
                <w:p>
                  <w:pPr>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冷却水经循环水池收集后循环使用，不外排。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077" w:type="dxa"/>
                  <w:tcBorders>
                    <w:left w:val="single" w:color="auto" w:sz="6" w:space="0"/>
                    <w:right w:val="single" w:color="auto" w:sz="6" w:space="0"/>
                  </w:tcBorders>
                  <w:noWrap w:val="0"/>
                  <w:vAlign w:val="center"/>
                </w:tcPr>
                <w:p>
                  <w:pPr>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电捕焦油器洗涤用水</w:t>
                  </w:r>
                </w:p>
              </w:tc>
              <w:tc>
                <w:tcPr>
                  <w:tcW w:w="1048" w:type="dxa"/>
                  <w:tcBorders>
                    <w:top w:val="single" w:color="auto" w:sz="6" w:space="0"/>
                    <w:left w:val="nil"/>
                    <w:bottom w:val="single" w:color="auto" w:sz="6" w:space="0"/>
                    <w:right w:val="single" w:color="auto" w:sz="6" w:space="0"/>
                  </w:tcBorders>
                  <w:noWrap w:val="0"/>
                  <w:vAlign w:val="center"/>
                </w:tcPr>
                <w:p>
                  <w:pPr>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0.08</w:t>
                  </w:r>
                </w:p>
              </w:tc>
              <w:tc>
                <w:tcPr>
                  <w:tcW w:w="929" w:type="dxa"/>
                  <w:tcBorders>
                    <w:top w:val="single" w:color="auto" w:sz="6" w:space="0"/>
                    <w:left w:val="nil"/>
                    <w:bottom w:val="single" w:color="auto" w:sz="6" w:space="0"/>
                    <w:right w:val="single" w:color="auto" w:sz="4" w:space="0"/>
                  </w:tcBorders>
                  <w:noWrap w:val="0"/>
                  <w:vAlign w:val="center"/>
                </w:tcPr>
                <w:p>
                  <w:pPr>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24</w:t>
                  </w:r>
                </w:p>
              </w:tc>
              <w:tc>
                <w:tcPr>
                  <w:tcW w:w="1368" w:type="dxa"/>
                  <w:tcBorders>
                    <w:top w:val="single" w:color="auto" w:sz="6" w:space="0"/>
                    <w:left w:val="single" w:color="auto" w:sz="4" w:space="0"/>
                    <w:bottom w:val="single" w:color="auto" w:sz="6" w:space="0"/>
                    <w:right w:val="single" w:color="auto" w:sz="6" w:space="0"/>
                  </w:tcBorders>
                  <w:noWrap w:val="0"/>
                  <w:vAlign w:val="center"/>
                </w:tcPr>
                <w:p>
                  <w:pPr>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0.064</w:t>
                  </w:r>
                </w:p>
              </w:tc>
              <w:tc>
                <w:tcPr>
                  <w:tcW w:w="1121" w:type="dxa"/>
                  <w:tcBorders>
                    <w:top w:val="single" w:color="auto" w:sz="6" w:space="0"/>
                    <w:left w:val="nil"/>
                    <w:bottom w:val="single" w:color="auto" w:sz="6" w:space="0"/>
                    <w:right w:val="single" w:color="auto" w:sz="6" w:space="0"/>
                  </w:tcBorders>
                  <w:noWrap w:val="0"/>
                  <w:vAlign w:val="center"/>
                </w:tcPr>
                <w:p>
                  <w:pPr>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19.2</w:t>
                  </w:r>
                </w:p>
              </w:tc>
              <w:tc>
                <w:tcPr>
                  <w:tcW w:w="2249" w:type="dxa"/>
                  <w:tcBorders>
                    <w:left w:val="nil"/>
                    <w:right w:val="single" w:color="auto" w:sz="6" w:space="0"/>
                  </w:tcBorders>
                  <w:noWrap w:val="0"/>
                  <w:vAlign w:val="center"/>
                </w:tcPr>
                <w:p>
                  <w:pPr>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电捕焦油器冲洗</w:t>
                  </w:r>
                  <w:r>
                    <w:rPr>
                      <w:rFonts w:hint="eastAsia" w:ascii="Times New Roman" w:hAnsi="Times New Roman" w:cs="Times New Roman"/>
                      <w:color w:val="auto"/>
                      <w:kern w:val="0"/>
                      <w:sz w:val="21"/>
                      <w:szCs w:val="21"/>
                      <w:highlight w:val="none"/>
                      <w:lang w:val="en-US" w:eastAsia="zh-CN"/>
                    </w:rPr>
                    <w:t>废水</w:t>
                  </w:r>
                  <w:r>
                    <w:rPr>
                      <w:rFonts w:hint="default" w:ascii="Times New Roman" w:hAnsi="Times New Roman" w:cs="Times New Roman"/>
                      <w:color w:val="auto"/>
                      <w:kern w:val="0"/>
                      <w:sz w:val="21"/>
                      <w:szCs w:val="21"/>
                      <w:highlight w:val="none"/>
                      <w:lang w:val="en-US" w:eastAsia="zh-CN"/>
                    </w:rPr>
                    <w:t>收集暂存于危险废物贮存库，委托有资质单位定期清运处置。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077" w:type="dxa"/>
                  <w:tcBorders>
                    <w:top w:val="single" w:color="auto" w:sz="6" w:space="0"/>
                    <w:left w:val="single" w:color="auto" w:sz="6" w:space="0"/>
                    <w:bottom w:val="single" w:color="auto" w:sz="6" w:space="0"/>
                    <w:right w:val="single" w:color="auto" w:sz="6" w:space="0"/>
                  </w:tcBorders>
                  <w:noWrap w:val="0"/>
                  <w:vAlign w:val="center"/>
                </w:tcPr>
                <w:p>
                  <w:pPr>
                    <w:jc w:val="center"/>
                    <w:rPr>
                      <w:rFonts w:hint="default" w:ascii="Times New Roman" w:hAnsi="Times New Roman" w:cs="Times New Roman"/>
                      <w:b/>
                      <w:bCs w:val="0"/>
                      <w:color w:val="auto"/>
                      <w:kern w:val="0"/>
                      <w:sz w:val="21"/>
                      <w:szCs w:val="21"/>
                      <w:highlight w:val="none"/>
                    </w:rPr>
                  </w:pPr>
                  <w:r>
                    <w:rPr>
                      <w:rFonts w:hint="default" w:ascii="Times New Roman" w:hAnsi="Times New Roman" w:cs="Times New Roman"/>
                      <w:b/>
                      <w:bCs w:val="0"/>
                      <w:color w:val="auto"/>
                      <w:kern w:val="0"/>
                      <w:sz w:val="21"/>
                      <w:szCs w:val="21"/>
                      <w:highlight w:val="none"/>
                    </w:rPr>
                    <w:t>合计</w:t>
                  </w:r>
                </w:p>
              </w:tc>
              <w:tc>
                <w:tcPr>
                  <w:tcW w:w="1048" w:type="dxa"/>
                  <w:tcBorders>
                    <w:top w:val="single" w:color="auto" w:sz="6" w:space="0"/>
                    <w:left w:val="nil"/>
                    <w:bottom w:val="single" w:color="auto" w:sz="6" w:space="0"/>
                    <w:right w:val="single" w:color="auto" w:sz="6"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val="0"/>
                      <w:color w:val="auto"/>
                      <w:sz w:val="21"/>
                      <w:szCs w:val="21"/>
                      <w:highlight w:val="none"/>
                      <w:lang w:val="en-US" w:eastAsia="zh-CN"/>
                    </w:rPr>
                  </w:pPr>
                  <w:r>
                    <w:rPr>
                      <w:rFonts w:hint="eastAsia" w:cs="Times New Roman"/>
                      <w:b/>
                      <w:bCs w:val="0"/>
                      <w:color w:val="auto"/>
                      <w:sz w:val="21"/>
                      <w:szCs w:val="21"/>
                      <w:highlight w:val="none"/>
                      <w:lang w:val="en-US" w:eastAsia="zh-CN"/>
                    </w:rPr>
                    <w:t>0.548</w:t>
                  </w:r>
                </w:p>
              </w:tc>
              <w:tc>
                <w:tcPr>
                  <w:tcW w:w="929" w:type="dxa"/>
                  <w:tcBorders>
                    <w:top w:val="single" w:color="auto" w:sz="6" w:space="0"/>
                    <w:left w:val="nil"/>
                    <w:bottom w:val="single" w:color="auto" w:sz="6"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val="0"/>
                      <w:color w:val="auto"/>
                      <w:sz w:val="21"/>
                      <w:szCs w:val="21"/>
                      <w:highlight w:val="none"/>
                      <w:lang w:val="en-US" w:eastAsia="zh-CN"/>
                    </w:rPr>
                  </w:pPr>
                  <w:r>
                    <w:rPr>
                      <w:rFonts w:hint="eastAsia" w:cs="Times New Roman"/>
                      <w:b/>
                      <w:bCs w:val="0"/>
                      <w:color w:val="auto"/>
                      <w:sz w:val="21"/>
                      <w:szCs w:val="21"/>
                      <w:highlight w:val="none"/>
                      <w:lang w:val="en-US" w:eastAsia="zh-CN"/>
                    </w:rPr>
                    <w:t>164.4</w:t>
                  </w:r>
                </w:p>
              </w:tc>
              <w:tc>
                <w:tcPr>
                  <w:tcW w:w="1368" w:type="dxa"/>
                  <w:tcBorders>
                    <w:top w:val="single" w:color="auto" w:sz="6" w:space="0"/>
                    <w:left w:val="single" w:color="auto" w:sz="4" w:space="0"/>
                    <w:bottom w:val="single" w:color="auto" w:sz="6" w:space="0"/>
                    <w:right w:val="single" w:color="auto" w:sz="6"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val="0"/>
                      <w:color w:val="auto"/>
                      <w:kern w:val="0"/>
                      <w:sz w:val="21"/>
                      <w:szCs w:val="21"/>
                      <w:highlight w:val="none"/>
                      <w:lang w:val="en-US" w:eastAsia="zh-CN"/>
                    </w:rPr>
                  </w:pPr>
                  <w:r>
                    <w:rPr>
                      <w:rFonts w:hint="eastAsia" w:cs="Times New Roman"/>
                      <w:b/>
                      <w:bCs w:val="0"/>
                      <w:color w:val="auto"/>
                      <w:kern w:val="0"/>
                      <w:sz w:val="21"/>
                      <w:szCs w:val="21"/>
                      <w:highlight w:val="none"/>
                      <w:lang w:val="en-US" w:eastAsia="zh-CN"/>
                    </w:rPr>
                    <w:t>0.304</w:t>
                  </w:r>
                </w:p>
              </w:tc>
              <w:tc>
                <w:tcPr>
                  <w:tcW w:w="1121" w:type="dxa"/>
                  <w:tcBorders>
                    <w:top w:val="single" w:color="auto" w:sz="6" w:space="0"/>
                    <w:left w:val="nil"/>
                    <w:bottom w:val="single" w:color="auto" w:sz="6" w:space="0"/>
                    <w:right w:val="single" w:color="auto" w:sz="6"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val="0"/>
                      <w:color w:val="auto"/>
                      <w:sz w:val="21"/>
                      <w:szCs w:val="21"/>
                      <w:highlight w:val="none"/>
                      <w:lang w:val="en-US" w:eastAsia="zh-CN"/>
                    </w:rPr>
                  </w:pPr>
                  <w:r>
                    <w:rPr>
                      <w:rFonts w:hint="eastAsia" w:cs="Times New Roman"/>
                      <w:b/>
                      <w:bCs w:val="0"/>
                      <w:color w:val="auto"/>
                      <w:sz w:val="21"/>
                      <w:szCs w:val="21"/>
                      <w:highlight w:val="none"/>
                      <w:lang w:val="en-US" w:eastAsia="zh-CN"/>
                    </w:rPr>
                    <w:t>91.2</w:t>
                  </w:r>
                </w:p>
              </w:tc>
              <w:tc>
                <w:tcPr>
                  <w:tcW w:w="2249" w:type="dxa"/>
                  <w:tcBorders>
                    <w:top w:val="single" w:color="auto" w:sz="6" w:space="0"/>
                    <w:left w:val="nil"/>
                    <w:bottom w:val="single" w:color="auto" w:sz="6" w:space="0"/>
                    <w:right w:val="single" w:color="auto" w:sz="6" w:space="0"/>
                  </w:tcBorders>
                  <w:noWrap w:val="0"/>
                  <w:vAlign w:val="center"/>
                </w:tcPr>
                <w:p>
                  <w:pPr>
                    <w:jc w:val="center"/>
                    <w:rPr>
                      <w:rFonts w:hint="eastAsia" w:ascii="Times New Roman" w:hAnsi="Times New Roman" w:eastAsia="宋体" w:cs="Times New Roman"/>
                      <w:b/>
                      <w:bCs w:val="0"/>
                      <w:color w:val="auto"/>
                      <w:sz w:val="21"/>
                      <w:szCs w:val="21"/>
                      <w:highlight w:val="none"/>
                      <w:lang w:val="en-US" w:eastAsia="zh-CN"/>
                    </w:rPr>
                  </w:pPr>
                  <w:r>
                    <w:rPr>
                      <w:rFonts w:hint="eastAsia" w:ascii="Times New Roman" w:hAnsi="Times New Roman" w:cs="Times New Roman"/>
                      <w:b/>
                      <w:bCs w:val="0"/>
                      <w:color w:val="auto"/>
                      <w:sz w:val="21"/>
                      <w:szCs w:val="21"/>
                      <w:highlight w:val="none"/>
                      <w:lang w:val="en-US" w:eastAsia="zh-CN"/>
                    </w:rPr>
                    <w:t>/</w:t>
                  </w:r>
                </w:p>
              </w:tc>
            </w:tr>
          </w:tbl>
          <w:p>
            <w:pPr>
              <w:adjustRightInd w:val="0"/>
              <w:snapToGrid w:val="0"/>
              <w:spacing w:line="360" w:lineRule="auto"/>
              <w:ind w:firstLine="480" w:firstLineChars="200"/>
              <w:rPr>
                <w:color w:val="auto"/>
                <w:sz w:val="24"/>
                <w:szCs w:val="24"/>
              </w:rPr>
            </w:pPr>
            <w:r>
              <w:rPr>
                <w:color w:val="auto"/>
                <w:sz w:val="24"/>
                <w:szCs w:val="24"/>
              </w:rPr>
              <w:t>本项目用排水平衡如下图：</w:t>
            </w:r>
          </w:p>
          <w:p>
            <w:pPr>
              <w:adjustRightInd w:val="0"/>
              <w:snapToGrid w:val="0"/>
              <w:spacing w:line="360" w:lineRule="auto"/>
              <w:jc w:val="center"/>
              <w:rPr>
                <w:rFonts w:hint="eastAsia" w:eastAsia="宋体"/>
                <w:color w:val="auto"/>
                <w:sz w:val="24"/>
                <w:szCs w:val="24"/>
                <w:lang w:eastAsia="zh-CN"/>
              </w:rPr>
            </w:pPr>
            <w:r>
              <w:rPr>
                <w:rFonts w:hint="eastAsia" w:eastAsia="宋体"/>
                <w:color w:val="auto"/>
                <w:sz w:val="24"/>
                <w:szCs w:val="24"/>
                <w:lang w:eastAsia="zh-CN"/>
              </w:rPr>
              <w:drawing>
                <wp:inline distT="0" distB="0" distL="114300" distR="114300">
                  <wp:extent cx="4410075" cy="2228850"/>
                  <wp:effectExtent l="9525" t="9525" r="19050" b="9525"/>
                  <wp:docPr id="28" name="图片 28" descr="3b5b43cb9e9ee05a2d4bcad245b9ef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3b5b43cb9e9ee05a2d4bcad245b9ef10"/>
                          <pic:cNvPicPr>
                            <a:picLocks noChangeAspect="1"/>
                          </pic:cNvPicPr>
                        </pic:nvPicPr>
                        <pic:blipFill>
                          <a:blip r:embed="rId8"/>
                          <a:stretch>
                            <a:fillRect/>
                          </a:stretch>
                        </pic:blipFill>
                        <pic:spPr>
                          <a:xfrm>
                            <a:off x="0" y="0"/>
                            <a:ext cx="4410075" cy="2228850"/>
                          </a:xfrm>
                          <a:prstGeom prst="rect">
                            <a:avLst/>
                          </a:prstGeom>
                          <a:ln>
                            <a:solidFill>
                              <a:schemeClr val="tx1"/>
                            </a:solidFill>
                          </a:ln>
                        </pic:spPr>
                      </pic:pic>
                    </a:graphicData>
                  </a:graphic>
                </wp:inline>
              </w:drawing>
            </w:r>
          </w:p>
          <w:p>
            <w:pPr>
              <w:widowControl/>
              <w:adjustRightInd w:val="0"/>
              <w:snapToGrid w:val="0"/>
              <w:spacing w:before="120" w:beforeLines="50" w:line="360" w:lineRule="auto"/>
              <w:jc w:val="center"/>
              <w:rPr>
                <w:b/>
                <w:color w:val="auto"/>
                <w:kern w:val="0"/>
                <w:sz w:val="24"/>
                <w:szCs w:val="24"/>
              </w:rPr>
            </w:pPr>
            <w:r>
              <w:rPr>
                <w:b/>
                <w:color w:val="auto"/>
                <w:kern w:val="0"/>
                <w:sz w:val="24"/>
                <w:szCs w:val="24"/>
              </w:rPr>
              <w:t>图2-1  项目水平衡图  单位：m</w:t>
            </w:r>
            <w:r>
              <w:rPr>
                <w:b/>
                <w:color w:val="auto"/>
                <w:kern w:val="0"/>
                <w:sz w:val="24"/>
                <w:szCs w:val="24"/>
                <w:vertAlign w:val="superscript"/>
              </w:rPr>
              <w:t>3</w:t>
            </w:r>
            <w:r>
              <w:rPr>
                <w:b/>
                <w:color w:val="auto"/>
                <w:kern w:val="0"/>
                <w:sz w:val="24"/>
                <w:szCs w:val="24"/>
              </w:rPr>
              <w:t>/</w:t>
            </w:r>
            <w:r>
              <w:rPr>
                <w:rFonts w:hint="eastAsia"/>
                <w:b/>
                <w:color w:val="auto"/>
                <w:kern w:val="0"/>
                <w:sz w:val="24"/>
                <w:szCs w:val="24"/>
              </w:rPr>
              <w:t>a</w:t>
            </w:r>
          </w:p>
          <w:p>
            <w:pPr>
              <w:adjustRightInd w:val="0"/>
              <w:snapToGrid w:val="0"/>
              <w:spacing w:line="360" w:lineRule="auto"/>
              <w:rPr>
                <w:b/>
                <w:bCs/>
                <w:color w:val="auto"/>
                <w:sz w:val="24"/>
                <w:szCs w:val="24"/>
              </w:rPr>
            </w:pPr>
            <w:r>
              <w:rPr>
                <w:b/>
                <w:bCs/>
                <w:color w:val="auto"/>
                <w:sz w:val="24"/>
                <w:szCs w:val="24"/>
              </w:rPr>
              <w:t>9、厂区平面布置</w:t>
            </w:r>
          </w:p>
          <w:p>
            <w:pPr>
              <w:adjustRightInd w:val="0"/>
              <w:snapToGrid w:val="0"/>
              <w:spacing w:line="360" w:lineRule="auto"/>
              <w:ind w:firstLine="480" w:firstLineChars="200"/>
              <w:rPr>
                <w:color w:val="auto"/>
                <w:sz w:val="24"/>
                <w:szCs w:val="24"/>
              </w:rPr>
            </w:pPr>
            <w:r>
              <w:rPr>
                <w:bCs/>
                <w:color w:val="auto"/>
                <w:sz w:val="24"/>
                <w:szCs w:val="24"/>
              </w:rPr>
              <w:t>根据项目总平面布置图，厂区出入口位于项目区</w:t>
            </w:r>
            <w:r>
              <w:rPr>
                <w:rFonts w:hint="eastAsia"/>
                <w:bCs/>
                <w:color w:val="auto"/>
                <w:sz w:val="24"/>
                <w:szCs w:val="24"/>
                <w:lang w:val="en-US" w:eastAsia="zh-CN"/>
              </w:rPr>
              <w:t>北</w:t>
            </w:r>
            <w:r>
              <w:rPr>
                <w:bCs/>
                <w:color w:val="auto"/>
                <w:sz w:val="24"/>
                <w:szCs w:val="24"/>
              </w:rPr>
              <w:t>侧</w:t>
            </w:r>
            <w:r>
              <w:rPr>
                <w:color w:val="auto"/>
                <w:sz w:val="24"/>
                <w:szCs w:val="24"/>
              </w:rPr>
              <w:t>；项目区内共建设1栋</w:t>
            </w:r>
            <w:r>
              <w:rPr>
                <w:rFonts w:hint="eastAsia"/>
                <w:bCs/>
                <w:color w:val="auto"/>
                <w:sz w:val="24"/>
                <w:szCs w:val="24"/>
              </w:rPr>
              <w:t>生产车间</w:t>
            </w:r>
            <w:r>
              <w:rPr>
                <w:rFonts w:hint="eastAsia"/>
                <w:color w:val="auto"/>
                <w:sz w:val="24"/>
                <w:szCs w:val="24"/>
                <w:lang w:eastAsia="zh-CN"/>
              </w:rPr>
              <w:t>，</w:t>
            </w:r>
            <w:r>
              <w:rPr>
                <w:rFonts w:hint="eastAsia"/>
                <w:color w:val="auto"/>
                <w:sz w:val="24"/>
                <w:szCs w:val="24"/>
                <w:lang w:val="en-US" w:eastAsia="zh-CN"/>
              </w:rPr>
              <w:t>厂内从西到东依次布置原料堆场、原料预处理区、造粒生产线、成品堆场、其他固废堆场、</w:t>
            </w:r>
            <w:r>
              <w:rPr>
                <w:rFonts w:hint="eastAsia"/>
                <w:bCs/>
                <w:color w:val="auto"/>
                <w:sz w:val="24"/>
                <w:szCs w:val="24"/>
                <w:lang w:val="en-US" w:eastAsia="zh-CN"/>
              </w:rPr>
              <w:t>造粒区域</w:t>
            </w:r>
            <w:r>
              <w:rPr>
                <w:rFonts w:hint="eastAsia"/>
                <w:bCs/>
                <w:color w:val="auto"/>
                <w:sz w:val="24"/>
                <w:szCs w:val="24"/>
              </w:rPr>
              <w:t>设置1座</w:t>
            </w:r>
            <w:r>
              <w:rPr>
                <w:bCs/>
                <w:color w:val="auto"/>
                <w:sz w:val="24"/>
                <w:szCs w:val="24"/>
              </w:rPr>
              <w:t>循环冷却水池。</w:t>
            </w:r>
            <w:r>
              <w:rPr>
                <w:rFonts w:hint="eastAsia"/>
                <w:bCs/>
                <w:color w:val="auto"/>
                <w:sz w:val="24"/>
                <w:szCs w:val="24"/>
                <w:lang w:val="en-US" w:eastAsia="zh-CN"/>
              </w:rPr>
              <w:t>运营期</w:t>
            </w:r>
            <w:r>
              <w:rPr>
                <w:bCs/>
                <w:color w:val="auto"/>
                <w:sz w:val="24"/>
                <w:szCs w:val="24"/>
              </w:rPr>
              <w:t>挥发性有机废气处理设施（</w:t>
            </w:r>
            <w:r>
              <w:rPr>
                <w:color w:val="auto"/>
                <w:sz w:val="24"/>
                <w:szCs w:val="24"/>
              </w:rPr>
              <w:t>“过滤棉+</w:t>
            </w:r>
            <w:r>
              <w:rPr>
                <w:rFonts w:hint="eastAsia"/>
                <w:color w:val="auto"/>
                <w:sz w:val="24"/>
                <w:szCs w:val="24"/>
                <w:lang w:eastAsia="zh-CN"/>
              </w:rPr>
              <w:t>三级活性炭</w:t>
            </w:r>
            <w:r>
              <w:rPr>
                <w:color w:val="auto"/>
                <w:sz w:val="24"/>
                <w:szCs w:val="24"/>
              </w:rPr>
              <w:t>吸附装置”</w:t>
            </w:r>
            <w:r>
              <w:rPr>
                <w:bCs/>
                <w:color w:val="auto"/>
                <w:sz w:val="24"/>
                <w:szCs w:val="24"/>
              </w:rPr>
              <w:t>+</w:t>
            </w:r>
            <w:r>
              <w:rPr>
                <w:rFonts w:hint="eastAsia"/>
                <w:bCs/>
                <w:color w:val="auto"/>
                <w:sz w:val="24"/>
                <w:szCs w:val="24"/>
                <w:lang w:val="en-US" w:eastAsia="zh-CN"/>
              </w:rPr>
              <w:t>15</w:t>
            </w:r>
            <w:r>
              <w:rPr>
                <w:bCs/>
                <w:color w:val="auto"/>
                <w:sz w:val="24"/>
                <w:szCs w:val="24"/>
              </w:rPr>
              <w:t>m高排气筒）设置于生产车间</w:t>
            </w:r>
            <w:r>
              <w:rPr>
                <w:rFonts w:hint="eastAsia"/>
                <w:bCs/>
                <w:color w:val="auto"/>
                <w:sz w:val="24"/>
                <w:szCs w:val="24"/>
                <w:lang w:val="en-US" w:eastAsia="zh-CN"/>
              </w:rPr>
              <w:t>北</w:t>
            </w:r>
            <w:r>
              <w:rPr>
                <w:bCs/>
                <w:color w:val="auto"/>
                <w:sz w:val="24"/>
                <w:szCs w:val="24"/>
              </w:rPr>
              <w:t>侧。</w:t>
            </w:r>
            <w:r>
              <w:rPr>
                <w:color w:val="auto"/>
                <w:sz w:val="24"/>
                <w:szCs w:val="24"/>
              </w:rPr>
              <w:t>生产区按照生产线工艺流程进行布置，厂区总体布置有合理的功能分区，</w:t>
            </w:r>
            <w:r>
              <w:rPr>
                <w:rFonts w:hint="eastAsia"/>
                <w:color w:val="auto"/>
                <w:sz w:val="24"/>
                <w:szCs w:val="24"/>
              </w:rPr>
              <w:t>详见</w:t>
            </w:r>
            <w:r>
              <w:rPr>
                <w:rFonts w:hint="eastAsia"/>
                <w:color w:val="auto"/>
                <w:sz w:val="24"/>
                <w:szCs w:val="24"/>
                <w:lang w:val="en-US" w:eastAsia="zh-CN"/>
              </w:rPr>
              <w:t>平面布置图</w:t>
            </w:r>
            <w:r>
              <w:rPr>
                <w:rFonts w:hint="eastAsia"/>
                <w:color w:val="auto"/>
                <w:sz w:val="24"/>
                <w:szCs w:val="24"/>
              </w:rPr>
              <w:t>所示。</w:t>
            </w:r>
          </w:p>
          <w:p>
            <w:pPr>
              <w:pStyle w:val="3"/>
              <w:adjustRightInd w:val="0"/>
              <w:snapToGrid w:val="0"/>
              <w:spacing w:before="0" w:after="0"/>
              <w:rPr>
                <w:rFonts w:ascii="Times New Roman" w:hAnsi="Times New Roman" w:eastAsia="宋体"/>
                <w:color w:val="auto"/>
                <w:sz w:val="24"/>
                <w:szCs w:val="24"/>
              </w:rPr>
            </w:pPr>
            <w:r>
              <w:rPr>
                <w:rFonts w:ascii="Times New Roman" w:hAnsi="Times New Roman" w:eastAsia="宋体"/>
                <w:color w:val="auto"/>
                <w:sz w:val="24"/>
                <w:szCs w:val="24"/>
              </w:rPr>
              <w:t>10、施工进度</w:t>
            </w:r>
          </w:p>
          <w:p>
            <w:pPr>
              <w:pStyle w:val="100"/>
              <w:adjustRightInd w:val="0"/>
              <w:snapToGrid w:val="0"/>
              <w:ind w:firstLine="420"/>
              <w:rPr>
                <w:color w:val="auto"/>
                <w:sz w:val="24"/>
                <w:szCs w:val="24"/>
              </w:rPr>
            </w:pPr>
            <w:r>
              <w:rPr>
                <w:color w:val="auto"/>
                <w:sz w:val="24"/>
                <w:szCs w:val="24"/>
              </w:rPr>
              <w:t>项目总施工期2个月，计划于202</w:t>
            </w:r>
            <w:r>
              <w:rPr>
                <w:rFonts w:hint="eastAsia"/>
                <w:color w:val="auto"/>
                <w:sz w:val="24"/>
                <w:szCs w:val="24"/>
                <w:lang w:val="en-US" w:eastAsia="zh-CN"/>
              </w:rPr>
              <w:t>6</w:t>
            </w:r>
            <w:r>
              <w:rPr>
                <w:color w:val="auto"/>
                <w:sz w:val="24"/>
                <w:szCs w:val="24"/>
              </w:rPr>
              <w:t>年</w:t>
            </w:r>
            <w:r>
              <w:rPr>
                <w:rFonts w:hint="eastAsia"/>
                <w:color w:val="auto"/>
                <w:sz w:val="24"/>
                <w:szCs w:val="24"/>
                <w:lang w:val="en-US" w:eastAsia="zh-CN"/>
              </w:rPr>
              <w:t>10</w:t>
            </w:r>
            <w:r>
              <w:rPr>
                <w:color w:val="auto"/>
                <w:sz w:val="24"/>
                <w:szCs w:val="24"/>
              </w:rPr>
              <w:t>月开工，预计于202</w:t>
            </w:r>
            <w:r>
              <w:rPr>
                <w:rFonts w:hint="eastAsia"/>
                <w:color w:val="auto"/>
                <w:sz w:val="24"/>
                <w:szCs w:val="24"/>
                <w:lang w:val="en-US" w:eastAsia="zh-CN"/>
              </w:rPr>
              <w:t>6</w:t>
            </w:r>
            <w:r>
              <w:rPr>
                <w:color w:val="auto"/>
                <w:sz w:val="24"/>
                <w:szCs w:val="24"/>
              </w:rPr>
              <w:t>年</w:t>
            </w:r>
            <w:r>
              <w:rPr>
                <w:rFonts w:hint="eastAsia"/>
                <w:color w:val="auto"/>
                <w:sz w:val="24"/>
                <w:szCs w:val="24"/>
                <w:lang w:val="en-US" w:eastAsia="zh-CN"/>
              </w:rPr>
              <w:t>12</w:t>
            </w:r>
            <w:r>
              <w:rPr>
                <w:color w:val="auto"/>
                <w:sz w:val="24"/>
                <w:szCs w:val="24"/>
              </w:rPr>
              <w:t>月</w:t>
            </w:r>
            <w:r>
              <w:rPr>
                <w:rFonts w:hint="eastAsia"/>
                <w:color w:val="auto"/>
                <w:sz w:val="24"/>
                <w:szCs w:val="24"/>
              </w:rPr>
              <w:t>底建成</w:t>
            </w:r>
            <w:r>
              <w:rPr>
                <w:color w:val="auto"/>
                <w:sz w:val="24"/>
                <w:szCs w:val="24"/>
              </w:rPr>
              <w:t>；项目未开工建设。</w:t>
            </w:r>
          </w:p>
          <w:p>
            <w:pPr>
              <w:adjustRightInd w:val="0"/>
              <w:snapToGrid w:val="0"/>
              <w:spacing w:line="360" w:lineRule="auto"/>
              <w:rPr>
                <w:b/>
                <w:color w:val="auto"/>
                <w:sz w:val="24"/>
                <w:szCs w:val="24"/>
              </w:rPr>
            </w:pPr>
            <w:r>
              <w:rPr>
                <w:rFonts w:hint="eastAsia"/>
                <w:b/>
                <w:color w:val="auto"/>
                <w:sz w:val="24"/>
                <w:szCs w:val="24"/>
              </w:rPr>
              <w:t>11</w:t>
            </w:r>
            <w:r>
              <w:rPr>
                <w:b/>
                <w:color w:val="auto"/>
                <w:sz w:val="24"/>
                <w:szCs w:val="24"/>
              </w:rPr>
              <w:t>、环保投资</w:t>
            </w:r>
          </w:p>
          <w:p>
            <w:pPr>
              <w:adjustRightInd w:val="0"/>
              <w:snapToGrid w:val="0"/>
              <w:spacing w:line="360" w:lineRule="auto"/>
              <w:ind w:firstLine="480" w:firstLineChars="200"/>
              <w:rPr>
                <w:color w:val="auto"/>
                <w:sz w:val="24"/>
                <w:szCs w:val="24"/>
              </w:rPr>
            </w:pPr>
            <w:r>
              <w:rPr>
                <w:rFonts w:hint="eastAsia"/>
                <w:color w:val="auto"/>
                <w:sz w:val="24"/>
                <w:szCs w:val="24"/>
                <w:lang w:val="en-US" w:eastAsia="zh-CN"/>
              </w:rPr>
              <w:t>本项目</w:t>
            </w:r>
            <w:r>
              <w:rPr>
                <w:color w:val="auto"/>
                <w:sz w:val="24"/>
                <w:szCs w:val="24"/>
              </w:rPr>
              <w:t>总投资</w:t>
            </w:r>
            <w:r>
              <w:rPr>
                <w:rFonts w:hint="eastAsia"/>
                <w:bCs/>
                <w:color w:val="auto"/>
                <w:sz w:val="24"/>
                <w:szCs w:val="24"/>
                <w:lang w:val="en-US" w:eastAsia="zh-CN"/>
              </w:rPr>
              <w:t>250</w:t>
            </w:r>
            <w:r>
              <w:rPr>
                <w:rFonts w:hint="eastAsia"/>
                <w:bCs/>
                <w:color w:val="auto"/>
                <w:sz w:val="24"/>
                <w:szCs w:val="24"/>
              </w:rPr>
              <w:t>0</w:t>
            </w:r>
            <w:r>
              <w:rPr>
                <w:color w:val="auto"/>
                <w:sz w:val="24"/>
                <w:szCs w:val="24"/>
              </w:rPr>
              <w:t>万元，其中环保投资</w:t>
            </w:r>
            <w:r>
              <w:rPr>
                <w:rFonts w:hint="eastAsia"/>
                <w:bCs/>
                <w:color w:val="auto"/>
                <w:sz w:val="24"/>
                <w:szCs w:val="24"/>
                <w:lang w:val="en-US" w:eastAsia="zh-CN"/>
              </w:rPr>
              <w:t>25.2</w:t>
            </w:r>
            <w:r>
              <w:rPr>
                <w:color w:val="auto"/>
                <w:sz w:val="24"/>
                <w:szCs w:val="24"/>
              </w:rPr>
              <w:t>万元，占总投资的</w:t>
            </w:r>
            <w:r>
              <w:rPr>
                <w:rFonts w:hint="eastAsia"/>
                <w:color w:val="auto"/>
                <w:sz w:val="24"/>
                <w:szCs w:val="24"/>
                <w:lang w:val="en-US" w:eastAsia="zh-CN"/>
              </w:rPr>
              <w:t>1.008</w:t>
            </w:r>
            <w:r>
              <w:rPr>
                <w:color w:val="auto"/>
                <w:sz w:val="24"/>
                <w:szCs w:val="24"/>
              </w:rPr>
              <w:t>%。环保投资情况见下表。</w:t>
            </w:r>
          </w:p>
          <w:p>
            <w:pPr>
              <w:adjustRightInd w:val="0"/>
              <w:snapToGrid w:val="0"/>
              <w:spacing w:before="120" w:beforeLines="50"/>
              <w:jc w:val="center"/>
              <w:rPr>
                <w:b/>
                <w:color w:val="auto"/>
                <w:sz w:val="24"/>
                <w:szCs w:val="24"/>
              </w:rPr>
            </w:pPr>
            <w:r>
              <w:rPr>
                <w:b/>
                <w:color w:val="auto"/>
                <w:sz w:val="24"/>
                <w:szCs w:val="24"/>
              </w:rPr>
              <w:t>表</w:t>
            </w:r>
            <w:r>
              <w:rPr>
                <w:rFonts w:hint="eastAsia"/>
                <w:b/>
                <w:color w:val="auto"/>
                <w:sz w:val="24"/>
                <w:szCs w:val="24"/>
              </w:rPr>
              <w:t>2</w:t>
            </w:r>
            <w:r>
              <w:rPr>
                <w:b/>
                <w:color w:val="auto"/>
                <w:sz w:val="24"/>
                <w:szCs w:val="24"/>
              </w:rPr>
              <w:t>-</w:t>
            </w:r>
            <w:r>
              <w:rPr>
                <w:rFonts w:hint="eastAsia"/>
                <w:b/>
                <w:color w:val="auto"/>
                <w:sz w:val="24"/>
                <w:szCs w:val="24"/>
              </w:rPr>
              <w:t>7</w:t>
            </w:r>
            <w:r>
              <w:rPr>
                <w:b/>
                <w:color w:val="auto"/>
                <w:sz w:val="24"/>
                <w:szCs w:val="24"/>
              </w:rPr>
              <w:t xml:space="preserve">  环保投资情况一览表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606"/>
              <w:gridCol w:w="1865"/>
              <w:gridCol w:w="4281"/>
              <w:gridCol w:w="11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557" w:type="pct"/>
                  <w:gridSpan w:val="2"/>
                  <w:vAlign w:val="center"/>
                </w:tcPr>
                <w:p>
                  <w:pPr>
                    <w:autoSpaceDE w:val="0"/>
                    <w:autoSpaceDN w:val="0"/>
                    <w:jc w:val="center"/>
                    <w:outlineLvl w:val="1"/>
                    <w:rPr>
                      <w:b/>
                      <w:bCs/>
                      <w:color w:val="auto"/>
                      <w:sz w:val="21"/>
                      <w:szCs w:val="21"/>
                    </w:rPr>
                  </w:pPr>
                  <w:r>
                    <w:rPr>
                      <w:b/>
                      <w:bCs/>
                      <w:color w:val="auto"/>
                      <w:sz w:val="21"/>
                      <w:szCs w:val="21"/>
                    </w:rPr>
                    <w:t>项目名称</w:t>
                  </w:r>
                </w:p>
              </w:tc>
              <w:tc>
                <w:tcPr>
                  <w:tcW w:w="2697" w:type="pct"/>
                  <w:vAlign w:val="center"/>
                </w:tcPr>
                <w:p>
                  <w:pPr>
                    <w:autoSpaceDE w:val="0"/>
                    <w:autoSpaceDN w:val="0"/>
                    <w:jc w:val="center"/>
                    <w:outlineLvl w:val="1"/>
                    <w:rPr>
                      <w:b/>
                      <w:bCs/>
                      <w:color w:val="auto"/>
                      <w:sz w:val="21"/>
                      <w:szCs w:val="21"/>
                    </w:rPr>
                  </w:pPr>
                  <w:r>
                    <w:rPr>
                      <w:b/>
                      <w:bCs/>
                      <w:color w:val="auto"/>
                      <w:sz w:val="21"/>
                      <w:szCs w:val="21"/>
                    </w:rPr>
                    <w:t>治理措施</w:t>
                  </w:r>
                </w:p>
              </w:tc>
              <w:tc>
                <w:tcPr>
                  <w:tcW w:w="745" w:type="pct"/>
                  <w:vAlign w:val="center"/>
                </w:tcPr>
                <w:p>
                  <w:pPr>
                    <w:autoSpaceDE w:val="0"/>
                    <w:autoSpaceDN w:val="0"/>
                    <w:jc w:val="center"/>
                    <w:outlineLvl w:val="1"/>
                    <w:rPr>
                      <w:b/>
                      <w:bCs/>
                      <w:color w:val="auto"/>
                      <w:sz w:val="21"/>
                      <w:szCs w:val="21"/>
                    </w:rPr>
                  </w:pPr>
                  <w:r>
                    <w:rPr>
                      <w:b/>
                      <w:bCs/>
                      <w:color w:val="auto"/>
                      <w:sz w:val="21"/>
                      <w:szCs w:val="21"/>
                    </w:rPr>
                    <w:t>投资</w:t>
                  </w:r>
                </w:p>
                <w:p>
                  <w:pPr>
                    <w:autoSpaceDE w:val="0"/>
                    <w:autoSpaceDN w:val="0"/>
                    <w:jc w:val="center"/>
                    <w:outlineLvl w:val="1"/>
                    <w:rPr>
                      <w:b/>
                      <w:bCs/>
                      <w:color w:val="auto"/>
                      <w:sz w:val="21"/>
                      <w:szCs w:val="21"/>
                    </w:rPr>
                  </w:pPr>
                  <w:r>
                    <w:rPr>
                      <w:b/>
                      <w:bCs/>
                      <w:color w:val="auto"/>
                      <w:sz w:val="21"/>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381" w:type="pct"/>
                  <w:vMerge w:val="restart"/>
                  <w:vAlign w:val="center"/>
                </w:tcPr>
                <w:p>
                  <w:pPr>
                    <w:jc w:val="center"/>
                    <w:rPr>
                      <w:color w:val="auto"/>
                      <w:sz w:val="21"/>
                      <w:szCs w:val="21"/>
                    </w:rPr>
                  </w:pPr>
                  <w:r>
                    <w:rPr>
                      <w:color w:val="auto"/>
                      <w:sz w:val="21"/>
                      <w:szCs w:val="21"/>
                    </w:rPr>
                    <w:t>废气处理</w:t>
                  </w:r>
                </w:p>
              </w:tc>
              <w:tc>
                <w:tcPr>
                  <w:tcW w:w="1175" w:type="pct"/>
                  <w:vAlign w:val="center"/>
                </w:tcPr>
                <w:p>
                  <w:pPr>
                    <w:autoSpaceDE w:val="0"/>
                    <w:autoSpaceDN w:val="0"/>
                    <w:adjustRightInd w:val="0"/>
                    <w:jc w:val="center"/>
                    <w:rPr>
                      <w:color w:val="auto"/>
                      <w:sz w:val="21"/>
                      <w:szCs w:val="21"/>
                    </w:rPr>
                  </w:pPr>
                  <w:r>
                    <w:rPr>
                      <w:rFonts w:hint="eastAsia"/>
                      <w:color w:val="auto"/>
                      <w:sz w:val="21"/>
                      <w:szCs w:val="21"/>
                    </w:rPr>
                    <w:t>熔融造粒</w:t>
                  </w:r>
                  <w:r>
                    <w:rPr>
                      <w:color w:val="auto"/>
                      <w:sz w:val="21"/>
                      <w:szCs w:val="21"/>
                    </w:rPr>
                    <w:t>废气</w:t>
                  </w:r>
                  <w:r>
                    <w:rPr>
                      <w:color w:val="auto"/>
                      <w:kern w:val="24"/>
                      <w:sz w:val="21"/>
                      <w:szCs w:val="21"/>
                    </w:rPr>
                    <w:t>处理设施</w:t>
                  </w:r>
                </w:p>
              </w:tc>
              <w:tc>
                <w:tcPr>
                  <w:tcW w:w="2697" w:type="pct"/>
                  <w:vAlign w:val="center"/>
                </w:tcPr>
                <w:p>
                  <w:pPr>
                    <w:autoSpaceDE w:val="0"/>
                    <w:autoSpaceDN w:val="0"/>
                    <w:adjustRightInd w:val="0"/>
                    <w:jc w:val="center"/>
                    <w:rPr>
                      <w:color w:val="auto"/>
                      <w:sz w:val="21"/>
                      <w:szCs w:val="21"/>
                    </w:rPr>
                  </w:pPr>
                  <w:r>
                    <w:rPr>
                      <w:color w:val="auto"/>
                      <w:kern w:val="0"/>
                      <w:sz w:val="21"/>
                      <w:szCs w:val="21"/>
                    </w:rPr>
                    <w:t>集气罩（</w:t>
                  </w:r>
                  <w:r>
                    <w:rPr>
                      <w:rFonts w:hint="eastAsia"/>
                      <w:color w:val="auto"/>
                      <w:kern w:val="0"/>
                      <w:sz w:val="21"/>
                      <w:szCs w:val="21"/>
                    </w:rPr>
                    <w:t>1</w:t>
                  </w:r>
                  <w:r>
                    <w:rPr>
                      <w:color w:val="auto"/>
                      <w:kern w:val="0"/>
                      <w:sz w:val="21"/>
                      <w:szCs w:val="21"/>
                    </w:rPr>
                    <w:t>个）+1套</w:t>
                  </w:r>
                  <w:r>
                    <w:rPr>
                      <w:rFonts w:ascii="宋体" w:hAnsi="宋体"/>
                      <w:color w:val="auto"/>
                      <w:kern w:val="0"/>
                      <w:sz w:val="21"/>
                      <w:szCs w:val="21"/>
                    </w:rPr>
                    <w:t>“</w:t>
                  </w:r>
                  <w:r>
                    <w:rPr>
                      <w:rFonts w:hint="eastAsia" w:ascii="宋体" w:hAnsi="宋体"/>
                      <w:color w:val="auto"/>
                      <w:kern w:val="0"/>
                      <w:sz w:val="21"/>
                      <w:szCs w:val="21"/>
                    </w:rPr>
                    <w:t>过滤棉+</w:t>
                  </w:r>
                  <w:r>
                    <w:rPr>
                      <w:rFonts w:hint="eastAsia"/>
                      <w:color w:val="auto"/>
                      <w:kern w:val="0"/>
                      <w:sz w:val="21"/>
                      <w:szCs w:val="21"/>
                      <w:lang w:eastAsia="zh-CN"/>
                    </w:rPr>
                    <w:t>三级活性炭</w:t>
                  </w:r>
                  <w:r>
                    <w:rPr>
                      <w:color w:val="auto"/>
                      <w:sz w:val="21"/>
                      <w:szCs w:val="21"/>
                    </w:rPr>
                    <w:t>吸附装置</w:t>
                  </w:r>
                  <w:r>
                    <w:rPr>
                      <w:rFonts w:ascii="宋体" w:hAnsi="宋体"/>
                      <w:color w:val="auto"/>
                      <w:sz w:val="21"/>
                      <w:szCs w:val="21"/>
                    </w:rPr>
                    <w:t>”</w:t>
                  </w:r>
                  <w:r>
                    <w:rPr>
                      <w:color w:val="auto"/>
                      <w:kern w:val="0"/>
                      <w:sz w:val="21"/>
                      <w:szCs w:val="21"/>
                    </w:rPr>
                    <w:t>+</w:t>
                  </w:r>
                  <w:r>
                    <w:rPr>
                      <w:color w:val="auto"/>
                      <w:sz w:val="21"/>
                      <w:szCs w:val="21"/>
                    </w:rPr>
                    <w:t>1根</w:t>
                  </w:r>
                  <w:r>
                    <w:rPr>
                      <w:rFonts w:hint="eastAsia"/>
                      <w:color w:val="auto"/>
                      <w:sz w:val="21"/>
                      <w:szCs w:val="21"/>
                      <w:lang w:eastAsia="zh-CN"/>
                    </w:rPr>
                    <w:t>15m高</w:t>
                  </w:r>
                  <w:r>
                    <w:rPr>
                      <w:color w:val="auto"/>
                      <w:sz w:val="21"/>
                      <w:szCs w:val="21"/>
                    </w:rPr>
                    <w:t>的排气筒。</w:t>
                  </w:r>
                </w:p>
              </w:tc>
              <w:tc>
                <w:tcPr>
                  <w:tcW w:w="745" w:type="pct"/>
                  <w:vAlign w:val="center"/>
                </w:tcPr>
                <w:p>
                  <w:pPr>
                    <w:autoSpaceDE w:val="0"/>
                    <w:autoSpaceDN w:val="0"/>
                    <w:jc w:val="center"/>
                    <w:outlineLvl w:val="1"/>
                    <w:rPr>
                      <w:rFonts w:hint="default" w:eastAsia="宋体"/>
                      <w:color w:val="auto"/>
                      <w:sz w:val="21"/>
                      <w:szCs w:val="21"/>
                      <w:lang w:val="en-US" w:eastAsia="zh-CN"/>
                    </w:rPr>
                  </w:pPr>
                  <w:r>
                    <w:rPr>
                      <w:rFonts w:hint="eastAsia"/>
                      <w:color w:val="auto"/>
                      <w:sz w:val="21"/>
                      <w:szCs w:val="21"/>
                      <w:lang w:val="en-US" w:eastAsia="zh-CN"/>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381" w:type="pct"/>
                  <w:vMerge w:val="continue"/>
                  <w:vAlign w:val="center"/>
                </w:tcPr>
                <w:p>
                  <w:pPr>
                    <w:jc w:val="center"/>
                    <w:rPr>
                      <w:color w:val="auto"/>
                      <w:sz w:val="21"/>
                      <w:szCs w:val="21"/>
                    </w:rPr>
                  </w:pPr>
                </w:p>
              </w:tc>
              <w:tc>
                <w:tcPr>
                  <w:tcW w:w="1175" w:type="pct"/>
                  <w:vAlign w:val="center"/>
                </w:tcPr>
                <w:p>
                  <w:pPr>
                    <w:autoSpaceDE w:val="0"/>
                    <w:autoSpaceDN w:val="0"/>
                    <w:adjustRightInd w:val="0"/>
                    <w:jc w:val="center"/>
                    <w:rPr>
                      <w:color w:val="auto"/>
                      <w:sz w:val="21"/>
                      <w:szCs w:val="21"/>
                    </w:rPr>
                  </w:pPr>
                  <w:r>
                    <w:rPr>
                      <w:rFonts w:hint="eastAsia"/>
                      <w:color w:val="auto"/>
                      <w:sz w:val="21"/>
                      <w:szCs w:val="21"/>
                    </w:rPr>
                    <w:t>除臭</w:t>
                  </w:r>
                </w:p>
              </w:tc>
              <w:tc>
                <w:tcPr>
                  <w:tcW w:w="2697" w:type="pct"/>
                  <w:vAlign w:val="center"/>
                </w:tcPr>
                <w:p>
                  <w:pPr>
                    <w:autoSpaceDE w:val="0"/>
                    <w:autoSpaceDN w:val="0"/>
                    <w:adjustRightInd w:val="0"/>
                    <w:jc w:val="center"/>
                    <w:rPr>
                      <w:color w:val="auto"/>
                      <w:kern w:val="0"/>
                      <w:sz w:val="21"/>
                      <w:szCs w:val="21"/>
                    </w:rPr>
                  </w:pPr>
                  <w:r>
                    <w:rPr>
                      <w:rFonts w:hint="eastAsia"/>
                      <w:bCs/>
                      <w:color w:val="auto"/>
                      <w:sz w:val="21"/>
                      <w:szCs w:val="21"/>
                    </w:rPr>
                    <w:t>原料堆放区喷洒除臭剂</w:t>
                  </w:r>
                </w:p>
              </w:tc>
              <w:tc>
                <w:tcPr>
                  <w:tcW w:w="745" w:type="pct"/>
                  <w:vAlign w:val="center"/>
                </w:tcPr>
                <w:p>
                  <w:pPr>
                    <w:autoSpaceDE w:val="0"/>
                    <w:autoSpaceDN w:val="0"/>
                    <w:jc w:val="center"/>
                    <w:outlineLvl w:val="1"/>
                    <w:rPr>
                      <w:rFonts w:hint="eastAsia" w:eastAsia="宋体"/>
                      <w:color w:val="auto"/>
                      <w:sz w:val="21"/>
                      <w:szCs w:val="21"/>
                      <w:lang w:eastAsia="zh-CN"/>
                    </w:rPr>
                  </w:pPr>
                  <w:r>
                    <w:rPr>
                      <w:rFonts w:hint="eastAsia"/>
                      <w:color w:val="auto"/>
                      <w:sz w:val="21"/>
                      <w:szCs w:val="21"/>
                    </w:rPr>
                    <w:t>0.</w:t>
                  </w:r>
                  <w:r>
                    <w:rPr>
                      <w:rFonts w:hint="eastAsia"/>
                      <w:color w:val="auto"/>
                      <w:sz w:val="21"/>
                      <w:szCs w:val="21"/>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381" w:type="pct"/>
                  <w:vAlign w:val="center"/>
                </w:tcPr>
                <w:p>
                  <w:pPr>
                    <w:jc w:val="center"/>
                    <w:rPr>
                      <w:color w:val="auto"/>
                      <w:sz w:val="21"/>
                      <w:szCs w:val="21"/>
                    </w:rPr>
                  </w:pPr>
                  <w:r>
                    <w:rPr>
                      <w:color w:val="auto"/>
                      <w:sz w:val="21"/>
                      <w:szCs w:val="21"/>
                    </w:rPr>
                    <w:t>废水处理</w:t>
                  </w:r>
                </w:p>
              </w:tc>
              <w:tc>
                <w:tcPr>
                  <w:tcW w:w="1175" w:type="pct"/>
                  <w:shd w:val="clear" w:color="auto" w:fill="auto"/>
                  <w:vAlign w:val="center"/>
                </w:tcPr>
                <w:p>
                  <w:pPr>
                    <w:autoSpaceDE w:val="0"/>
                    <w:autoSpaceDN w:val="0"/>
                    <w:adjustRightInd w:val="0"/>
                    <w:jc w:val="center"/>
                    <w:rPr>
                      <w:rFonts w:ascii="Times New Roman" w:hAnsi="Times New Roman" w:eastAsia="宋体" w:cs="Times New Roman"/>
                      <w:color w:val="auto"/>
                      <w:kern w:val="24"/>
                      <w:sz w:val="21"/>
                      <w:szCs w:val="21"/>
                      <w:lang w:val="en-US" w:eastAsia="zh-CN" w:bidi="ar-SA"/>
                    </w:rPr>
                  </w:pPr>
                  <w:r>
                    <w:rPr>
                      <w:rFonts w:hint="eastAsia"/>
                      <w:bCs/>
                      <w:color w:val="auto"/>
                      <w:sz w:val="21"/>
                      <w:szCs w:val="21"/>
                    </w:rPr>
                    <w:t>冷却</w:t>
                  </w:r>
                  <w:r>
                    <w:rPr>
                      <w:rFonts w:hint="eastAsia"/>
                      <w:color w:val="auto"/>
                      <w:kern w:val="24"/>
                      <w:sz w:val="21"/>
                      <w:szCs w:val="21"/>
                    </w:rPr>
                    <w:t>水池</w:t>
                  </w:r>
                </w:p>
              </w:tc>
              <w:tc>
                <w:tcPr>
                  <w:tcW w:w="2697" w:type="pct"/>
                  <w:shd w:val="clear" w:color="auto" w:fill="auto"/>
                  <w:vAlign w:val="center"/>
                </w:tcPr>
                <w:p>
                  <w:pPr>
                    <w:autoSpaceDE w:val="0"/>
                    <w:autoSpaceDN w:val="0"/>
                    <w:adjustRightInd w:val="0"/>
                    <w:jc w:val="center"/>
                    <w:rPr>
                      <w:rFonts w:ascii="Times New Roman" w:hAnsi="Times New Roman" w:eastAsia="宋体" w:cs="Times New Roman"/>
                      <w:color w:val="auto"/>
                      <w:kern w:val="2"/>
                      <w:sz w:val="21"/>
                      <w:szCs w:val="21"/>
                      <w:lang w:val="en-US" w:eastAsia="zh-CN" w:bidi="ar-SA"/>
                    </w:rPr>
                  </w:pPr>
                  <w:r>
                    <w:rPr>
                      <w:color w:val="auto"/>
                      <w:sz w:val="21"/>
                      <w:szCs w:val="21"/>
                    </w:rPr>
                    <w:t>1个，容积为</w:t>
                  </w:r>
                  <w:r>
                    <w:rPr>
                      <w:rFonts w:hint="eastAsia"/>
                      <w:color w:val="auto"/>
                      <w:sz w:val="21"/>
                      <w:szCs w:val="21"/>
                      <w:lang w:val="en-US" w:eastAsia="zh-CN"/>
                    </w:rPr>
                    <w:t>4</w:t>
                  </w:r>
                  <w:r>
                    <w:rPr>
                      <w:color w:val="auto"/>
                      <w:sz w:val="21"/>
                      <w:szCs w:val="21"/>
                    </w:rPr>
                    <w:t>m</w:t>
                  </w:r>
                  <w:r>
                    <w:rPr>
                      <w:color w:val="auto"/>
                      <w:sz w:val="21"/>
                      <w:szCs w:val="21"/>
                      <w:vertAlign w:val="superscript"/>
                    </w:rPr>
                    <w:t>3</w:t>
                  </w:r>
                  <w:r>
                    <w:rPr>
                      <w:bCs/>
                      <w:color w:val="auto"/>
                      <w:sz w:val="21"/>
                      <w:szCs w:val="21"/>
                    </w:rPr>
                    <w:t>，</w:t>
                  </w:r>
                  <w:r>
                    <w:rPr>
                      <w:rFonts w:hint="eastAsia"/>
                      <w:bCs/>
                      <w:color w:val="auto"/>
                      <w:sz w:val="21"/>
                      <w:szCs w:val="21"/>
                    </w:rPr>
                    <w:t>用于热熔造粒冷却水收集及循环使用</w:t>
                  </w:r>
                  <w:r>
                    <w:rPr>
                      <w:color w:val="auto"/>
                      <w:sz w:val="21"/>
                      <w:szCs w:val="21"/>
                    </w:rPr>
                    <w:t>。</w:t>
                  </w:r>
                </w:p>
              </w:tc>
              <w:tc>
                <w:tcPr>
                  <w:tcW w:w="745" w:type="pct"/>
                  <w:shd w:val="clear" w:color="auto" w:fill="auto"/>
                  <w:vAlign w:val="center"/>
                </w:tcPr>
                <w:p>
                  <w:pPr>
                    <w:autoSpaceDE w:val="0"/>
                    <w:autoSpaceDN w:val="0"/>
                    <w:jc w:val="center"/>
                    <w:outlineLvl w:val="1"/>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381" w:type="pct"/>
                  <w:vMerge w:val="restart"/>
                  <w:vAlign w:val="center"/>
                </w:tcPr>
                <w:p>
                  <w:pPr>
                    <w:jc w:val="center"/>
                    <w:rPr>
                      <w:color w:val="auto"/>
                      <w:sz w:val="21"/>
                      <w:szCs w:val="21"/>
                    </w:rPr>
                  </w:pPr>
                  <w:r>
                    <w:rPr>
                      <w:color w:val="auto"/>
                      <w:sz w:val="21"/>
                      <w:szCs w:val="21"/>
                    </w:rPr>
                    <w:t>固废处理</w:t>
                  </w:r>
                </w:p>
              </w:tc>
              <w:tc>
                <w:tcPr>
                  <w:tcW w:w="1175" w:type="pct"/>
                  <w:vAlign w:val="center"/>
                </w:tcPr>
                <w:p>
                  <w:pPr>
                    <w:autoSpaceDE w:val="0"/>
                    <w:autoSpaceDN w:val="0"/>
                    <w:adjustRightInd w:val="0"/>
                    <w:jc w:val="center"/>
                    <w:rPr>
                      <w:color w:val="auto"/>
                      <w:sz w:val="21"/>
                      <w:szCs w:val="21"/>
                    </w:rPr>
                  </w:pPr>
                  <w:r>
                    <w:rPr>
                      <w:color w:val="auto"/>
                      <w:sz w:val="21"/>
                      <w:szCs w:val="21"/>
                    </w:rPr>
                    <w:t>垃圾桶</w:t>
                  </w:r>
                </w:p>
              </w:tc>
              <w:tc>
                <w:tcPr>
                  <w:tcW w:w="2697" w:type="pct"/>
                  <w:vAlign w:val="center"/>
                </w:tcPr>
                <w:p>
                  <w:pPr>
                    <w:autoSpaceDE w:val="0"/>
                    <w:autoSpaceDN w:val="0"/>
                    <w:jc w:val="center"/>
                    <w:outlineLvl w:val="1"/>
                    <w:rPr>
                      <w:color w:val="auto"/>
                      <w:sz w:val="21"/>
                      <w:szCs w:val="21"/>
                    </w:rPr>
                  </w:pPr>
                  <w:r>
                    <w:rPr>
                      <w:rFonts w:hint="eastAsia"/>
                      <w:snapToGrid w:val="0"/>
                      <w:color w:val="auto"/>
                      <w:kern w:val="0"/>
                      <w:sz w:val="21"/>
                      <w:szCs w:val="21"/>
                    </w:rPr>
                    <w:t>厂区内设置</w:t>
                  </w:r>
                  <w:r>
                    <w:rPr>
                      <w:snapToGrid w:val="0"/>
                      <w:color w:val="auto"/>
                      <w:kern w:val="0"/>
                      <w:sz w:val="21"/>
                      <w:szCs w:val="21"/>
                    </w:rPr>
                    <w:t>垃圾收集桶</w:t>
                  </w:r>
                  <w:r>
                    <w:rPr>
                      <w:rFonts w:hint="eastAsia"/>
                      <w:snapToGrid w:val="0"/>
                      <w:color w:val="auto"/>
                      <w:kern w:val="0"/>
                      <w:sz w:val="21"/>
                      <w:szCs w:val="21"/>
                    </w:rPr>
                    <w:t>。</w:t>
                  </w:r>
                </w:p>
              </w:tc>
              <w:tc>
                <w:tcPr>
                  <w:tcW w:w="745" w:type="pct"/>
                  <w:vAlign w:val="center"/>
                </w:tcPr>
                <w:p>
                  <w:pPr>
                    <w:autoSpaceDE w:val="0"/>
                    <w:autoSpaceDN w:val="0"/>
                    <w:jc w:val="center"/>
                    <w:outlineLvl w:val="1"/>
                    <w:rPr>
                      <w:rFonts w:hint="eastAsia" w:eastAsia="宋体"/>
                      <w:color w:val="auto"/>
                      <w:sz w:val="21"/>
                      <w:szCs w:val="21"/>
                      <w:lang w:eastAsia="zh-CN"/>
                    </w:rPr>
                  </w:pPr>
                  <w:r>
                    <w:rPr>
                      <w:color w:val="auto"/>
                      <w:sz w:val="21"/>
                      <w:szCs w:val="21"/>
                    </w:rPr>
                    <w:t>0.</w:t>
                  </w:r>
                  <w:r>
                    <w:rPr>
                      <w:rFonts w:hint="eastAsia"/>
                      <w:color w:val="auto"/>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381" w:type="pct"/>
                  <w:vMerge w:val="continue"/>
                  <w:vAlign w:val="center"/>
                </w:tcPr>
                <w:p>
                  <w:pPr>
                    <w:jc w:val="center"/>
                    <w:rPr>
                      <w:color w:val="auto"/>
                      <w:sz w:val="21"/>
                      <w:szCs w:val="21"/>
                    </w:rPr>
                  </w:pPr>
                </w:p>
              </w:tc>
              <w:tc>
                <w:tcPr>
                  <w:tcW w:w="1175" w:type="pct"/>
                  <w:vAlign w:val="center"/>
                </w:tcPr>
                <w:p>
                  <w:pPr>
                    <w:autoSpaceDE w:val="0"/>
                    <w:autoSpaceDN w:val="0"/>
                    <w:adjustRightInd w:val="0"/>
                    <w:jc w:val="center"/>
                    <w:rPr>
                      <w:color w:val="auto"/>
                      <w:sz w:val="21"/>
                      <w:szCs w:val="21"/>
                    </w:rPr>
                  </w:pPr>
                  <w:r>
                    <w:rPr>
                      <w:color w:val="auto"/>
                      <w:sz w:val="21"/>
                      <w:szCs w:val="21"/>
                    </w:rPr>
                    <w:t>一般固废暂存区</w:t>
                  </w:r>
                </w:p>
              </w:tc>
              <w:tc>
                <w:tcPr>
                  <w:tcW w:w="2697" w:type="pct"/>
                  <w:vAlign w:val="center"/>
                </w:tcPr>
                <w:p>
                  <w:pPr>
                    <w:autoSpaceDE w:val="0"/>
                    <w:autoSpaceDN w:val="0"/>
                    <w:jc w:val="center"/>
                    <w:outlineLvl w:val="1"/>
                    <w:rPr>
                      <w:color w:val="auto"/>
                      <w:sz w:val="21"/>
                      <w:szCs w:val="21"/>
                    </w:rPr>
                  </w:pPr>
                  <w:r>
                    <w:rPr>
                      <w:color w:val="auto"/>
                      <w:sz w:val="21"/>
                      <w:szCs w:val="21"/>
                    </w:rPr>
                    <w:t>1间，</w:t>
                  </w:r>
                  <w:r>
                    <w:rPr>
                      <w:color w:val="auto"/>
                      <w:kern w:val="0"/>
                      <w:sz w:val="21"/>
                      <w:szCs w:val="21"/>
                    </w:rPr>
                    <w:t>占地面积为</w:t>
                  </w:r>
                  <w:r>
                    <w:rPr>
                      <w:rFonts w:hint="eastAsia"/>
                      <w:color w:val="auto"/>
                      <w:kern w:val="1"/>
                      <w:sz w:val="21"/>
                      <w:szCs w:val="21"/>
                    </w:rPr>
                    <w:t>100</w:t>
                  </w:r>
                  <w:r>
                    <w:rPr>
                      <w:color w:val="auto"/>
                      <w:sz w:val="21"/>
                      <w:szCs w:val="21"/>
                    </w:rPr>
                    <w:t>m</w:t>
                  </w:r>
                  <w:r>
                    <w:rPr>
                      <w:color w:val="auto"/>
                      <w:sz w:val="21"/>
                      <w:szCs w:val="21"/>
                      <w:vertAlign w:val="superscript"/>
                    </w:rPr>
                    <w:t>2</w:t>
                  </w:r>
                  <w:r>
                    <w:rPr>
                      <w:color w:val="auto"/>
                      <w:sz w:val="21"/>
                      <w:szCs w:val="21"/>
                    </w:rPr>
                    <w:t>。</w:t>
                  </w:r>
                  <w:r>
                    <w:rPr>
                      <w:rFonts w:hint="eastAsia"/>
                      <w:color w:val="auto"/>
                      <w:sz w:val="21"/>
                      <w:szCs w:val="21"/>
                      <w:lang w:val="en-US" w:eastAsia="zh-CN"/>
                    </w:rPr>
                    <w:t>用于暂存</w:t>
                  </w:r>
                  <w:r>
                    <w:rPr>
                      <w:bCs/>
                      <w:color w:val="auto"/>
                      <w:sz w:val="21"/>
                      <w:szCs w:val="21"/>
                    </w:rPr>
                    <w:t>一般工业固废</w:t>
                  </w:r>
                  <w:r>
                    <w:rPr>
                      <w:color w:val="auto"/>
                      <w:sz w:val="21"/>
                      <w:szCs w:val="21"/>
                    </w:rPr>
                    <w:t>。</w:t>
                  </w:r>
                </w:p>
              </w:tc>
              <w:tc>
                <w:tcPr>
                  <w:tcW w:w="745" w:type="pct"/>
                  <w:vAlign w:val="center"/>
                </w:tcPr>
                <w:p>
                  <w:pPr>
                    <w:autoSpaceDE w:val="0"/>
                    <w:autoSpaceDN w:val="0"/>
                    <w:jc w:val="center"/>
                    <w:outlineLvl w:val="1"/>
                    <w:rPr>
                      <w:rFonts w:hint="default" w:eastAsia="宋体"/>
                      <w:color w:val="auto"/>
                      <w:sz w:val="21"/>
                      <w:szCs w:val="21"/>
                      <w:lang w:val="en-US" w:eastAsia="zh-CN"/>
                    </w:rPr>
                  </w:pPr>
                  <w:r>
                    <w:rPr>
                      <w:rFonts w:hint="eastAsia"/>
                      <w:color w:val="auto"/>
                      <w:sz w:val="21"/>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381" w:type="pct"/>
                  <w:vMerge w:val="continue"/>
                  <w:vAlign w:val="center"/>
                </w:tcPr>
                <w:p>
                  <w:pPr>
                    <w:jc w:val="center"/>
                    <w:rPr>
                      <w:color w:val="auto"/>
                      <w:sz w:val="21"/>
                      <w:szCs w:val="21"/>
                    </w:rPr>
                  </w:pPr>
                </w:p>
              </w:tc>
              <w:tc>
                <w:tcPr>
                  <w:tcW w:w="1175" w:type="pct"/>
                  <w:vAlign w:val="center"/>
                </w:tcPr>
                <w:p>
                  <w:pPr>
                    <w:autoSpaceDE w:val="0"/>
                    <w:autoSpaceDN w:val="0"/>
                    <w:adjustRightInd w:val="0"/>
                    <w:jc w:val="center"/>
                    <w:rPr>
                      <w:color w:val="auto"/>
                      <w:sz w:val="21"/>
                      <w:szCs w:val="21"/>
                    </w:rPr>
                  </w:pPr>
                  <w:r>
                    <w:rPr>
                      <w:color w:val="auto"/>
                      <w:sz w:val="21"/>
                      <w:szCs w:val="21"/>
                    </w:rPr>
                    <w:t>危废暂存间</w:t>
                  </w:r>
                </w:p>
              </w:tc>
              <w:tc>
                <w:tcPr>
                  <w:tcW w:w="2697" w:type="pct"/>
                  <w:vAlign w:val="center"/>
                </w:tcPr>
                <w:p>
                  <w:pPr>
                    <w:autoSpaceDE w:val="0"/>
                    <w:autoSpaceDN w:val="0"/>
                    <w:jc w:val="center"/>
                    <w:outlineLvl w:val="1"/>
                    <w:rPr>
                      <w:color w:val="auto"/>
                      <w:sz w:val="21"/>
                      <w:szCs w:val="21"/>
                    </w:rPr>
                  </w:pPr>
                  <w:r>
                    <w:rPr>
                      <w:color w:val="auto"/>
                      <w:sz w:val="21"/>
                      <w:szCs w:val="21"/>
                    </w:rPr>
                    <w:t>1间，建筑面积</w:t>
                  </w:r>
                  <w:r>
                    <w:rPr>
                      <w:rFonts w:hint="eastAsia"/>
                      <w:color w:val="auto"/>
                      <w:sz w:val="21"/>
                      <w:szCs w:val="21"/>
                    </w:rPr>
                    <w:t>为</w:t>
                  </w:r>
                  <w:r>
                    <w:rPr>
                      <w:color w:val="auto"/>
                      <w:sz w:val="21"/>
                      <w:szCs w:val="21"/>
                    </w:rPr>
                    <w:t>5m</w:t>
                  </w:r>
                  <w:r>
                    <w:rPr>
                      <w:color w:val="auto"/>
                      <w:sz w:val="21"/>
                      <w:szCs w:val="21"/>
                      <w:vertAlign w:val="superscript"/>
                    </w:rPr>
                    <w:t>2</w:t>
                  </w:r>
                  <w:r>
                    <w:rPr>
                      <w:color w:val="auto"/>
                      <w:sz w:val="21"/>
                      <w:szCs w:val="21"/>
                    </w:rPr>
                    <w:t>。按照《危险废物贮存污染物控制标准》（GB18597-2023）要求建设。</w:t>
                  </w:r>
                </w:p>
              </w:tc>
              <w:tc>
                <w:tcPr>
                  <w:tcW w:w="745" w:type="pct"/>
                  <w:vAlign w:val="center"/>
                </w:tcPr>
                <w:p>
                  <w:pPr>
                    <w:autoSpaceDE w:val="0"/>
                    <w:autoSpaceDN w:val="0"/>
                    <w:jc w:val="center"/>
                    <w:outlineLvl w:val="1"/>
                    <w:rPr>
                      <w:rFonts w:hint="eastAsia" w:eastAsia="宋体"/>
                      <w:color w:val="auto"/>
                      <w:sz w:val="21"/>
                      <w:szCs w:val="21"/>
                      <w:lang w:eastAsia="zh-CN"/>
                    </w:rPr>
                  </w:pPr>
                  <w:r>
                    <w:rPr>
                      <w:rFonts w:hint="eastAsia"/>
                      <w:color w:val="auto"/>
                      <w:sz w:val="21"/>
                      <w:szCs w:val="21"/>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381" w:type="pct"/>
                  <w:vAlign w:val="center"/>
                </w:tcPr>
                <w:p>
                  <w:pPr>
                    <w:jc w:val="center"/>
                    <w:rPr>
                      <w:color w:val="auto"/>
                      <w:sz w:val="21"/>
                      <w:szCs w:val="21"/>
                    </w:rPr>
                  </w:pPr>
                  <w:r>
                    <w:rPr>
                      <w:color w:val="auto"/>
                      <w:sz w:val="21"/>
                      <w:szCs w:val="21"/>
                    </w:rPr>
                    <w:t>噪声处理</w:t>
                  </w:r>
                </w:p>
              </w:tc>
              <w:tc>
                <w:tcPr>
                  <w:tcW w:w="3872" w:type="pct"/>
                  <w:gridSpan w:val="2"/>
                  <w:vAlign w:val="center"/>
                </w:tcPr>
                <w:p>
                  <w:pPr>
                    <w:autoSpaceDE w:val="0"/>
                    <w:autoSpaceDN w:val="0"/>
                    <w:jc w:val="center"/>
                    <w:outlineLvl w:val="1"/>
                    <w:rPr>
                      <w:color w:val="auto"/>
                      <w:sz w:val="21"/>
                      <w:szCs w:val="21"/>
                    </w:rPr>
                  </w:pPr>
                  <w:r>
                    <w:rPr>
                      <w:color w:val="auto"/>
                      <w:kern w:val="0"/>
                      <w:sz w:val="21"/>
                      <w:szCs w:val="21"/>
                    </w:rPr>
                    <w:t>设备基础减振等</w:t>
                  </w:r>
                </w:p>
              </w:tc>
              <w:tc>
                <w:tcPr>
                  <w:tcW w:w="745" w:type="pct"/>
                  <w:vAlign w:val="center"/>
                </w:tcPr>
                <w:p>
                  <w:pPr>
                    <w:autoSpaceDE w:val="0"/>
                    <w:autoSpaceDN w:val="0"/>
                    <w:jc w:val="center"/>
                    <w:outlineLvl w:val="1"/>
                    <w:rPr>
                      <w:color w:val="auto"/>
                      <w:sz w:val="21"/>
                      <w:szCs w:val="21"/>
                    </w:rPr>
                  </w:pPr>
                  <w:r>
                    <w:rPr>
                      <w:rFonts w:hint="eastAsia"/>
                      <w:color w:val="auto"/>
                      <w:sz w:val="21"/>
                      <w:szCs w:val="21"/>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4254" w:type="pct"/>
                  <w:gridSpan w:val="3"/>
                  <w:vAlign w:val="center"/>
                </w:tcPr>
                <w:p>
                  <w:pPr>
                    <w:autoSpaceDE w:val="0"/>
                    <w:autoSpaceDN w:val="0"/>
                    <w:jc w:val="center"/>
                    <w:outlineLvl w:val="1"/>
                    <w:rPr>
                      <w:b/>
                      <w:color w:val="auto"/>
                      <w:kern w:val="0"/>
                      <w:sz w:val="21"/>
                      <w:szCs w:val="21"/>
                    </w:rPr>
                  </w:pPr>
                  <w:r>
                    <w:rPr>
                      <w:b/>
                      <w:color w:val="auto"/>
                      <w:kern w:val="0"/>
                      <w:sz w:val="21"/>
                      <w:szCs w:val="21"/>
                    </w:rPr>
                    <w:t>合计</w:t>
                  </w:r>
                </w:p>
              </w:tc>
              <w:tc>
                <w:tcPr>
                  <w:tcW w:w="745" w:type="pct"/>
                  <w:vAlign w:val="center"/>
                </w:tcPr>
                <w:p>
                  <w:pPr>
                    <w:autoSpaceDE w:val="0"/>
                    <w:autoSpaceDN w:val="0"/>
                    <w:jc w:val="center"/>
                    <w:outlineLvl w:val="1"/>
                    <w:rPr>
                      <w:rFonts w:hint="default" w:eastAsia="宋体"/>
                      <w:b/>
                      <w:color w:val="auto"/>
                      <w:sz w:val="21"/>
                      <w:szCs w:val="21"/>
                      <w:lang w:val="en-US" w:eastAsia="zh-CN"/>
                    </w:rPr>
                  </w:pPr>
                  <w:r>
                    <w:rPr>
                      <w:rFonts w:hint="eastAsia"/>
                      <w:b/>
                      <w:color w:val="auto"/>
                      <w:sz w:val="21"/>
                      <w:szCs w:val="21"/>
                      <w:lang w:val="en-US" w:eastAsia="zh-CN"/>
                    </w:rPr>
                    <w:t>25.2</w:t>
                  </w:r>
                </w:p>
              </w:tc>
            </w:tr>
          </w:tbl>
          <w:p>
            <w:pPr>
              <w:adjustRightInd w:val="0"/>
              <w:snapToGrid w:val="0"/>
              <w:spacing w:line="360" w:lineRule="auto"/>
              <w:rPr>
                <w:bCs/>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23" w:type="dxa"/>
            <w:vAlign w:val="center"/>
          </w:tcPr>
          <w:p>
            <w:pPr>
              <w:pStyle w:val="20"/>
              <w:adjustRightInd w:val="0"/>
              <w:snapToGrid w:val="0"/>
              <w:spacing w:before="0" w:beforeAutospacing="0" w:after="0" w:afterAutospacing="0"/>
              <w:jc w:val="center"/>
              <w:rPr>
                <w:rFonts w:ascii="Times New Roman" w:hAnsi="Times New Roman"/>
                <w:color w:val="auto"/>
                <w:sz w:val="24"/>
                <w:szCs w:val="24"/>
              </w:rPr>
            </w:pPr>
            <w:r>
              <w:rPr>
                <w:rFonts w:ascii="Times New Roman" w:hAnsi="Times New Roman"/>
                <w:color w:val="auto"/>
                <w:sz w:val="24"/>
                <w:szCs w:val="24"/>
              </w:rPr>
              <w:t>工艺流程和产排污环节</w:t>
            </w:r>
          </w:p>
        </w:tc>
        <w:tc>
          <w:tcPr>
            <w:tcW w:w="8161" w:type="dxa"/>
          </w:tcPr>
          <w:p>
            <w:pPr>
              <w:adjustRightInd w:val="0"/>
              <w:snapToGrid w:val="0"/>
              <w:spacing w:line="360" w:lineRule="auto"/>
              <w:ind w:firstLine="482" w:firstLineChars="200"/>
              <w:rPr>
                <w:b/>
                <w:bCs/>
                <w:color w:val="auto"/>
                <w:kern w:val="0"/>
                <w:sz w:val="24"/>
                <w:szCs w:val="24"/>
                <w:lang w:val="zh-CN"/>
              </w:rPr>
            </w:pPr>
            <w:r>
              <w:rPr>
                <w:b/>
                <w:bCs/>
                <w:color w:val="auto"/>
                <w:kern w:val="0"/>
                <w:sz w:val="24"/>
                <w:szCs w:val="24"/>
                <w:lang w:val="zh-CN"/>
              </w:rPr>
              <w:t>一、施工期</w:t>
            </w:r>
          </w:p>
          <w:p>
            <w:pPr>
              <w:adjustRightInd w:val="0"/>
              <w:snapToGrid w:val="0"/>
              <w:spacing w:line="360" w:lineRule="auto"/>
              <w:ind w:firstLine="480" w:firstLineChars="200"/>
              <w:rPr>
                <w:color w:val="auto"/>
                <w:sz w:val="24"/>
                <w:szCs w:val="24"/>
              </w:rPr>
            </w:pPr>
            <w:r>
              <w:rPr>
                <w:color w:val="auto"/>
                <w:sz w:val="24"/>
                <w:szCs w:val="24"/>
              </w:rPr>
              <w:t>项目租用</w:t>
            </w:r>
            <w:r>
              <w:rPr>
                <w:rFonts w:hint="eastAsia"/>
                <w:color w:val="auto"/>
                <w:sz w:val="24"/>
                <w:szCs w:val="24"/>
                <w:lang w:eastAsia="zh-CN"/>
              </w:rPr>
              <w:t>云南宝塑塑料管业有限公司</w:t>
            </w:r>
            <w:r>
              <w:rPr>
                <w:color w:val="auto"/>
                <w:sz w:val="24"/>
                <w:szCs w:val="24"/>
              </w:rPr>
              <w:t>已建成的闲置厂房安装设备后作为生产场所使用</w:t>
            </w:r>
            <w:r>
              <w:rPr>
                <w:rFonts w:hint="eastAsia"/>
                <w:color w:val="auto"/>
                <w:sz w:val="24"/>
                <w:szCs w:val="24"/>
              </w:rPr>
              <w:t>，建设相应的环保设施。项目区不设置施工营地，施工人数为10人，来源于当地施工队，施工期预计2个月。施工期的流程和产污节点图如图2-2。</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color w:val="auto"/>
                <w:sz w:val="24"/>
                <w:szCs w:val="24"/>
              </w:rPr>
            </w:pPr>
            <w:r>
              <w:rPr>
                <w:rFonts w:hint="default" w:ascii="Times New Roman" w:hAnsi="Times New Roman" w:cs="Times New Roman"/>
                <w:color w:val="auto"/>
                <w:sz w:val="24"/>
                <w:szCs w:val="24"/>
              </w:rPr>
              <mc:AlternateContent>
                <mc:Choice Requires="wpc">
                  <w:drawing>
                    <wp:inline distT="0" distB="0" distL="114300" distR="114300">
                      <wp:extent cx="4944110" cy="1002665"/>
                      <wp:effectExtent l="0" t="0" r="8890" b="45085"/>
                      <wp:docPr id="23" name="画布 23"/>
                      <wp:cNvGraphicFramePr/>
                      <a:graphic xmlns:a="http://schemas.openxmlformats.org/drawingml/2006/main">
                        <a:graphicData uri="http://schemas.microsoft.com/office/word/2010/wordprocessingCanvas">
                          <wpc:wpc>
                            <wpc:bg>
                              <a:noFill/>
                            </wpc:bg>
                            <wpc:whole>
                              <a:ln>
                                <a:noFill/>
                              </a:ln>
                            </wpc:whole>
                            <wps:wsp>
                              <wps:cNvPr id="1" name="文本框 1"/>
                              <wps:cNvSpPr txBox="1"/>
                              <wps:spPr>
                                <a:xfrm>
                                  <a:off x="4294505" y="126365"/>
                                  <a:ext cx="630556" cy="241300"/>
                                </a:xfrm>
                                <a:prstGeom prst="rect">
                                  <a:avLst/>
                                </a:prstGeom>
                                <a:solidFill>
                                  <a:srgbClr val="FFFFFF"/>
                                </a:solidFill>
                                <a:ln>
                                  <a:noFill/>
                                </a:ln>
                              </wps:spPr>
                              <wps:txbx>
                                <w:txbxContent>
                                  <w:p>
                                    <w:pPr>
                                      <w:jc w:val="center"/>
                                    </w:pPr>
                                    <w:r>
                                      <w:rPr>
                                        <w:rFonts w:hint="eastAsia"/>
                                      </w:rPr>
                                      <w:t>N\S</w:t>
                                    </w:r>
                                  </w:p>
                                </w:txbxContent>
                              </wps:txbx>
                              <wps:bodyPr upright="1"/>
                            </wps:wsp>
                            <wps:wsp>
                              <wps:cNvPr id="2" name="文本框 2"/>
                              <wps:cNvSpPr txBox="1"/>
                              <wps:spPr>
                                <a:xfrm>
                                  <a:off x="30480" y="598805"/>
                                  <a:ext cx="747396" cy="4438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清除厂房杂物</w:t>
                                    </w:r>
                                  </w:p>
                                </w:txbxContent>
                              </wps:txbx>
                              <wps:bodyPr upright="1"/>
                            </wps:wsp>
                            <wps:wsp>
                              <wps:cNvPr id="3" name="文本框 3"/>
                              <wps:cNvSpPr txBox="1"/>
                              <wps:spPr>
                                <a:xfrm>
                                  <a:off x="1272541" y="716916"/>
                                  <a:ext cx="2499996" cy="26479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default" w:eastAsia="宋体"/>
                                        <w:lang w:val="en-US" w:eastAsia="zh-CN"/>
                                      </w:rPr>
                                    </w:pPr>
                                    <w:r>
                                      <w:rPr>
                                        <w:spacing w:val="-1"/>
                                      </w:rPr>
                                      <w:t>主要进行</w:t>
                                    </w:r>
                                    <w:r>
                                      <w:rPr>
                                        <w:rFonts w:hint="eastAsia"/>
                                        <w:spacing w:val="-1"/>
                                      </w:rPr>
                                      <w:t>主体设备</w:t>
                                    </w:r>
                                    <w:r>
                                      <w:rPr>
                                        <w:rFonts w:hint="eastAsia"/>
                                        <w:spacing w:val="-1"/>
                                        <w:lang w:val="en-US" w:eastAsia="zh-CN"/>
                                      </w:rPr>
                                      <w:t>安装</w:t>
                                    </w:r>
                                    <w:r>
                                      <w:rPr>
                                        <w:rFonts w:hint="eastAsia"/>
                                        <w:spacing w:val="-1"/>
                                      </w:rPr>
                                      <w:t>及</w:t>
                                    </w:r>
                                    <w:r>
                                      <w:rPr>
                                        <w:rFonts w:hint="eastAsia"/>
                                        <w:spacing w:val="-1"/>
                                        <w:lang w:val="en-US" w:eastAsia="zh-CN"/>
                                      </w:rPr>
                                      <w:t>环保设施建设</w:t>
                                    </w:r>
                                  </w:p>
                                </w:txbxContent>
                              </wps:txbx>
                              <wps:bodyPr upright="1"/>
                            </wps:wsp>
                            <wps:wsp>
                              <wps:cNvPr id="4" name="直接连接符 4"/>
                              <wps:cNvCnPr/>
                              <wps:spPr>
                                <a:xfrm flipV="1">
                                  <a:off x="780416" y="854076"/>
                                  <a:ext cx="499744" cy="6985"/>
                                </a:xfrm>
                                <a:prstGeom prst="line">
                                  <a:avLst/>
                                </a:prstGeom>
                                <a:ln w="9525" cap="flat" cmpd="sng">
                                  <a:solidFill>
                                    <a:srgbClr val="000000"/>
                                  </a:solidFill>
                                  <a:prstDash val="solid"/>
                                  <a:headEnd type="none" w="med" len="med"/>
                                  <a:tailEnd type="arrow" w="med" len="med"/>
                                </a:ln>
                              </wps:spPr>
                              <wps:bodyPr upright="1"/>
                            </wps:wsp>
                            <wps:wsp>
                              <wps:cNvPr id="5" name="直接连接符 5"/>
                              <wps:cNvCnPr/>
                              <wps:spPr>
                                <a:xfrm>
                                  <a:off x="3774442" y="856615"/>
                                  <a:ext cx="429894" cy="635"/>
                                </a:xfrm>
                                <a:prstGeom prst="line">
                                  <a:avLst/>
                                </a:prstGeom>
                                <a:ln w="9525" cap="flat" cmpd="sng">
                                  <a:solidFill>
                                    <a:srgbClr val="000000"/>
                                  </a:solidFill>
                                  <a:prstDash val="solid"/>
                                  <a:headEnd type="none" w="med" len="med"/>
                                  <a:tailEnd type="arrow" w="med" len="med"/>
                                </a:ln>
                              </wps:spPr>
                              <wps:bodyPr upright="1"/>
                            </wps:wsp>
                            <wps:wsp>
                              <wps:cNvPr id="6" name="文本框 6"/>
                              <wps:cNvSpPr txBox="1"/>
                              <wps:spPr>
                                <a:xfrm>
                                  <a:off x="4194810" y="561975"/>
                                  <a:ext cx="749301" cy="4406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设备安装调试</w:t>
                                    </w:r>
                                  </w:p>
                                </w:txbxContent>
                              </wps:txbx>
                              <wps:bodyPr upright="1"/>
                            </wps:wsp>
                            <wps:wsp>
                              <wps:cNvPr id="7" name="直接连接符 7"/>
                              <wps:cNvCnPr/>
                              <wps:spPr>
                                <a:xfrm flipV="1">
                                  <a:off x="379730" y="415925"/>
                                  <a:ext cx="8890" cy="180975"/>
                                </a:xfrm>
                                <a:prstGeom prst="line">
                                  <a:avLst/>
                                </a:prstGeom>
                                <a:ln w="9525" cap="flat" cmpd="sng">
                                  <a:solidFill>
                                    <a:srgbClr val="000000"/>
                                  </a:solidFill>
                                  <a:prstDash val="dash"/>
                                  <a:headEnd type="none" w="med" len="med"/>
                                  <a:tailEnd type="arrow" w="med" len="med"/>
                                </a:ln>
                              </wps:spPr>
                              <wps:bodyPr upright="1"/>
                            </wps:wsp>
                            <wps:wsp>
                              <wps:cNvPr id="19" name="文本框 19"/>
                              <wps:cNvSpPr txBox="1"/>
                              <wps:spPr>
                                <a:xfrm>
                                  <a:off x="15240" y="140335"/>
                                  <a:ext cx="749300" cy="241300"/>
                                </a:xfrm>
                                <a:prstGeom prst="rect">
                                  <a:avLst/>
                                </a:prstGeom>
                                <a:solidFill>
                                  <a:srgbClr val="FFFFFF"/>
                                </a:solidFill>
                                <a:ln>
                                  <a:noFill/>
                                </a:ln>
                              </wps:spPr>
                              <wps:txbx>
                                <w:txbxContent>
                                  <w:p>
                                    <w:pPr>
                                      <w:jc w:val="center"/>
                                    </w:pPr>
                                    <w:r>
                                      <w:rPr>
                                        <w:rFonts w:hint="eastAsia"/>
                                      </w:rPr>
                                      <w:t>N\G\S</w:t>
                                    </w:r>
                                  </w:p>
                                </w:txbxContent>
                              </wps:txbx>
                              <wps:bodyPr upright="1"/>
                            </wps:wsp>
                            <wps:wsp>
                              <wps:cNvPr id="20" name="直接连接符 20"/>
                              <wps:cNvCnPr/>
                              <wps:spPr>
                                <a:xfrm flipH="1" flipV="1">
                                  <a:off x="2331086" y="528321"/>
                                  <a:ext cx="7620" cy="189865"/>
                                </a:xfrm>
                                <a:prstGeom prst="line">
                                  <a:avLst/>
                                </a:prstGeom>
                                <a:ln w="9525" cap="flat" cmpd="sng">
                                  <a:solidFill>
                                    <a:srgbClr val="000000"/>
                                  </a:solidFill>
                                  <a:prstDash val="dash"/>
                                  <a:headEnd type="none" w="med" len="med"/>
                                  <a:tailEnd type="arrow" w="med" len="med"/>
                                </a:ln>
                              </wps:spPr>
                              <wps:bodyPr upright="1"/>
                            </wps:wsp>
                            <wps:wsp>
                              <wps:cNvPr id="21" name="文本框 21"/>
                              <wps:cNvSpPr txBox="1"/>
                              <wps:spPr>
                                <a:xfrm>
                                  <a:off x="1918336" y="267335"/>
                                  <a:ext cx="749300" cy="241300"/>
                                </a:xfrm>
                                <a:prstGeom prst="rect">
                                  <a:avLst/>
                                </a:prstGeom>
                                <a:solidFill>
                                  <a:srgbClr val="FFFFFF"/>
                                </a:solidFill>
                                <a:ln>
                                  <a:noFill/>
                                </a:ln>
                              </wps:spPr>
                              <wps:txbx>
                                <w:txbxContent>
                                  <w:p>
                                    <w:pPr>
                                      <w:jc w:val="center"/>
                                    </w:pPr>
                                    <w:r>
                                      <w:rPr>
                                        <w:rFonts w:hint="eastAsia"/>
                                      </w:rPr>
                                      <w:t>N\G\S\W</w:t>
                                    </w:r>
                                  </w:p>
                                </w:txbxContent>
                              </wps:txbx>
                              <wps:bodyPr upright="1"/>
                            </wps:wsp>
                            <wps:wsp>
                              <wps:cNvPr id="22" name="直接连接符 22"/>
                              <wps:cNvCnPr/>
                              <wps:spPr>
                                <a:xfrm flipH="1" flipV="1">
                                  <a:off x="4596131" y="344805"/>
                                  <a:ext cx="635" cy="165101"/>
                                </a:xfrm>
                                <a:prstGeom prst="line">
                                  <a:avLst/>
                                </a:prstGeom>
                                <a:ln w="9525" cap="flat" cmpd="sng">
                                  <a:solidFill>
                                    <a:srgbClr val="000000"/>
                                  </a:solidFill>
                                  <a:prstDash val="dash"/>
                                  <a:headEnd type="none" w="med" len="med"/>
                                  <a:tailEnd type="arrow" w="med" len="med"/>
                                </a:ln>
                              </wps:spPr>
                              <wps:bodyPr upright="1"/>
                            </wps:wsp>
                          </wpc:wpc>
                        </a:graphicData>
                      </a:graphic>
                    </wp:inline>
                  </w:drawing>
                </mc:Choice>
                <mc:Fallback>
                  <w:pict>
                    <v:group id="_x0000_s1026" o:spid="_x0000_s1026" o:spt="203" style="height:78.95pt;width:389.3pt;" coordsize="4944110,1002665" editas="canvas" o:gfxdata="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">
                      <o:lock v:ext="edit" aspectratio="f"/>
                      <v:shape id="_x0000_s1026" o:spid="_x0000_s1026" style="position:absolute;left:0;top:0;height:1002665;width:4944110;" filled="f" stroked="f" coordsize="21600,21600" o:gfxdata="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">
                        <v:fill on="f" focussize="0,0"/>
                        <v:stroke on="f"/>
                        <v:imagedata o:title=""/>
                        <o:lock v:ext="edit" aspectratio="f"/>
                      </v:shape>
                      <v:shape id="_x0000_s1026" o:spid="_x0000_s1026" o:spt="202" type="#_x0000_t202" style="position:absolute;left:4294505;top:126365;height:241300;width:630556;" fillcolor="#FFFFFF" filled="t" stroked="f" coordsize="21600,21600" o:gfxdata="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hF1IwtQAAAAFAQAADwAAAAAAAAABACAAAAAiAAAAZHJzL2Rv&#10;d25yZXYueG1sUEsBAhQAFAAAAAgAh07iQBeyfgPMAQAAgQMAAA4AAAAAAAAAAQAgAAAAIwEAAGRy&#10;cy9lMm9Eb2MueG1sUEsFBgAAAAAGAAYAWQEAAGEFAAAAAA==&#10;">
                        <v:fill on="t" focussize="0,0"/>
                        <v:stroke on="f"/>
                        <v:imagedata o:title=""/>
                        <o:lock v:ext="edit" aspectratio="f"/>
                        <v:textbox>
                          <w:txbxContent>
                            <w:p>
                              <w:pPr>
                                <w:jc w:val="center"/>
                              </w:pPr>
                              <w:r>
                                <w:rPr>
                                  <w:rFonts w:hint="eastAsia"/>
                                </w:rPr>
                                <w:t>N\S</w:t>
                              </w:r>
                            </w:p>
                          </w:txbxContent>
                        </v:textbox>
                      </v:shape>
                      <v:shape id="_x0000_s1026" o:spid="_x0000_s1026" o:spt="202" type="#_x0000_t202" style="position:absolute;left:30480;top:598805;height:443865;width:747396;" fillcolor="#FFFFFF" filled="t" stroked="t" coordsize="21600,21600" o:gfxdata="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oWD/XWAAAABQEAAA8AAAAA&#10;AAAAAQAgAAAAIgAAAGRycy9kb3ducmV2LnhtbFBLAQIUABQAAAAIAIdO4kAS/J4JFgIAAD4EAAAO&#10;AAAAAAAAAAEAIAAAACUBAABkcnMvZTJvRG9jLnhtbFBLBQYAAAAABgAGAFkBAACtBQAAAAA=&#10;">
                        <v:fill on="t" focussize="0,0"/>
                        <v:stroke color="#000000" joinstyle="miter"/>
                        <v:imagedata o:title=""/>
                        <o:lock v:ext="edit" aspectratio="f"/>
                        <v:textbox>
                          <w:txbxContent>
                            <w:p>
                              <w:pPr>
                                <w:jc w:val="center"/>
                              </w:pPr>
                              <w:r>
                                <w:rPr>
                                  <w:rFonts w:hint="eastAsia"/>
                                </w:rPr>
                                <w:t>清除厂房杂物</w:t>
                              </w:r>
                            </w:p>
                          </w:txbxContent>
                        </v:textbox>
                      </v:shape>
                      <v:shape id="_x0000_s1026" o:spid="_x0000_s1026" o:spt="202" type="#_x0000_t202" style="position:absolute;left:1272541;top:716916;height:264795;width:2499996;" fillcolor="#FFFFFF" filled="t" stroked="t" coordsize="21600,21600" o:gfxdata="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KFg/11gAAAAUBAAAPAAAAAAAA&#10;AAEAIAAAACIAAABkcnMvZG93bnJldi54bWxQSwECFAAUAAAACACHTuJA6f66URQCAABBBAAADgAA&#10;AAAAAAABACAAAAAlAQAAZHJzL2Uyb0RvYy54bWxQSwUGAAAAAAYABgBZAQAAqwUAAAAA&#10;">
                        <v:fill on="t" focussize="0,0"/>
                        <v:stroke color="#000000" joinstyle="miter"/>
                        <v:imagedata o:title=""/>
                        <o:lock v:ext="edit" aspectratio="f"/>
                        <v:textbox>
                          <w:txbxContent>
                            <w:p>
                              <w:pPr>
                                <w:jc w:val="center"/>
                                <w:rPr>
                                  <w:rFonts w:hint="default" w:eastAsia="宋体"/>
                                  <w:lang w:val="en-US" w:eastAsia="zh-CN"/>
                                </w:rPr>
                              </w:pPr>
                              <w:r>
                                <w:rPr>
                                  <w:spacing w:val="-1"/>
                                </w:rPr>
                                <w:t>主要进行</w:t>
                              </w:r>
                              <w:r>
                                <w:rPr>
                                  <w:rFonts w:hint="eastAsia"/>
                                  <w:spacing w:val="-1"/>
                                </w:rPr>
                                <w:t>主体设备</w:t>
                              </w:r>
                              <w:r>
                                <w:rPr>
                                  <w:rFonts w:hint="eastAsia"/>
                                  <w:spacing w:val="-1"/>
                                  <w:lang w:val="en-US" w:eastAsia="zh-CN"/>
                                </w:rPr>
                                <w:t>安装</w:t>
                              </w:r>
                              <w:r>
                                <w:rPr>
                                  <w:rFonts w:hint="eastAsia"/>
                                  <w:spacing w:val="-1"/>
                                </w:rPr>
                                <w:t>及</w:t>
                              </w:r>
                              <w:r>
                                <w:rPr>
                                  <w:rFonts w:hint="eastAsia"/>
                                  <w:spacing w:val="-1"/>
                                  <w:lang w:val="en-US" w:eastAsia="zh-CN"/>
                                </w:rPr>
                                <w:t>环保设施建设</w:t>
                              </w:r>
                            </w:p>
                          </w:txbxContent>
                        </v:textbox>
                      </v:shape>
                      <v:line id="_x0000_s1026" o:spid="_x0000_s1026" o:spt="20" style="position:absolute;left:780416;top:854076;flip:y;height:6985;width:499744;" filled="f" stroked="t" coordsize="21600,21600" o:gfxdata="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AmNca7VAAAABQEAAA8AAAAAAAAAAQAg&#10;AAAAIgAAAGRycy9kb3ducmV2LnhtbFBLAQIUABQAAAAIAIdO4kCvi4UHEQIAAPsDAAAOAAAAAAAA&#10;AAEAIAAAACQBAABkcnMvZTJvRG9jLnhtbFBLBQYAAAAABgAGAFkBAACnBQAAAAA=&#10;">
                        <v:fill on="f" focussize="0,0"/>
                        <v:stroke color="#000000" joinstyle="round" endarrow="open"/>
                        <v:imagedata o:title=""/>
                        <o:lock v:ext="edit" aspectratio="f"/>
                      </v:line>
                      <v:line id="_x0000_s1026" o:spid="_x0000_s1026" o:spt="20" style="position:absolute;left:3774442;top:856615;height:635;width:429894;" filled="f" stroked="t" coordsize="21600,21600" o:gfxdata="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MzNYMNYAAAAFAQAADwAAAAAAAAABACAAAAAi&#10;AAAAZHJzL2Rvd25yZXYueG1sUEsBAhQAFAAAAAgAh07iQLbrRd0MAgAA8QMAAA4AAAAAAAAAAQAg&#10;AAAAJQEAAGRycy9lMm9Eb2MueG1sUEsFBgAAAAAGAAYAWQEAAKMFAAAAAA==&#10;">
                        <v:fill on="f" focussize="0,0"/>
                        <v:stroke color="#000000" joinstyle="round" endarrow="open"/>
                        <v:imagedata o:title=""/>
                        <o:lock v:ext="edit" aspectratio="f"/>
                      </v:line>
                      <v:shape id="_x0000_s1026" o:spid="_x0000_s1026" o:spt="202" type="#_x0000_t202" style="position:absolute;left:4194810;top:561975;height:440690;width:749301;" fillcolor="#FFFFFF" filled="t" stroked="t" coordsize="21600,21600" o:gfxdata="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ihYP9dYAAAAFAQAADwAA&#10;AAAAAAABACAAAAAiAAAAZHJzL2Rvd25yZXYueG1sUEsBAhQAFAAAAAgAh07iQC2t4JUYAgAAQAQA&#10;AA4AAAAAAAAAAQAgAAAAJQEAAGRycy9lMm9Eb2MueG1sUEsFBgAAAAAGAAYAWQEAAK8FAAAAAA==&#10;">
                        <v:fill on="t" focussize="0,0"/>
                        <v:stroke color="#000000" joinstyle="miter"/>
                        <v:imagedata o:title=""/>
                        <o:lock v:ext="edit" aspectratio="f"/>
                        <v:textbox>
                          <w:txbxContent>
                            <w:p>
                              <w:pPr>
                                <w:jc w:val="center"/>
                              </w:pPr>
                              <w:r>
                                <w:rPr>
                                  <w:rFonts w:hint="eastAsia"/>
                                </w:rPr>
                                <w:t>设备安装调试</w:t>
                              </w:r>
                            </w:p>
                          </w:txbxContent>
                        </v:textbox>
                      </v:shape>
                      <v:line id="_x0000_s1026" o:spid="_x0000_s1026" o:spt="20" style="position:absolute;left:379730;top:415925;flip:y;height:180975;width:8890;" filled="f" stroked="t" coordsize="21600,21600" o:gfxdata="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PxC+vDUAAAABQEAAA8AAAAAAAAAAQAg&#10;AAAAIgAAAGRycy9kb3ducmV2LnhtbFBLAQIUABQAAAAIAIdO4kA9SxxeEgIAAPoDAAAOAAAAAAAA&#10;AAEAIAAAACMBAABkcnMvZTJvRG9jLnhtbFBLBQYAAAAABgAGAFkBAACnBQAAAAA=&#10;">
                        <v:fill on="f" focussize="0,0"/>
                        <v:stroke color="#000000" joinstyle="round" dashstyle="dash" endarrow="open"/>
                        <v:imagedata o:title=""/>
                        <o:lock v:ext="edit" aspectratio="f"/>
                      </v:line>
                      <v:shape id="_x0000_s1026" o:spid="_x0000_s1026" o:spt="202" type="#_x0000_t202" style="position:absolute;left:15240;top:140335;height:241300;width:749300;" fillcolor="#FFFFFF" filled="t" stroked="f" coordsize="21600,21600" o:gfxdata="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IRdSMLUAAAABQEAAA8AAAAAAAAAAQAgAAAAIgAAAGRycy9kb3ducmV2&#10;LnhtbFBLAQIUABQAAAAIAIdO4kBFOsoLxwEAAIEDAAAOAAAAAAAAAAEAIAAAACMBAABkcnMvZTJv&#10;RG9jLnhtbFBLBQYAAAAABgAGAFkBAABcBQAAAAA=&#10;">
                        <v:fill on="t" focussize="0,0"/>
                        <v:stroke on="f"/>
                        <v:imagedata o:title=""/>
                        <o:lock v:ext="edit" aspectratio="f"/>
                        <v:textbox>
                          <w:txbxContent>
                            <w:p>
                              <w:pPr>
                                <w:jc w:val="center"/>
                              </w:pPr>
                              <w:r>
                                <w:rPr>
                                  <w:rFonts w:hint="eastAsia"/>
                                </w:rPr>
                                <w:t>N\G\S</w:t>
                              </w:r>
                            </w:p>
                          </w:txbxContent>
                        </v:textbox>
                      </v:shape>
                      <v:line id="_x0000_s1026" o:spid="_x0000_s1026" o:spt="20" style="position:absolute;left:2331086;top:528321;flip:x y;height:189865;width:7620;" filled="f" stroked="t" coordsize="21600,21600" o:gfxdata="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Eq0S2DWAAAABQEAAA8AAAAA&#10;AAAAAQAgAAAAIgAAAGRycy9kb3ducmV2LnhtbFBLAQIUABQAAAAIAIdO4kBGURyRFgIAAAcEAAAO&#10;AAAAAAAAAAEAIAAAACUBAABkcnMvZTJvRG9jLnhtbFBLBQYAAAAABgAGAFkBAACtBQAAAAA=&#10;">
                        <v:fill on="f" focussize="0,0"/>
                        <v:stroke color="#000000" joinstyle="round" dashstyle="dash" endarrow="open"/>
                        <v:imagedata o:title=""/>
                        <o:lock v:ext="edit" aspectratio="f"/>
                      </v:line>
                      <v:shape id="_x0000_s1026" o:spid="_x0000_s1026" o:spt="202" type="#_x0000_t202" style="position:absolute;left:1918336;top:267335;height:241300;width:749300;" fillcolor="#FFFFFF" filled="t" stroked="f" coordsize="21600,21600" o:gfxdata="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IRdSMLUAAAABQEAAA8AAAAAAAAAAQAgAAAAIgAAAGRycy9kb3du&#10;cmV2LnhtbFBLAQIUABQAAAAIAIdO4kA4eH+VygEAAIMDAAAOAAAAAAAAAAEAIAAAACMBAABkcnMv&#10;ZTJvRG9jLnhtbFBLBQYAAAAABgAGAFkBAABfBQAAAAA=&#10;">
                        <v:fill on="t" focussize="0,0"/>
                        <v:stroke on="f"/>
                        <v:imagedata o:title=""/>
                        <o:lock v:ext="edit" aspectratio="f"/>
                        <v:textbox>
                          <w:txbxContent>
                            <w:p>
                              <w:pPr>
                                <w:jc w:val="center"/>
                              </w:pPr>
                              <w:r>
                                <w:rPr>
                                  <w:rFonts w:hint="eastAsia"/>
                                </w:rPr>
                                <w:t>N\G\S\W</w:t>
                              </w:r>
                            </w:p>
                          </w:txbxContent>
                        </v:textbox>
                      </v:shape>
                      <v:line id="_x0000_s1026" o:spid="_x0000_s1026" o:spt="20" style="position:absolute;left:4596131;top:344805;flip:x y;height:165101;width:635;" filled="f" stroked="t" coordsize="21600,21600" o:gfxdata="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KtEtg1gAAAAUBAAAPAAAAAAAA&#10;AAEAIAAAACIAAABkcnMvZG93bnJldi54bWxQSwECFAAUAAAACACHTuJAw+8FhRQCAAAGBAAADgAA&#10;AAAAAAABACAAAAAlAQAAZHJzL2Uyb0RvYy54bWxQSwUGAAAAAAYABgBZAQAAqwUAAAAA&#10;">
                        <v:fill on="f" focussize="0,0"/>
                        <v:stroke color="#000000" joinstyle="round" dashstyle="dash" endarrow="open"/>
                        <v:imagedata o:title=""/>
                        <o:lock v:ext="edit" aspectratio="f"/>
                      </v:line>
                      <w10:wrap type="none"/>
                      <w10:anchorlock/>
                    </v:group>
                  </w:pict>
                </mc:Fallback>
              </mc:AlternateContent>
            </w:r>
          </w:p>
          <w:p>
            <w:pPr>
              <w:spacing w:line="360" w:lineRule="auto"/>
              <w:jc w:val="both"/>
              <w:rPr>
                <w:rFonts w:hint="eastAsia"/>
                <w:b/>
                <w:bCs/>
                <w:color w:val="auto"/>
                <w:sz w:val="24"/>
                <w:szCs w:val="24"/>
              </w:rPr>
            </w:pPr>
            <w:r>
              <w:rPr>
                <w:rFonts w:hint="default" w:ascii="Times New Roman" w:hAnsi="Times New Roman" w:cs="Times New Roman"/>
                <w:color w:val="auto"/>
                <w:sz w:val="24"/>
                <w:szCs w:val="24"/>
              </w:rPr>
              <w:t>（图中G：废气；S：固体废物；N：噪声；w：废水）</w:t>
            </w:r>
          </w:p>
          <w:p>
            <w:pPr>
              <w:adjustRightInd w:val="0"/>
              <w:snapToGrid w:val="0"/>
              <w:spacing w:line="360" w:lineRule="auto"/>
              <w:jc w:val="center"/>
              <w:rPr>
                <w:b/>
                <w:bCs/>
                <w:color w:val="auto"/>
                <w:sz w:val="24"/>
                <w:szCs w:val="24"/>
              </w:rPr>
            </w:pPr>
            <w:r>
              <w:rPr>
                <w:rFonts w:hint="eastAsia"/>
                <w:b/>
                <w:bCs/>
                <w:color w:val="auto"/>
                <w:sz w:val="24"/>
                <w:szCs w:val="24"/>
              </w:rPr>
              <w:t>图2-</w:t>
            </w:r>
            <w:r>
              <w:rPr>
                <w:rFonts w:hint="eastAsia"/>
                <w:b/>
                <w:bCs/>
                <w:color w:val="auto"/>
                <w:sz w:val="24"/>
                <w:szCs w:val="24"/>
                <w:lang w:val="en-US" w:eastAsia="zh-CN"/>
              </w:rPr>
              <w:t>2</w:t>
            </w:r>
            <w:r>
              <w:rPr>
                <w:rFonts w:hint="eastAsia"/>
                <w:b/>
                <w:bCs/>
                <w:color w:val="auto"/>
                <w:sz w:val="24"/>
                <w:szCs w:val="24"/>
              </w:rPr>
              <w:t xml:space="preserve"> 施工期工艺流程及产排污节点图</w:t>
            </w:r>
          </w:p>
          <w:p>
            <w:pPr>
              <w:adjustRightInd w:val="0"/>
              <w:snapToGrid w:val="0"/>
              <w:spacing w:line="360" w:lineRule="auto"/>
              <w:ind w:firstLine="482" w:firstLineChars="200"/>
              <w:rPr>
                <w:b/>
                <w:bCs/>
                <w:color w:val="auto"/>
                <w:sz w:val="24"/>
                <w:szCs w:val="24"/>
              </w:rPr>
            </w:pPr>
            <w:r>
              <w:rPr>
                <w:b/>
                <w:bCs/>
                <w:color w:val="auto"/>
                <w:sz w:val="24"/>
                <w:szCs w:val="24"/>
              </w:rPr>
              <w:t>二、运营期</w:t>
            </w:r>
          </w:p>
          <w:p>
            <w:pPr>
              <w:adjustRightInd w:val="0"/>
              <w:snapToGrid w:val="0"/>
              <w:spacing w:line="360" w:lineRule="auto"/>
              <w:ind w:firstLine="482" w:firstLineChars="200"/>
              <w:rPr>
                <w:b/>
                <w:bCs/>
                <w:color w:val="auto"/>
                <w:sz w:val="24"/>
                <w:szCs w:val="24"/>
              </w:rPr>
            </w:pPr>
            <w:r>
              <w:rPr>
                <w:b/>
                <w:bCs/>
                <w:color w:val="auto"/>
                <w:sz w:val="24"/>
                <w:szCs w:val="24"/>
              </w:rPr>
              <w:t>（一）工艺流程简述</w:t>
            </w:r>
          </w:p>
          <w:p>
            <w:pPr>
              <w:pStyle w:val="85"/>
              <w:adjustRightInd w:val="0"/>
              <w:snapToGrid w:val="0"/>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lang w:eastAsia="zh-CN"/>
              </w:rPr>
              <w:t>（</w:t>
            </w:r>
            <w:r>
              <w:rPr>
                <w:rFonts w:ascii="Times New Roman" w:hAnsi="Times New Roman"/>
                <w:color w:val="auto"/>
                <w:sz w:val="24"/>
                <w:szCs w:val="24"/>
              </w:rPr>
              <w:t>1）</w:t>
            </w:r>
            <w:r>
              <w:rPr>
                <w:rFonts w:hint="eastAsia" w:ascii="Times New Roman" w:hAnsi="Times New Roman"/>
                <w:color w:val="auto"/>
                <w:sz w:val="24"/>
                <w:szCs w:val="24"/>
              </w:rPr>
              <w:t>投料</w:t>
            </w:r>
          </w:p>
          <w:p>
            <w:pPr>
              <w:pStyle w:val="85"/>
              <w:adjustRightInd w:val="0"/>
              <w:snapToGrid w:val="0"/>
              <w:spacing w:line="360" w:lineRule="auto"/>
              <w:ind w:firstLine="480" w:firstLineChars="200"/>
              <w:rPr>
                <w:rFonts w:hint="eastAsia" w:ascii="Times New Roman" w:hAnsi="Times New Roman"/>
                <w:color w:val="auto"/>
                <w:sz w:val="24"/>
                <w:szCs w:val="24"/>
                <w:lang w:val="en-US" w:eastAsia="zh-CN"/>
              </w:rPr>
            </w:pPr>
            <w:r>
              <w:rPr>
                <w:rFonts w:hint="eastAsia" w:ascii="Times New Roman" w:hAnsi="Times New Roman"/>
                <w:color w:val="auto"/>
                <w:sz w:val="24"/>
                <w:szCs w:val="24"/>
              </w:rPr>
              <w:t>造纸</w:t>
            </w:r>
            <w:r>
              <w:rPr>
                <w:rFonts w:hint="eastAsia" w:ascii="Times New Roman" w:hAnsi="Times New Roman"/>
                <w:color w:val="auto"/>
                <w:sz w:val="24"/>
                <w:szCs w:val="24"/>
                <w:lang w:val="en-US" w:eastAsia="zh-CN"/>
              </w:rPr>
              <w:t>厂</w:t>
            </w:r>
            <w:r>
              <w:rPr>
                <w:rFonts w:hint="eastAsia"/>
                <w:color w:val="auto"/>
                <w:sz w:val="24"/>
                <w:szCs w:val="24"/>
              </w:rPr>
              <w:t>预处理分离的废塑料</w:t>
            </w:r>
            <w:r>
              <w:rPr>
                <w:rFonts w:hint="eastAsia" w:ascii="Times New Roman" w:hAnsi="Times New Roman"/>
                <w:color w:val="auto"/>
                <w:sz w:val="24"/>
                <w:szCs w:val="24"/>
              </w:rPr>
              <w:t>经封闭式车厢运输车辆运输入场后存放</w:t>
            </w:r>
            <w:r>
              <w:rPr>
                <w:rFonts w:hint="eastAsia" w:ascii="Times New Roman" w:hAnsi="Times New Roman"/>
                <w:color w:val="auto"/>
                <w:sz w:val="24"/>
                <w:szCs w:val="24"/>
                <w:lang w:val="en-US" w:eastAsia="zh-CN"/>
              </w:rPr>
              <w:t>在</w:t>
            </w:r>
            <w:r>
              <w:rPr>
                <w:rFonts w:hint="eastAsia" w:ascii="Times New Roman" w:hAnsi="Times New Roman"/>
                <w:color w:val="auto"/>
                <w:sz w:val="24"/>
                <w:szCs w:val="24"/>
              </w:rPr>
              <w:t>生产车间内原料堆放区，</w:t>
            </w:r>
            <w:r>
              <w:rPr>
                <w:rFonts w:hint="eastAsia"/>
                <w:color w:val="auto"/>
                <w:sz w:val="24"/>
                <w:szCs w:val="24"/>
              </w:rPr>
              <w:t>使用</w:t>
            </w:r>
            <w:r>
              <w:rPr>
                <w:rFonts w:hint="eastAsia"/>
                <w:color w:val="auto"/>
                <w:sz w:val="24"/>
                <w:szCs w:val="24"/>
                <w:lang w:val="en-US" w:eastAsia="zh-CN"/>
              </w:rPr>
              <w:t>上料机</w:t>
            </w:r>
            <w:r>
              <w:rPr>
                <w:rFonts w:hint="eastAsia"/>
                <w:color w:val="auto"/>
                <w:sz w:val="24"/>
                <w:szCs w:val="24"/>
              </w:rPr>
              <w:t>将纸厂预处理分离的废塑料投入给料机上料口内，废塑料再由输送机送至</w:t>
            </w:r>
            <w:r>
              <w:rPr>
                <w:rFonts w:hint="eastAsia" w:ascii="Times New Roman" w:hAnsi="Times New Roman"/>
                <w:color w:val="auto"/>
                <w:sz w:val="24"/>
                <w:szCs w:val="24"/>
                <w:lang w:val="en-US" w:eastAsia="zh-CN"/>
              </w:rPr>
              <w:t>筛分除铁机。</w:t>
            </w:r>
          </w:p>
          <w:p>
            <w:pPr>
              <w:pStyle w:val="85"/>
              <w:adjustRightInd w:val="0"/>
              <w:snapToGrid w:val="0"/>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lang w:val="en-US" w:eastAsia="zh-CN"/>
              </w:rPr>
              <w:t>该工段</w:t>
            </w:r>
            <w:r>
              <w:rPr>
                <w:rFonts w:hint="eastAsia" w:ascii="Times New Roman" w:hAnsi="Times New Roman"/>
                <w:color w:val="auto"/>
                <w:sz w:val="24"/>
                <w:szCs w:val="24"/>
              </w:rPr>
              <w:t>原料堆放时会产生恶臭气体</w:t>
            </w:r>
            <w:r>
              <w:rPr>
                <w:rFonts w:hint="eastAsia" w:ascii="Times New Roman" w:hAnsi="Times New Roman"/>
                <w:color w:val="auto"/>
                <w:sz w:val="24"/>
                <w:szCs w:val="24"/>
                <w:lang w:val="en-US" w:eastAsia="zh-CN"/>
              </w:rPr>
              <w:t>及一般固废</w:t>
            </w:r>
            <w:r>
              <w:rPr>
                <w:rFonts w:hint="eastAsia" w:ascii="Times New Roman" w:hAnsi="Times New Roman"/>
                <w:color w:val="auto"/>
                <w:sz w:val="24"/>
                <w:szCs w:val="24"/>
              </w:rPr>
              <w:t>，主要为臭气浓度</w:t>
            </w:r>
            <w:r>
              <w:rPr>
                <w:rFonts w:hint="eastAsia" w:ascii="Times New Roman" w:hAnsi="Times New Roman"/>
                <w:color w:val="auto"/>
                <w:sz w:val="24"/>
                <w:szCs w:val="24"/>
                <w:lang w:eastAsia="zh-CN"/>
              </w:rPr>
              <w:t>、</w:t>
            </w:r>
            <w:r>
              <w:rPr>
                <w:rFonts w:hint="eastAsia"/>
                <w:color w:val="auto"/>
                <w:sz w:val="24"/>
                <w:szCs w:val="24"/>
                <w:highlight w:val="none"/>
                <w:vertAlign w:val="baseline"/>
                <w:lang w:val="en-US" w:eastAsia="zh-CN"/>
              </w:rPr>
              <w:t>纸浆纤维、</w:t>
            </w:r>
            <w:r>
              <w:rPr>
                <w:rFonts w:hint="eastAsia" w:ascii="Times New Roman" w:hAnsi="Times New Roman"/>
                <w:color w:val="auto"/>
                <w:sz w:val="24"/>
                <w:szCs w:val="24"/>
                <w:lang w:val="en-US" w:eastAsia="zh-CN"/>
              </w:rPr>
              <w:t>泥沙</w:t>
            </w:r>
            <w:r>
              <w:rPr>
                <w:rFonts w:hint="eastAsia"/>
                <w:color w:val="auto"/>
                <w:sz w:val="24"/>
                <w:szCs w:val="24"/>
              </w:rPr>
              <w:t>。</w:t>
            </w:r>
          </w:p>
          <w:p>
            <w:pPr>
              <w:pStyle w:val="85"/>
              <w:adjustRightInd w:val="0"/>
              <w:snapToGrid w:val="0"/>
              <w:spacing w:line="360" w:lineRule="auto"/>
              <w:ind w:firstLine="480" w:firstLineChars="200"/>
              <w:rPr>
                <w:rFonts w:hint="eastAsia" w:ascii="Times New Roman" w:hAnsi="Times New Roman" w:eastAsia="宋体"/>
                <w:color w:val="auto"/>
                <w:sz w:val="24"/>
                <w:szCs w:val="24"/>
                <w:lang w:eastAsia="zh-CN"/>
              </w:rPr>
            </w:pPr>
            <w:r>
              <w:rPr>
                <w:rFonts w:hint="eastAsia" w:ascii="Times New Roman" w:hAnsi="Times New Roman"/>
                <w:color w:val="auto"/>
                <w:sz w:val="24"/>
                <w:szCs w:val="24"/>
                <w:lang w:eastAsia="zh-CN"/>
              </w:rPr>
              <w:t>（</w:t>
            </w:r>
            <w:r>
              <w:rPr>
                <w:rFonts w:ascii="Times New Roman" w:hAnsi="Times New Roman"/>
                <w:color w:val="auto"/>
                <w:sz w:val="24"/>
                <w:szCs w:val="24"/>
              </w:rPr>
              <w:t>2）</w:t>
            </w:r>
            <w:r>
              <w:rPr>
                <w:rFonts w:hint="eastAsia" w:ascii="Times New Roman" w:hAnsi="Times New Roman"/>
                <w:color w:val="auto"/>
                <w:sz w:val="24"/>
                <w:szCs w:val="24"/>
                <w:lang w:val="en-US" w:eastAsia="zh-CN"/>
              </w:rPr>
              <w:t>除铁</w:t>
            </w:r>
          </w:p>
          <w:p>
            <w:pPr>
              <w:pStyle w:val="85"/>
              <w:adjustRightInd w:val="0"/>
              <w:snapToGrid w:val="0"/>
              <w:spacing w:line="360" w:lineRule="auto"/>
              <w:ind w:firstLine="480" w:firstLineChars="200"/>
              <w:rPr>
                <w:rFonts w:hint="default" w:ascii="Times New Roman" w:hAnsi="Times New Roman" w:eastAsia="宋体"/>
                <w:color w:val="auto"/>
                <w:sz w:val="24"/>
                <w:szCs w:val="24"/>
                <w:shd w:val="clear" w:color="auto" w:fill="FFFFFF"/>
                <w:lang w:val="en-US" w:eastAsia="zh-CN"/>
              </w:rPr>
            </w:pPr>
            <w:r>
              <w:rPr>
                <w:rFonts w:hint="default" w:ascii="Times New Roman" w:hAnsi="Times New Roman" w:eastAsia="宋体"/>
                <w:color w:val="auto"/>
                <w:sz w:val="24"/>
                <w:szCs w:val="24"/>
                <w:shd w:val="clear" w:color="auto" w:fill="FFFFFF"/>
                <w:lang w:val="en-US" w:eastAsia="zh-CN"/>
              </w:rPr>
              <w:t>由于塑料碎片中含有一定量的铁屑等杂质，因此，在进入</w:t>
            </w:r>
            <w:r>
              <w:rPr>
                <w:rFonts w:hint="eastAsia" w:ascii="Times New Roman" w:hAnsi="Times New Roman"/>
                <w:color w:val="auto"/>
                <w:sz w:val="24"/>
                <w:szCs w:val="24"/>
                <w:shd w:val="clear" w:color="auto" w:fill="FFFFFF"/>
                <w:lang w:val="en-US" w:eastAsia="zh-CN"/>
              </w:rPr>
              <w:t>热熔造粒工序</w:t>
            </w:r>
            <w:r>
              <w:rPr>
                <w:rFonts w:hint="default" w:ascii="Times New Roman" w:hAnsi="Times New Roman" w:eastAsia="宋体"/>
                <w:color w:val="auto"/>
                <w:sz w:val="24"/>
                <w:szCs w:val="24"/>
                <w:shd w:val="clear" w:color="auto" w:fill="FFFFFF"/>
                <w:lang w:val="en-US" w:eastAsia="zh-CN"/>
              </w:rPr>
              <w:t>前对塑料碎片进行</w:t>
            </w:r>
            <w:r>
              <w:rPr>
                <w:rFonts w:hint="eastAsia" w:ascii="Times New Roman" w:hAnsi="Times New Roman"/>
                <w:color w:val="auto"/>
                <w:sz w:val="24"/>
                <w:szCs w:val="24"/>
                <w:shd w:val="clear" w:color="auto" w:fill="FFFFFF"/>
                <w:lang w:val="en-US" w:eastAsia="zh-CN"/>
              </w:rPr>
              <w:t>除铁</w:t>
            </w:r>
            <w:r>
              <w:rPr>
                <w:rFonts w:hint="default" w:ascii="Times New Roman" w:hAnsi="Times New Roman" w:eastAsia="宋体"/>
                <w:color w:val="auto"/>
                <w:sz w:val="24"/>
                <w:szCs w:val="24"/>
                <w:shd w:val="clear" w:color="auto" w:fill="FFFFFF"/>
                <w:lang w:val="en-US" w:eastAsia="zh-CN"/>
              </w:rPr>
              <w:t>，达到铁屑从塑料碎片中分离的目的。</w:t>
            </w:r>
          </w:p>
          <w:p>
            <w:pPr>
              <w:pStyle w:val="85"/>
              <w:adjustRightInd w:val="0"/>
              <w:snapToGrid w:val="0"/>
              <w:spacing w:line="360" w:lineRule="auto"/>
              <w:ind w:firstLine="480" w:firstLineChars="200"/>
              <w:rPr>
                <w:rFonts w:hint="default" w:ascii="Times New Roman" w:hAnsi="Times New Roman" w:eastAsia="宋体"/>
                <w:color w:val="auto"/>
                <w:sz w:val="24"/>
                <w:szCs w:val="24"/>
                <w:shd w:val="clear" w:color="auto" w:fill="FFFFFF"/>
                <w:lang w:val="en-US" w:eastAsia="zh-CN"/>
              </w:rPr>
            </w:pPr>
            <w:r>
              <w:rPr>
                <w:rFonts w:hint="default" w:ascii="Times New Roman" w:hAnsi="Times New Roman" w:eastAsia="宋体"/>
                <w:color w:val="auto"/>
                <w:sz w:val="24"/>
                <w:szCs w:val="24"/>
                <w:shd w:val="clear" w:color="auto" w:fill="FFFFFF"/>
                <w:lang w:val="en-US" w:eastAsia="zh-CN"/>
              </w:rPr>
              <w:t>该工序会产生废铁屑，铁屑收集后外售至废品回收站。</w:t>
            </w:r>
          </w:p>
          <w:p>
            <w:pPr>
              <w:pStyle w:val="85"/>
              <w:adjustRightInd w:val="0"/>
              <w:snapToGrid w:val="0"/>
              <w:spacing w:line="360" w:lineRule="auto"/>
              <w:ind w:firstLine="480" w:firstLineChars="200"/>
              <w:rPr>
                <w:rFonts w:hint="eastAsia" w:ascii="Times New Roman" w:hAnsi="Times New Roman"/>
                <w:color w:val="auto"/>
                <w:sz w:val="24"/>
                <w:szCs w:val="24"/>
              </w:rPr>
            </w:pPr>
            <w:r>
              <w:rPr>
                <w:rFonts w:hint="eastAsia" w:ascii="Times New Roman" w:hAnsi="Times New Roman"/>
                <w:color w:val="auto"/>
                <w:sz w:val="24"/>
                <w:szCs w:val="24"/>
                <w:lang w:eastAsia="zh-CN"/>
              </w:rPr>
              <w:t>（</w:t>
            </w:r>
            <w:r>
              <w:rPr>
                <w:rFonts w:ascii="Times New Roman" w:hAnsi="Times New Roman"/>
                <w:color w:val="auto"/>
                <w:sz w:val="24"/>
                <w:szCs w:val="24"/>
              </w:rPr>
              <w:t>3）</w:t>
            </w:r>
            <w:r>
              <w:rPr>
                <w:rFonts w:hint="eastAsia" w:ascii="Times New Roman" w:hAnsi="Times New Roman"/>
                <w:color w:val="auto"/>
                <w:sz w:val="24"/>
                <w:szCs w:val="24"/>
                <w:lang w:val="en-US" w:eastAsia="zh-CN"/>
              </w:rPr>
              <w:t>生产</w:t>
            </w:r>
            <w:r>
              <w:rPr>
                <w:rFonts w:hint="eastAsia" w:ascii="Times New Roman" w:hAnsi="Times New Roman"/>
                <w:color w:val="auto"/>
                <w:sz w:val="24"/>
                <w:szCs w:val="24"/>
              </w:rPr>
              <w:t>投料</w:t>
            </w:r>
          </w:p>
          <w:p>
            <w:pPr>
              <w:pStyle w:val="85"/>
              <w:adjustRightInd w:val="0"/>
              <w:snapToGrid w:val="0"/>
              <w:spacing w:line="360" w:lineRule="auto"/>
              <w:ind w:firstLine="480" w:firstLineChars="200"/>
              <w:rPr>
                <w:rFonts w:hint="eastAsia" w:ascii="Times New Roman" w:hAnsi="Times New Roman"/>
                <w:color w:val="auto"/>
                <w:sz w:val="24"/>
                <w:szCs w:val="24"/>
              </w:rPr>
            </w:pPr>
            <w:r>
              <w:rPr>
                <w:rFonts w:hint="eastAsia" w:ascii="Times New Roman" w:hAnsi="Times New Roman"/>
                <w:color w:val="auto"/>
                <w:sz w:val="24"/>
                <w:szCs w:val="24"/>
              </w:rPr>
              <w:t>将经过</w:t>
            </w:r>
            <w:r>
              <w:rPr>
                <w:rFonts w:hint="eastAsia" w:ascii="Times New Roman" w:hAnsi="Times New Roman"/>
                <w:color w:val="auto"/>
                <w:sz w:val="24"/>
                <w:szCs w:val="24"/>
                <w:lang w:val="en-US" w:eastAsia="zh-CN"/>
              </w:rPr>
              <w:t>除铁后的</w:t>
            </w:r>
            <w:r>
              <w:rPr>
                <w:rFonts w:hint="eastAsia" w:ascii="Times New Roman" w:hAnsi="Times New Roman"/>
                <w:color w:val="auto"/>
                <w:sz w:val="24"/>
                <w:szCs w:val="24"/>
              </w:rPr>
              <w:t>塑料分别由人工投入熔融挤出机，各投料口均设软管连接。</w:t>
            </w:r>
          </w:p>
          <w:p>
            <w:pPr>
              <w:pStyle w:val="85"/>
              <w:adjustRightInd w:val="0"/>
              <w:snapToGrid w:val="0"/>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该</w:t>
            </w:r>
            <w:r>
              <w:rPr>
                <w:rFonts w:hint="eastAsia" w:ascii="Times New Roman" w:hAnsi="Times New Roman"/>
                <w:color w:val="auto"/>
                <w:sz w:val="24"/>
                <w:szCs w:val="24"/>
                <w:lang w:eastAsia="zh-CN"/>
              </w:rPr>
              <w:t>工序</w:t>
            </w:r>
            <w:r>
              <w:rPr>
                <w:rFonts w:hint="eastAsia" w:ascii="Times New Roman" w:hAnsi="Times New Roman"/>
                <w:color w:val="auto"/>
                <w:sz w:val="24"/>
                <w:szCs w:val="24"/>
              </w:rPr>
              <w:t>会产生噪声、粉尘，粉尘产生量极少，呈无组织排放。</w:t>
            </w:r>
          </w:p>
          <w:p>
            <w:pPr>
              <w:pStyle w:val="85"/>
              <w:adjustRightInd w:val="0"/>
              <w:snapToGrid w:val="0"/>
              <w:spacing w:line="360" w:lineRule="auto"/>
              <w:ind w:firstLine="480" w:firstLineChars="200"/>
              <w:rPr>
                <w:rFonts w:hint="default" w:ascii="Times New Roman" w:hAnsi="Times New Roman" w:eastAsia="宋体"/>
                <w:color w:val="auto"/>
                <w:sz w:val="24"/>
                <w:szCs w:val="24"/>
                <w:lang w:val="en-US" w:eastAsia="zh-CN"/>
              </w:rPr>
            </w:pPr>
            <w:r>
              <w:rPr>
                <w:rFonts w:hint="eastAsia" w:ascii="Times New Roman" w:hAnsi="Times New Roman"/>
                <w:color w:val="auto"/>
                <w:sz w:val="24"/>
                <w:szCs w:val="24"/>
                <w:lang w:eastAsia="zh-CN"/>
              </w:rPr>
              <w:t>（</w:t>
            </w:r>
            <w:r>
              <w:rPr>
                <w:rFonts w:hint="eastAsia" w:ascii="Times New Roman" w:hAnsi="Times New Roman"/>
                <w:color w:val="auto"/>
                <w:sz w:val="24"/>
                <w:szCs w:val="24"/>
                <w:lang w:val="en-US" w:eastAsia="zh-CN"/>
              </w:rPr>
              <w:t>4</w:t>
            </w:r>
            <w:r>
              <w:rPr>
                <w:rFonts w:hint="eastAsia" w:ascii="Times New Roman" w:hAnsi="Times New Roman"/>
                <w:color w:val="auto"/>
                <w:sz w:val="24"/>
                <w:szCs w:val="24"/>
                <w:lang w:eastAsia="zh-CN"/>
              </w:rPr>
              <w:t>）</w:t>
            </w:r>
            <w:r>
              <w:rPr>
                <w:rFonts w:hint="eastAsia" w:ascii="Times New Roman" w:hAnsi="Times New Roman"/>
                <w:color w:val="auto"/>
                <w:sz w:val="24"/>
                <w:szCs w:val="24"/>
                <w:lang w:val="en-US" w:eastAsia="zh-CN"/>
              </w:rPr>
              <w:t>熔融挤出</w:t>
            </w:r>
          </w:p>
          <w:p>
            <w:pPr>
              <w:pStyle w:val="85"/>
              <w:adjustRightInd w:val="0"/>
              <w:snapToGrid w:val="0"/>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根据客户需要，部分经挤压造粒的颗粒进入熔融挤出机，塑料被</w:t>
            </w:r>
            <w:r>
              <w:rPr>
                <w:rFonts w:ascii="Times New Roman" w:hAnsi="Times New Roman"/>
                <w:color w:val="auto"/>
                <w:sz w:val="24"/>
                <w:szCs w:val="24"/>
              </w:rPr>
              <w:t>加热至</w:t>
            </w:r>
            <w:r>
              <w:rPr>
                <w:rFonts w:hint="eastAsia" w:ascii="Times New Roman" w:hAnsi="Times New Roman"/>
                <w:color w:val="auto"/>
                <w:sz w:val="24"/>
                <w:szCs w:val="24"/>
              </w:rPr>
              <w:t>180</w:t>
            </w:r>
            <w:r>
              <w:rPr>
                <w:rFonts w:ascii="Times New Roman" w:hAnsi="Times New Roman"/>
                <w:color w:val="auto"/>
                <w:sz w:val="24"/>
                <w:szCs w:val="24"/>
              </w:rPr>
              <w:t>℃左右</w:t>
            </w:r>
            <w:r>
              <w:rPr>
                <w:rFonts w:hint="eastAsia" w:ascii="Times New Roman" w:hAnsi="Times New Roman"/>
                <w:color w:val="auto"/>
                <w:sz w:val="24"/>
                <w:szCs w:val="24"/>
              </w:rPr>
              <w:t>烘干水分并</w:t>
            </w:r>
            <w:r>
              <w:rPr>
                <w:rFonts w:hint="eastAsia" w:ascii="Times New Roman" w:hAnsi="Times New Roman"/>
                <w:color w:val="auto"/>
                <w:sz w:val="24"/>
                <w:szCs w:val="24"/>
                <w:lang w:eastAsia="zh-CN"/>
              </w:rPr>
              <w:t>熔化</w:t>
            </w:r>
            <w:r>
              <w:rPr>
                <w:rFonts w:hint="eastAsia" w:ascii="Times New Roman" w:hAnsi="Times New Roman"/>
                <w:color w:val="auto"/>
                <w:sz w:val="24"/>
                <w:szCs w:val="24"/>
              </w:rPr>
              <w:t>，同时</w:t>
            </w:r>
            <w:r>
              <w:rPr>
                <w:rFonts w:ascii="Times New Roman" w:hAnsi="Times New Roman"/>
                <w:color w:val="auto"/>
                <w:sz w:val="24"/>
                <w:szCs w:val="24"/>
              </w:rPr>
              <w:t>真空排气装置</w:t>
            </w:r>
            <w:r>
              <w:rPr>
                <w:rFonts w:hint="eastAsia" w:ascii="Times New Roman" w:hAnsi="Times New Roman"/>
                <w:color w:val="auto"/>
                <w:sz w:val="24"/>
                <w:szCs w:val="24"/>
              </w:rPr>
              <w:t>将熔融挤出机内物料之间的废气抽出，使物料更加充实。物料经熔融挤出机处理后被</w:t>
            </w:r>
            <w:r>
              <w:rPr>
                <w:rFonts w:ascii="Times New Roman" w:hAnsi="Times New Roman"/>
                <w:color w:val="auto"/>
                <w:sz w:val="24"/>
                <w:szCs w:val="24"/>
              </w:rPr>
              <w:t>直接挤出至</w:t>
            </w:r>
            <w:r>
              <w:rPr>
                <w:rFonts w:hint="eastAsia" w:ascii="Times New Roman" w:hAnsi="Times New Roman"/>
                <w:color w:val="auto"/>
                <w:sz w:val="24"/>
                <w:szCs w:val="24"/>
              </w:rPr>
              <w:t>拉条模具</w:t>
            </w:r>
            <w:r>
              <w:rPr>
                <w:rFonts w:ascii="Times New Roman" w:hAnsi="Times New Roman"/>
                <w:color w:val="auto"/>
                <w:sz w:val="24"/>
                <w:szCs w:val="24"/>
              </w:rPr>
              <w:t>。</w:t>
            </w:r>
          </w:p>
          <w:p>
            <w:pPr>
              <w:pStyle w:val="85"/>
              <w:adjustRightInd w:val="0"/>
              <w:snapToGrid w:val="0"/>
              <w:spacing w:line="360" w:lineRule="auto"/>
              <w:ind w:firstLine="480" w:firstLineChars="200"/>
              <w:rPr>
                <w:rFonts w:hint="eastAsia" w:ascii="Times New Roman" w:hAnsi="Times New Roman"/>
                <w:color w:val="auto"/>
                <w:sz w:val="24"/>
                <w:szCs w:val="24"/>
                <w:lang w:eastAsia="zh-CN"/>
              </w:rPr>
            </w:pPr>
            <w:r>
              <w:rPr>
                <w:rFonts w:ascii="Times New Roman" w:hAnsi="Times New Roman"/>
                <w:color w:val="auto"/>
                <w:sz w:val="24"/>
                <w:szCs w:val="24"/>
              </w:rPr>
              <w:t>通过熔融挤出机的条状塑料温度高达</w:t>
            </w:r>
            <w:r>
              <w:rPr>
                <w:rFonts w:hint="eastAsia" w:ascii="Times New Roman" w:hAnsi="Times New Roman"/>
                <w:color w:val="auto"/>
                <w:sz w:val="24"/>
                <w:szCs w:val="24"/>
              </w:rPr>
              <w:t>180</w:t>
            </w:r>
            <w:r>
              <w:rPr>
                <w:rFonts w:ascii="Times New Roman" w:hAnsi="Times New Roman"/>
                <w:color w:val="auto"/>
                <w:sz w:val="24"/>
                <w:szCs w:val="24"/>
              </w:rPr>
              <w:t>℃且粘性很强，为便于切粒需进行冷却固体，</w:t>
            </w:r>
            <w:r>
              <w:rPr>
                <w:rFonts w:hint="eastAsia" w:ascii="Times New Roman" w:hAnsi="Times New Roman"/>
                <w:color w:val="auto"/>
                <w:sz w:val="24"/>
                <w:szCs w:val="24"/>
              </w:rPr>
              <w:t>本</w:t>
            </w:r>
            <w:r>
              <w:rPr>
                <w:rFonts w:ascii="Times New Roman" w:hAnsi="Times New Roman"/>
                <w:color w:val="auto"/>
                <w:sz w:val="24"/>
                <w:szCs w:val="24"/>
              </w:rPr>
              <w:t>项目采用</w:t>
            </w:r>
            <w:r>
              <w:rPr>
                <w:rFonts w:hint="eastAsia" w:ascii="Times New Roman" w:hAnsi="Times New Roman"/>
                <w:color w:val="auto"/>
                <w:sz w:val="24"/>
                <w:szCs w:val="24"/>
              </w:rPr>
              <w:t>热熔挤出造粒</w:t>
            </w:r>
            <w:r>
              <w:rPr>
                <w:rFonts w:ascii="Times New Roman" w:hAnsi="Times New Roman"/>
                <w:color w:val="auto"/>
                <w:sz w:val="24"/>
                <w:szCs w:val="24"/>
              </w:rPr>
              <w:t>设备自带的冷却水槽来对条状塑料进行直接冷却，冷却后的水仅蒸发损失，不产生废水。冷却后的条状塑料</w:t>
            </w:r>
            <w:r>
              <w:rPr>
                <w:rFonts w:hint="eastAsia" w:ascii="Times New Roman" w:hAnsi="Times New Roman"/>
                <w:color w:val="auto"/>
                <w:sz w:val="24"/>
                <w:szCs w:val="24"/>
              </w:rPr>
              <w:t>经吹干后进行</w:t>
            </w:r>
            <w:r>
              <w:rPr>
                <w:rFonts w:ascii="Times New Roman" w:hAnsi="Times New Roman"/>
                <w:color w:val="auto"/>
                <w:sz w:val="24"/>
                <w:szCs w:val="24"/>
              </w:rPr>
              <w:t>切粒，切粒</w:t>
            </w:r>
            <w:r>
              <w:rPr>
                <w:rFonts w:hint="eastAsia" w:ascii="Times New Roman" w:hAnsi="Times New Roman"/>
                <w:color w:val="auto"/>
                <w:sz w:val="24"/>
                <w:szCs w:val="24"/>
              </w:rPr>
              <w:t>部分</w:t>
            </w:r>
            <w:r>
              <w:rPr>
                <w:rFonts w:ascii="Times New Roman" w:hAnsi="Times New Roman"/>
                <w:color w:val="auto"/>
                <w:sz w:val="24"/>
                <w:szCs w:val="24"/>
              </w:rPr>
              <w:t>滚轮式活动刀与主底刀剪切后形成长约</w:t>
            </w:r>
            <w:r>
              <w:rPr>
                <w:rFonts w:hint="eastAsia" w:ascii="Times New Roman" w:hAnsi="Times New Roman"/>
                <w:color w:val="auto"/>
                <w:sz w:val="24"/>
                <w:szCs w:val="24"/>
              </w:rPr>
              <w:t>4</w:t>
            </w:r>
            <w:r>
              <w:rPr>
                <w:rFonts w:hint="eastAsia" w:ascii="Times New Roman" w:hAnsi="Times New Roman"/>
                <w:color w:val="auto"/>
                <w:sz w:val="24"/>
                <w:szCs w:val="24"/>
                <w:lang w:eastAsia="zh-CN"/>
              </w:rPr>
              <w:t>～</w:t>
            </w:r>
            <w:r>
              <w:rPr>
                <w:rFonts w:hint="eastAsia" w:ascii="Times New Roman" w:hAnsi="Times New Roman"/>
                <w:color w:val="auto"/>
                <w:sz w:val="24"/>
                <w:szCs w:val="24"/>
              </w:rPr>
              <w:t>5mm</w:t>
            </w:r>
            <w:r>
              <w:rPr>
                <w:rFonts w:ascii="Times New Roman" w:hAnsi="Times New Roman"/>
                <w:color w:val="auto"/>
                <w:sz w:val="24"/>
                <w:szCs w:val="24"/>
              </w:rPr>
              <w:t>的圆柱状颗粒，然后</w:t>
            </w:r>
            <w:r>
              <w:rPr>
                <w:rFonts w:hint="eastAsia" w:ascii="Times New Roman" w:hAnsi="Times New Roman"/>
                <w:color w:val="auto"/>
                <w:sz w:val="24"/>
                <w:szCs w:val="24"/>
              </w:rPr>
              <w:t>经自带振动筛筛选后，筛下物</w:t>
            </w:r>
            <w:r>
              <w:rPr>
                <w:rFonts w:ascii="Times New Roman" w:hAnsi="Times New Roman"/>
                <w:color w:val="auto"/>
                <w:sz w:val="24"/>
                <w:szCs w:val="24"/>
              </w:rPr>
              <w:t>直接通过履带输送机直接输送</w:t>
            </w:r>
            <w:r>
              <w:rPr>
                <w:rFonts w:hint="eastAsia" w:ascii="Times New Roman" w:hAnsi="Times New Roman"/>
                <w:color w:val="auto"/>
                <w:sz w:val="24"/>
                <w:szCs w:val="24"/>
              </w:rPr>
              <w:t>料仓装袋待售或待用，筛上物返回重新熔融挤出</w:t>
            </w:r>
            <w:r>
              <w:rPr>
                <w:rFonts w:ascii="Times New Roman" w:hAnsi="Times New Roman"/>
                <w:color w:val="auto"/>
                <w:sz w:val="24"/>
                <w:szCs w:val="24"/>
              </w:rPr>
              <w:t>。最终合格颗粒</w:t>
            </w:r>
            <w:r>
              <w:rPr>
                <w:rFonts w:hint="eastAsia" w:ascii="Times New Roman" w:hAnsi="Times New Roman"/>
                <w:color w:val="auto"/>
                <w:sz w:val="24"/>
                <w:szCs w:val="24"/>
              </w:rPr>
              <w:t>装袋</w:t>
            </w:r>
            <w:r>
              <w:rPr>
                <w:rFonts w:ascii="Times New Roman" w:hAnsi="Times New Roman"/>
                <w:color w:val="auto"/>
                <w:sz w:val="24"/>
                <w:szCs w:val="24"/>
              </w:rPr>
              <w:t>储存</w:t>
            </w:r>
            <w:r>
              <w:rPr>
                <w:rFonts w:hint="eastAsia" w:ascii="Times New Roman" w:hAnsi="Times New Roman"/>
                <w:color w:val="auto"/>
                <w:sz w:val="24"/>
                <w:szCs w:val="24"/>
              </w:rPr>
              <w:t>外售</w:t>
            </w:r>
            <w:r>
              <w:rPr>
                <w:rFonts w:hint="eastAsia" w:ascii="Times New Roman" w:hAnsi="Times New Roman"/>
                <w:color w:val="auto"/>
                <w:sz w:val="24"/>
                <w:szCs w:val="24"/>
                <w:lang w:eastAsia="zh-CN"/>
              </w:rPr>
              <w:t>。</w:t>
            </w:r>
          </w:p>
          <w:p>
            <w:pPr>
              <w:pStyle w:val="85"/>
              <w:adjustRightInd w:val="0"/>
              <w:snapToGrid w:val="0"/>
              <w:spacing w:line="360" w:lineRule="auto"/>
              <w:ind w:firstLine="480" w:firstLineChars="200"/>
              <w:rPr>
                <w:rFonts w:hint="eastAsia" w:ascii="Times New Roman" w:hAnsi="Times New Roman"/>
                <w:color w:val="auto"/>
                <w:sz w:val="24"/>
                <w:szCs w:val="24"/>
              </w:rPr>
            </w:pPr>
            <w:r>
              <w:rPr>
                <w:rFonts w:hint="eastAsia" w:ascii="Times New Roman" w:hAnsi="Times New Roman"/>
                <w:color w:val="auto"/>
                <w:sz w:val="24"/>
                <w:szCs w:val="24"/>
              </w:rPr>
              <w:t>熔融挤出工序产生的有机废气（非甲烷总烃）采用集气罩收集，收集的废气经二级活性炭吸附装置处理后由15米高排气筒排放，未被捕捉到的废气呈无组织排放；挤出机废料收集后经破碎、清洗回用于生产；塑料挤出机过滤网片由厂家回收。</w:t>
            </w:r>
          </w:p>
          <w:p>
            <w:pPr>
              <w:pStyle w:val="85"/>
              <w:adjustRightInd w:val="0"/>
              <w:snapToGrid w:val="0"/>
              <w:spacing w:line="360" w:lineRule="auto"/>
              <w:ind w:firstLine="480" w:firstLineChars="200"/>
              <w:rPr>
                <w:rFonts w:hint="default" w:eastAsia="宋体"/>
                <w:color w:val="auto"/>
                <w:sz w:val="24"/>
                <w:szCs w:val="24"/>
                <w:lang w:val="en-US" w:eastAsia="zh-CN"/>
              </w:rPr>
            </w:pPr>
            <w:r>
              <w:rPr>
                <w:rFonts w:hint="eastAsia"/>
                <w:color w:val="auto"/>
                <w:sz w:val="24"/>
                <w:szCs w:val="24"/>
              </w:rPr>
              <w:t>该</w:t>
            </w:r>
            <w:r>
              <w:rPr>
                <w:rFonts w:hint="eastAsia"/>
                <w:color w:val="auto"/>
                <w:sz w:val="24"/>
                <w:szCs w:val="24"/>
                <w:lang w:eastAsia="zh-CN"/>
              </w:rPr>
              <w:t>工序</w:t>
            </w:r>
            <w:r>
              <w:rPr>
                <w:rFonts w:hint="eastAsia"/>
                <w:color w:val="auto"/>
                <w:sz w:val="24"/>
                <w:szCs w:val="24"/>
              </w:rPr>
              <w:t>会产生</w:t>
            </w:r>
            <w:r>
              <w:rPr>
                <w:rFonts w:hint="eastAsia"/>
                <w:color w:val="auto"/>
                <w:sz w:val="24"/>
                <w:szCs w:val="24"/>
                <w:lang w:val="en-US" w:eastAsia="zh-CN"/>
              </w:rPr>
              <w:t>有机废气、噪声和恶臭。</w:t>
            </w:r>
          </w:p>
          <w:p>
            <w:pPr>
              <w:pStyle w:val="85"/>
              <w:adjustRightInd w:val="0"/>
              <w:snapToGrid w:val="0"/>
              <w:spacing w:line="360" w:lineRule="auto"/>
              <w:ind w:firstLine="480" w:firstLineChars="200"/>
              <w:rPr>
                <w:rFonts w:hint="eastAsia" w:ascii="Times New Roman" w:hAnsi="Times New Roman"/>
                <w:color w:val="auto"/>
                <w:sz w:val="24"/>
                <w:szCs w:val="24"/>
              </w:rPr>
            </w:pPr>
            <w:r>
              <w:rPr>
                <w:rFonts w:hint="eastAsia" w:ascii="Times New Roman" w:hAnsi="Times New Roman"/>
                <w:color w:val="auto"/>
                <w:sz w:val="24"/>
                <w:szCs w:val="24"/>
              </w:rPr>
              <w:t>（</w:t>
            </w:r>
            <w:r>
              <w:rPr>
                <w:rFonts w:hint="eastAsia" w:ascii="Times New Roman" w:hAnsi="Times New Roman"/>
                <w:color w:val="auto"/>
                <w:sz w:val="24"/>
                <w:szCs w:val="24"/>
                <w:lang w:val="en-US" w:eastAsia="zh-CN"/>
              </w:rPr>
              <w:t>5</w:t>
            </w:r>
            <w:r>
              <w:rPr>
                <w:rFonts w:hint="eastAsia" w:ascii="Times New Roman" w:hAnsi="Times New Roman"/>
                <w:color w:val="auto"/>
                <w:sz w:val="24"/>
                <w:szCs w:val="24"/>
              </w:rPr>
              <w:t>）冷却</w:t>
            </w:r>
          </w:p>
          <w:p>
            <w:pPr>
              <w:pStyle w:val="85"/>
              <w:adjustRightInd w:val="0"/>
              <w:snapToGrid w:val="0"/>
              <w:spacing w:line="360" w:lineRule="auto"/>
              <w:ind w:firstLine="480" w:firstLineChars="200"/>
              <w:rPr>
                <w:rFonts w:hint="eastAsia" w:ascii="Times New Roman" w:hAnsi="Times New Roman"/>
                <w:color w:val="auto"/>
                <w:sz w:val="24"/>
                <w:szCs w:val="24"/>
              </w:rPr>
            </w:pPr>
            <w:r>
              <w:rPr>
                <w:rFonts w:hint="eastAsia" w:ascii="Times New Roman" w:hAnsi="Times New Roman"/>
                <w:color w:val="auto"/>
                <w:sz w:val="24"/>
                <w:szCs w:val="24"/>
              </w:rPr>
              <w:t>塑料</w:t>
            </w:r>
            <w:r>
              <w:rPr>
                <w:rFonts w:hint="eastAsia" w:ascii="Times New Roman" w:hAnsi="Times New Roman"/>
                <w:color w:val="auto"/>
                <w:sz w:val="24"/>
                <w:szCs w:val="24"/>
                <w:lang w:eastAsia="zh-CN"/>
              </w:rPr>
              <w:t>经</w:t>
            </w:r>
            <w:r>
              <w:rPr>
                <w:rFonts w:hint="eastAsia" w:ascii="Times New Roman" w:hAnsi="Times New Roman"/>
                <w:color w:val="auto"/>
                <w:sz w:val="24"/>
                <w:szCs w:val="24"/>
              </w:rPr>
              <w:t>熔融后制成线条状塑料，采用循环冷却水池冷却至常温，再经风冷、最后线条状塑料</w:t>
            </w:r>
            <w:r>
              <w:rPr>
                <w:rFonts w:hint="eastAsia" w:ascii="Times New Roman" w:hAnsi="Times New Roman"/>
                <w:color w:val="auto"/>
                <w:sz w:val="24"/>
                <w:szCs w:val="24"/>
                <w:lang w:eastAsia="zh-CN"/>
              </w:rPr>
              <w:t>进入</w:t>
            </w:r>
            <w:r>
              <w:rPr>
                <w:rFonts w:hint="eastAsia" w:ascii="Times New Roman" w:hAnsi="Times New Roman"/>
                <w:color w:val="auto"/>
                <w:sz w:val="24"/>
                <w:szCs w:val="24"/>
              </w:rPr>
              <w:t>密闭切粒机。</w:t>
            </w:r>
          </w:p>
          <w:p>
            <w:pPr>
              <w:pStyle w:val="85"/>
              <w:adjustRightInd w:val="0"/>
              <w:snapToGrid w:val="0"/>
              <w:spacing w:line="360" w:lineRule="auto"/>
              <w:ind w:firstLine="480" w:firstLineChars="200"/>
              <w:rPr>
                <w:rFonts w:hint="eastAsia" w:ascii="Times New Roman" w:hAnsi="Times New Roman"/>
                <w:color w:val="auto"/>
                <w:sz w:val="24"/>
                <w:szCs w:val="24"/>
              </w:rPr>
            </w:pPr>
            <w:r>
              <w:rPr>
                <w:rFonts w:hint="eastAsia" w:ascii="Times New Roman" w:hAnsi="Times New Roman"/>
                <w:color w:val="auto"/>
                <w:sz w:val="24"/>
                <w:szCs w:val="24"/>
              </w:rPr>
              <w:t>此工序主要会产生冷却废水、噪声，冷却废水循环使用，不外排。</w:t>
            </w:r>
          </w:p>
          <w:p>
            <w:pPr>
              <w:pStyle w:val="85"/>
              <w:adjustRightInd w:val="0"/>
              <w:snapToGrid w:val="0"/>
              <w:spacing w:line="360" w:lineRule="auto"/>
              <w:ind w:firstLine="480" w:firstLineChars="200"/>
              <w:rPr>
                <w:rFonts w:hint="eastAsia" w:ascii="Times New Roman" w:hAnsi="Times New Roman"/>
                <w:color w:val="auto"/>
                <w:sz w:val="24"/>
                <w:szCs w:val="24"/>
              </w:rPr>
            </w:pPr>
            <w:r>
              <w:rPr>
                <w:rFonts w:hint="eastAsia" w:ascii="Times New Roman" w:hAnsi="Times New Roman"/>
                <w:color w:val="auto"/>
                <w:sz w:val="24"/>
                <w:szCs w:val="24"/>
              </w:rPr>
              <w:t>（</w:t>
            </w:r>
            <w:r>
              <w:rPr>
                <w:rFonts w:hint="eastAsia" w:ascii="Times New Roman" w:hAnsi="Times New Roman"/>
                <w:color w:val="auto"/>
                <w:sz w:val="24"/>
                <w:szCs w:val="24"/>
                <w:lang w:val="en-US" w:eastAsia="zh-CN"/>
              </w:rPr>
              <w:t>6</w:t>
            </w:r>
            <w:r>
              <w:rPr>
                <w:rFonts w:hint="eastAsia" w:ascii="Times New Roman" w:hAnsi="Times New Roman"/>
                <w:color w:val="auto"/>
                <w:sz w:val="24"/>
                <w:szCs w:val="24"/>
              </w:rPr>
              <w:t>）切割造粒</w:t>
            </w:r>
          </w:p>
          <w:p>
            <w:pPr>
              <w:pStyle w:val="85"/>
              <w:adjustRightInd w:val="0"/>
              <w:snapToGrid w:val="0"/>
              <w:spacing w:line="360" w:lineRule="auto"/>
              <w:ind w:firstLine="480" w:firstLineChars="200"/>
              <w:rPr>
                <w:rFonts w:hint="eastAsia" w:ascii="Times New Roman" w:hAnsi="Times New Roman"/>
                <w:color w:val="auto"/>
                <w:sz w:val="24"/>
                <w:szCs w:val="24"/>
              </w:rPr>
            </w:pPr>
            <w:r>
              <w:rPr>
                <w:rFonts w:hint="eastAsia" w:ascii="Times New Roman" w:hAnsi="Times New Roman"/>
                <w:color w:val="auto"/>
                <w:sz w:val="24"/>
                <w:szCs w:val="24"/>
              </w:rPr>
              <w:t>经冷却的线条状塑料</w:t>
            </w:r>
            <w:r>
              <w:rPr>
                <w:rFonts w:hint="eastAsia" w:ascii="Times New Roman" w:hAnsi="Times New Roman"/>
                <w:color w:val="auto"/>
                <w:sz w:val="24"/>
                <w:szCs w:val="24"/>
                <w:lang w:eastAsia="zh-CN"/>
              </w:rPr>
              <w:t>用</w:t>
            </w:r>
            <w:r>
              <w:rPr>
                <w:rFonts w:hint="eastAsia" w:ascii="Times New Roman" w:hAnsi="Times New Roman"/>
                <w:color w:val="auto"/>
                <w:sz w:val="24"/>
                <w:szCs w:val="24"/>
              </w:rPr>
              <w:t>切粒机切割成塑料颗粒。</w:t>
            </w:r>
          </w:p>
          <w:p>
            <w:pPr>
              <w:pStyle w:val="85"/>
              <w:adjustRightInd w:val="0"/>
              <w:snapToGrid w:val="0"/>
              <w:spacing w:line="360" w:lineRule="auto"/>
              <w:ind w:firstLine="480" w:firstLineChars="200"/>
              <w:rPr>
                <w:rFonts w:hint="eastAsia" w:ascii="Times New Roman" w:hAnsi="Times New Roman"/>
                <w:color w:val="auto"/>
                <w:sz w:val="24"/>
                <w:szCs w:val="24"/>
              </w:rPr>
            </w:pPr>
            <w:r>
              <w:rPr>
                <w:rFonts w:hint="eastAsia" w:ascii="Times New Roman" w:hAnsi="Times New Roman"/>
                <w:color w:val="auto"/>
                <w:sz w:val="24"/>
                <w:szCs w:val="24"/>
              </w:rPr>
              <w:t>此工序主要会产生噪声。</w:t>
            </w:r>
          </w:p>
          <w:p>
            <w:pPr>
              <w:pStyle w:val="85"/>
              <w:adjustRightInd w:val="0"/>
              <w:snapToGrid w:val="0"/>
              <w:spacing w:line="360" w:lineRule="auto"/>
              <w:ind w:firstLine="480" w:firstLineChars="200"/>
              <w:rPr>
                <w:rFonts w:hint="eastAsia" w:ascii="Times New Roman" w:hAnsi="Times New Roman"/>
                <w:color w:val="auto"/>
                <w:sz w:val="24"/>
                <w:szCs w:val="24"/>
              </w:rPr>
            </w:pPr>
            <w:r>
              <w:rPr>
                <w:rFonts w:hint="eastAsia" w:ascii="Times New Roman" w:hAnsi="Times New Roman"/>
                <w:color w:val="auto"/>
                <w:sz w:val="24"/>
                <w:szCs w:val="24"/>
              </w:rPr>
              <w:t>（</w:t>
            </w:r>
            <w:r>
              <w:rPr>
                <w:rFonts w:hint="eastAsia" w:ascii="Times New Roman" w:hAnsi="Times New Roman"/>
                <w:color w:val="auto"/>
                <w:sz w:val="24"/>
                <w:szCs w:val="24"/>
                <w:lang w:val="en-US" w:eastAsia="zh-CN"/>
              </w:rPr>
              <w:t>7</w:t>
            </w:r>
            <w:r>
              <w:rPr>
                <w:rFonts w:hint="eastAsia" w:ascii="Times New Roman" w:hAnsi="Times New Roman"/>
                <w:color w:val="auto"/>
                <w:sz w:val="24"/>
                <w:szCs w:val="24"/>
              </w:rPr>
              <w:t>）打包入库</w:t>
            </w:r>
          </w:p>
          <w:p>
            <w:pPr>
              <w:pStyle w:val="85"/>
              <w:adjustRightInd w:val="0"/>
              <w:snapToGrid w:val="0"/>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切粒后的塑料颗粒后包装外售</w:t>
            </w:r>
            <w:r>
              <w:rPr>
                <w:rFonts w:hint="eastAsia" w:ascii="Times New Roman" w:hAnsi="Times New Roman"/>
                <w:color w:val="auto"/>
                <w:sz w:val="24"/>
                <w:szCs w:val="24"/>
                <w:lang w:eastAsia="zh-CN"/>
              </w:rPr>
              <w:t>，</w:t>
            </w:r>
            <w:r>
              <w:rPr>
                <w:rFonts w:hint="eastAsia" w:ascii="Times New Roman" w:hAnsi="Times New Roman"/>
                <w:color w:val="auto"/>
                <w:sz w:val="24"/>
                <w:szCs w:val="24"/>
              </w:rPr>
              <w:t>该工序不会产生污染物。</w:t>
            </w:r>
          </w:p>
          <w:p>
            <w:pPr>
              <w:adjustRightInd w:val="0"/>
              <w:snapToGrid w:val="0"/>
              <w:spacing w:before="120" w:beforeLines="50" w:line="360" w:lineRule="auto"/>
              <w:jc w:val="center"/>
              <w:rPr>
                <w:bCs/>
                <w:color w:val="auto"/>
                <w:sz w:val="24"/>
                <w:szCs w:val="24"/>
              </w:rPr>
            </w:pPr>
            <w:r>
              <w:rPr>
                <w:b/>
                <w:color w:val="auto"/>
                <w:sz w:val="24"/>
                <w:szCs w:val="24"/>
              </w:rPr>
              <w:object>
                <v:shape id="_x0000_i1025" o:spt="75" type="#_x0000_t75" style="height:211.55pt;width:396.85pt;" o:ole="t" filled="f" o:preferrelative="t" stroked="t" coordsize="21600,21600">
                  <v:path/>
                  <v:fill on="f" focussize="0,0"/>
                  <v:stroke color="#000000"/>
                  <v:imagedata r:id="rId10" o:title=""/>
                  <o:lock v:ext="edit" aspectratio="f"/>
                  <w10:wrap type="none"/>
                  <w10:anchorlock/>
                </v:shape>
                <o:OLEObject Type="Embed" ProgID="Visio.Drawing.15" ShapeID="_x0000_i1025" DrawAspect="Content" ObjectID="_1468075725" r:id="rId9">
                  <o:LockedField>false</o:LockedField>
                </o:OLEObject>
              </w:object>
            </w:r>
            <w:r>
              <w:rPr>
                <w:b/>
                <w:color w:val="auto"/>
                <w:sz w:val="24"/>
                <w:szCs w:val="24"/>
              </w:rPr>
              <w:t>图</w:t>
            </w:r>
            <w:r>
              <w:rPr>
                <w:b/>
                <w:bCs/>
                <w:color w:val="auto"/>
                <w:sz w:val="24"/>
                <w:szCs w:val="24"/>
              </w:rPr>
              <w:t>2-</w:t>
            </w:r>
            <w:r>
              <w:rPr>
                <w:rFonts w:hint="eastAsia"/>
                <w:b/>
                <w:bCs/>
                <w:color w:val="auto"/>
                <w:sz w:val="24"/>
                <w:szCs w:val="24"/>
                <w:lang w:val="en-US" w:eastAsia="zh-CN"/>
              </w:rPr>
              <w:t>3</w:t>
            </w:r>
            <w:r>
              <w:rPr>
                <w:b/>
                <w:bCs/>
                <w:color w:val="auto"/>
                <w:sz w:val="24"/>
                <w:szCs w:val="24"/>
              </w:rPr>
              <w:t xml:space="preserve">  运营期生产线</w:t>
            </w:r>
            <w:r>
              <w:rPr>
                <w:b/>
                <w:color w:val="auto"/>
                <w:sz w:val="24"/>
                <w:szCs w:val="24"/>
              </w:rPr>
              <w:t>工艺流程及产污环节示意图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19" w:hRule="atLeast"/>
          <w:jc w:val="center"/>
        </w:trPr>
        <w:tc>
          <w:tcPr>
            <w:tcW w:w="823" w:type="dxa"/>
            <w:vAlign w:val="center"/>
          </w:tcPr>
          <w:p>
            <w:pPr>
              <w:pStyle w:val="20"/>
              <w:adjustRightInd w:val="0"/>
              <w:snapToGrid w:val="0"/>
              <w:spacing w:before="0" w:beforeAutospacing="0" w:after="0" w:afterAutospacing="0"/>
              <w:jc w:val="center"/>
              <w:rPr>
                <w:rFonts w:ascii="Times New Roman" w:hAnsi="Times New Roman"/>
                <w:color w:val="auto"/>
                <w:sz w:val="24"/>
                <w:szCs w:val="24"/>
              </w:rPr>
            </w:pPr>
            <w:r>
              <w:rPr>
                <w:rFonts w:ascii="Times New Roman" w:hAnsi="Times New Roman"/>
                <w:bCs/>
                <w:color w:val="auto"/>
                <w:sz w:val="24"/>
                <w:szCs w:val="24"/>
              </w:rPr>
              <w:t>与项目有关的原有环境污染问题</w:t>
            </w:r>
          </w:p>
        </w:tc>
        <w:tc>
          <w:tcPr>
            <w:tcW w:w="8161" w:type="dxa"/>
          </w:tcPr>
          <w:p>
            <w:pPr>
              <w:adjustRightInd w:val="0"/>
              <w:snapToGrid w:val="0"/>
              <w:spacing w:line="360" w:lineRule="auto"/>
              <w:rPr>
                <w:rFonts w:hint="eastAsia"/>
                <w:color w:val="auto"/>
                <w:sz w:val="24"/>
                <w:szCs w:val="24"/>
              </w:rPr>
            </w:pPr>
            <w:r>
              <w:rPr>
                <w:color w:val="auto"/>
                <w:kern w:val="0"/>
                <w:sz w:val="24"/>
                <w:szCs w:val="24"/>
              </w:rPr>
              <w:t>本项目为新建项目，</w:t>
            </w:r>
            <w:r>
              <w:rPr>
                <w:color w:val="auto"/>
                <w:sz w:val="24"/>
                <w:szCs w:val="24"/>
              </w:rPr>
              <w:t>项目租用</w:t>
            </w:r>
            <w:r>
              <w:rPr>
                <w:rFonts w:hint="eastAsia"/>
                <w:color w:val="auto"/>
                <w:sz w:val="24"/>
                <w:szCs w:val="24"/>
                <w:lang w:eastAsia="zh-CN"/>
              </w:rPr>
              <w:t>云南宝塑塑料管业有限公司</w:t>
            </w:r>
            <w:r>
              <w:rPr>
                <w:rFonts w:hint="eastAsia"/>
                <w:color w:val="auto"/>
                <w:sz w:val="24"/>
                <w:szCs w:val="24"/>
              </w:rPr>
              <w:t>东侧</w:t>
            </w:r>
            <w:r>
              <w:rPr>
                <w:color w:val="auto"/>
                <w:sz w:val="24"/>
                <w:szCs w:val="24"/>
              </w:rPr>
              <w:t>已建成的闲置厂房</w:t>
            </w:r>
            <w:r>
              <w:rPr>
                <w:rFonts w:hint="eastAsia"/>
                <w:color w:val="auto"/>
                <w:sz w:val="24"/>
                <w:szCs w:val="24"/>
              </w:rPr>
              <w:t>，</w:t>
            </w:r>
            <w:r>
              <w:rPr>
                <w:rFonts w:hint="eastAsia"/>
                <w:color w:val="auto"/>
                <w:sz w:val="24"/>
                <w:szCs w:val="24"/>
                <w:lang w:val="en-US" w:eastAsia="zh-CN"/>
              </w:rPr>
              <w:t>经叠图，项目占地区域</w:t>
            </w:r>
            <w:r>
              <w:rPr>
                <w:color w:val="auto"/>
                <w:kern w:val="0"/>
                <w:sz w:val="24"/>
                <w:szCs w:val="24"/>
              </w:rPr>
              <w:t>《云南宜良产业园区总体规划（2021</w:t>
            </w:r>
            <w:r>
              <w:rPr>
                <w:rFonts w:hint="eastAsia"/>
                <w:color w:val="auto"/>
                <w:kern w:val="0"/>
                <w:sz w:val="24"/>
                <w:szCs w:val="24"/>
                <w:lang w:eastAsia="zh-CN"/>
              </w:rPr>
              <w:t>—</w:t>
            </w:r>
            <w:r>
              <w:rPr>
                <w:color w:val="auto"/>
                <w:kern w:val="0"/>
                <w:sz w:val="24"/>
                <w:szCs w:val="24"/>
              </w:rPr>
              <w:t>2035年）》</w:t>
            </w:r>
            <w:r>
              <w:rPr>
                <w:rFonts w:hint="eastAsia"/>
                <w:color w:val="auto"/>
                <w:kern w:val="0"/>
                <w:sz w:val="24"/>
                <w:szCs w:val="24"/>
              </w:rPr>
              <w:t>中的工业用地</w:t>
            </w:r>
            <w:r>
              <w:rPr>
                <w:rFonts w:hint="eastAsia"/>
                <w:color w:val="auto"/>
                <w:sz w:val="24"/>
                <w:szCs w:val="24"/>
              </w:rPr>
              <w:t>，</w:t>
            </w:r>
            <w:r>
              <w:rPr>
                <w:rFonts w:hint="eastAsia"/>
                <w:color w:val="auto"/>
                <w:sz w:val="24"/>
                <w:szCs w:val="24"/>
                <w:lang w:val="en-US" w:eastAsia="zh-CN"/>
              </w:rPr>
              <w:t>厂房原为宝塑管业生产车间，</w:t>
            </w:r>
            <w:r>
              <w:rPr>
                <w:rFonts w:ascii="宋体" w:hAnsi="宋体" w:eastAsia="宋体" w:cs="Arial"/>
                <w:color w:val="auto"/>
                <w:sz w:val="24"/>
              </w:rPr>
              <w:t>无化工、电镀、危废加工历史，</w:t>
            </w:r>
            <w:r>
              <w:rPr>
                <w:rFonts w:hint="eastAsia" w:ascii="宋体" w:hAnsi="宋体" w:eastAsia="宋体" w:cs="Arial"/>
                <w:color w:val="auto"/>
                <w:sz w:val="24"/>
                <w:lang w:val="en-US" w:eastAsia="zh-CN"/>
              </w:rPr>
              <w:t>场地硬化，</w:t>
            </w:r>
            <w:r>
              <w:rPr>
                <w:rFonts w:ascii="宋体" w:hAnsi="宋体" w:eastAsia="宋体" w:cs="Arial"/>
                <w:color w:val="auto"/>
                <w:sz w:val="24"/>
              </w:rPr>
              <w:t>无土壤地下水污染遗留</w:t>
            </w:r>
            <w:r>
              <w:rPr>
                <w:rFonts w:hint="eastAsia" w:ascii="宋体" w:hAnsi="宋体" w:eastAsia="宋体" w:cs="Arial"/>
                <w:color w:val="auto"/>
                <w:sz w:val="24"/>
                <w:lang w:eastAsia="zh-CN"/>
              </w:rPr>
              <w:t>，</w:t>
            </w:r>
            <w:r>
              <w:rPr>
                <w:rFonts w:hint="eastAsia"/>
                <w:color w:val="auto"/>
                <w:sz w:val="24"/>
                <w:szCs w:val="24"/>
                <w:lang w:val="en-US" w:eastAsia="zh-CN"/>
              </w:rPr>
              <w:t>厂内现状堆有杂物，由</w:t>
            </w:r>
            <w:r>
              <w:rPr>
                <w:rFonts w:hint="eastAsia"/>
                <w:color w:val="auto"/>
                <w:sz w:val="24"/>
                <w:szCs w:val="24"/>
                <w:lang w:eastAsia="zh-CN"/>
              </w:rPr>
              <w:t>云南宝塑塑料管业有限公司</w:t>
            </w:r>
            <w:r>
              <w:rPr>
                <w:rFonts w:hint="eastAsia"/>
                <w:color w:val="auto"/>
                <w:sz w:val="24"/>
                <w:szCs w:val="24"/>
                <w:lang w:val="en-US" w:eastAsia="zh-CN"/>
              </w:rPr>
              <w:t>清理完成后交付给建设单位，</w:t>
            </w:r>
            <w:r>
              <w:rPr>
                <w:rFonts w:hint="eastAsia"/>
                <w:color w:val="auto"/>
                <w:sz w:val="24"/>
                <w:szCs w:val="24"/>
              </w:rPr>
              <w:t>本项目仅</w:t>
            </w:r>
            <w:r>
              <w:rPr>
                <w:rFonts w:hint="eastAsia"/>
                <w:color w:val="auto"/>
                <w:sz w:val="24"/>
                <w:szCs w:val="24"/>
                <w:lang w:val="en-US" w:eastAsia="zh-CN"/>
              </w:rPr>
              <w:t>简单装修、</w:t>
            </w:r>
            <w:r>
              <w:rPr>
                <w:color w:val="auto"/>
                <w:sz w:val="24"/>
                <w:szCs w:val="24"/>
              </w:rPr>
              <w:t>安装设备后作为生产场所使用</w:t>
            </w:r>
            <w:r>
              <w:rPr>
                <w:rFonts w:hint="eastAsia"/>
                <w:color w:val="auto"/>
                <w:sz w:val="24"/>
                <w:szCs w:val="24"/>
              </w:rPr>
              <w:t>。</w:t>
            </w:r>
            <w:r>
              <w:rPr>
                <w:color w:val="auto"/>
                <w:sz w:val="24"/>
                <w:szCs w:val="24"/>
              </w:rPr>
              <w:t>根据现场踏勘及调查，</w:t>
            </w:r>
            <w:r>
              <w:rPr>
                <w:rFonts w:hint="eastAsia"/>
                <w:color w:val="auto"/>
                <w:sz w:val="24"/>
                <w:szCs w:val="24"/>
                <w:lang w:val="en-US" w:eastAsia="zh-CN"/>
              </w:rPr>
              <w:t>场地</w:t>
            </w:r>
            <w:r>
              <w:rPr>
                <w:rFonts w:hint="eastAsia"/>
                <w:color w:val="auto"/>
                <w:sz w:val="24"/>
                <w:szCs w:val="24"/>
              </w:rPr>
              <w:t>环保手续完善，无遗留环境问题</w:t>
            </w:r>
            <w:r>
              <w:rPr>
                <w:rFonts w:hint="eastAsia"/>
                <w:color w:val="auto"/>
                <w:sz w:val="24"/>
                <w:szCs w:val="24"/>
                <w:lang w:eastAsia="zh-CN"/>
              </w:rPr>
              <w:t>，</w:t>
            </w:r>
            <w:r>
              <w:rPr>
                <w:rFonts w:hint="eastAsia"/>
                <w:color w:val="auto"/>
                <w:sz w:val="24"/>
                <w:szCs w:val="24"/>
                <w:lang w:val="en-US" w:eastAsia="zh-CN"/>
              </w:rPr>
              <w:t>无与项目有关的原有环境污染问题</w:t>
            </w:r>
            <w:r>
              <w:rPr>
                <w:rFonts w:hint="eastAsia"/>
                <w:color w:val="auto"/>
                <w:sz w:val="24"/>
                <w:szCs w:val="24"/>
              </w:rPr>
              <w:t>。</w:t>
            </w:r>
          </w:p>
          <w:p>
            <w:pPr>
              <w:bidi w:val="0"/>
              <w:rPr>
                <w:color w:val="auto"/>
                <w:sz w:val="24"/>
                <w:szCs w:val="24"/>
              </w:rPr>
            </w:pPr>
          </w:p>
        </w:tc>
      </w:tr>
    </w:tbl>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outlineLvl w:val="0"/>
        <w:rPr>
          <w:rFonts w:ascii="Times New Roman" w:hAnsi="Times New Roman" w:eastAsia="黑体"/>
          <w:snapToGrid w:val="0"/>
          <w:color w:val="auto"/>
          <w:sz w:val="2"/>
          <w:szCs w:val="2"/>
        </w:rPr>
        <w:sectPr>
          <w:pgSz w:w="11907" w:h="16840"/>
          <w:pgMar w:top="1701" w:right="1531" w:bottom="2127" w:left="1531" w:header="851" w:footer="851" w:gutter="0"/>
          <w:cols w:space="720" w:num="1"/>
          <w:docGrid w:linePitch="312" w:charSpace="0"/>
        </w:sectPr>
      </w:pPr>
      <w:bookmarkStart w:id="17" w:name="_Toc163725975"/>
    </w:p>
    <w:p>
      <w:pPr>
        <w:pStyle w:val="20"/>
        <w:jc w:val="center"/>
        <w:outlineLvl w:val="0"/>
        <w:rPr>
          <w:rFonts w:ascii="Times New Roman" w:hAnsi="Times New Roman" w:eastAsia="黑体"/>
          <w:snapToGrid w:val="0"/>
          <w:color w:val="auto"/>
          <w:sz w:val="30"/>
          <w:szCs w:val="30"/>
        </w:rPr>
      </w:pPr>
      <w:r>
        <w:rPr>
          <w:rFonts w:ascii="Times New Roman" w:hAnsi="Times New Roman" w:eastAsia="黑体"/>
          <w:snapToGrid w:val="0"/>
          <w:color w:val="auto"/>
          <w:sz w:val="30"/>
          <w:szCs w:val="30"/>
        </w:rPr>
        <w:t>三、区域环境质量现状、环境保护目标及评价标准</w:t>
      </w:r>
      <w:bookmarkEnd w:id="17"/>
    </w:p>
    <w:tbl>
      <w:tblPr>
        <w:tblStyle w:val="2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80"/>
        <w:gridCol w:w="858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pPr>
              <w:adjustRightInd w:val="0"/>
              <w:snapToGrid w:val="0"/>
              <w:jc w:val="center"/>
              <w:rPr>
                <w:color w:val="auto"/>
                <w:kern w:val="0"/>
                <w:szCs w:val="21"/>
              </w:rPr>
            </w:pPr>
            <w:r>
              <w:rPr>
                <w:color w:val="auto"/>
                <w:kern w:val="0"/>
                <w:szCs w:val="21"/>
              </w:rPr>
              <w:t>区域</w:t>
            </w:r>
          </w:p>
          <w:p>
            <w:pPr>
              <w:adjustRightInd w:val="0"/>
              <w:snapToGrid w:val="0"/>
              <w:jc w:val="center"/>
              <w:rPr>
                <w:color w:val="auto"/>
                <w:kern w:val="0"/>
                <w:szCs w:val="21"/>
              </w:rPr>
            </w:pPr>
            <w:r>
              <w:rPr>
                <w:color w:val="auto"/>
                <w:kern w:val="0"/>
                <w:szCs w:val="21"/>
              </w:rPr>
              <w:t>环境</w:t>
            </w:r>
          </w:p>
          <w:p>
            <w:pPr>
              <w:adjustRightInd w:val="0"/>
              <w:snapToGrid w:val="0"/>
              <w:jc w:val="center"/>
              <w:rPr>
                <w:color w:val="auto"/>
                <w:kern w:val="0"/>
                <w:szCs w:val="21"/>
              </w:rPr>
            </w:pPr>
            <w:r>
              <w:rPr>
                <w:color w:val="auto"/>
                <w:kern w:val="0"/>
                <w:szCs w:val="21"/>
              </w:rPr>
              <w:t>质量</w:t>
            </w:r>
          </w:p>
          <w:p>
            <w:pPr>
              <w:adjustRightInd w:val="0"/>
              <w:snapToGrid w:val="0"/>
              <w:jc w:val="center"/>
              <w:rPr>
                <w:color w:val="auto"/>
                <w:kern w:val="0"/>
                <w:szCs w:val="21"/>
              </w:rPr>
            </w:pPr>
            <w:r>
              <w:rPr>
                <w:color w:val="auto"/>
                <w:kern w:val="0"/>
                <w:szCs w:val="21"/>
              </w:rPr>
              <w:t>现状</w:t>
            </w:r>
          </w:p>
        </w:tc>
        <w:tc>
          <w:tcPr>
            <w:tcW w:w="0" w:type="auto"/>
            <w:vAlign w:val="center"/>
          </w:tcPr>
          <w:p>
            <w:pPr>
              <w:spacing w:line="360" w:lineRule="auto"/>
              <w:ind w:firstLine="442" w:firstLineChars="200"/>
              <w:rPr>
                <w:b/>
                <w:color w:val="auto"/>
                <w:sz w:val="24"/>
                <w:szCs w:val="24"/>
              </w:rPr>
            </w:pPr>
            <w:r>
              <w:rPr>
                <w:b/>
                <w:color w:val="auto"/>
                <w:sz w:val="22"/>
                <w:szCs w:val="22"/>
              </w:rPr>
              <w:t>1</w:t>
            </w:r>
            <w:r>
              <w:rPr>
                <w:b/>
                <w:color w:val="auto"/>
                <w:sz w:val="24"/>
                <w:szCs w:val="24"/>
              </w:rPr>
              <w:t>、环境空气质量现状</w:t>
            </w:r>
          </w:p>
          <w:p>
            <w:pPr>
              <w:adjustRightInd w:val="0"/>
              <w:snapToGrid w:val="0"/>
              <w:spacing w:line="360" w:lineRule="auto"/>
              <w:ind w:firstLine="480" w:firstLineChars="200"/>
              <w:rPr>
                <w:color w:val="auto"/>
                <w:sz w:val="24"/>
                <w:szCs w:val="24"/>
              </w:rPr>
            </w:pPr>
            <w:r>
              <w:rPr>
                <w:rStyle w:val="40"/>
                <w:color w:val="auto"/>
                <w:sz w:val="24"/>
                <w:szCs w:val="24"/>
              </w:rPr>
              <w:t>本项目建设</w:t>
            </w:r>
            <w:r>
              <w:rPr>
                <w:color w:val="auto"/>
                <w:sz w:val="24"/>
                <w:szCs w:val="24"/>
              </w:rPr>
              <w:t>地点位于</w:t>
            </w:r>
            <w:r>
              <w:rPr>
                <w:rFonts w:hint="eastAsia"/>
                <w:color w:val="auto"/>
                <w:sz w:val="24"/>
                <w:szCs w:val="24"/>
                <w:lang w:eastAsia="zh-CN"/>
              </w:rPr>
              <w:t>云南省昆明市宜良产业园区云南宝塑塑料管业有限公司厂房内</w:t>
            </w:r>
            <w:r>
              <w:rPr>
                <w:rFonts w:hint="eastAsia"/>
                <w:color w:val="auto"/>
                <w:sz w:val="24"/>
                <w:szCs w:val="24"/>
              </w:rPr>
              <w:t>，</w:t>
            </w:r>
            <w:r>
              <w:rPr>
                <w:color w:val="auto"/>
                <w:sz w:val="24"/>
                <w:szCs w:val="24"/>
              </w:rPr>
              <w:t>区域环境空气质量功能区划为二类区</w:t>
            </w:r>
            <w:r>
              <w:rPr>
                <w:rStyle w:val="40"/>
                <w:color w:val="auto"/>
                <w:sz w:val="24"/>
                <w:szCs w:val="24"/>
              </w:rPr>
              <w:t>，执行《环境空气质量标准》（GB3095-20</w:t>
            </w:r>
            <w:r>
              <w:rPr>
                <w:rStyle w:val="40"/>
                <w:rFonts w:hint="eastAsia"/>
                <w:color w:val="auto"/>
                <w:sz w:val="24"/>
                <w:szCs w:val="24"/>
                <w:lang w:val="en-US" w:eastAsia="zh-CN"/>
              </w:rPr>
              <w:t>26</w:t>
            </w:r>
            <w:r>
              <w:rPr>
                <w:rStyle w:val="40"/>
                <w:color w:val="auto"/>
                <w:sz w:val="24"/>
                <w:szCs w:val="24"/>
              </w:rPr>
              <w:t>）</w:t>
            </w:r>
            <w:r>
              <w:rPr>
                <w:rStyle w:val="40"/>
                <w:rFonts w:hint="eastAsia"/>
                <w:color w:val="auto"/>
                <w:sz w:val="24"/>
                <w:szCs w:val="24"/>
                <w:lang w:val="en-US" w:eastAsia="zh-CN"/>
              </w:rPr>
              <w:t>过渡阶段二级</w:t>
            </w:r>
            <w:r>
              <w:rPr>
                <w:rStyle w:val="40"/>
                <w:color w:val="auto"/>
                <w:sz w:val="24"/>
                <w:szCs w:val="24"/>
              </w:rPr>
              <w:t>标准。</w:t>
            </w:r>
          </w:p>
          <w:p>
            <w:pPr>
              <w:adjustRightInd w:val="0"/>
              <w:snapToGrid w:val="0"/>
              <w:spacing w:line="360" w:lineRule="auto"/>
              <w:ind w:firstLine="482" w:firstLineChars="200"/>
              <w:rPr>
                <w:bCs/>
                <w:color w:val="auto"/>
                <w:kern w:val="1"/>
                <w:sz w:val="24"/>
                <w:szCs w:val="24"/>
              </w:rPr>
            </w:pPr>
            <w:r>
              <w:rPr>
                <w:b/>
                <w:color w:val="auto"/>
                <w:kern w:val="0"/>
                <w:sz w:val="24"/>
                <w:szCs w:val="24"/>
                <w:lang w:bidi="ar"/>
              </w:rPr>
              <w:t>（1）</w:t>
            </w:r>
            <w:r>
              <w:rPr>
                <w:b/>
                <w:color w:val="auto"/>
                <w:sz w:val="24"/>
                <w:szCs w:val="24"/>
              </w:rPr>
              <w:t>基本污染物环境质量现状</w:t>
            </w:r>
          </w:p>
          <w:p>
            <w:pPr>
              <w:adjustRightInd w:val="0"/>
              <w:snapToGrid w:val="0"/>
              <w:spacing w:line="360" w:lineRule="auto"/>
              <w:ind w:firstLine="480" w:firstLineChars="200"/>
              <w:rPr>
                <w:color w:val="auto"/>
                <w:sz w:val="24"/>
                <w:szCs w:val="24"/>
              </w:rPr>
            </w:pPr>
            <w:r>
              <w:rPr>
                <w:color w:val="auto"/>
                <w:sz w:val="24"/>
                <w:szCs w:val="24"/>
              </w:rPr>
              <w:t>根据《202</w:t>
            </w:r>
            <w:r>
              <w:rPr>
                <w:rFonts w:hint="eastAsia"/>
                <w:color w:val="auto"/>
                <w:sz w:val="24"/>
                <w:szCs w:val="24"/>
              </w:rPr>
              <w:t>4</w:t>
            </w:r>
            <w:r>
              <w:rPr>
                <w:color w:val="auto"/>
                <w:sz w:val="24"/>
                <w:szCs w:val="24"/>
              </w:rPr>
              <w:t>年度昆明市生态环境状况公报》，202</w:t>
            </w:r>
            <w:r>
              <w:rPr>
                <w:rFonts w:hint="eastAsia"/>
                <w:color w:val="auto"/>
                <w:sz w:val="24"/>
                <w:szCs w:val="24"/>
              </w:rPr>
              <w:t>4</w:t>
            </w:r>
            <w:r>
              <w:rPr>
                <w:color w:val="auto"/>
                <w:sz w:val="24"/>
                <w:szCs w:val="24"/>
              </w:rPr>
              <w:t>年昆明市各县（市）</w:t>
            </w:r>
            <w:r>
              <w:rPr>
                <w:rFonts w:hint="eastAsia"/>
                <w:color w:val="auto"/>
                <w:sz w:val="24"/>
                <w:szCs w:val="24"/>
              </w:rPr>
              <w:t>、</w:t>
            </w:r>
            <w:r>
              <w:rPr>
                <w:color w:val="auto"/>
                <w:sz w:val="24"/>
                <w:szCs w:val="24"/>
              </w:rPr>
              <w:t>区环境空气质量总体保持良好</w:t>
            </w:r>
            <w:r>
              <w:rPr>
                <w:rFonts w:hint="eastAsia"/>
                <w:color w:val="auto"/>
                <w:sz w:val="24"/>
                <w:szCs w:val="24"/>
              </w:rPr>
              <w:t>，各项污染物平均浓度均达到《环境空气质量标准》（GB3095-2012）二级标准；空气优良天数比例范围为</w:t>
            </w:r>
            <w:r>
              <w:rPr>
                <w:rFonts w:hint="eastAsia"/>
                <w:color w:val="auto"/>
                <w:sz w:val="24"/>
                <w:szCs w:val="24"/>
                <w:lang w:eastAsia="zh-CN"/>
              </w:rPr>
              <w:t>97.50%～100%</w:t>
            </w:r>
            <w:r>
              <w:rPr>
                <w:rFonts w:hint="eastAsia"/>
                <w:color w:val="auto"/>
                <w:sz w:val="24"/>
                <w:szCs w:val="24"/>
              </w:rPr>
              <w:t>，与2023年相比，项目所在地宜良县空气优良天数比例提高。</w:t>
            </w:r>
            <w:r>
              <w:rPr>
                <w:color w:val="auto"/>
                <w:kern w:val="0"/>
                <w:sz w:val="24"/>
                <w:szCs w:val="24"/>
              </w:rPr>
              <w:t>项目所在区域</w:t>
            </w:r>
            <w:r>
              <w:rPr>
                <w:color w:val="auto"/>
                <w:sz w:val="24"/>
                <w:szCs w:val="24"/>
              </w:rPr>
              <w:t>属于环境空气质量达标区</w:t>
            </w:r>
            <w:r>
              <w:rPr>
                <w:color w:val="auto"/>
                <w:kern w:val="0"/>
                <w:sz w:val="24"/>
                <w:szCs w:val="24"/>
              </w:rPr>
              <w:t>。</w:t>
            </w:r>
          </w:p>
          <w:p>
            <w:pPr>
              <w:widowControl/>
              <w:numPr>
                <w:ilvl w:val="0"/>
                <w:numId w:val="4"/>
              </w:numPr>
              <w:spacing w:line="360" w:lineRule="auto"/>
              <w:ind w:firstLine="482" w:firstLineChars="200"/>
              <w:rPr>
                <w:b/>
                <w:color w:val="auto"/>
                <w:sz w:val="24"/>
                <w:szCs w:val="24"/>
              </w:rPr>
            </w:pPr>
            <w:r>
              <w:rPr>
                <w:b/>
                <w:color w:val="auto"/>
                <w:sz w:val="24"/>
                <w:szCs w:val="24"/>
              </w:rPr>
              <w:t>其他污染物引用监测</w:t>
            </w:r>
          </w:p>
          <w:p>
            <w:pPr>
              <w:widowControl/>
              <w:numPr>
                <w:ilvl w:val="0"/>
                <w:numId w:val="0"/>
              </w:numPr>
              <w:spacing w:line="360" w:lineRule="auto"/>
              <w:ind w:firstLine="480" w:firstLineChars="200"/>
              <w:rPr>
                <w:color w:val="auto"/>
                <w:kern w:val="0"/>
                <w:sz w:val="24"/>
                <w:szCs w:val="24"/>
              </w:rPr>
            </w:pPr>
            <w:r>
              <w:rPr>
                <w:color w:val="auto"/>
                <w:kern w:val="0"/>
                <w:sz w:val="24"/>
                <w:szCs w:val="24"/>
              </w:rPr>
              <w:t>根据《建设项目环境影响报告表编制技术指南（污染影响类）</w:t>
            </w:r>
            <w:r>
              <w:rPr>
                <w:rFonts w:hint="eastAsia"/>
                <w:color w:val="auto"/>
                <w:kern w:val="0"/>
                <w:sz w:val="24"/>
                <w:szCs w:val="24"/>
                <w:lang w:eastAsia="zh-CN"/>
              </w:rPr>
              <w:t>（试行）》</w:t>
            </w:r>
            <w:r>
              <w:rPr>
                <w:color w:val="auto"/>
                <w:kern w:val="0"/>
                <w:sz w:val="24"/>
                <w:szCs w:val="24"/>
              </w:rPr>
              <w:t>：排放国家、地方环境空气质量标准中有标准限值要求的特征污染物时，引用建设项目周边5km范围内近3年的现有监测数据，无相关数据的选择当季主导风向下风向1个点位补充不少于3天的监测数据。结合项目实际，本项目特征污染物为TSP</w:t>
            </w:r>
            <w:r>
              <w:rPr>
                <w:rFonts w:hint="eastAsia"/>
                <w:color w:val="auto"/>
                <w:kern w:val="0"/>
                <w:sz w:val="24"/>
                <w:szCs w:val="24"/>
              </w:rPr>
              <w:t>、非甲烷总烃</w:t>
            </w:r>
            <w:r>
              <w:rPr>
                <w:color w:val="auto"/>
                <w:kern w:val="0"/>
                <w:sz w:val="24"/>
                <w:szCs w:val="24"/>
              </w:rPr>
              <w:t>。</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b/>
                <w:color w:val="auto"/>
                <w:kern w:val="0"/>
                <w:sz w:val="24"/>
                <w:szCs w:val="24"/>
              </w:rPr>
            </w:pPr>
            <w:r>
              <w:rPr>
                <w:color w:val="auto"/>
                <w:kern w:val="0"/>
                <w:sz w:val="24"/>
                <w:szCs w:val="24"/>
              </w:rPr>
              <w:t>本次评价</w:t>
            </w:r>
            <w:r>
              <w:rPr>
                <w:rFonts w:hint="eastAsia"/>
                <w:color w:val="auto"/>
                <w:kern w:val="0"/>
                <w:sz w:val="24"/>
                <w:szCs w:val="24"/>
                <w:lang w:val="en-US" w:eastAsia="zh-CN"/>
              </w:rPr>
              <w:t>TSP引用位于项目</w:t>
            </w:r>
            <w:r>
              <w:rPr>
                <w:color w:val="auto"/>
                <w:kern w:val="0"/>
                <w:sz w:val="24"/>
                <w:szCs w:val="24"/>
              </w:rPr>
              <w:t>（厂界</w:t>
            </w:r>
            <w:r>
              <w:rPr>
                <w:rFonts w:hint="eastAsia"/>
                <w:color w:val="auto"/>
                <w:kern w:val="0"/>
                <w:sz w:val="24"/>
                <w:szCs w:val="24"/>
                <w:lang w:val="en-US" w:eastAsia="zh-CN"/>
              </w:rPr>
              <w:t>侧风</w:t>
            </w:r>
            <w:r>
              <w:rPr>
                <w:color w:val="auto"/>
                <w:kern w:val="0"/>
                <w:sz w:val="24"/>
                <w:szCs w:val="24"/>
              </w:rPr>
              <w:t>向）约</w:t>
            </w:r>
            <w:r>
              <w:rPr>
                <w:rFonts w:hint="eastAsia"/>
                <w:color w:val="auto"/>
                <w:kern w:val="0"/>
                <w:sz w:val="24"/>
                <w:szCs w:val="24"/>
                <w:lang w:val="en-US" w:eastAsia="zh-CN"/>
              </w:rPr>
              <w:t>650</w:t>
            </w:r>
            <w:r>
              <w:rPr>
                <w:color w:val="auto"/>
                <w:kern w:val="0"/>
                <w:sz w:val="24"/>
                <w:szCs w:val="24"/>
              </w:rPr>
              <w:t>m处</w:t>
            </w:r>
            <w:r>
              <w:rPr>
                <w:rFonts w:hint="eastAsia"/>
                <w:color w:val="auto"/>
                <w:kern w:val="0"/>
                <w:sz w:val="24"/>
                <w:szCs w:val="24"/>
                <w:lang w:val="en-US" w:eastAsia="zh-CN"/>
              </w:rPr>
              <w:t>的</w:t>
            </w:r>
            <w:r>
              <w:rPr>
                <w:color w:val="auto"/>
                <w:kern w:val="0"/>
                <w:sz w:val="24"/>
                <w:szCs w:val="24"/>
              </w:rPr>
              <w:t>《云南巨路环保科技有限公司</w:t>
            </w:r>
            <w:r>
              <w:rPr>
                <w:bCs/>
                <w:color w:val="auto"/>
                <w:sz w:val="24"/>
                <w:szCs w:val="24"/>
              </w:rPr>
              <w:t>废旧家电拆解生产线扩能升级改造项目环境影响报告表</w:t>
            </w:r>
            <w:r>
              <w:rPr>
                <w:color w:val="auto"/>
                <w:kern w:val="0"/>
                <w:sz w:val="24"/>
                <w:szCs w:val="24"/>
              </w:rPr>
              <w:t>》</w:t>
            </w:r>
            <w:r>
              <w:rPr>
                <w:rFonts w:hint="eastAsia"/>
                <w:color w:val="auto"/>
                <w:kern w:val="0"/>
                <w:sz w:val="24"/>
                <w:szCs w:val="24"/>
                <w:lang w:val="en-US" w:eastAsia="zh-CN"/>
              </w:rPr>
              <w:t>现状监测数据</w:t>
            </w:r>
            <w:r>
              <w:rPr>
                <w:rFonts w:hint="eastAsia"/>
                <w:color w:val="auto"/>
                <w:kern w:val="0"/>
                <w:sz w:val="24"/>
                <w:szCs w:val="24"/>
              </w:rPr>
              <w:t>、</w:t>
            </w:r>
            <w:r>
              <w:rPr>
                <w:rFonts w:hint="eastAsia"/>
                <w:color w:val="auto"/>
                <w:kern w:val="0"/>
                <w:sz w:val="24"/>
                <w:szCs w:val="24"/>
                <w:lang w:val="en-US" w:eastAsia="zh-CN"/>
              </w:rPr>
              <w:t>非甲烷总烃现状引用位于</w:t>
            </w:r>
            <w:r>
              <w:rPr>
                <w:color w:val="auto"/>
                <w:kern w:val="0"/>
                <w:sz w:val="24"/>
                <w:szCs w:val="24"/>
              </w:rPr>
              <w:t>项目</w:t>
            </w:r>
            <w:r>
              <w:rPr>
                <w:rFonts w:hint="eastAsia"/>
                <w:color w:val="auto"/>
                <w:kern w:val="0"/>
                <w:sz w:val="24"/>
                <w:szCs w:val="24"/>
              </w:rPr>
              <w:t>东北侧</w:t>
            </w:r>
            <w:r>
              <w:rPr>
                <w:color w:val="auto"/>
                <w:kern w:val="0"/>
                <w:sz w:val="24"/>
                <w:szCs w:val="24"/>
              </w:rPr>
              <w:t>（厂界</w:t>
            </w:r>
            <w:r>
              <w:rPr>
                <w:rFonts w:hint="eastAsia"/>
                <w:color w:val="auto"/>
                <w:kern w:val="0"/>
                <w:sz w:val="24"/>
                <w:szCs w:val="24"/>
              </w:rPr>
              <w:t>下</w:t>
            </w:r>
            <w:r>
              <w:rPr>
                <w:color w:val="auto"/>
                <w:kern w:val="0"/>
                <w:sz w:val="24"/>
                <w:szCs w:val="24"/>
              </w:rPr>
              <w:t>风向）</w:t>
            </w:r>
            <w:r>
              <w:rPr>
                <w:rFonts w:hint="eastAsia"/>
                <w:color w:val="auto"/>
                <w:kern w:val="0"/>
                <w:sz w:val="24"/>
                <w:szCs w:val="24"/>
              </w:rPr>
              <w:t>1</w:t>
            </w:r>
            <w:r>
              <w:rPr>
                <w:rFonts w:hint="eastAsia"/>
                <w:color w:val="auto"/>
                <w:kern w:val="0"/>
                <w:sz w:val="24"/>
                <w:szCs w:val="24"/>
                <w:lang w:val="en-US" w:eastAsia="zh-CN"/>
              </w:rPr>
              <w:t>570</w:t>
            </w:r>
            <w:r>
              <w:rPr>
                <w:color w:val="auto"/>
                <w:kern w:val="0"/>
                <w:sz w:val="24"/>
                <w:szCs w:val="24"/>
              </w:rPr>
              <w:t>m处</w:t>
            </w:r>
            <w:r>
              <w:rPr>
                <w:rFonts w:hint="eastAsia"/>
                <w:color w:val="auto"/>
                <w:kern w:val="0"/>
                <w:sz w:val="24"/>
                <w:szCs w:val="24"/>
              </w:rPr>
              <w:t>《云南智丰塑业科技有限公司年产1万吨塑料制品生产线项目环境影响报告表》</w:t>
            </w:r>
            <w:r>
              <w:rPr>
                <w:color w:val="auto"/>
                <w:kern w:val="0"/>
                <w:sz w:val="24"/>
                <w:szCs w:val="24"/>
              </w:rPr>
              <w:t>中监测数据进行环境空气质量分析</w:t>
            </w:r>
            <w:r>
              <w:rPr>
                <w:rFonts w:hint="eastAsia"/>
                <w:color w:val="auto"/>
                <w:kern w:val="0"/>
                <w:sz w:val="24"/>
                <w:szCs w:val="24"/>
              </w:rPr>
              <w:t>，</w:t>
            </w:r>
            <w:r>
              <w:rPr>
                <w:color w:val="auto"/>
                <w:kern w:val="0"/>
                <w:sz w:val="24"/>
                <w:szCs w:val="24"/>
              </w:rPr>
              <w:t>引用的监测数据属于近3年</w:t>
            </w:r>
            <w:r>
              <w:rPr>
                <w:rFonts w:hint="eastAsia"/>
                <w:color w:val="auto"/>
                <w:kern w:val="0"/>
                <w:sz w:val="24"/>
                <w:szCs w:val="24"/>
                <w:lang w:eastAsia="zh-CN"/>
              </w:rPr>
              <w:t>、</w:t>
            </w:r>
            <w:r>
              <w:rPr>
                <w:color w:val="auto"/>
                <w:kern w:val="0"/>
                <w:sz w:val="24"/>
                <w:szCs w:val="24"/>
              </w:rPr>
              <w:t>周边5km范围内监测数据。根据现场踏勘，引用的监测点位周边情况与本项目周边环境相似，监测点和本项目周围环境现状大部分区域未发生明显变化，因此本次引用的大气环境监测结果具有较好的可参考性</w:t>
            </w:r>
            <w:r>
              <w:rPr>
                <w:rFonts w:hint="eastAsia"/>
                <w:color w:val="auto"/>
                <w:kern w:val="0"/>
                <w:sz w:val="24"/>
                <w:szCs w:val="24"/>
              </w:rPr>
              <w:t>。</w:t>
            </w:r>
          </w:p>
          <w:p>
            <w:pPr>
              <w:keepNext w:val="0"/>
              <w:keepLines w:val="0"/>
              <w:pageBreakBefore w:val="0"/>
              <w:widowControl w:val="0"/>
              <w:kinsoku/>
              <w:wordWrap/>
              <w:overflowPunct/>
              <w:topLinePunct w:val="0"/>
              <w:autoSpaceDE/>
              <w:autoSpaceDN/>
              <w:bidi w:val="0"/>
              <w:adjustRightInd w:val="0"/>
              <w:snapToGrid w:val="0"/>
              <w:jc w:val="center"/>
              <w:textAlignment w:val="auto"/>
              <w:rPr>
                <w:b/>
                <w:bCs/>
                <w:color w:val="auto"/>
                <w:sz w:val="24"/>
                <w:szCs w:val="24"/>
              </w:rPr>
            </w:pPr>
          </w:p>
          <w:p>
            <w:pPr>
              <w:keepNext w:val="0"/>
              <w:keepLines w:val="0"/>
              <w:pageBreakBefore w:val="0"/>
              <w:widowControl w:val="0"/>
              <w:kinsoku/>
              <w:wordWrap/>
              <w:overflowPunct/>
              <w:topLinePunct w:val="0"/>
              <w:autoSpaceDE/>
              <w:autoSpaceDN/>
              <w:bidi w:val="0"/>
              <w:adjustRightInd w:val="0"/>
              <w:snapToGrid w:val="0"/>
              <w:jc w:val="center"/>
              <w:textAlignment w:val="auto"/>
              <w:rPr>
                <w:b/>
                <w:bCs/>
                <w:color w:val="auto"/>
                <w:sz w:val="24"/>
                <w:szCs w:val="24"/>
              </w:rPr>
            </w:pPr>
          </w:p>
          <w:p>
            <w:pPr>
              <w:keepNext w:val="0"/>
              <w:keepLines w:val="0"/>
              <w:pageBreakBefore w:val="0"/>
              <w:widowControl w:val="0"/>
              <w:kinsoku/>
              <w:wordWrap/>
              <w:overflowPunct/>
              <w:topLinePunct w:val="0"/>
              <w:autoSpaceDE/>
              <w:autoSpaceDN/>
              <w:bidi w:val="0"/>
              <w:adjustRightInd w:val="0"/>
              <w:snapToGrid w:val="0"/>
              <w:jc w:val="center"/>
              <w:textAlignment w:val="auto"/>
              <w:rPr>
                <w:color w:val="auto"/>
                <w:kern w:val="0"/>
                <w:sz w:val="24"/>
                <w:szCs w:val="24"/>
              </w:rPr>
            </w:pPr>
            <w:r>
              <w:rPr>
                <w:b/>
                <w:bCs/>
                <w:color w:val="auto"/>
                <w:sz w:val="24"/>
                <w:szCs w:val="24"/>
              </w:rPr>
              <w:t>表3-</w:t>
            </w:r>
            <w:r>
              <w:rPr>
                <w:rFonts w:hint="eastAsia"/>
                <w:b/>
                <w:bCs/>
                <w:color w:val="auto"/>
                <w:sz w:val="24"/>
                <w:szCs w:val="24"/>
              </w:rPr>
              <w:t>1</w:t>
            </w:r>
            <w:r>
              <w:rPr>
                <w:b/>
                <w:bCs/>
                <w:color w:val="auto"/>
                <w:sz w:val="24"/>
                <w:szCs w:val="24"/>
              </w:rPr>
              <w:t xml:space="preserve">  引用</w:t>
            </w:r>
            <w:r>
              <w:rPr>
                <w:b/>
                <w:color w:val="auto"/>
                <w:sz w:val="24"/>
                <w:szCs w:val="24"/>
              </w:rPr>
              <w:t>监测结果一览表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259"/>
              <w:gridCol w:w="729"/>
              <w:gridCol w:w="876"/>
              <w:gridCol w:w="1296"/>
              <w:gridCol w:w="1097"/>
              <w:gridCol w:w="1308"/>
              <w:gridCol w:w="868"/>
              <w:gridCol w:w="9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4" w:hRule="atLeast"/>
                <w:jc w:val="center"/>
              </w:trPr>
              <w:tc>
                <w:tcPr>
                  <w:tcW w:w="753" w:type="pct"/>
                  <w:vAlign w:val="center"/>
                </w:tcPr>
                <w:p>
                  <w:pPr>
                    <w:adjustRightInd w:val="0"/>
                    <w:snapToGrid w:val="0"/>
                    <w:jc w:val="center"/>
                    <w:rPr>
                      <w:b/>
                      <w:bCs/>
                      <w:color w:val="auto"/>
                      <w:szCs w:val="21"/>
                    </w:rPr>
                  </w:pPr>
                  <w:r>
                    <w:rPr>
                      <w:rFonts w:hint="eastAsia"/>
                      <w:b/>
                      <w:bCs/>
                      <w:color w:val="auto"/>
                      <w:szCs w:val="21"/>
                      <w:lang w:eastAsia="zh-CN"/>
                    </w:rPr>
                    <w:t>监测点位</w:t>
                  </w:r>
                  <w:r>
                    <w:rPr>
                      <w:b/>
                      <w:bCs/>
                      <w:color w:val="auto"/>
                      <w:szCs w:val="21"/>
                    </w:rPr>
                    <w:t>名称</w:t>
                  </w:r>
                </w:p>
              </w:tc>
              <w:tc>
                <w:tcPr>
                  <w:tcW w:w="436" w:type="pct"/>
                  <w:vAlign w:val="center"/>
                </w:tcPr>
                <w:p>
                  <w:pPr>
                    <w:adjustRightInd w:val="0"/>
                    <w:snapToGrid w:val="0"/>
                    <w:jc w:val="center"/>
                    <w:rPr>
                      <w:b/>
                      <w:bCs/>
                      <w:color w:val="auto"/>
                      <w:szCs w:val="21"/>
                    </w:rPr>
                  </w:pPr>
                  <w:r>
                    <w:rPr>
                      <w:b/>
                      <w:bCs/>
                      <w:color w:val="auto"/>
                      <w:szCs w:val="21"/>
                    </w:rPr>
                    <w:t>污染物</w:t>
                  </w:r>
                </w:p>
              </w:tc>
              <w:tc>
                <w:tcPr>
                  <w:tcW w:w="524" w:type="pct"/>
                  <w:vAlign w:val="center"/>
                </w:tcPr>
                <w:p>
                  <w:pPr>
                    <w:adjustRightInd w:val="0"/>
                    <w:snapToGrid w:val="0"/>
                    <w:jc w:val="center"/>
                    <w:rPr>
                      <w:b/>
                      <w:bCs/>
                      <w:color w:val="auto"/>
                      <w:szCs w:val="21"/>
                    </w:rPr>
                  </w:pPr>
                  <w:r>
                    <w:rPr>
                      <w:b/>
                      <w:bCs/>
                      <w:color w:val="auto"/>
                      <w:szCs w:val="21"/>
                    </w:rPr>
                    <w:t>监测时段</w:t>
                  </w:r>
                </w:p>
              </w:tc>
              <w:tc>
                <w:tcPr>
                  <w:tcW w:w="775" w:type="pct"/>
                  <w:vAlign w:val="center"/>
                </w:tcPr>
                <w:p>
                  <w:pPr>
                    <w:adjustRightInd w:val="0"/>
                    <w:snapToGrid w:val="0"/>
                    <w:jc w:val="center"/>
                    <w:rPr>
                      <w:b/>
                      <w:bCs/>
                      <w:color w:val="auto"/>
                      <w:szCs w:val="21"/>
                    </w:rPr>
                  </w:pPr>
                  <w:r>
                    <w:rPr>
                      <w:b/>
                      <w:bCs/>
                      <w:color w:val="auto"/>
                      <w:szCs w:val="21"/>
                    </w:rPr>
                    <w:t>浓度范围（µg/m³）</w:t>
                  </w:r>
                </w:p>
              </w:tc>
              <w:tc>
                <w:tcPr>
                  <w:tcW w:w="656" w:type="pct"/>
                  <w:vAlign w:val="center"/>
                </w:tcPr>
                <w:p>
                  <w:pPr>
                    <w:adjustRightInd w:val="0"/>
                    <w:snapToGrid w:val="0"/>
                    <w:jc w:val="center"/>
                    <w:rPr>
                      <w:b/>
                      <w:bCs/>
                      <w:color w:val="auto"/>
                      <w:szCs w:val="21"/>
                    </w:rPr>
                  </w:pPr>
                  <w:r>
                    <w:rPr>
                      <w:b/>
                      <w:bCs/>
                      <w:color w:val="auto"/>
                      <w:szCs w:val="21"/>
                    </w:rPr>
                    <w:t>标准值（µg/m³）</w:t>
                  </w:r>
                </w:p>
              </w:tc>
              <w:tc>
                <w:tcPr>
                  <w:tcW w:w="782" w:type="pct"/>
                  <w:vAlign w:val="center"/>
                </w:tcPr>
                <w:p>
                  <w:pPr>
                    <w:adjustRightInd w:val="0"/>
                    <w:snapToGrid w:val="0"/>
                    <w:jc w:val="center"/>
                    <w:rPr>
                      <w:b/>
                      <w:bCs/>
                      <w:color w:val="auto"/>
                      <w:szCs w:val="21"/>
                    </w:rPr>
                  </w:pPr>
                  <w:r>
                    <w:rPr>
                      <w:b/>
                      <w:bCs/>
                      <w:color w:val="auto"/>
                      <w:szCs w:val="21"/>
                    </w:rPr>
                    <w:t>最大浓度占标率（%）</w:t>
                  </w:r>
                </w:p>
              </w:tc>
              <w:tc>
                <w:tcPr>
                  <w:tcW w:w="519" w:type="pct"/>
                  <w:vAlign w:val="center"/>
                </w:tcPr>
                <w:p>
                  <w:pPr>
                    <w:adjustRightInd w:val="0"/>
                    <w:snapToGrid w:val="0"/>
                    <w:jc w:val="center"/>
                    <w:rPr>
                      <w:b/>
                      <w:bCs/>
                      <w:color w:val="auto"/>
                      <w:szCs w:val="21"/>
                    </w:rPr>
                  </w:pPr>
                  <w:r>
                    <w:rPr>
                      <w:b/>
                      <w:bCs/>
                      <w:color w:val="auto"/>
                      <w:szCs w:val="21"/>
                    </w:rPr>
                    <w:t>超标率（%）</w:t>
                  </w:r>
                </w:p>
              </w:tc>
              <w:tc>
                <w:tcPr>
                  <w:tcW w:w="551" w:type="pct"/>
                  <w:vAlign w:val="center"/>
                </w:tcPr>
                <w:p>
                  <w:pPr>
                    <w:adjustRightInd w:val="0"/>
                    <w:snapToGrid w:val="0"/>
                    <w:jc w:val="center"/>
                    <w:rPr>
                      <w:b/>
                      <w:bCs/>
                      <w:color w:val="auto"/>
                      <w:szCs w:val="21"/>
                    </w:rPr>
                  </w:pPr>
                  <w:r>
                    <w:rPr>
                      <w:b/>
                      <w:bCs/>
                      <w:color w:val="auto"/>
                      <w:szCs w:val="21"/>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1" w:hRule="atLeast"/>
                <w:jc w:val="center"/>
              </w:trPr>
              <w:tc>
                <w:tcPr>
                  <w:tcW w:w="753" w:type="pct"/>
                  <w:vAlign w:val="center"/>
                </w:tcPr>
                <w:p>
                  <w:pPr>
                    <w:adjustRightInd w:val="0"/>
                    <w:snapToGrid w:val="0"/>
                    <w:jc w:val="center"/>
                    <w:rPr>
                      <w:color w:val="auto"/>
                      <w:szCs w:val="21"/>
                    </w:rPr>
                  </w:pPr>
                  <w:r>
                    <w:rPr>
                      <w:color w:val="auto"/>
                      <w:kern w:val="0"/>
                      <w:szCs w:val="21"/>
                    </w:rPr>
                    <w:t>巨路环保厂址下风向</w:t>
                  </w:r>
                </w:p>
              </w:tc>
              <w:tc>
                <w:tcPr>
                  <w:tcW w:w="436" w:type="pct"/>
                  <w:vAlign w:val="center"/>
                </w:tcPr>
                <w:p>
                  <w:pPr>
                    <w:adjustRightInd w:val="0"/>
                    <w:snapToGrid w:val="0"/>
                    <w:jc w:val="center"/>
                    <w:rPr>
                      <w:color w:val="auto"/>
                      <w:szCs w:val="21"/>
                    </w:rPr>
                  </w:pPr>
                  <w:r>
                    <w:rPr>
                      <w:color w:val="auto"/>
                      <w:szCs w:val="21"/>
                    </w:rPr>
                    <w:t>TSP</w:t>
                  </w:r>
                </w:p>
              </w:tc>
              <w:tc>
                <w:tcPr>
                  <w:tcW w:w="524" w:type="pct"/>
                  <w:vAlign w:val="center"/>
                </w:tcPr>
                <w:p>
                  <w:pPr>
                    <w:adjustRightInd w:val="0"/>
                    <w:snapToGrid w:val="0"/>
                    <w:jc w:val="center"/>
                    <w:rPr>
                      <w:color w:val="auto"/>
                      <w:szCs w:val="21"/>
                    </w:rPr>
                  </w:pPr>
                  <w:r>
                    <w:rPr>
                      <w:bCs/>
                      <w:color w:val="auto"/>
                      <w:szCs w:val="21"/>
                    </w:rPr>
                    <w:t>日均值</w:t>
                  </w:r>
                </w:p>
              </w:tc>
              <w:tc>
                <w:tcPr>
                  <w:tcW w:w="775" w:type="pct"/>
                  <w:vAlign w:val="center"/>
                </w:tcPr>
                <w:p>
                  <w:pPr>
                    <w:adjustRightInd w:val="0"/>
                    <w:snapToGrid w:val="0"/>
                    <w:jc w:val="center"/>
                    <w:rPr>
                      <w:color w:val="auto"/>
                      <w:szCs w:val="21"/>
                    </w:rPr>
                  </w:pPr>
                  <w:r>
                    <w:rPr>
                      <w:bCs/>
                      <w:color w:val="auto"/>
                      <w:szCs w:val="21"/>
                    </w:rPr>
                    <w:t>161~175</w:t>
                  </w:r>
                </w:p>
              </w:tc>
              <w:tc>
                <w:tcPr>
                  <w:tcW w:w="656" w:type="pct"/>
                  <w:vAlign w:val="center"/>
                </w:tcPr>
                <w:p>
                  <w:pPr>
                    <w:adjustRightInd w:val="0"/>
                    <w:snapToGrid w:val="0"/>
                    <w:jc w:val="center"/>
                    <w:rPr>
                      <w:color w:val="auto"/>
                      <w:szCs w:val="21"/>
                    </w:rPr>
                  </w:pPr>
                  <w:r>
                    <w:rPr>
                      <w:color w:val="auto"/>
                      <w:szCs w:val="21"/>
                    </w:rPr>
                    <w:t>300</w:t>
                  </w:r>
                </w:p>
              </w:tc>
              <w:tc>
                <w:tcPr>
                  <w:tcW w:w="782" w:type="pct"/>
                  <w:vAlign w:val="center"/>
                </w:tcPr>
                <w:p>
                  <w:pPr>
                    <w:adjustRightInd w:val="0"/>
                    <w:snapToGrid w:val="0"/>
                    <w:jc w:val="center"/>
                    <w:rPr>
                      <w:color w:val="auto"/>
                      <w:szCs w:val="21"/>
                    </w:rPr>
                  </w:pPr>
                  <w:r>
                    <w:rPr>
                      <w:color w:val="auto"/>
                      <w:szCs w:val="21"/>
                    </w:rPr>
                    <w:t>58.33</w:t>
                  </w:r>
                </w:p>
              </w:tc>
              <w:tc>
                <w:tcPr>
                  <w:tcW w:w="519" w:type="pct"/>
                  <w:vAlign w:val="center"/>
                </w:tcPr>
                <w:p>
                  <w:pPr>
                    <w:adjustRightInd w:val="0"/>
                    <w:snapToGrid w:val="0"/>
                    <w:jc w:val="center"/>
                    <w:rPr>
                      <w:color w:val="auto"/>
                      <w:szCs w:val="21"/>
                    </w:rPr>
                  </w:pPr>
                  <w:r>
                    <w:rPr>
                      <w:color w:val="auto"/>
                      <w:szCs w:val="21"/>
                    </w:rPr>
                    <w:t>0</w:t>
                  </w:r>
                </w:p>
              </w:tc>
              <w:tc>
                <w:tcPr>
                  <w:tcW w:w="551" w:type="pct"/>
                  <w:vAlign w:val="center"/>
                </w:tcPr>
                <w:p>
                  <w:pPr>
                    <w:adjustRightInd w:val="0"/>
                    <w:snapToGrid w:val="0"/>
                    <w:jc w:val="center"/>
                    <w:rPr>
                      <w:color w:val="auto"/>
                      <w:szCs w:val="21"/>
                    </w:rPr>
                  </w:pPr>
                  <w:r>
                    <w:rPr>
                      <w:color w:val="auto"/>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1" w:hRule="atLeast"/>
                <w:jc w:val="center"/>
              </w:trPr>
              <w:tc>
                <w:tcPr>
                  <w:tcW w:w="753" w:type="pct"/>
                  <w:vAlign w:val="center"/>
                </w:tcPr>
                <w:p>
                  <w:pPr>
                    <w:adjustRightInd w:val="0"/>
                    <w:snapToGrid w:val="0"/>
                    <w:jc w:val="center"/>
                    <w:rPr>
                      <w:color w:val="auto"/>
                      <w:kern w:val="0"/>
                      <w:szCs w:val="21"/>
                    </w:rPr>
                  </w:pPr>
                  <w:r>
                    <w:rPr>
                      <w:rFonts w:hint="eastAsia"/>
                      <w:color w:val="auto"/>
                      <w:kern w:val="0"/>
                      <w:szCs w:val="21"/>
                    </w:rPr>
                    <w:t>智丰塑业厂区</w:t>
                  </w:r>
                  <w:r>
                    <w:rPr>
                      <w:color w:val="auto"/>
                      <w:szCs w:val="21"/>
                    </w:rPr>
                    <w:t>下风向10m处</w:t>
                  </w:r>
                </w:p>
              </w:tc>
              <w:tc>
                <w:tcPr>
                  <w:tcW w:w="436" w:type="pct"/>
                  <w:vAlign w:val="center"/>
                </w:tcPr>
                <w:p>
                  <w:pPr>
                    <w:adjustRightInd w:val="0"/>
                    <w:snapToGrid w:val="0"/>
                    <w:jc w:val="center"/>
                    <w:rPr>
                      <w:color w:val="auto"/>
                      <w:szCs w:val="21"/>
                    </w:rPr>
                  </w:pPr>
                  <w:r>
                    <w:rPr>
                      <w:color w:val="auto"/>
                      <w:szCs w:val="21"/>
                    </w:rPr>
                    <w:t>非甲烷总烃</w:t>
                  </w:r>
                </w:p>
              </w:tc>
              <w:tc>
                <w:tcPr>
                  <w:tcW w:w="524" w:type="pct"/>
                  <w:vAlign w:val="center"/>
                </w:tcPr>
                <w:p>
                  <w:pPr>
                    <w:adjustRightInd w:val="0"/>
                    <w:snapToGrid w:val="0"/>
                    <w:jc w:val="center"/>
                    <w:rPr>
                      <w:bCs/>
                      <w:color w:val="auto"/>
                      <w:szCs w:val="21"/>
                    </w:rPr>
                  </w:pPr>
                  <w:r>
                    <w:rPr>
                      <w:rFonts w:hint="eastAsia"/>
                      <w:bCs/>
                      <w:color w:val="auto"/>
                      <w:szCs w:val="21"/>
                    </w:rPr>
                    <w:t>小时均值</w:t>
                  </w:r>
                </w:p>
              </w:tc>
              <w:tc>
                <w:tcPr>
                  <w:tcW w:w="775" w:type="pct"/>
                  <w:vAlign w:val="center"/>
                </w:tcPr>
                <w:p>
                  <w:pPr>
                    <w:adjustRightInd w:val="0"/>
                    <w:snapToGrid w:val="0"/>
                    <w:jc w:val="center"/>
                    <w:rPr>
                      <w:bCs/>
                      <w:color w:val="auto"/>
                      <w:szCs w:val="21"/>
                    </w:rPr>
                  </w:pPr>
                  <w:r>
                    <w:rPr>
                      <w:rFonts w:hint="eastAsia"/>
                      <w:bCs/>
                      <w:color w:val="auto"/>
                      <w:szCs w:val="21"/>
                    </w:rPr>
                    <w:t>110~250</w:t>
                  </w:r>
                </w:p>
              </w:tc>
              <w:tc>
                <w:tcPr>
                  <w:tcW w:w="656" w:type="pct"/>
                  <w:vAlign w:val="center"/>
                </w:tcPr>
                <w:p>
                  <w:pPr>
                    <w:adjustRightInd w:val="0"/>
                    <w:snapToGrid w:val="0"/>
                    <w:jc w:val="center"/>
                    <w:rPr>
                      <w:color w:val="auto"/>
                      <w:szCs w:val="21"/>
                    </w:rPr>
                  </w:pPr>
                  <w:r>
                    <w:rPr>
                      <w:rFonts w:hint="eastAsia"/>
                      <w:color w:val="auto"/>
                      <w:szCs w:val="21"/>
                    </w:rPr>
                    <w:t>2000</w:t>
                  </w:r>
                </w:p>
              </w:tc>
              <w:tc>
                <w:tcPr>
                  <w:tcW w:w="782" w:type="pct"/>
                  <w:vAlign w:val="center"/>
                </w:tcPr>
                <w:p>
                  <w:pPr>
                    <w:adjustRightInd w:val="0"/>
                    <w:snapToGrid w:val="0"/>
                    <w:jc w:val="center"/>
                    <w:rPr>
                      <w:color w:val="auto"/>
                      <w:szCs w:val="21"/>
                    </w:rPr>
                  </w:pPr>
                  <w:r>
                    <w:rPr>
                      <w:rFonts w:hint="eastAsia"/>
                      <w:color w:val="auto"/>
                      <w:szCs w:val="21"/>
                    </w:rPr>
                    <w:t>12.5</w:t>
                  </w:r>
                </w:p>
              </w:tc>
              <w:tc>
                <w:tcPr>
                  <w:tcW w:w="519" w:type="pct"/>
                  <w:vAlign w:val="center"/>
                </w:tcPr>
                <w:p>
                  <w:pPr>
                    <w:adjustRightInd w:val="0"/>
                    <w:snapToGrid w:val="0"/>
                    <w:jc w:val="center"/>
                    <w:rPr>
                      <w:color w:val="auto"/>
                      <w:szCs w:val="21"/>
                    </w:rPr>
                  </w:pPr>
                  <w:r>
                    <w:rPr>
                      <w:rFonts w:hint="eastAsia"/>
                      <w:color w:val="auto"/>
                      <w:szCs w:val="21"/>
                    </w:rPr>
                    <w:t>0</w:t>
                  </w:r>
                </w:p>
              </w:tc>
              <w:tc>
                <w:tcPr>
                  <w:tcW w:w="551" w:type="pct"/>
                  <w:vAlign w:val="center"/>
                </w:tcPr>
                <w:p>
                  <w:pPr>
                    <w:adjustRightInd w:val="0"/>
                    <w:snapToGrid w:val="0"/>
                    <w:jc w:val="center"/>
                    <w:rPr>
                      <w:color w:val="auto"/>
                      <w:szCs w:val="21"/>
                    </w:rPr>
                  </w:pPr>
                  <w:r>
                    <w:rPr>
                      <w:rFonts w:hint="eastAsia"/>
                      <w:color w:val="auto"/>
                      <w:szCs w:val="21"/>
                    </w:rPr>
                    <w:t>达标</w:t>
                  </w:r>
                </w:p>
              </w:tc>
            </w:tr>
          </w:tbl>
          <w:p>
            <w:pPr>
              <w:spacing w:line="360" w:lineRule="auto"/>
              <w:ind w:firstLine="480" w:firstLineChars="200"/>
              <w:rPr>
                <w:color w:val="auto"/>
                <w:kern w:val="0"/>
                <w:sz w:val="24"/>
                <w:szCs w:val="24"/>
              </w:rPr>
            </w:pPr>
            <w:r>
              <w:rPr>
                <w:color w:val="auto"/>
                <w:kern w:val="0"/>
                <w:sz w:val="24"/>
                <w:szCs w:val="24"/>
              </w:rPr>
              <w:t>根据</w:t>
            </w:r>
            <w:r>
              <w:rPr>
                <w:rFonts w:hint="eastAsia"/>
                <w:color w:val="auto"/>
                <w:kern w:val="0"/>
                <w:sz w:val="24"/>
                <w:szCs w:val="24"/>
              </w:rPr>
              <w:t>上表</w:t>
            </w:r>
            <w:r>
              <w:rPr>
                <w:color w:val="auto"/>
                <w:kern w:val="0"/>
                <w:sz w:val="24"/>
                <w:szCs w:val="24"/>
              </w:rPr>
              <w:t>引用监测结果分析，</w:t>
            </w:r>
            <w:r>
              <w:rPr>
                <w:rFonts w:hint="eastAsia"/>
                <w:color w:val="auto"/>
                <w:sz w:val="24"/>
                <w:szCs w:val="24"/>
              </w:rPr>
              <w:t>项目所在区域非甲烷总烃环境质量现状满足</w:t>
            </w:r>
            <w:r>
              <w:rPr>
                <w:color w:val="auto"/>
                <w:sz w:val="24"/>
                <w:szCs w:val="24"/>
              </w:rPr>
              <w:t>《大气污染物综合排放标准详解》中关于环境质量标准的推荐限值</w:t>
            </w:r>
            <w:r>
              <w:rPr>
                <w:rFonts w:hint="eastAsia"/>
                <w:color w:val="auto"/>
                <w:sz w:val="24"/>
                <w:szCs w:val="24"/>
              </w:rPr>
              <w:t>要求；</w:t>
            </w:r>
            <w:r>
              <w:rPr>
                <w:color w:val="auto"/>
                <w:kern w:val="0"/>
                <w:sz w:val="24"/>
                <w:szCs w:val="24"/>
              </w:rPr>
              <w:t>TSP日均值能够达到《环境空气质量标准》</w:t>
            </w:r>
            <w:r>
              <w:rPr>
                <w:rFonts w:hint="eastAsia"/>
                <w:color w:val="auto"/>
                <w:kern w:val="0"/>
                <w:sz w:val="24"/>
                <w:szCs w:val="24"/>
              </w:rPr>
              <w:t>（</w:t>
            </w:r>
            <w:r>
              <w:rPr>
                <w:color w:val="auto"/>
                <w:kern w:val="0"/>
                <w:sz w:val="24"/>
                <w:szCs w:val="24"/>
              </w:rPr>
              <w:t>GB3095-20</w:t>
            </w:r>
            <w:r>
              <w:rPr>
                <w:rFonts w:hint="eastAsia"/>
                <w:color w:val="auto"/>
                <w:kern w:val="0"/>
                <w:sz w:val="24"/>
                <w:szCs w:val="24"/>
                <w:lang w:val="en-US" w:eastAsia="zh-CN"/>
              </w:rPr>
              <w:t>26</w:t>
            </w:r>
            <w:r>
              <w:rPr>
                <w:rFonts w:hint="eastAsia"/>
                <w:color w:val="auto"/>
                <w:kern w:val="0"/>
                <w:sz w:val="24"/>
                <w:szCs w:val="24"/>
              </w:rPr>
              <w:t>）</w:t>
            </w:r>
            <w:r>
              <w:rPr>
                <w:rFonts w:hint="eastAsia"/>
                <w:color w:val="auto"/>
                <w:kern w:val="0"/>
                <w:sz w:val="24"/>
                <w:szCs w:val="24"/>
                <w:lang w:val="en-US" w:eastAsia="zh-CN"/>
              </w:rPr>
              <w:t>过渡阶段</w:t>
            </w:r>
            <w:r>
              <w:rPr>
                <w:color w:val="auto"/>
                <w:kern w:val="0"/>
                <w:sz w:val="24"/>
                <w:szCs w:val="24"/>
              </w:rPr>
              <w:t>二级标准相关要求。</w:t>
            </w:r>
          </w:p>
          <w:p>
            <w:pPr>
              <w:adjustRightInd w:val="0"/>
              <w:snapToGrid w:val="0"/>
              <w:spacing w:line="360" w:lineRule="auto"/>
              <w:ind w:firstLine="482" w:firstLineChars="200"/>
              <w:jc w:val="left"/>
              <w:rPr>
                <w:b/>
                <w:color w:val="auto"/>
                <w:kern w:val="0"/>
                <w:sz w:val="24"/>
                <w:szCs w:val="24"/>
              </w:rPr>
            </w:pPr>
            <w:r>
              <w:rPr>
                <w:b/>
                <w:color w:val="auto"/>
                <w:kern w:val="0"/>
                <w:sz w:val="24"/>
                <w:szCs w:val="24"/>
              </w:rPr>
              <w:t>2、地表水环境质量现状</w:t>
            </w:r>
          </w:p>
          <w:p>
            <w:pPr>
              <w:adjustRightInd w:val="0"/>
              <w:snapToGrid w:val="0"/>
              <w:spacing w:line="360" w:lineRule="auto"/>
              <w:ind w:firstLine="480" w:firstLineChars="200"/>
              <w:rPr>
                <w:color w:val="auto"/>
                <w:sz w:val="24"/>
                <w:szCs w:val="24"/>
              </w:rPr>
            </w:pPr>
            <w:r>
              <w:rPr>
                <w:color w:val="auto"/>
                <w:sz w:val="24"/>
                <w:szCs w:val="24"/>
              </w:rPr>
              <w:t>根据现场勘查，项目所在区域最近的地表水体为南盘江，南盘江距离项目</w:t>
            </w:r>
            <w:r>
              <w:rPr>
                <w:rFonts w:hint="eastAsia"/>
                <w:color w:val="auto"/>
                <w:sz w:val="24"/>
                <w:szCs w:val="24"/>
                <w:lang w:val="en-US" w:eastAsia="zh-CN"/>
              </w:rPr>
              <w:t>南</w:t>
            </w:r>
            <w:r>
              <w:rPr>
                <w:color w:val="auto"/>
                <w:sz w:val="24"/>
                <w:szCs w:val="24"/>
              </w:rPr>
              <w:t>侧直线距离</w:t>
            </w:r>
            <w:r>
              <w:rPr>
                <w:rFonts w:hint="eastAsia"/>
                <w:color w:val="auto"/>
                <w:sz w:val="24"/>
                <w:szCs w:val="24"/>
                <w:lang w:val="en-US" w:eastAsia="zh-CN"/>
              </w:rPr>
              <w:t>1.53</w:t>
            </w:r>
            <w:r>
              <w:rPr>
                <w:rFonts w:hint="eastAsia"/>
                <w:color w:val="auto"/>
                <w:sz w:val="24"/>
                <w:szCs w:val="24"/>
              </w:rPr>
              <w:t>k</w:t>
            </w:r>
            <w:r>
              <w:rPr>
                <w:color w:val="auto"/>
                <w:sz w:val="24"/>
                <w:szCs w:val="24"/>
              </w:rPr>
              <w:t>m。</w:t>
            </w:r>
          </w:p>
          <w:p>
            <w:pPr>
              <w:wordWrap w:val="0"/>
              <w:spacing w:line="360" w:lineRule="auto"/>
              <w:ind w:firstLine="480" w:firstLineChars="200"/>
              <w:rPr>
                <w:color w:val="auto"/>
                <w:sz w:val="24"/>
                <w:szCs w:val="24"/>
              </w:rPr>
            </w:pPr>
            <w:r>
              <w:rPr>
                <w:color w:val="auto"/>
                <w:sz w:val="24"/>
                <w:szCs w:val="24"/>
              </w:rPr>
              <w:t>根据《昆明市和滇中产业新区水功能区划（2011</w:t>
            </w:r>
            <w:r>
              <w:rPr>
                <w:rFonts w:hint="eastAsia"/>
                <w:color w:val="auto"/>
                <w:sz w:val="24"/>
                <w:szCs w:val="24"/>
                <w:lang w:eastAsia="zh-CN"/>
              </w:rPr>
              <w:t>—</w:t>
            </w:r>
            <w:r>
              <w:rPr>
                <w:color w:val="auto"/>
                <w:sz w:val="24"/>
                <w:szCs w:val="24"/>
              </w:rPr>
              <w:t>2030年）》，南盘江沾益</w:t>
            </w:r>
            <w:r>
              <w:rPr>
                <w:rFonts w:hint="eastAsia"/>
                <w:color w:val="auto"/>
                <w:sz w:val="24"/>
                <w:szCs w:val="24"/>
                <w:lang w:eastAsia="zh-CN"/>
              </w:rPr>
              <w:t>－</w:t>
            </w:r>
            <w:r>
              <w:rPr>
                <w:color w:val="auto"/>
                <w:sz w:val="24"/>
                <w:szCs w:val="24"/>
              </w:rPr>
              <w:t>宜良开发利用区（昆明部分），规划水平年水质保护目标按水功能二级区执行，二级水功能区划为南盘江宜良工业、农业、渔业用水区，2030规划水平年水质保护目标为Ⅲ类。南盘江执行《地表水环境质量标准》（GB3838-2002）Ⅲ类标准。</w:t>
            </w:r>
          </w:p>
          <w:p>
            <w:pPr>
              <w:adjustRightInd w:val="0"/>
              <w:snapToGrid w:val="0"/>
              <w:spacing w:line="360" w:lineRule="auto"/>
              <w:ind w:firstLine="480" w:firstLineChars="200"/>
              <w:rPr>
                <w:color w:val="auto"/>
                <w:kern w:val="0"/>
                <w:sz w:val="24"/>
                <w:szCs w:val="24"/>
              </w:rPr>
            </w:pPr>
            <w:r>
              <w:rPr>
                <w:color w:val="auto"/>
                <w:kern w:val="0"/>
                <w:sz w:val="24"/>
                <w:szCs w:val="24"/>
              </w:rPr>
              <w:t>根据昆明市生态环境局发布的《</w:t>
            </w:r>
            <w:r>
              <w:rPr>
                <w:rFonts w:hint="eastAsia"/>
                <w:color w:val="auto"/>
                <w:sz w:val="24"/>
                <w:szCs w:val="24"/>
              </w:rPr>
              <w:t>2024</w:t>
            </w:r>
            <w:r>
              <w:rPr>
                <w:color w:val="auto"/>
                <w:sz w:val="24"/>
                <w:szCs w:val="24"/>
              </w:rPr>
              <w:t>年度</w:t>
            </w:r>
            <w:r>
              <w:rPr>
                <w:color w:val="auto"/>
                <w:kern w:val="0"/>
                <w:sz w:val="24"/>
                <w:szCs w:val="24"/>
              </w:rPr>
              <w:t>昆明市生态环境状况公报》，与202</w:t>
            </w:r>
            <w:r>
              <w:rPr>
                <w:rFonts w:hint="eastAsia"/>
                <w:color w:val="auto"/>
                <w:kern w:val="0"/>
                <w:sz w:val="24"/>
                <w:szCs w:val="24"/>
              </w:rPr>
              <w:t>3</w:t>
            </w:r>
            <w:r>
              <w:rPr>
                <w:color w:val="auto"/>
                <w:kern w:val="0"/>
                <w:sz w:val="24"/>
                <w:szCs w:val="24"/>
              </w:rPr>
              <w:t>年相比，南盘江狗街断面</w:t>
            </w:r>
            <w:r>
              <w:rPr>
                <w:color w:val="auto"/>
                <w:sz w:val="24"/>
                <w:szCs w:val="24"/>
              </w:rPr>
              <w:t>（该断面位于本项目下游）</w:t>
            </w:r>
            <w:r>
              <w:rPr>
                <w:color w:val="auto"/>
                <w:kern w:val="0"/>
                <w:sz w:val="24"/>
                <w:szCs w:val="24"/>
              </w:rPr>
              <w:t>水质类别</w:t>
            </w:r>
            <w:r>
              <w:rPr>
                <w:rFonts w:hint="eastAsia"/>
                <w:color w:val="auto"/>
                <w:kern w:val="0"/>
                <w:sz w:val="24"/>
                <w:szCs w:val="24"/>
              </w:rPr>
              <w:t>保持</w:t>
            </w:r>
            <w:r>
              <w:rPr>
                <w:color w:val="auto"/>
                <w:kern w:val="0"/>
                <w:sz w:val="24"/>
                <w:szCs w:val="24"/>
              </w:rPr>
              <w:t>Ⅲ类</w:t>
            </w:r>
            <w:r>
              <w:rPr>
                <w:rFonts w:hint="eastAsia"/>
                <w:color w:val="auto"/>
                <w:kern w:val="0"/>
                <w:sz w:val="24"/>
                <w:szCs w:val="24"/>
              </w:rPr>
              <w:t>不变，</w:t>
            </w:r>
            <w:r>
              <w:rPr>
                <w:color w:val="auto"/>
                <w:kern w:val="0"/>
                <w:sz w:val="24"/>
                <w:szCs w:val="24"/>
              </w:rPr>
              <w:t>南盘江禄丰村断面、柴石滩断面</w:t>
            </w:r>
            <w:r>
              <w:rPr>
                <w:color w:val="auto"/>
                <w:sz w:val="24"/>
                <w:szCs w:val="24"/>
              </w:rPr>
              <w:t>（该断面位于本项目上游）</w:t>
            </w:r>
            <w:r>
              <w:rPr>
                <w:color w:val="auto"/>
                <w:kern w:val="0"/>
                <w:sz w:val="24"/>
                <w:szCs w:val="24"/>
              </w:rPr>
              <w:t>水质类别</w:t>
            </w:r>
            <w:r>
              <w:rPr>
                <w:rFonts w:hint="eastAsia"/>
                <w:color w:val="auto"/>
                <w:kern w:val="0"/>
                <w:sz w:val="24"/>
                <w:szCs w:val="24"/>
              </w:rPr>
              <w:t>保持</w:t>
            </w:r>
            <w:r>
              <w:rPr>
                <w:color w:val="auto"/>
                <w:kern w:val="0"/>
                <w:sz w:val="24"/>
                <w:szCs w:val="24"/>
              </w:rPr>
              <w:t>Ⅱ类</w:t>
            </w:r>
            <w:r>
              <w:rPr>
                <w:rFonts w:hint="eastAsia"/>
                <w:color w:val="auto"/>
                <w:kern w:val="0"/>
                <w:sz w:val="24"/>
                <w:szCs w:val="24"/>
              </w:rPr>
              <w:t>不变。</w:t>
            </w:r>
            <w:r>
              <w:rPr>
                <w:color w:val="auto"/>
                <w:sz w:val="24"/>
                <w:szCs w:val="24"/>
              </w:rPr>
              <w:t>南盘江</w:t>
            </w:r>
            <w:r>
              <w:rPr>
                <w:rFonts w:hint="eastAsia"/>
                <w:color w:val="auto"/>
                <w:sz w:val="24"/>
                <w:szCs w:val="24"/>
              </w:rPr>
              <w:t>狗街断面</w:t>
            </w:r>
            <w:r>
              <w:rPr>
                <w:color w:val="auto"/>
                <w:sz w:val="24"/>
                <w:szCs w:val="24"/>
              </w:rPr>
              <w:t>水质现状达到《地表水环境质量标准》（GB3838-2002）</w:t>
            </w:r>
            <w:r>
              <w:rPr>
                <w:rFonts w:eastAsia="仿宋"/>
                <w:color w:val="auto"/>
                <w:sz w:val="24"/>
                <w:szCs w:val="24"/>
              </w:rPr>
              <w:t>Ⅲ</w:t>
            </w:r>
            <w:r>
              <w:rPr>
                <w:color w:val="auto"/>
                <w:sz w:val="24"/>
                <w:szCs w:val="24"/>
              </w:rPr>
              <w:t>类标准要求。项目所在区域的</w:t>
            </w:r>
            <w:r>
              <w:rPr>
                <w:color w:val="auto"/>
                <w:kern w:val="0"/>
                <w:sz w:val="24"/>
                <w:szCs w:val="24"/>
              </w:rPr>
              <w:t>地表水环境质量达标。</w:t>
            </w:r>
          </w:p>
          <w:p>
            <w:pPr>
              <w:widowControl/>
              <w:spacing w:line="360" w:lineRule="auto"/>
              <w:ind w:firstLine="482" w:firstLineChars="200"/>
              <w:jc w:val="left"/>
              <w:rPr>
                <w:b/>
                <w:color w:val="auto"/>
                <w:kern w:val="0"/>
                <w:sz w:val="24"/>
                <w:szCs w:val="24"/>
              </w:rPr>
            </w:pPr>
            <w:r>
              <w:rPr>
                <w:b/>
                <w:color w:val="auto"/>
                <w:kern w:val="0"/>
                <w:sz w:val="24"/>
                <w:szCs w:val="24"/>
              </w:rPr>
              <w:t>3、声环境质量现状</w:t>
            </w:r>
          </w:p>
          <w:p>
            <w:pPr>
              <w:widowControl/>
              <w:spacing w:line="360" w:lineRule="auto"/>
              <w:ind w:firstLine="480" w:firstLineChars="200"/>
              <w:rPr>
                <w:color w:val="auto"/>
                <w:sz w:val="24"/>
                <w:szCs w:val="24"/>
              </w:rPr>
            </w:pPr>
            <w:r>
              <w:rPr>
                <w:color w:val="auto"/>
                <w:kern w:val="0"/>
                <w:sz w:val="24"/>
                <w:szCs w:val="24"/>
              </w:rPr>
              <w:t>项目位于</w:t>
            </w:r>
            <w:r>
              <w:rPr>
                <w:rFonts w:hint="eastAsia"/>
                <w:color w:val="auto"/>
                <w:sz w:val="24"/>
                <w:szCs w:val="24"/>
                <w:lang w:eastAsia="zh-CN"/>
              </w:rPr>
              <w:t>云南省昆明市宜良产业园区云南宝塑塑料管业有限公司厂房内</w:t>
            </w:r>
            <w:r>
              <w:rPr>
                <w:rFonts w:hint="eastAsia"/>
                <w:color w:val="auto"/>
                <w:sz w:val="24"/>
                <w:szCs w:val="24"/>
              </w:rPr>
              <w:t>，</w:t>
            </w:r>
            <w:r>
              <w:rPr>
                <w:color w:val="auto"/>
                <w:kern w:val="0"/>
                <w:sz w:val="24"/>
                <w:szCs w:val="24"/>
              </w:rPr>
              <w:t>根据《云南宜良产业园区总体规划（2021</w:t>
            </w:r>
            <w:r>
              <w:rPr>
                <w:rFonts w:hint="eastAsia"/>
                <w:color w:val="auto"/>
                <w:kern w:val="0"/>
                <w:sz w:val="24"/>
                <w:szCs w:val="24"/>
                <w:lang w:eastAsia="zh-CN"/>
              </w:rPr>
              <w:t>—</w:t>
            </w:r>
            <w:r>
              <w:rPr>
                <w:color w:val="auto"/>
                <w:kern w:val="0"/>
                <w:sz w:val="24"/>
                <w:szCs w:val="24"/>
              </w:rPr>
              <w:t>2035年）环境影响报告书》</w:t>
            </w:r>
            <w:r>
              <w:rPr>
                <w:color w:val="auto"/>
                <w:sz w:val="24"/>
                <w:szCs w:val="24"/>
              </w:rPr>
              <w:t>，</w:t>
            </w:r>
            <w:r>
              <w:rPr>
                <w:color w:val="auto"/>
                <w:sz w:val="24"/>
                <w:szCs w:val="24"/>
                <w:lang w:bidi="ar"/>
              </w:rPr>
              <w:t>项目所在区域</w:t>
            </w:r>
            <w:r>
              <w:rPr>
                <w:color w:val="auto"/>
                <w:sz w:val="24"/>
                <w:szCs w:val="24"/>
              </w:rPr>
              <w:t>属于3类声环境功能区，声环境质量执行《声环境质量标准》（GB3096-2008）3类标准。</w:t>
            </w:r>
          </w:p>
          <w:p>
            <w:pPr>
              <w:topLinePunct/>
              <w:adjustRightInd w:val="0"/>
              <w:snapToGrid w:val="0"/>
              <w:spacing w:line="360" w:lineRule="auto"/>
              <w:ind w:firstLine="480" w:firstLineChars="200"/>
              <w:rPr>
                <w:bCs/>
                <w:color w:val="auto"/>
                <w:sz w:val="24"/>
                <w:szCs w:val="24"/>
              </w:rPr>
            </w:pPr>
            <w:r>
              <w:rPr>
                <w:color w:val="auto"/>
                <w:sz w:val="24"/>
                <w:szCs w:val="24"/>
              </w:rPr>
              <w:t>根据《建设项目环境影响报告表编制技术指南（污染影响类）</w:t>
            </w:r>
            <w:r>
              <w:rPr>
                <w:rFonts w:hint="eastAsia"/>
                <w:color w:val="auto"/>
                <w:sz w:val="24"/>
                <w:szCs w:val="24"/>
                <w:lang w:eastAsia="zh-CN"/>
              </w:rPr>
              <w:t>（试行）》</w:t>
            </w:r>
            <w:r>
              <w:rPr>
                <w:color w:val="auto"/>
                <w:sz w:val="24"/>
                <w:szCs w:val="24"/>
              </w:rPr>
              <w:t>，</w:t>
            </w:r>
            <w:r>
              <w:rPr>
                <w:bCs/>
                <w:color w:val="auto"/>
                <w:sz w:val="24"/>
                <w:szCs w:val="24"/>
              </w:rPr>
              <w:t>本项目厂界外50米范围内无声环境保护目标，故未对项目周边声环境质量现状进行监测。根据现场调查，项目区周边均为工业企业，除了</w:t>
            </w:r>
            <w:r>
              <w:rPr>
                <w:rFonts w:hint="eastAsia"/>
                <w:bCs/>
                <w:color w:val="auto"/>
                <w:sz w:val="24"/>
                <w:szCs w:val="24"/>
              </w:rPr>
              <w:t>生产</w:t>
            </w:r>
            <w:r>
              <w:rPr>
                <w:bCs/>
                <w:color w:val="auto"/>
                <w:sz w:val="24"/>
                <w:szCs w:val="24"/>
              </w:rPr>
              <w:t>性企业外无产噪较大的噪声源</w:t>
            </w:r>
            <w:r>
              <w:rPr>
                <w:color w:val="auto"/>
                <w:sz w:val="24"/>
                <w:szCs w:val="24"/>
              </w:rPr>
              <w:t>。</w:t>
            </w:r>
          </w:p>
          <w:p>
            <w:pPr>
              <w:widowControl/>
              <w:spacing w:line="360" w:lineRule="auto"/>
              <w:ind w:firstLine="482" w:firstLineChars="200"/>
              <w:jc w:val="left"/>
              <w:rPr>
                <w:b/>
                <w:color w:val="auto"/>
                <w:kern w:val="0"/>
                <w:sz w:val="24"/>
                <w:szCs w:val="24"/>
              </w:rPr>
            </w:pPr>
            <w:r>
              <w:rPr>
                <w:b/>
                <w:color w:val="auto"/>
                <w:kern w:val="0"/>
                <w:sz w:val="24"/>
                <w:szCs w:val="24"/>
              </w:rPr>
              <w:t>4、生态环境</w:t>
            </w:r>
          </w:p>
          <w:p>
            <w:pPr>
              <w:spacing w:line="360" w:lineRule="auto"/>
              <w:ind w:firstLine="480" w:firstLineChars="200"/>
              <w:rPr>
                <w:color w:val="auto"/>
                <w:sz w:val="24"/>
                <w:szCs w:val="24"/>
              </w:rPr>
            </w:pPr>
            <w:r>
              <w:rPr>
                <w:color w:val="auto"/>
                <w:sz w:val="24"/>
                <w:szCs w:val="24"/>
              </w:rPr>
              <w:t>根据《建设项目环境影响报告表编制技术指南（污染影响类）（试行）》中区域环境质量现状：“4、生态环境。产业园区外建设项目新增用地且用地范围内含有生态环境保护目标时，应进行生态现状调查”。本</w:t>
            </w:r>
            <w:r>
              <w:rPr>
                <w:color w:val="auto"/>
                <w:kern w:val="0"/>
                <w:sz w:val="24"/>
                <w:szCs w:val="24"/>
              </w:rPr>
              <w:t>项目租用</w:t>
            </w:r>
            <w:r>
              <w:rPr>
                <w:rFonts w:hint="eastAsia"/>
                <w:color w:val="auto"/>
                <w:sz w:val="24"/>
                <w:szCs w:val="24"/>
                <w:lang w:eastAsia="zh-CN"/>
              </w:rPr>
              <w:t>云南宝塑塑料管业有限公司</w:t>
            </w:r>
            <w:r>
              <w:rPr>
                <w:rFonts w:hint="eastAsia"/>
                <w:color w:val="auto"/>
                <w:sz w:val="24"/>
                <w:szCs w:val="24"/>
              </w:rPr>
              <w:t>的场地进行建设，用地属于</w:t>
            </w:r>
            <w:r>
              <w:rPr>
                <w:color w:val="auto"/>
                <w:sz w:val="24"/>
                <w:szCs w:val="24"/>
              </w:rPr>
              <w:t>云南宜良产业园区</w:t>
            </w:r>
            <w:r>
              <w:rPr>
                <w:rFonts w:hint="eastAsia"/>
                <w:color w:val="auto"/>
                <w:sz w:val="24"/>
                <w:szCs w:val="24"/>
              </w:rPr>
              <w:t>范围，不涉及在</w:t>
            </w:r>
            <w:r>
              <w:rPr>
                <w:color w:val="auto"/>
                <w:sz w:val="24"/>
                <w:szCs w:val="24"/>
              </w:rPr>
              <w:t>产业园区外新增用地</w:t>
            </w:r>
            <w:r>
              <w:rPr>
                <w:rFonts w:hint="eastAsia"/>
                <w:color w:val="auto"/>
                <w:sz w:val="24"/>
                <w:szCs w:val="24"/>
              </w:rPr>
              <w:t>，</w:t>
            </w:r>
            <w:r>
              <w:rPr>
                <w:color w:val="auto"/>
                <w:sz w:val="24"/>
                <w:szCs w:val="24"/>
              </w:rPr>
              <w:t>用地范围内</w:t>
            </w:r>
            <w:r>
              <w:rPr>
                <w:rFonts w:hint="eastAsia"/>
                <w:color w:val="auto"/>
                <w:sz w:val="24"/>
                <w:szCs w:val="24"/>
              </w:rPr>
              <w:t>也无</w:t>
            </w:r>
            <w:r>
              <w:rPr>
                <w:color w:val="auto"/>
                <w:sz w:val="24"/>
                <w:szCs w:val="24"/>
              </w:rPr>
              <w:t>生态环境保护目标</w:t>
            </w:r>
            <w:r>
              <w:rPr>
                <w:rFonts w:hint="eastAsia"/>
                <w:color w:val="auto"/>
                <w:sz w:val="24"/>
                <w:szCs w:val="24"/>
              </w:rPr>
              <w:t>，</w:t>
            </w:r>
            <w:r>
              <w:rPr>
                <w:rFonts w:hint="eastAsia"/>
                <w:color w:val="auto"/>
                <w:kern w:val="0"/>
                <w:sz w:val="24"/>
                <w:szCs w:val="24"/>
              </w:rPr>
              <w:t>因此</w:t>
            </w:r>
            <w:r>
              <w:rPr>
                <w:color w:val="auto"/>
                <w:kern w:val="0"/>
                <w:sz w:val="24"/>
                <w:szCs w:val="24"/>
              </w:rPr>
              <w:t>不需开展</w:t>
            </w:r>
            <w:r>
              <w:rPr>
                <w:color w:val="auto"/>
                <w:sz w:val="24"/>
                <w:szCs w:val="24"/>
              </w:rPr>
              <w:t>生态现状调查。</w:t>
            </w:r>
          </w:p>
          <w:p>
            <w:pPr>
              <w:spacing w:line="360" w:lineRule="auto"/>
              <w:ind w:firstLine="480" w:firstLineChars="200"/>
              <w:rPr>
                <w:color w:val="auto"/>
                <w:sz w:val="24"/>
                <w:szCs w:val="24"/>
              </w:rPr>
            </w:pPr>
            <w:r>
              <w:rPr>
                <w:color w:val="auto"/>
                <w:sz w:val="24"/>
                <w:szCs w:val="24"/>
              </w:rPr>
              <w:t>项目区外200m范围内不涉及生态保护区、自然保护区、风景名胜区、文化遗产保护区、水源保护区等环境敏感区，不涉及生态保护红线、基本农田和生态公益林。根据现场踏勘，</w:t>
            </w:r>
            <w:r>
              <w:rPr>
                <w:color w:val="auto"/>
                <w:kern w:val="0"/>
                <w:sz w:val="24"/>
                <w:szCs w:val="24"/>
              </w:rPr>
              <w:t>项目所在区域</w:t>
            </w:r>
            <w:r>
              <w:rPr>
                <w:color w:val="auto"/>
                <w:sz w:val="24"/>
                <w:szCs w:val="24"/>
              </w:rPr>
              <w:t>地表主要为</w:t>
            </w:r>
            <w:r>
              <w:rPr>
                <w:color w:val="auto"/>
                <w:kern w:val="0"/>
                <w:sz w:val="24"/>
                <w:szCs w:val="24"/>
              </w:rPr>
              <w:t>人工植被</w:t>
            </w:r>
            <w:r>
              <w:rPr>
                <w:color w:val="auto"/>
                <w:sz w:val="24"/>
                <w:szCs w:val="24"/>
              </w:rPr>
              <w:t>、农用地、道路、硬化场地、建筑物等</w:t>
            </w:r>
            <w:r>
              <w:rPr>
                <w:color w:val="auto"/>
                <w:kern w:val="0"/>
                <w:sz w:val="24"/>
                <w:szCs w:val="24"/>
              </w:rPr>
              <w:t>，项目</w:t>
            </w:r>
            <w:r>
              <w:rPr>
                <w:color w:val="auto"/>
                <w:sz w:val="24"/>
                <w:szCs w:val="24"/>
              </w:rPr>
              <w:t>区域周边200m范围内未发现珍稀濒危和国家重点保护野生动植物，无国家及省级重点保护的动植物分布。生态环境质量一般。</w:t>
            </w:r>
          </w:p>
          <w:p>
            <w:pPr>
              <w:widowControl/>
              <w:spacing w:line="360" w:lineRule="auto"/>
              <w:ind w:firstLine="482" w:firstLineChars="200"/>
              <w:rPr>
                <w:color w:val="auto"/>
                <w:sz w:val="24"/>
                <w:szCs w:val="24"/>
              </w:rPr>
            </w:pPr>
            <w:r>
              <w:rPr>
                <w:b/>
                <w:color w:val="auto"/>
                <w:sz w:val="24"/>
                <w:szCs w:val="24"/>
              </w:rPr>
              <w:t>5、地下水及土壤环境</w:t>
            </w:r>
          </w:p>
          <w:p>
            <w:pPr>
              <w:spacing w:line="360" w:lineRule="auto"/>
              <w:ind w:firstLine="480" w:firstLineChars="200"/>
              <w:rPr>
                <w:color w:val="auto"/>
                <w:sz w:val="24"/>
                <w:szCs w:val="24"/>
              </w:rPr>
            </w:pPr>
            <w:r>
              <w:rPr>
                <w:color w:val="auto"/>
                <w:sz w:val="24"/>
                <w:szCs w:val="24"/>
              </w:rPr>
              <w:t>根据《建设项目环境影响报告表编制技术指南（污染影响类）（试行）》中区域环境质量现状：“6、地下水、土壤环境。原则上不开展环境质量现状调查。建设项目存在土壤、地下水环境污染途径的，应结合污染源、保护目标分布情况开展现状调查以留作背景值”。</w:t>
            </w:r>
          </w:p>
          <w:p>
            <w:pPr>
              <w:spacing w:line="360" w:lineRule="auto"/>
              <w:ind w:firstLine="480" w:firstLineChars="200"/>
              <w:rPr>
                <w:color w:val="auto"/>
                <w:szCs w:val="21"/>
              </w:rPr>
            </w:pPr>
            <w:r>
              <w:rPr>
                <w:color w:val="auto"/>
                <w:sz w:val="24"/>
                <w:szCs w:val="24"/>
              </w:rPr>
              <w:t>本项目为</w:t>
            </w:r>
            <w:r>
              <w:rPr>
                <w:rFonts w:hint="eastAsia"/>
                <w:color w:val="auto"/>
                <w:sz w:val="24"/>
                <w:szCs w:val="24"/>
              </w:rPr>
              <w:t>造纸产业废渣废料资源化利用项目，</w:t>
            </w:r>
            <w:r>
              <w:rPr>
                <w:color w:val="auto"/>
                <w:sz w:val="24"/>
                <w:szCs w:val="24"/>
              </w:rPr>
              <w:t>不涉及有毒有害原材料，不存在土壤、地下水环境污染途径，不需开展地下水、土壤环境质量现状调查。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pPr>
              <w:adjustRightInd w:val="0"/>
              <w:snapToGrid w:val="0"/>
              <w:jc w:val="center"/>
              <w:rPr>
                <w:color w:val="auto"/>
                <w:kern w:val="0"/>
                <w:sz w:val="24"/>
                <w:szCs w:val="24"/>
              </w:rPr>
            </w:pPr>
            <w:r>
              <w:rPr>
                <w:color w:val="auto"/>
                <w:kern w:val="0"/>
                <w:sz w:val="24"/>
                <w:szCs w:val="24"/>
              </w:rPr>
              <w:t>环境</w:t>
            </w:r>
          </w:p>
          <w:p>
            <w:pPr>
              <w:adjustRightInd w:val="0"/>
              <w:snapToGrid w:val="0"/>
              <w:jc w:val="center"/>
              <w:rPr>
                <w:color w:val="auto"/>
                <w:kern w:val="0"/>
                <w:sz w:val="24"/>
                <w:szCs w:val="24"/>
              </w:rPr>
            </w:pPr>
            <w:r>
              <w:rPr>
                <w:color w:val="auto"/>
                <w:kern w:val="0"/>
                <w:sz w:val="24"/>
                <w:szCs w:val="24"/>
              </w:rPr>
              <w:t>保护</w:t>
            </w:r>
          </w:p>
          <w:p>
            <w:pPr>
              <w:adjustRightInd w:val="0"/>
              <w:snapToGrid w:val="0"/>
              <w:jc w:val="center"/>
              <w:rPr>
                <w:color w:val="auto"/>
                <w:kern w:val="0"/>
                <w:szCs w:val="21"/>
              </w:rPr>
            </w:pPr>
            <w:r>
              <w:rPr>
                <w:color w:val="auto"/>
                <w:kern w:val="0"/>
                <w:sz w:val="24"/>
                <w:szCs w:val="24"/>
              </w:rPr>
              <w:t>目标</w:t>
            </w:r>
          </w:p>
        </w:tc>
        <w:tc>
          <w:tcPr>
            <w:tcW w:w="0" w:type="auto"/>
            <w:vAlign w:val="center"/>
          </w:tcPr>
          <w:p>
            <w:pPr>
              <w:adjustRightInd w:val="0"/>
              <w:snapToGrid w:val="0"/>
              <w:spacing w:line="360" w:lineRule="auto"/>
              <w:ind w:firstLine="480" w:firstLineChars="200"/>
              <w:rPr>
                <w:color w:val="auto"/>
                <w:sz w:val="24"/>
                <w:szCs w:val="24"/>
              </w:rPr>
            </w:pPr>
            <w:r>
              <w:rPr>
                <w:color w:val="auto"/>
                <w:sz w:val="24"/>
                <w:szCs w:val="24"/>
              </w:rPr>
              <w:t>1、大气环境：项目厂界外500m范围内无自然保护区、风景名胜区、居住区、文化区和农村地区中人群较集中的区域等大气环境保护目标。</w:t>
            </w:r>
          </w:p>
          <w:p>
            <w:pPr>
              <w:adjustRightInd w:val="0"/>
              <w:snapToGrid w:val="0"/>
              <w:spacing w:line="360" w:lineRule="auto"/>
              <w:ind w:firstLine="480" w:firstLineChars="200"/>
              <w:rPr>
                <w:bCs/>
                <w:color w:val="auto"/>
                <w:sz w:val="24"/>
                <w:szCs w:val="24"/>
              </w:rPr>
            </w:pPr>
            <w:r>
              <w:rPr>
                <w:color w:val="auto"/>
                <w:sz w:val="24"/>
                <w:szCs w:val="24"/>
              </w:rPr>
              <w:t>2、声环境：</w:t>
            </w:r>
            <w:r>
              <w:rPr>
                <w:bCs/>
                <w:color w:val="auto"/>
                <w:sz w:val="24"/>
                <w:szCs w:val="24"/>
              </w:rPr>
              <w:t>项目</w:t>
            </w:r>
            <w:r>
              <w:rPr>
                <w:color w:val="auto"/>
                <w:sz w:val="24"/>
                <w:szCs w:val="24"/>
              </w:rPr>
              <w:t>厂界外</w:t>
            </w:r>
            <w:r>
              <w:rPr>
                <w:bCs/>
                <w:color w:val="auto"/>
                <w:sz w:val="24"/>
                <w:szCs w:val="24"/>
              </w:rPr>
              <w:t>50m范围内无声环境保护目标</w:t>
            </w:r>
            <w:r>
              <w:rPr>
                <w:color w:val="auto"/>
                <w:sz w:val="24"/>
                <w:szCs w:val="24"/>
              </w:rPr>
              <w:t>。</w:t>
            </w:r>
          </w:p>
          <w:p>
            <w:pPr>
              <w:adjustRightInd w:val="0"/>
              <w:snapToGrid w:val="0"/>
              <w:spacing w:line="360" w:lineRule="auto"/>
              <w:ind w:firstLine="480" w:firstLineChars="200"/>
              <w:rPr>
                <w:color w:val="auto"/>
                <w:sz w:val="24"/>
                <w:szCs w:val="24"/>
              </w:rPr>
            </w:pPr>
            <w:r>
              <w:rPr>
                <w:color w:val="auto"/>
                <w:sz w:val="24"/>
                <w:szCs w:val="24"/>
              </w:rPr>
              <w:t>3、地下水环境：</w:t>
            </w:r>
            <w:r>
              <w:rPr>
                <w:bCs/>
                <w:color w:val="auto"/>
                <w:sz w:val="24"/>
                <w:szCs w:val="24"/>
              </w:rPr>
              <w:t>项目厂界外500m范围内无地下水集中式饮用水水源和热水、矿泉水、温泉等特殊地下水资源。</w:t>
            </w:r>
          </w:p>
          <w:p>
            <w:pPr>
              <w:adjustRightInd w:val="0"/>
              <w:snapToGrid w:val="0"/>
              <w:spacing w:line="360" w:lineRule="auto"/>
              <w:ind w:firstLine="480" w:firstLineChars="200"/>
              <w:rPr>
                <w:color w:val="auto"/>
                <w:kern w:val="0"/>
                <w:sz w:val="24"/>
                <w:szCs w:val="24"/>
              </w:rPr>
            </w:pPr>
            <w:r>
              <w:rPr>
                <w:color w:val="auto"/>
                <w:sz w:val="24"/>
                <w:szCs w:val="24"/>
              </w:rPr>
              <w:t>4、生态环境：本</w:t>
            </w:r>
            <w:r>
              <w:rPr>
                <w:color w:val="auto"/>
                <w:kern w:val="0"/>
                <w:sz w:val="24"/>
                <w:szCs w:val="24"/>
              </w:rPr>
              <w:t>项目租用</w:t>
            </w:r>
            <w:r>
              <w:rPr>
                <w:rFonts w:hint="eastAsia"/>
                <w:color w:val="auto"/>
                <w:sz w:val="24"/>
                <w:szCs w:val="24"/>
                <w:lang w:eastAsia="zh-CN"/>
              </w:rPr>
              <w:t>云南宝塑塑料管业有限公司</w:t>
            </w:r>
            <w:r>
              <w:rPr>
                <w:rFonts w:hint="eastAsia"/>
                <w:color w:val="auto"/>
                <w:sz w:val="24"/>
                <w:szCs w:val="24"/>
              </w:rPr>
              <w:t>的场地进行建设，用地属于</w:t>
            </w:r>
            <w:r>
              <w:rPr>
                <w:color w:val="auto"/>
                <w:sz w:val="24"/>
                <w:szCs w:val="24"/>
              </w:rPr>
              <w:t>云南宜良产业园区</w:t>
            </w:r>
            <w:r>
              <w:rPr>
                <w:rFonts w:hint="eastAsia"/>
                <w:color w:val="auto"/>
                <w:sz w:val="24"/>
                <w:szCs w:val="24"/>
              </w:rPr>
              <w:t>范围，</w:t>
            </w:r>
            <w:r>
              <w:rPr>
                <w:color w:val="auto"/>
                <w:kern w:val="0"/>
                <w:sz w:val="24"/>
                <w:szCs w:val="24"/>
              </w:rPr>
              <w:t>不涉及新增用地区域。项目所在区域</w:t>
            </w:r>
            <w:r>
              <w:rPr>
                <w:color w:val="auto"/>
                <w:sz w:val="24"/>
                <w:szCs w:val="24"/>
              </w:rPr>
              <w:t>地表主要为</w:t>
            </w:r>
            <w:r>
              <w:rPr>
                <w:color w:val="auto"/>
                <w:kern w:val="0"/>
                <w:sz w:val="24"/>
                <w:szCs w:val="24"/>
              </w:rPr>
              <w:t>人工绿化植物</w:t>
            </w:r>
            <w:r>
              <w:rPr>
                <w:color w:val="auto"/>
                <w:sz w:val="24"/>
                <w:szCs w:val="24"/>
              </w:rPr>
              <w:t>、农用地、道路、硬化场地、建筑物等，已无天然植被。评价区域内生态环境自身调控能力较低，生物多样性单一。</w:t>
            </w:r>
            <w:r>
              <w:rPr>
                <w:color w:val="auto"/>
                <w:kern w:val="0"/>
                <w:sz w:val="24"/>
                <w:szCs w:val="24"/>
              </w:rPr>
              <w:t>不涉及《环境影响评价技术导则 生态环境》（HJ19-2022）中的特殊生态敏感区、重要生态敏感区等生态环境保护目标。</w:t>
            </w:r>
          </w:p>
          <w:p>
            <w:pPr>
              <w:adjustRightInd w:val="0"/>
              <w:snapToGrid w:val="0"/>
              <w:spacing w:before="120" w:beforeLines="50" w:line="360" w:lineRule="auto"/>
              <w:jc w:val="center"/>
              <w:rPr>
                <w:b/>
                <w:bCs/>
                <w:color w:val="auto"/>
                <w:sz w:val="24"/>
                <w:szCs w:val="24"/>
              </w:rPr>
            </w:pPr>
            <w:r>
              <w:rPr>
                <w:b/>
                <w:bCs/>
                <w:color w:val="auto"/>
                <w:sz w:val="24"/>
                <w:szCs w:val="24"/>
              </w:rPr>
              <w:t>表3-</w:t>
            </w:r>
            <w:r>
              <w:rPr>
                <w:rFonts w:hint="eastAsia"/>
                <w:b/>
                <w:bCs/>
                <w:color w:val="auto"/>
                <w:sz w:val="24"/>
                <w:szCs w:val="24"/>
              </w:rPr>
              <w:t>2</w:t>
            </w:r>
            <w:r>
              <w:rPr>
                <w:b/>
                <w:bCs/>
                <w:color w:val="auto"/>
                <w:sz w:val="24"/>
                <w:szCs w:val="24"/>
              </w:rPr>
              <w:t xml:space="preserve">  主要环境保护目标一览表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3"/>
              <w:gridCol w:w="1460"/>
              <w:gridCol w:w="879"/>
              <w:gridCol w:w="1856"/>
              <w:gridCol w:w="2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8" w:type="pct"/>
                  <w:vMerge w:val="restart"/>
                  <w:vAlign w:val="center"/>
                </w:tcPr>
                <w:p>
                  <w:pPr>
                    <w:spacing w:line="240" w:lineRule="atLeast"/>
                    <w:jc w:val="center"/>
                    <w:rPr>
                      <w:b/>
                      <w:color w:val="auto"/>
                      <w:sz w:val="21"/>
                      <w:szCs w:val="21"/>
                    </w:rPr>
                  </w:pPr>
                  <w:r>
                    <w:rPr>
                      <w:b/>
                      <w:color w:val="auto"/>
                      <w:sz w:val="21"/>
                      <w:szCs w:val="21"/>
                    </w:rPr>
                    <w:t>环境要素</w:t>
                  </w:r>
                </w:p>
              </w:tc>
              <w:tc>
                <w:tcPr>
                  <w:tcW w:w="874" w:type="pct"/>
                  <w:vMerge w:val="restart"/>
                  <w:vAlign w:val="center"/>
                </w:tcPr>
                <w:p>
                  <w:pPr>
                    <w:spacing w:line="240" w:lineRule="atLeast"/>
                    <w:jc w:val="center"/>
                    <w:rPr>
                      <w:b/>
                      <w:color w:val="auto"/>
                      <w:sz w:val="21"/>
                      <w:szCs w:val="21"/>
                    </w:rPr>
                  </w:pPr>
                  <w:r>
                    <w:rPr>
                      <w:b/>
                      <w:color w:val="auto"/>
                      <w:sz w:val="21"/>
                      <w:szCs w:val="21"/>
                    </w:rPr>
                    <w:t>环境保护目标名称</w:t>
                  </w:r>
                </w:p>
              </w:tc>
              <w:tc>
                <w:tcPr>
                  <w:tcW w:w="526" w:type="pct"/>
                  <w:vMerge w:val="restart"/>
                  <w:vAlign w:val="center"/>
                </w:tcPr>
                <w:p>
                  <w:pPr>
                    <w:adjustRightInd w:val="0"/>
                    <w:snapToGrid w:val="0"/>
                    <w:spacing w:line="240" w:lineRule="atLeast"/>
                    <w:jc w:val="center"/>
                    <w:rPr>
                      <w:b/>
                      <w:color w:val="auto"/>
                      <w:sz w:val="21"/>
                      <w:szCs w:val="21"/>
                    </w:rPr>
                  </w:pPr>
                  <w:r>
                    <w:rPr>
                      <w:b/>
                      <w:color w:val="auto"/>
                      <w:sz w:val="21"/>
                      <w:szCs w:val="21"/>
                    </w:rPr>
                    <w:t>性质</w:t>
                  </w:r>
                </w:p>
              </w:tc>
              <w:tc>
                <w:tcPr>
                  <w:tcW w:w="1111" w:type="pct"/>
                  <w:vMerge w:val="restart"/>
                  <w:vAlign w:val="center"/>
                </w:tcPr>
                <w:p>
                  <w:pPr>
                    <w:adjustRightInd w:val="0"/>
                    <w:snapToGrid w:val="0"/>
                    <w:spacing w:line="240" w:lineRule="atLeast"/>
                    <w:jc w:val="center"/>
                    <w:rPr>
                      <w:b/>
                      <w:color w:val="auto"/>
                      <w:sz w:val="21"/>
                      <w:szCs w:val="21"/>
                    </w:rPr>
                  </w:pPr>
                  <w:r>
                    <w:rPr>
                      <w:b/>
                      <w:color w:val="auto"/>
                      <w:sz w:val="21"/>
                      <w:szCs w:val="21"/>
                    </w:rPr>
                    <w:t>相对</w:t>
                  </w:r>
                  <w:r>
                    <w:rPr>
                      <w:rFonts w:hint="eastAsia"/>
                      <w:b/>
                      <w:color w:val="auto"/>
                      <w:sz w:val="21"/>
                      <w:szCs w:val="21"/>
                    </w:rPr>
                    <w:t>项目</w:t>
                  </w:r>
                  <w:r>
                    <w:rPr>
                      <w:b/>
                      <w:color w:val="auto"/>
                      <w:sz w:val="21"/>
                      <w:szCs w:val="21"/>
                    </w:rPr>
                    <w:t>厂址方位和距离</w:t>
                  </w:r>
                </w:p>
              </w:tc>
              <w:tc>
                <w:tcPr>
                  <w:tcW w:w="1721" w:type="pct"/>
                  <w:vMerge w:val="restart"/>
                  <w:vAlign w:val="center"/>
                </w:tcPr>
                <w:p>
                  <w:pPr>
                    <w:adjustRightInd w:val="0"/>
                    <w:snapToGrid w:val="0"/>
                    <w:spacing w:line="240" w:lineRule="atLeast"/>
                    <w:jc w:val="center"/>
                    <w:rPr>
                      <w:b/>
                      <w:color w:val="auto"/>
                      <w:sz w:val="21"/>
                      <w:szCs w:val="21"/>
                    </w:rPr>
                  </w:pPr>
                  <w:r>
                    <w:rPr>
                      <w:b/>
                      <w:color w:val="auto"/>
                      <w:sz w:val="21"/>
                      <w:szCs w:val="21"/>
                    </w:rPr>
                    <w:t>环境功能区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768" w:type="pct"/>
                  <w:vMerge w:val="continue"/>
                  <w:vAlign w:val="center"/>
                </w:tcPr>
                <w:p>
                  <w:pPr>
                    <w:spacing w:line="240" w:lineRule="atLeast"/>
                    <w:jc w:val="center"/>
                    <w:rPr>
                      <w:b/>
                      <w:color w:val="auto"/>
                      <w:sz w:val="21"/>
                      <w:szCs w:val="21"/>
                    </w:rPr>
                  </w:pPr>
                </w:p>
              </w:tc>
              <w:tc>
                <w:tcPr>
                  <w:tcW w:w="874" w:type="pct"/>
                  <w:vMerge w:val="continue"/>
                  <w:vAlign w:val="center"/>
                </w:tcPr>
                <w:p>
                  <w:pPr>
                    <w:spacing w:line="240" w:lineRule="atLeast"/>
                    <w:jc w:val="center"/>
                    <w:rPr>
                      <w:b/>
                      <w:color w:val="auto"/>
                      <w:sz w:val="21"/>
                      <w:szCs w:val="21"/>
                    </w:rPr>
                  </w:pPr>
                </w:p>
              </w:tc>
              <w:tc>
                <w:tcPr>
                  <w:tcW w:w="526" w:type="pct"/>
                  <w:vMerge w:val="continue"/>
                  <w:vAlign w:val="center"/>
                </w:tcPr>
                <w:p>
                  <w:pPr>
                    <w:spacing w:line="240" w:lineRule="atLeast"/>
                    <w:jc w:val="center"/>
                    <w:rPr>
                      <w:color w:val="auto"/>
                      <w:sz w:val="21"/>
                      <w:szCs w:val="21"/>
                    </w:rPr>
                  </w:pPr>
                </w:p>
              </w:tc>
              <w:tc>
                <w:tcPr>
                  <w:tcW w:w="1111" w:type="pct"/>
                  <w:vMerge w:val="continue"/>
                  <w:vAlign w:val="center"/>
                </w:tcPr>
                <w:p>
                  <w:pPr>
                    <w:spacing w:line="240" w:lineRule="atLeast"/>
                    <w:jc w:val="center"/>
                    <w:rPr>
                      <w:color w:val="auto"/>
                      <w:sz w:val="21"/>
                      <w:szCs w:val="21"/>
                    </w:rPr>
                  </w:pPr>
                </w:p>
              </w:tc>
              <w:tc>
                <w:tcPr>
                  <w:tcW w:w="1721" w:type="pct"/>
                  <w:vMerge w:val="continue"/>
                  <w:vAlign w:val="center"/>
                </w:tcPr>
                <w:p>
                  <w:pPr>
                    <w:spacing w:line="240" w:lineRule="atLeast"/>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8" w:type="pct"/>
                  <w:vAlign w:val="center"/>
                </w:tcPr>
                <w:p>
                  <w:pPr>
                    <w:spacing w:line="240" w:lineRule="atLeast"/>
                    <w:jc w:val="center"/>
                    <w:rPr>
                      <w:color w:val="auto"/>
                      <w:sz w:val="21"/>
                      <w:szCs w:val="21"/>
                    </w:rPr>
                  </w:pPr>
                  <w:r>
                    <w:rPr>
                      <w:color w:val="auto"/>
                      <w:sz w:val="21"/>
                      <w:szCs w:val="21"/>
                    </w:rPr>
                    <w:t>地表水</w:t>
                  </w:r>
                </w:p>
              </w:tc>
              <w:tc>
                <w:tcPr>
                  <w:tcW w:w="874" w:type="pct"/>
                  <w:vAlign w:val="center"/>
                </w:tcPr>
                <w:p>
                  <w:pPr>
                    <w:spacing w:line="240" w:lineRule="atLeast"/>
                    <w:jc w:val="center"/>
                    <w:rPr>
                      <w:color w:val="auto"/>
                      <w:sz w:val="21"/>
                      <w:szCs w:val="21"/>
                    </w:rPr>
                  </w:pPr>
                  <w:r>
                    <w:rPr>
                      <w:color w:val="auto"/>
                      <w:sz w:val="21"/>
                      <w:szCs w:val="21"/>
                    </w:rPr>
                    <w:t>南盘江</w:t>
                  </w:r>
                </w:p>
              </w:tc>
              <w:tc>
                <w:tcPr>
                  <w:tcW w:w="526" w:type="pct"/>
                  <w:vAlign w:val="center"/>
                </w:tcPr>
                <w:p>
                  <w:pPr>
                    <w:spacing w:line="240" w:lineRule="atLeast"/>
                    <w:jc w:val="center"/>
                    <w:rPr>
                      <w:color w:val="auto"/>
                      <w:sz w:val="21"/>
                      <w:szCs w:val="21"/>
                    </w:rPr>
                  </w:pPr>
                  <w:r>
                    <w:rPr>
                      <w:color w:val="auto"/>
                      <w:sz w:val="21"/>
                      <w:szCs w:val="21"/>
                    </w:rPr>
                    <w:t>河流</w:t>
                  </w:r>
                </w:p>
              </w:tc>
              <w:tc>
                <w:tcPr>
                  <w:tcW w:w="1111" w:type="pct"/>
                  <w:vAlign w:val="center"/>
                </w:tcPr>
                <w:p>
                  <w:pPr>
                    <w:spacing w:line="240" w:lineRule="atLeast"/>
                    <w:jc w:val="center"/>
                    <w:rPr>
                      <w:color w:val="auto"/>
                      <w:sz w:val="21"/>
                      <w:szCs w:val="21"/>
                    </w:rPr>
                  </w:pPr>
                  <w:r>
                    <w:rPr>
                      <w:color w:val="auto"/>
                      <w:sz w:val="21"/>
                      <w:szCs w:val="21"/>
                    </w:rPr>
                    <w:t>东侧</w:t>
                  </w:r>
                  <w:r>
                    <w:rPr>
                      <w:rFonts w:hint="eastAsia"/>
                      <w:color w:val="auto"/>
                      <w:sz w:val="21"/>
                      <w:szCs w:val="21"/>
                      <w:lang w:val="en-US" w:eastAsia="zh-CN"/>
                    </w:rPr>
                    <w:t>1.53</w:t>
                  </w:r>
                  <w:r>
                    <w:rPr>
                      <w:rFonts w:hint="eastAsia"/>
                      <w:color w:val="auto"/>
                      <w:sz w:val="21"/>
                      <w:szCs w:val="21"/>
                    </w:rPr>
                    <w:t>k</w:t>
                  </w:r>
                  <w:r>
                    <w:rPr>
                      <w:color w:val="auto"/>
                      <w:sz w:val="21"/>
                      <w:szCs w:val="21"/>
                    </w:rPr>
                    <w:t>m</w:t>
                  </w:r>
                </w:p>
              </w:tc>
              <w:tc>
                <w:tcPr>
                  <w:tcW w:w="1721" w:type="pct"/>
                  <w:vAlign w:val="center"/>
                </w:tcPr>
                <w:p>
                  <w:pPr>
                    <w:spacing w:line="240" w:lineRule="atLeast"/>
                    <w:jc w:val="center"/>
                    <w:rPr>
                      <w:color w:val="auto"/>
                      <w:sz w:val="21"/>
                      <w:szCs w:val="21"/>
                    </w:rPr>
                  </w:pPr>
                  <w:r>
                    <w:rPr>
                      <w:color w:val="auto"/>
                      <w:sz w:val="21"/>
                      <w:szCs w:val="21"/>
                    </w:rPr>
                    <w:t>《地表水环境质量标准》（GB3838-2002）</w:t>
                  </w:r>
                  <w:r>
                    <w:rPr>
                      <w:rFonts w:eastAsia="仿宋"/>
                      <w:color w:val="auto"/>
                      <w:sz w:val="21"/>
                      <w:szCs w:val="21"/>
                    </w:rPr>
                    <w:t>Ⅲ</w:t>
                  </w:r>
                  <w:r>
                    <w:rPr>
                      <w:color w:val="auto"/>
                      <w:sz w:val="21"/>
                      <w:szCs w:val="21"/>
                    </w:rPr>
                    <w:t>类标准</w:t>
                  </w:r>
                </w:p>
              </w:tc>
            </w:tr>
          </w:tbl>
          <w:p>
            <w:pPr>
              <w:adjustRightInd w:val="0"/>
              <w:snapToGrid w:val="0"/>
              <w:rPr>
                <w:color w:val="auto"/>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tcMar>
              <w:left w:w="28" w:type="dxa"/>
              <w:right w:w="28" w:type="dxa"/>
            </w:tcMar>
            <w:vAlign w:val="center"/>
          </w:tcPr>
          <w:p>
            <w:pPr>
              <w:adjustRightInd w:val="0"/>
              <w:snapToGrid w:val="0"/>
              <w:jc w:val="center"/>
              <w:rPr>
                <w:color w:val="auto"/>
                <w:kern w:val="0"/>
                <w:szCs w:val="21"/>
              </w:rPr>
            </w:pPr>
            <w:r>
              <w:rPr>
                <w:color w:val="auto"/>
                <w:kern w:val="0"/>
                <w:szCs w:val="21"/>
              </w:rPr>
              <w:t>污染</w:t>
            </w:r>
          </w:p>
          <w:p>
            <w:pPr>
              <w:adjustRightInd w:val="0"/>
              <w:snapToGrid w:val="0"/>
              <w:jc w:val="center"/>
              <w:rPr>
                <w:color w:val="auto"/>
                <w:kern w:val="0"/>
                <w:szCs w:val="21"/>
              </w:rPr>
            </w:pPr>
            <w:r>
              <w:rPr>
                <w:color w:val="auto"/>
                <w:kern w:val="0"/>
                <w:szCs w:val="21"/>
              </w:rPr>
              <w:t>物排</w:t>
            </w:r>
          </w:p>
          <w:p>
            <w:pPr>
              <w:adjustRightInd w:val="0"/>
              <w:snapToGrid w:val="0"/>
              <w:jc w:val="center"/>
              <w:rPr>
                <w:color w:val="auto"/>
                <w:kern w:val="0"/>
                <w:szCs w:val="21"/>
              </w:rPr>
            </w:pPr>
            <w:r>
              <w:rPr>
                <w:color w:val="auto"/>
                <w:kern w:val="0"/>
                <w:szCs w:val="21"/>
              </w:rPr>
              <w:t>放控</w:t>
            </w:r>
          </w:p>
          <w:p>
            <w:pPr>
              <w:adjustRightInd w:val="0"/>
              <w:snapToGrid w:val="0"/>
              <w:jc w:val="center"/>
              <w:rPr>
                <w:color w:val="auto"/>
                <w:kern w:val="0"/>
                <w:szCs w:val="21"/>
              </w:rPr>
            </w:pPr>
            <w:r>
              <w:rPr>
                <w:color w:val="auto"/>
                <w:kern w:val="0"/>
                <w:szCs w:val="21"/>
              </w:rPr>
              <w:t>制标</w:t>
            </w:r>
          </w:p>
          <w:p>
            <w:pPr>
              <w:adjustRightInd w:val="0"/>
              <w:snapToGrid w:val="0"/>
              <w:jc w:val="center"/>
              <w:rPr>
                <w:color w:val="auto"/>
                <w:kern w:val="0"/>
                <w:szCs w:val="21"/>
              </w:rPr>
            </w:pPr>
            <w:r>
              <w:rPr>
                <w:color w:val="auto"/>
                <w:kern w:val="0"/>
                <w:szCs w:val="21"/>
              </w:rPr>
              <w:t>准</w:t>
            </w:r>
          </w:p>
        </w:tc>
        <w:tc>
          <w:tcPr>
            <w:tcW w:w="0" w:type="auto"/>
            <w:vAlign w:val="center"/>
          </w:tcPr>
          <w:p>
            <w:pPr>
              <w:adjustRightInd w:val="0"/>
              <w:snapToGrid w:val="0"/>
              <w:spacing w:line="360" w:lineRule="auto"/>
              <w:rPr>
                <w:b/>
                <w:color w:val="auto"/>
                <w:sz w:val="24"/>
                <w:szCs w:val="24"/>
              </w:rPr>
            </w:pPr>
            <w:r>
              <w:rPr>
                <w:b/>
                <w:color w:val="auto"/>
                <w:sz w:val="24"/>
                <w:szCs w:val="24"/>
              </w:rPr>
              <w:t>一、施工期</w:t>
            </w:r>
          </w:p>
          <w:p>
            <w:pPr>
              <w:adjustRightInd w:val="0"/>
              <w:snapToGrid w:val="0"/>
              <w:spacing w:line="360" w:lineRule="auto"/>
              <w:ind w:firstLine="480" w:firstLineChars="200"/>
              <w:rPr>
                <w:bCs/>
                <w:color w:val="auto"/>
                <w:sz w:val="24"/>
                <w:szCs w:val="24"/>
              </w:rPr>
            </w:pPr>
            <w:r>
              <w:rPr>
                <w:bCs/>
                <w:color w:val="auto"/>
                <w:sz w:val="24"/>
                <w:szCs w:val="24"/>
              </w:rPr>
              <w:t>1、废气</w:t>
            </w:r>
          </w:p>
          <w:p>
            <w:pPr>
              <w:adjustRightInd w:val="0"/>
              <w:snapToGrid w:val="0"/>
              <w:spacing w:line="360" w:lineRule="auto"/>
              <w:ind w:firstLine="480" w:firstLineChars="200"/>
              <w:rPr>
                <w:bCs/>
                <w:color w:val="auto"/>
                <w:sz w:val="24"/>
                <w:szCs w:val="24"/>
              </w:rPr>
            </w:pPr>
            <w:r>
              <w:rPr>
                <w:bCs/>
                <w:color w:val="auto"/>
                <w:sz w:val="24"/>
                <w:szCs w:val="24"/>
              </w:rPr>
              <w:t>施工扬尘执行《大气污染物综合排放标准》（GB16297-</w:t>
            </w:r>
            <w:r>
              <w:rPr>
                <w:rFonts w:hint="eastAsia"/>
                <w:bCs/>
                <w:color w:val="auto"/>
                <w:sz w:val="24"/>
                <w:szCs w:val="24"/>
                <w:lang w:val="en-US" w:eastAsia="zh-CN"/>
              </w:rPr>
              <w:t>2026</w:t>
            </w:r>
            <w:r>
              <w:rPr>
                <w:bCs/>
                <w:color w:val="auto"/>
                <w:sz w:val="24"/>
                <w:szCs w:val="24"/>
              </w:rPr>
              <w:t>）无组织排放限值，</w:t>
            </w:r>
            <w:r>
              <w:rPr>
                <w:rFonts w:hint="eastAsia"/>
                <w:bCs/>
                <w:color w:val="auto"/>
                <w:sz w:val="24"/>
                <w:szCs w:val="24"/>
              </w:rPr>
              <w:t>即：</w:t>
            </w:r>
            <w:r>
              <w:rPr>
                <w:bCs/>
                <w:color w:val="auto"/>
                <w:sz w:val="24"/>
                <w:szCs w:val="24"/>
              </w:rPr>
              <w:t>厂界外浓度最高点≤1.0mg/m</w:t>
            </w:r>
            <w:r>
              <w:rPr>
                <w:bCs/>
                <w:color w:val="auto"/>
                <w:sz w:val="24"/>
                <w:szCs w:val="24"/>
                <w:vertAlign w:val="superscript"/>
              </w:rPr>
              <w:t>3</w:t>
            </w:r>
            <w:r>
              <w:rPr>
                <w:bCs/>
                <w:color w:val="auto"/>
                <w:sz w:val="24"/>
                <w:szCs w:val="24"/>
              </w:rPr>
              <w:t>。</w:t>
            </w:r>
          </w:p>
          <w:p>
            <w:pPr>
              <w:adjustRightInd w:val="0"/>
              <w:snapToGrid w:val="0"/>
              <w:spacing w:line="360" w:lineRule="auto"/>
              <w:ind w:firstLine="480" w:firstLineChars="200"/>
              <w:rPr>
                <w:color w:val="auto"/>
                <w:sz w:val="24"/>
                <w:szCs w:val="24"/>
              </w:rPr>
            </w:pPr>
            <w:r>
              <w:rPr>
                <w:color w:val="auto"/>
                <w:sz w:val="24"/>
                <w:szCs w:val="24"/>
              </w:rPr>
              <w:t>2、废水</w:t>
            </w:r>
          </w:p>
          <w:p>
            <w:pPr>
              <w:adjustRightInd w:val="0"/>
              <w:snapToGrid w:val="0"/>
              <w:spacing w:line="360" w:lineRule="auto"/>
              <w:ind w:firstLine="480" w:firstLineChars="200"/>
              <w:rPr>
                <w:color w:val="auto"/>
                <w:sz w:val="24"/>
                <w:szCs w:val="24"/>
              </w:rPr>
            </w:pPr>
            <w:r>
              <w:rPr>
                <w:color w:val="auto"/>
                <w:sz w:val="24"/>
                <w:szCs w:val="24"/>
              </w:rPr>
              <w:t>施工期废水主要为员工洗手</w:t>
            </w:r>
            <w:r>
              <w:rPr>
                <w:rFonts w:hint="eastAsia"/>
                <w:color w:val="auto"/>
                <w:sz w:val="24"/>
                <w:szCs w:val="24"/>
              </w:rPr>
              <w:t>、冲厕</w:t>
            </w:r>
            <w:r>
              <w:rPr>
                <w:color w:val="auto"/>
                <w:sz w:val="24"/>
                <w:szCs w:val="24"/>
              </w:rPr>
              <w:t>等生活污水，</w:t>
            </w:r>
            <w:r>
              <w:rPr>
                <w:rFonts w:hint="eastAsia"/>
                <w:color w:val="auto"/>
                <w:sz w:val="24"/>
                <w:szCs w:val="24"/>
              </w:rPr>
              <w:t>依托</w:t>
            </w:r>
            <w:r>
              <w:rPr>
                <w:rFonts w:hint="eastAsia"/>
                <w:color w:val="auto"/>
                <w:sz w:val="24"/>
                <w:szCs w:val="24"/>
                <w:lang w:eastAsia="zh-CN"/>
              </w:rPr>
              <w:t>云南宝塑塑料管业有限公司</w:t>
            </w:r>
            <w:r>
              <w:rPr>
                <w:rFonts w:hint="eastAsia"/>
                <w:color w:val="auto"/>
                <w:sz w:val="24"/>
                <w:szCs w:val="24"/>
              </w:rPr>
              <w:t>的化粪池、污水处理站处理后</w:t>
            </w:r>
            <w:r>
              <w:rPr>
                <w:rFonts w:hint="eastAsia"/>
                <w:color w:val="auto"/>
                <w:sz w:val="24"/>
                <w:szCs w:val="24"/>
                <w:lang w:val="en-US" w:eastAsia="zh-CN"/>
              </w:rPr>
              <w:t>委托宜良县汇金环境卫生服务部定期清掏处置</w:t>
            </w:r>
            <w:r>
              <w:rPr>
                <w:rFonts w:hint="eastAsia"/>
                <w:color w:val="auto"/>
                <w:sz w:val="24"/>
                <w:szCs w:val="24"/>
              </w:rPr>
              <w:t>。</w:t>
            </w:r>
          </w:p>
          <w:p>
            <w:pPr>
              <w:spacing w:line="360" w:lineRule="auto"/>
              <w:ind w:firstLine="480" w:firstLineChars="200"/>
              <w:jc w:val="left"/>
              <w:rPr>
                <w:color w:val="auto"/>
                <w:sz w:val="24"/>
                <w:szCs w:val="24"/>
              </w:rPr>
            </w:pPr>
            <w:r>
              <w:rPr>
                <w:color w:val="auto"/>
                <w:sz w:val="24"/>
                <w:szCs w:val="24"/>
              </w:rPr>
              <w:t>3、噪声</w:t>
            </w:r>
          </w:p>
          <w:p>
            <w:pPr>
              <w:spacing w:line="360" w:lineRule="auto"/>
              <w:ind w:firstLine="480" w:firstLineChars="200"/>
              <w:jc w:val="left"/>
              <w:rPr>
                <w:b/>
                <w:color w:val="auto"/>
                <w:sz w:val="24"/>
                <w:szCs w:val="24"/>
              </w:rPr>
            </w:pPr>
            <w:r>
              <w:rPr>
                <w:color w:val="auto"/>
                <w:sz w:val="24"/>
                <w:szCs w:val="24"/>
              </w:rPr>
              <w:t>施工期噪声执行《建筑施工场界环境噪声排放标准》（GB12523-20</w:t>
            </w:r>
            <w:r>
              <w:rPr>
                <w:rFonts w:hint="eastAsia"/>
                <w:color w:val="auto"/>
                <w:sz w:val="24"/>
                <w:szCs w:val="24"/>
                <w:lang w:val="en-US" w:eastAsia="zh-CN"/>
              </w:rPr>
              <w:t>25</w:t>
            </w:r>
            <w:r>
              <w:rPr>
                <w:color w:val="auto"/>
                <w:sz w:val="24"/>
                <w:szCs w:val="24"/>
              </w:rPr>
              <w:t>）标准值，具体见表3-</w:t>
            </w:r>
            <w:r>
              <w:rPr>
                <w:rFonts w:hint="eastAsia"/>
                <w:color w:val="auto"/>
                <w:sz w:val="24"/>
                <w:szCs w:val="24"/>
              </w:rPr>
              <w:t>3</w:t>
            </w:r>
            <w:r>
              <w:rPr>
                <w:color w:val="auto"/>
                <w:sz w:val="24"/>
                <w:szCs w:val="24"/>
              </w:rPr>
              <w:t>。</w:t>
            </w:r>
          </w:p>
          <w:p>
            <w:pPr>
              <w:adjustRightInd w:val="0"/>
              <w:snapToGrid w:val="0"/>
              <w:spacing w:before="120" w:beforeLines="50" w:line="360" w:lineRule="auto"/>
              <w:jc w:val="center"/>
              <w:rPr>
                <w:b/>
                <w:bCs/>
                <w:color w:val="auto"/>
                <w:sz w:val="24"/>
                <w:szCs w:val="24"/>
              </w:rPr>
            </w:pPr>
            <w:r>
              <w:rPr>
                <w:b/>
                <w:bCs/>
                <w:color w:val="auto"/>
                <w:sz w:val="24"/>
                <w:szCs w:val="24"/>
              </w:rPr>
              <w:t>表3-</w:t>
            </w:r>
            <w:r>
              <w:rPr>
                <w:rFonts w:hint="eastAsia"/>
                <w:b/>
                <w:bCs/>
                <w:color w:val="auto"/>
                <w:sz w:val="24"/>
                <w:szCs w:val="24"/>
              </w:rPr>
              <w:t>3</w:t>
            </w:r>
            <w:r>
              <w:rPr>
                <w:b/>
                <w:bCs/>
                <w:color w:val="auto"/>
                <w:sz w:val="24"/>
                <w:szCs w:val="24"/>
              </w:rPr>
              <w:t xml:space="preserve">   建筑施工场界环境噪声排放标准</w:t>
            </w:r>
          </w:p>
          <w:tbl>
            <w:tblPr>
              <w:tblStyle w:val="23"/>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188"/>
              <w:gridCol w:w="41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506"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b/>
                      <w:bCs w:val="0"/>
                      <w:color w:val="auto"/>
                      <w:szCs w:val="21"/>
                    </w:rPr>
                  </w:pPr>
                  <w:r>
                    <w:rPr>
                      <w:b/>
                      <w:bCs w:val="0"/>
                      <w:color w:val="auto"/>
                      <w:szCs w:val="21"/>
                    </w:rPr>
                    <w:t>昼间</w:t>
                  </w:r>
                </w:p>
              </w:tc>
              <w:tc>
                <w:tcPr>
                  <w:tcW w:w="2494"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b/>
                      <w:bCs w:val="0"/>
                      <w:color w:val="auto"/>
                      <w:szCs w:val="21"/>
                    </w:rPr>
                  </w:pPr>
                  <w:r>
                    <w:rPr>
                      <w:b/>
                      <w:bCs w:val="0"/>
                      <w:color w:val="auto"/>
                      <w:szCs w:val="21"/>
                    </w:rPr>
                    <w:t>夜间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506"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bCs/>
                      <w:color w:val="auto"/>
                      <w:szCs w:val="21"/>
                    </w:rPr>
                  </w:pPr>
                  <w:r>
                    <w:rPr>
                      <w:bCs/>
                      <w:color w:val="auto"/>
                      <w:szCs w:val="21"/>
                    </w:rPr>
                    <w:t>70</w:t>
                  </w:r>
                  <w:r>
                    <w:rPr>
                      <w:color w:val="auto"/>
                    </w:rPr>
                    <w:t xml:space="preserve"> </w:t>
                  </w:r>
                  <w:r>
                    <w:rPr>
                      <w:bCs/>
                      <w:color w:val="auto"/>
                      <w:szCs w:val="21"/>
                    </w:rPr>
                    <w:t>dB(A)</w:t>
                  </w:r>
                </w:p>
              </w:tc>
              <w:tc>
                <w:tcPr>
                  <w:tcW w:w="2494"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bCs/>
                      <w:color w:val="auto"/>
                      <w:szCs w:val="21"/>
                    </w:rPr>
                  </w:pPr>
                  <w:r>
                    <w:rPr>
                      <w:bCs/>
                      <w:color w:val="auto"/>
                      <w:szCs w:val="21"/>
                    </w:rPr>
                    <w:t>50</w:t>
                  </w:r>
                  <w:r>
                    <w:rPr>
                      <w:color w:val="auto"/>
                    </w:rPr>
                    <w:t xml:space="preserve"> </w:t>
                  </w:r>
                  <w:r>
                    <w:rPr>
                      <w:bCs/>
                      <w:color w:val="auto"/>
                      <w:szCs w:val="21"/>
                    </w:rPr>
                    <w:t>dB(A)</w:t>
                  </w:r>
                </w:p>
              </w:tc>
            </w:tr>
          </w:tbl>
          <w:p>
            <w:pPr>
              <w:adjustRightInd w:val="0"/>
              <w:snapToGrid w:val="0"/>
              <w:spacing w:line="360" w:lineRule="auto"/>
              <w:ind w:firstLine="482" w:firstLineChars="200"/>
              <w:rPr>
                <w:b/>
                <w:color w:val="auto"/>
                <w:sz w:val="24"/>
                <w:szCs w:val="24"/>
              </w:rPr>
            </w:pPr>
            <w:r>
              <w:rPr>
                <w:b/>
                <w:color w:val="auto"/>
                <w:sz w:val="24"/>
                <w:szCs w:val="24"/>
              </w:rPr>
              <w:t>二、运营期</w:t>
            </w:r>
          </w:p>
          <w:p>
            <w:pPr>
              <w:adjustRightInd w:val="0"/>
              <w:snapToGrid w:val="0"/>
              <w:spacing w:line="360" w:lineRule="auto"/>
              <w:ind w:firstLine="482" w:firstLineChars="200"/>
              <w:rPr>
                <w:b/>
                <w:color w:val="auto"/>
                <w:kern w:val="0"/>
                <w:sz w:val="24"/>
                <w:szCs w:val="24"/>
              </w:rPr>
            </w:pPr>
            <w:r>
              <w:rPr>
                <w:b/>
                <w:color w:val="auto"/>
                <w:kern w:val="0"/>
                <w:sz w:val="24"/>
                <w:szCs w:val="24"/>
              </w:rPr>
              <w:t>1、废气</w:t>
            </w:r>
          </w:p>
          <w:p>
            <w:pPr>
              <w:spacing w:line="360" w:lineRule="auto"/>
              <w:ind w:firstLine="482" w:firstLineChars="200"/>
              <w:rPr>
                <w:b/>
                <w:color w:val="auto"/>
                <w:sz w:val="24"/>
                <w:szCs w:val="24"/>
              </w:rPr>
            </w:pPr>
            <w:r>
              <w:rPr>
                <w:b/>
                <w:color w:val="auto"/>
                <w:sz w:val="24"/>
                <w:szCs w:val="24"/>
              </w:rPr>
              <w:t>（1）有组织废气</w:t>
            </w:r>
          </w:p>
          <w:p>
            <w:pPr>
              <w:adjustRightInd w:val="0"/>
              <w:snapToGrid w:val="0"/>
              <w:spacing w:line="360" w:lineRule="auto"/>
              <w:ind w:firstLine="480" w:firstLineChars="200"/>
              <w:rPr>
                <w:bCs/>
                <w:color w:val="auto"/>
                <w:sz w:val="24"/>
                <w:szCs w:val="24"/>
              </w:rPr>
            </w:pPr>
            <w:r>
              <w:rPr>
                <w:rFonts w:hint="eastAsia"/>
                <w:bCs/>
                <w:color w:val="auto"/>
                <w:sz w:val="24"/>
                <w:szCs w:val="24"/>
              </w:rPr>
              <w:t>项目熔融挤出造粒工序废气经</w:t>
            </w:r>
            <w:r>
              <w:rPr>
                <w:rFonts w:ascii="宋体" w:hAnsi="宋体"/>
                <w:color w:val="auto"/>
                <w:sz w:val="24"/>
                <w:szCs w:val="24"/>
              </w:rPr>
              <w:t>“</w:t>
            </w:r>
            <w:r>
              <w:rPr>
                <w:rFonts w:hint="eastAsia" w:ascii="宋体" w:hAnsi="宋体"/>
                <w:color w:val="auto"/>
                <w:sz w:val="24"/>
                <w:szCs w:val="24"/>
              </w:rPr>
              <w:t>过滤棉+</w:t>
            </w:r>
            <w:r>
              <w:rPr>
                <w:rFonts w:hint="eastAsia"/>
                <w:color w:val="auto"/>
                <w:sz w:val="24"/>
                <w:szCs w:val="24"/>
                <w:lang w:eastAsia="zh-CN"/>
              </w:rPr>
              <w:t>三级活性炭</w:t>
            </w:r>
            <w:r>
              <w:rPr>
                <w:color w:val="auto"/>
                <w:sz w:val="24"/>
                <w:szCs w:val="24"/>
              </w:rPr>
              <w:t>吸附装置</w:t>
            </w:r>
            <w:r>
              <w:rPr>
                <w:rFonts w:ascii="宋体" w:hAnsi="宋体"/>
                <w:color w:val="auto"/>
                <w:sz w:val="24"/>
                <w:szCs w:val="24"/>
              </w:rPr>
              <w:t>”</w:t>
            </w:r>
            <w:r>
              <w:rPr>
                <w:color w:val="auto"/>
                <w:sz w:val="24"/>
                <w:szCs w:val="24"/>
              </w:rPr>
              <w:t>处理后由</w:t>
            </w:r>
            <w:r>
              <w:rPr>
                <w:rFonts w:hint="eastAsia"/>
                <w:color w:val="auto"/>
                <w:sz w:val="24"/>
                <w:szCs w:val="24"/>
              </w:rPr>
              <w:t>1根</w:t>
            </w:r>
            <w:r>
              <w:rPr>
                <w:rFonts w:hint="eastAsia"/>
                <w:color w:val="auto"/>
                <w:sz w:val="24"/>
                <w:szCs w:val="24"/>
                <w:lang w:val="en-US" w:eastAsia="zh-CN"/>
              </w:rPr>
              <w:t>15</w:t>
            </w:r>
            <w:r>
              <w:rPr>
                <w:color w:val="auto"/>
                <w:sz w:val="24"/>
                <w:szCs w:val="24"/>
              </w:rPr>
              <w:t>m高的排气筒排放</w:t>
            </w:r>
            <w:r>
              <w:rPr>
                <w:rFonts w:hint="eastAsia"/>
                <w:color w:val="auto"/>
                <w:sz w:val="24"/>
                <w:szCs w:val="24"/>
              </w:rPr>
              <w:t>，</w:t>
            </w:r>
            <w:r>
              <w:rPr>
                <w:rFonts w:hint="eastAsia"/>
                <w:bCs/>
                <w:color w:val="auto"/>
                <w:sz w:val="24"/>
                <w:szCs w:val="24"/>
              </w:rPr>
              <w:t>产生的</w:t>
            </w:r>
            <w:r>
              <w:rPr>
                <w:color w:val="auto"/>
                <w:sz w:val="24"/>
                <w:szCs w:val="24"/>
              </w:rPr>
              <w:t>挥发性有机</w:t>
            </w:r>
            <w:r>
              <w:rPr>
                <w:rFonts w:hint="eastAsia"/>
                <w:color w:val="auto"/>
                <w:sz w:val="24"/>
                <w:szCs w:val="24"/>
              </w:rPr>
              <w:t>物</w:t>
            </w:r>
            <w:r>
              <w:rPr>
                <w:color w:val="auto"/>
                <w:sz w:val="24"/>
                <w:szCs w:val="24"/>
              </w:rPr>
              <w:t>（以非甲烷总烃计）</w:t>
            </w:r>
            <w:r>
              <w:rPr>
                <w:rFonts w:hint="eastAsia"/>
                <w:color w:val="auto"/>
                <w:sz w:val="24"/>
                <w:szCs w:val="24"/>
              </w:rPr>
              <w:t>、颗粒物</w:t>
            </w:r>
            <w:r>
              <w:rPr>
                <w:color w:val="auto"/>
                <w:sz w:val="24"/>
                <w:szCs w:val="24"/>
              </w:rPr>
              <w:t>执行《大气污染物综合排放标准》（GB16297-1996）表2中的</w:t>
            </w:r>
            <w:r>
              <w:rPr>
                <w:rFonts w:hint="eastAsia"/>
                <w:color w:val="auto"/>
                <w:sz w:val="24"/>
                <w:szCs w:val="24"/>
              </w:rPr>
              <w:t>二级</w:t>
            </w:r>
            <w:r>
              <w:rPr>
                <w:color w:val="auto"/>
                <w:sz w:val="24"/>
                <w:szCs w:val="24"/>
              </w:rPr>
              <w:t>标准限值</w:t>
            </w:r>
            <w:r>
              <w:rPr>
                <w:rFonts w:hint="eastAsia"/>
                <w:color w:val="auto"/>
                <w:sz w:val="24"/>
                <w:szCs w:val="24"/>
              </w:rPr>
              <w:t>，</w:t>
            </w:r>
            <w:r>
              <w:rPr>
                <w:color w:val="auto"/>
                <w:sz w:val="24"/>
                <w:szCs w:val="24"/>
              </w:rPr>
              <w:t>臭气浓度执行《恶臭污染物排放标准》（GB14554-93）表2中的标准限值。</w:t>
            </w:r>
          </w:p>
          <w:p>
            <w:pPr>
              <w:adjustRightInd w:val="0"/>
              <w:snapToGrid w:val="0"/>
              <w:spacing w:line="360" w:lineRule="auto"/>
              <w:ind w:firstLine="480" w:firstLineChars="200"/>
              <w:rPr>
                <w:color w:val="auto"/>
                <w:sz w:val="24"/>
                <w:szCs w:val="24"/>
              </w:rPr>
            </w:pPr>
            <w:r>
              <w:rPr>
                <w:color w:val="auto"/>
                <w:sz w:val="24"/>
                <w:szCs w:val="24"/>
              </w:rPr>
              <w:t>根据《大气污染物综合排放标准》（GB16297-1996）中规定</w:t>
            </w:r>
            <w:r>
              <w:rPr>
                <w:rFonts w:ascii="宋体" w:hAnsi="宋体"/>
                <w:color w:val="auto"/>
                <w:sz w:val="24"/>
                <w:szCs w:val="24"/>
              </w:rPr>
              <w:t>“</w:t>
            </w:r>
            <w:r>
              <w:rPr>
                <w:color w:val="auto"/>
                <w:sz w:val="24"/>
                <w:szCs w:val="24"/>
              </w:rPr>
              <w:t>排气筒高度要高于200m半径范围的建筑物5m以上，不能达到该要求的排气筒应按其高度对应的排放速率标准值严格50%</w:t>
            </w:r>
            <w:r>
              <w:rPr>
                <w:rFonts w:ascii="宋体" w:hAnsi="宋体"/>
                <w:color w:val="auto"/>
                <w:sz w:val="24"/>
                <w:szCs w:val="24"/>
              </w:rPr>
              <w:t>”</w:t>
            </w:r>
            <w:r>
              <w:rPr>
                <w:color w:val="auto"/>
                <w:sz w:val="24"/>
                <w:szCs w:val="24"/>
              </w:rPr>
              <w:t>，</w:t>
            </w:r>
            <w:r>
              <w:rPr>
                <w:rFonts w:hint="eastAsia"/>
                <w:color w:val="auto"/>
                <w:sz w:val="24"/>
                <w:szCs w:val="24"/>
              </w:rPr>
              <w:t>本</w:t>
            </w:r>
            <w:r>
              <w:rPr>
                <w:color w:val="auto"/>
                <w:sz w:val="24"/>
                <w:szCs w:val="24"/>
              </w:rPr>
              <w:t>项目</w:t>
            </w:r>
            <w:r>
              <w:rPr>
                <w:rFonts w:hint="eastAsia"/>
                <w:color w:val="auto"/>
                <w:sz w:val="24"/>
                <w:szCs w:val="24"/>
                <w:lang w:val="en-US" w:eastAsia="zh-CN"/>
              </w:rPr>
              <w:t>无法达到该要求</w:t>
            </w:r>
            <w:r>
              <w:rPr>
                <w:rFonts w:hint="eastAsia"/>
                <w:color w:val="auto"/>
                <w:sz w:val="24"/>
                <w:szCs w:val="24"/>
              </w:rPr>
              <w:t>，因此</w:t>
            </w:r>
            <w:r>
              <w:rPr>
                <w:color w:val="auto"/>
                <w:sz w:val="24"/>
                <w:szCs w:val="24"/>
              </w:rPr>
              <w:t>排放速率标准值严格50%执行</w:t>
            </w:r>
            <w:r>
              <w:rPr>
                <w:rFonts w:hint="eastAsia"/>
                <w:color w:val="auto"/>
                <w:sz w:val="24"/>
                <w:szCs w:val="24"/>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color w:val="auto"/>
                <w:sz w:val="24"/>
                <w:szCs w:val="24"/>
              </w:rPr>
            </w:pPr>
            <w:r>
              <w:rPr>
                <w:color w:val="auto"/>
                <w:sz w:val="24"/>
                <w:szCs w:val="24"/>
              </w:rPr>
              <w:t>排放限值具体详见表3-</w:t>
            </w:r>
            <w:r>
              <w:rPr>
                <w:rFonts w:hint="eastAsia"/>
                <w:color w:val="auto"/>
                <w:sz w:val="24"/>
                <w:szCs w:val="24"/>
              </w:rPr>
              <w:t>4</w:t>
            </w:r>
            <w:r>
              <w:rPr>
                <w:color w:val="auto"/>
                <w:sz w:val="24"/>
                <w:szCs w:val="24"/>
              </w:rPr>
              <w:t>。</w:t>
            </w:r>
          </w:p>
          <w:p>
            <w:pPr>
              <w:keepNext w:val="0"/>
              <w:keepLines w:val="0"/>
              <w:pageBreakBefore w:val="0"/>
              <w:widowControl w:val="0"/>
              <w:kinsoku/>
              <w:wordWrap/>
              <w:overflowPunct/>
              <w:topLinePunct w:val="0"/>
              <w:autoSpaceDE/>
              <w:autoSpaceDN/>
              <w:bidi w:val="0"/>
              <w:adjustRightInd w:val="0"/>
              <w:snapToGrid w:val="0"/>
              <w:jc w:val="center"/>
              <w:textAlignment w:val="auto"/>
              <w:rPr>
                <w:b/>
                <w:bCs/>
                <w:color w:val="auto"/>
                <w:sz w:val="24"/>
                <w:szCs w:val="24"/>
              </w:rPr>
            </w:pPr>
            <w:r>
              <w:rPr>
                <w:b/>
                <w:bCs/>
                <w:color w:val="auto"/>
                <w:sz w:val="24"/>
                <w:szCs w:val="24"/>
              </w:rPr>
              <w:t>表3-</w:t>
            </w:r>
            <w:r>
              <w:rPr>
                <w:rFonts w:hint="eastAsia"/>
                <w:b/>
                <w:bCs/>
                <w:color w:val="auto"/>
                <w:sz w:val="24"/>
                <w:szCs w:val="24"/>
              </w:rPr>
              <w:t>4</w:t>
            </w:r>
            <w:r>
              <w:rPr>
                <w:b/>
                <w:bCs/>
                <w:color w:val="auto"/>
                <w:sz w:val="24"/>
                <w:szCs w:val="24"/>
              </w:rPr>
              <w:t xml:space="preserve">  项目有组织废气排放标准</w:t>
            </w:r>
            <w:r>
              <w:rPr>
                <w:rFonts w:hint="eastAsia"/>
                <w:b/>
                <w:bCs/>
                <w:color w:val="auto"/>
                <w:sz w:val="24"/>
                <w:szCs w:val="24"/>
              </w:rPr>
              <w:t>限值一览表</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5"/>
              <w:gridCol w:w="843"/>
              <w:gridCol w:w="1226"/>
              <w:gridCol w:w="1132"/>
              <w:gridCol w:w="1791"/>
              <w:gridCol w:w="20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25" w:type="dxa"/>
                  <w:vMerge w:val="restart"/>
                  <w:vAlign w:val="center"/>
                </w:tcPr>
                <w:p>
                  <w:pPr>
                    <w:adjustRightInd w:val="0"/>
                    <w:snapToGrid w:val="0"/>
                    <w:jc w:val="center"/>
                    <w:rPr>
                      <w:b/>
                      <w:color w:val="auto"/>
                      <w:szCs w:val="21"/>
                    </w:rPr>
                  </w:pPr>
                  <w:r>
                    <w:rPr>
                      <w:rFonts w:hint="eastAsia"/>
                      <w:b/>
                      <w:color w:val="auto"/>
                      <w:szCs w:val="21"/>
                    </w:rPr>
                    <w:t>排放口名称</w:t>
                  </w:r>
                </w:p>
              </w:tc>
              <w:tc>
                <w:tcPr>
                  <w:tcW w:w="843" w:type="dxa"/>
                  <w:vMerge w:val="restart"/>
                  <w:vAlign w:val="center"/>
                </w:tcPr>
                <w:p>
                  <w:pPr>
                    <w:adjustRightInd w:val="0"/>
                    <w:snapToGrid w:val="0"/>
                    <w:jc w:val="center"/>
                    <w:rPr>
                      <w:b/>
                      <w:color w:val="auto"/>
                      <w:szCs w:val="21"/>
                    </w:rPr>
                  </w:pPr>
                  <w:r>
                    <w:rPr>
                      <w:rFonts w:hint="eastAsia"/>
                      <w:b/>
                      <w:color w:val="auto"/>
                      <w:szCs w:val="21"/>
                    </w:rPr>
                    <w:t>排放口高度</w:t>
                  </w:r>
                </w:p>
              </w:tc>
              <w:tc>
                <w:tcPr>
                  <w:tcW w:w="1226" w:type="dxa"/>
                  <w:vMerge w:val="restart"/>
                  <w:vAlign w:val="center"/>
                </w:tcPr>
                <w:p>
                  <w:pPr>
                    <w:adjustRightInd w:val="0"/>
                    <w:snapToGrid w:val="0"/>
                    <w:jc w:val="center"/>
                    <w:rPr>
                      <w:b/>
                      <w:color w:val="auto"/>
                      <w:szCs w:val="21"/>
                    </w:rPr>
                  </w:pPr>
                  <w:r>
                    <w:rPr>
                      <w:rFonts w:hint="eastAsia"/>
                      <w:b/>
                      <w:color w:val="auto"/>
                      <w:szCs w:val="21"/>
                    </w:rPr>
                    <w:t>污染物</w:t>
                  </w:r>
                </w:p>
              </w:tc>
              <w:tc>
                <w:tcPr>
                  <w:tcW w:w="2923" w:type="dxa"/>
                  <w:gridSpan w:val="2"/>
                  <w:vAlign w:val="center"/>
                </w:tcPr>
                <w:p>
                  <w:pPr>
                    <w:adjustRightInd w:val="0"/>
                    <w:snapToGrid w:val="0"/>
                    <w:jc w:val="center"/>
                    <w:rPr>
                      <w:b/>
                      <w:color w:val="auto"/>
                      <w:szCs w:val="21"/>
                    </w:rPr>
                  </w:pPr>
                  <w:r>
                    <w:rPr>
                      <w:rFonts w:hint="eastAsia"/>
                      <w:b/>
                      <w:bCs/>
                      <w:color w:val="auto"/>
                      <w:szCs w:val="21"/>
                    </w:rPr>
                    <w:t>标准</w:t>
                  </w:r>
                  <w:r>
                    <w:rPr>
                      <w:b/>
                      <w:bCs/>
                      <w:color w:val="auto"/>
                      <w:szCs w:val="21"/>
                    </w:rPr>
                    <w:t>限值</w:t>
                  </w:r>
                </w:p>
              </w:tc>
              <w:tc>
                <w:tcPr>
                  <w:tcW w:w="2008" w:type="dxa"/>
                  <w:vMerge w:val="restart"/>
                  <w:vAlign w:val="center"/>
                </w:tcPr>
                <w:p>
                  <w:pPr>
                    <w:adjustRightInd w:val="0"/>
                    <w:snapToGrid w:val="0"/>
                    <w:jc w:val="center"/>
                    <w:rPr>
                      <w:b/>
                      <w:color w:val="auto"/>
                      <w:szCs w:val="21"/>
                    </w:rPr>
                  </w:pPr>
                  <w:r>
                    <w:rPr>
                      <w:rFonts w:hint="eastAsia"/>
                      <w:b/>
                      <w:color w:val="auto"/>
                      <w:szCs w:val="21"/>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25" w:type="dxa"/>
                  <w:vMerge w:val="continue"/>
                  <w:vAlign w:val="center"/>
                </w:tcPr>
                <w:p>
                  <w:pPr>
                    <w:adjustRightInd w:val="0"/>
                    <w:snapToGrid w:val="0"/>
                    <w:jc w:val="center"/>
                    <w:rPr>
                      <w:color w:val="auto"/>
                      <w:szCs w:val="21"/>
                    </w:rPr>
                  </w:pPr>
                </w:p>
              </w:tc>
              <w:tc>
                <w:tcPr>
                  <w:tcW w:w="843" w:type="dxa"/>
                  <w:vMerge w:val="continue"/>
                  <w:vAlign w:val="center"/>
                </w:tcPr>
                <w:p>
                  <w:pPr>
                    <w:adjustRightInd w:val="0"/>
                    <w:snapToGrid w:val="0"/>
                    <w:jc w:val="center"/>
                    <w:rPr>
                      <w:bCs/>
                      <w:color w:val="auto"/>
                      <w:szCs w:val="21"/>
                    </w:rPr>
                  </w:pPr>
                </w:p>
              </w:tc>
              <w:tc>
                <w:tcPr>
                  <w:tcW w:w="1226" w:type="dxa"/>
                  <w:vMerge w:val="continue"/>
                  <w:vAlign w:val="center"/>
                </w:tcPr>
                <w:p>
                  <w:pPr>
                    <w:adjustRightInd w:val="0"/>
                    <w:snapToGrid w:val="0"/>
                    <w:jc w:val="center"/>
                    <w:rPr>
                      <w:bCs/>
                      <w:color w:val="auto"/>
                      <w:szCs w:val="21"/>
                    </w:rPr>
                  </w:pPr>
                </w:p>
              </w:tc>
              <w:tc>
                <w:tcPr>
                  <w:tcW w:w="1132" w:type="dxa"/>
                  <w:vAlign w:val="center"/>
                </w:tcPr>
                <w:p>
                  <w:pPr>
                    <w:adjustRightInd w:val="0"/>
                    <w:snapToGrid w:val="0"/>
                    <w:jc w:val="center"/>
                    <w:rPr>
                      <w:b/>
                      <w:color w:val="auto"/>
                      <w:szCs w:val="21"/>
                    </w:rPr>
                  </w:pPr>
                  <w:r>
                    <w:rPr>
                      <w:rFonts w:ascii="宋体" w:hAnsi="宋体"/>
                      <w:b/>
                      <w:color w:val="auto"/>
                    </w:rPr>
                    <w:t>排放</w:t>
                  </w:r>
                  <w:r>
                    <w:rPr>
                      <w:rFonts w:hint="eastAsia" w:ascii="宋体" w:hAnsi="宋体"/>
                      <w:b/>
                      <w:color w:val="auto"/>
                    </w:rPr>
                    <w:t>浓度</w:t>
                  </w:r>
                </w:p>
              </w:tc>
              <w:tc>
                <w:tcPr>
                  <w:tcW w:w="1791" w:type="dxa"/>
                  <w:vAlign w:val="center"/>
                </w:tcPr>
                <w:p>
                  <w:pPr>
                    <w:adjustRightInd w:val="0"/>
                    <w:snapToGrid w:val="0"/>
                    <w:jc w:val="center"/>
                    <w:rPr>
                      <w:b/>
                      <w:color w:val="auto"/>
                      <w:szCs w:val="21"/>
                    </w:rPr>
                  </w:pPr>
                  <w:r>
                    <w:rPr>
                      <w:rFonts w:hint="eastAsia"/>
                      <w:b/>
                      <w:color w:val="auto"/>
                      <w:szCs w:val="21"/>
                    </w:rPr>
                    <w:t>排放速率</w:t>
                  </w:r>
                </w:p>
              </w:tc>
              <w:tc>
                <w:tcPr>
                  <w:tcW w:w="2008" w:type="dxa"/>
                  <w:vMerge w:val="continue"/>
                  <w:vAlign w:val="center"/>
                </w:tcPr>
                <w:p>
                  <w:pPr>
                    <w:adjustRightInd w:val="0"/>
                    <w:snapToGrid w:val="0"/>
                    <w:jc w:val="center"/>
                    <w:rPr>
                      <w:b/>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25" w:type="dxa"/>
                  <w:vMerge w:val="restart"/>
                  <w:vAlign w:val="center"/>
                </w:tcPr>
                <w:p>
                  <w:pPr>
                    <w:adjustRightInd w:val="0"/>
                    <w:snapToGrid w:val="0"/>
                    <w:jc w:val="center"/>
                    <w:rPr>
                      <w:b/>
                      <w:color w:val="auto"/>
                      <w:szCs w:val="21"/>
                    </w:rPr>
                  </w:pPr>
                  <w:r>
                    <w:rPr>
                      <w:rFonts w:hint="eastAsia"/>
                      <w:color w:val="auto"/>
                      <w:szCs w:val="21"/>
                    </w:rPr>
                    <w:t>熔融造粒废气排放口DA001</w:t>
                  </w:r>
                </w:p>
              </w:tc>
              <w:tc>
                <w:tcPr>
                  <w:tcW w:w="843" w:type="dxa"/>
                  <w:vMerge w:val="restart"/>
                  <w:vAlign w:val="center"/>
                </w:tcPr>
                <w:p>
                  <w:pPr>
                    <w:adjustRightInd w:val="0"/>
                    <w:snapToGrid w:val="0"/>
                    <w:jc w:val="center"/>
                    <w:rPr>
                      <w:bCs/>
                      <w:color w:val="auto"/>
                      <w:szCs w:val="21"/>
                    </w:rPr>
                  </w:pPr>
                  <w:r>
                    <w:rPr>
                      <w:rFonts w:hint="eastAsia"/>
                      <w:bCs/>
                      <w:color w:val="auto"/>
                      <w:szCs w:val="21"/>
                      <w:lang w:val="en-US" w:eastAsia="zh-CN"/>
                    </w:rPr>
                    <w:t>15</w:t>
                  </w:r>
                  <w:r>
                    <w:rPr>
                      <w:rFonts w:hint="eastAsia"/>
                      <w:bCs/>
                      <w:color w:val="auto"/>
                      <w:szCs w:val="21"/>
                    </w:rPr>
                    <w:t>m</w:t>
                  </w:r>
                </w:p>
              </w:tc>
              <w:tc>
                <w:tcPr>
                  <w:tcW w:w="1226" w:type="dxa"/>
                  <w:vAlign w:val="center"/>
                </w:tcPr>
                <w:p>
                  <w:pPr>
                    <w:adjustRightInd w:val="0"/>
                    <w:snapToGrid w:val="0"/>
                    <w:jc w:val="center"/>
                    <w:rPr>
                      <w:bCs/>
                      <w:color w:val="auto"/>
                      <w:szCs w:val="21"/>
                    </w:rPr>
                  </w:pPr>
                  <w:r>
                    <w:rPr>
                      <w:bCs/>
                      <w:color w:val="auto"/>
                      <w:szCs w:val="21"/>
                    </w:rPr>
                    <w:t>非甲烷总烃</w:t>
                  </w:r>
                </w:p>
              </w:tc>
              <w:tc>
                <w:tcPr>
                  <w:tcW w:w="1132" w:type="dxa"/>
                  <w:vAlign w:val="center"/>
                </w:tcPr>
                <w:p>
                  <w:pPr>
                    <w:adjustRightInd w:val="0"/>
                    <w:snapToGrid w:val="0"/>
                    <w:jc w:val="center"/>
                    <w:rPr>
                      <w:b/>
                      <w:color w:val="auto"/>
                      <w:szCs w:val="21"/>
                    </w:rPr>
                  </w:pPr>
                  <w:r>
                    <w:rPr>
                      <w:rFonts w:hint="eastAsia"/>
                      <w:bCs/>
                      <w:color w:val="auto"/>
                      <w:szCs w:val="21"/>
                    </w:rPr>
                    <w:t>120mg/m</w:t>
                  </w:r>
                  <w:r>
                    <w:rPr>
                      <w:rFonts w:hint="eastAsia"/>
                      <w:bCs/>
                      <w:color w:val="auto"/>
                      <w:szCs w:val="21"/>
                      <w:vertAlign w:val="superscript"/>
                    </w:rPr>
                    <w:t>3</w:t>
                  </w:r>
                </w:p>
              </w:tc>
              <w:tc>
                <w:tcPr>
                  <w:tcW w:w="1791" w:type="dxa"/>
                  <w:vAlign w:val="center"/>
                </w:tcPr>
                <w:p>
                  <w:pPr>
                    <w:adjustRightInd w:val="0"/>
                    <w:snapToGrid w:val="0"/>
                    <w:jc w:val="center"/>
                    <w:rPr>
                      <w:color w:val="auto"/>
                      <w:kern w:val="0"/>
                      <w:szCs w:val="21"/>
                    </w:rPr>
                  </w:pPr>
                  <w:r>
                    <w:rPr>
                      <w:rFonts w:hint="eastAsia"/>
                      <w:color w:val="auto"/>
                      <w:kern w:val="0"/>
                      <w:szCs w:val="21"/>
                    </w:rPr>
                    <w:t>8.5</w:t>
                  </w:r>
                  <w:r>
                    <w:rPr>
                      <w:color w:val="auto"/>
                      <w:kern w:val="0"/>
                      <w:szCs w:val="21"/>
                    </w:rPr>
                    <w:t>kg/h</w:t>
                  </w:r>
                </w:p>
                <w:p>
                  <w:pPr>
                    <w:adjustRightInd w:val="0"/>
                    <w:snapToGrid w:val="0"/>
                    <w:jc w:val="center"/>
                    <w:rPr>
                      <w:b/>
                      <w:color w:val="auto"/>
                      <w:szCs w:val="21"/>
                    </w:rPr>
                  </w:pPr>
                  <w:r>
                    <w:rPr>
                      <w:rFonts w:hint="eastAsia"/>
                      <w:color w:val="auto"/>
                      <w:kern w:val="0"/>
                      <w:szCs w:val="21"/>
                    </w:rPr>
                    <w:t>（已严格5</w:t>
                  </w:r>
                  <w:r>
                    <w:rPr>
                      <w:color w:val="auto"/>
                      <w:kern w:val="0"/>
                      <w:szCs w:val="21"/>
                    </w:rPr>
                    <w:t>0</w:t>
                  </w:r>
                  <w:r>
                    <w:rPr>
                      <w:rFonts w:hint="eastAsia"/>
                      <w:color w:val="auto"/>
                      <w:kern w:val="0"/>
                      <w:szCs w:val="21"/>
                    </w:rPr>
                    <w:t>%）</w:t>
                  </w:r>
                </w:p>
              </w:tc>
              <w:tc>
                <w:tcPr>
                  <w:tcW w:w="2008" w:type="dxa"/>
                  <w:vMerge w:val="restart"/>
                  <w:vAlign w:val="center"/>
                </w:tcPr>
                <w:p>
                  <w:pPr>
                    <w:adjustRightInd w:val="0"/>
                    <w:snapToGrid w:val="0"/>
                    <w:jc w:val="center"/>
                    <w:rPr>
                      <w:b/>
                      <w:color w:val="auto"/>
                      <w:szCs w:val="21"/>
                    </w:rPr>
                  </w:pPr>
                  <w:r>
                    <w:rPr>
                      <w:color w:val="auto"/>
                      <w:szCs w:val="21"/>
                    </w:rPr>
                    <w:t>《大气污染物综合排放标准》（GB16297-1996）表2</w:t>
                  </w:r>
                  <w:r>
                    <w:rPr>
                      <w:rFonts w:hint="eastAsia"/>
                      <w:color w:val="auto"/>
                      <w:szCs w:val="21"/>
                    </w:rPr>
                    <w:t>二级</w:t>
                  </w:r>
                  <w:r>
                    <w:rPr>
                      <w:color w:val="auto"/>
                      <w:szCs w:val="21"/>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25" w:type="dxa"/>
                  <w:vMerge w:val="continue"/>
                  <w:vAlign w:val="center"/>
                </w:tcPr>
                <w:p>
                  <w:pPr>
                    <w:adjustRightInd w:val="0"/>
                    <w:snapToGrid w:val="0"/>
                    <w:jc w:val="center"/>
                    <w:rPr>
                      <w:b/>
                      <w:color w:val="auto"/>
                      <w:szCs w:val="21"/>
                    </w:rPr>
                  </w:pPr>
                </w:p>
              </w:tc>
              <w:tc>
                <w:tcPr>
                  <w:tcW w:w="843" w:type="dxa"/>
                  <w:vMerge w:val="continue"/>
                  <w:vAlign w:val="center"/>
                </w:tcPr>
                <w:p>
                  <w:pPr>
                    <w:adjustRightInd w:val="0"/>
                    <w:snapToGrid w:val="0"/>
                    <w:jc w:val="center"/>
                    <w:rPr>
                      <w:bCs/>
                      <w:color w:val="auto"/>
                      <w:szCs w:val="21"/>
                    </w:rPr>
                  </w:pPr>
                </w:p>
              </w:tc>
              <w:tc>
                <w:tcPr>
                  <w:tcW w:w="1226" w:type="dxa"/>
                  <w:vAlign w:val="center"/>
                </w:tcPr>
                <w:p>
                  <w:pPr>
                    <w:adjustRightInd w:val="0"/>
                    <w:snapToGrid w:val="0"/>
                    <w:jc w:val="center"/>
                    <w:rPr>
                      <w:bCs/>
                      <w:color w:val="auto"/>
                      <w:szCs w:val="21"/>
                    </w:rPr>
                  </w:pPr>
                  <w:r>
                    <w:rPr>
                      <w:rFonts w:hint="eastAsia"/>
                      <w:bCs/>
                      <w:color w:val="auto"/>
                      <w:szCs w:val="21"/>
                    </w:rPr>
                    <w:t>颗粒物</w:t>
                  </w:r>
                </w:p>
              </w:tc>
              <w:tc>
                <w:tcPr>
                  <w:tcW w:w="1132" w:type="dxa"/>
                  <w:vAlign w:val="center"/>
                </w:tcPr>
                <w:p>
                  <w:pPr>
                    <w:adjustRightInd w:val="0"/>
                    <w:snapToGrid w:val="0"/>
                    <w:jc w:val="center"/>
                    <w:rPr>
                      <w:bCs/>
                      <w:color w:val="auto"/>
                      <w:szCs w:val="21"/>
                    </w:rPr>
                  </w:pPr>
                  <w:r>
                    <w:rPr>
                      <w:rFonts w:hint="eastAsia"/>
                      <w:bCs/>
                      <w:color w:val="auto"/>
                      <w:szCs w:val="21"/>
                    </w:rPr>
                    <w:t>120mg/m</w:t>
                  </w:r>
                  <w:r>
                    <w:rPr>
                      <w:rFonts w:hint="eastAsia"/>
                      <w:bCs/>
                      <w:color w:val="auto"/>
                      <w:szCs w:val="21"/>
                      <w:vertAlign w:val="superscript"/>
                    </w:rPr>
                    <w:t>3</w:t>
                  </w:r>
                </w:p>
              </w:tc>
              <w:tc>
                <w:tcPr>
                  <w:tcW w:w="1791" w:type="dxa"/>
                  <w:vAlign w:val="center"/>
                </w:tcPr>
                <w:p>
                  <w:pPr>
                    <w:adjustRightInd w:val="0"/>
                    <w:snapToGrid w:val="0"/>
                    <w:jc w:val="center"/>
                    <w:rPr>
                      <w:color w:val="auto"/>
                      <w:kern w:val="0"/>
                      <w:szCs w:val="21"/>
                    </w:rPr>
                  </w:pPr>
                  <w:r>
                    <w:rPr>
                      <w:rFonts w:hint="eastAsia"/>
                      <w:color w:val="auto"/>
                      <w:kern w:val="0"/>
                      <w:szCs w:val="21"/>
                    </w:rPr>
                    <w:t>2.95</w:t>
                  </w:r>
                  <w:r>
                    <w:rPr>
                      <w:color w:val="auto"/>
                      <w:kern w:val="0"/>
                      <w:szCs w:val="21"/>
                    </w:rPr>
                    <w:t>kg/h</w:t>
                  </w:r>
                </w:p>
                <w:p>
                  <w:pPr>
                    <w:adjustRightInd w:val="0"/>
                    <w:snapToGrid w:val="0"/>
                    <w:jc w:val="center"/>
                    <w:rPr>
                      <w:bCs/>
                      <w:color w:val="auto"/>
                      <w:szCs w:val="21"/>
                    </w:rPr>
                  </w:pPr>
                  <w:r>
                    <w:rPr>
                      <w:rFonts w:hint="eastAsia"/>
                      <w:color w:val="auto"/>
                      <w:kern w:val="0"/>
                      <w:szCs w:val="21"/>
                    </w:rPr>
                    <w:t>（已严格5</w:t>
                  </w:r>
                  <w:r>
                    <w:rPr>
                      <w:color w:val="auto"/>
                      <w:kern w:val="0"/>
                      <w:szCs w:val="21"/>
                    </w:rPr>
                    <w:t>0</w:t>
                  </w:r>
                  <w:r>
                    <w:rPr>
                      <w:rFonts w:hint="eastAsia"/>
                      <w:color w:val="auto"/>
                      <w:kern w:val="0"/>
                      <w:szCs w:val="21"/>
                    </w:rPr>
                    <w:t>%）</w:t>
                  </w:r>
                </w:p>
              </w:tc>
              <w:tc>
                <w:tcPr>
                  <w:tcW w:w="2008" w:type="dxa"/>
                  <w:vMerge w:val="continue"/>
                  <w:vAlign w:val="center"/>
                </w:tcPr>
                <w:p>
                  <w:pPr>
                    <w:adjustRightInd w:val="0"/>
                    <w:snapToGrid w:val="0"/>
                    <w:jc w:val="center"/>
                    <w:rPr>
                      <w:b/>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25" w:type="dxa"/>
                  <w:vMerge w:val="continue"/>
                  <w:vAlign w:val="center"/>
                </w:tcPr>
                <w:p>
                  <w:pPr>
                    <w:adjustRightInd w:val="0"/>
                    <w:snapToGrid w:val="0"/>
                    <w:jc w:val="center"/>
                    <w:rPr>
                      <w:b/>
                      <w:color w:val="auto"/>
                      <w:szCs w:val="21"/>
                    </w:rPr>
                  </w:pPr>
                </w:p>
              </w:tc>
              <w:tc>
                <w:tcPr>
                  <w:tcW w:w="843" w:type="dxa"/>
                  <w:vMerge w:val="continue"/>
                  <w:vAlign w:val="center"/>
                </w:tcPr>
                <w:p>
                  <w:pPr>
                    <w:adjustRightInd w:val="0"/>
                    <w:snapToGrid w:val="0"/>
                    <w:jc w:val="center"/>
                    <w:rPr>
                      <w:b/>
                      <w:color w:val="auto"/>
                      <w:szCs w:val="21"/>
                    </w:rPr>
                  </w:pPr>
                </w:p>
              </w:tc>
              <w:tc>
                <w:tcPr>
                  <w:tcW w:w="1226" w:type="dxa"/>
                  <w:vAlign w:val="center"/>
                </w:tcPr>
                <w:p>
                  <w:pPr>
                    <w:adjustRightInd w:val="0"/>
                    <w:snapToGrid w:val="0"/>
                    <w:jc w:val="center"/>
                    <w:rPr>
                      <w:b/>
                      <w:color w:val="auto"/>
                      <w:szCs w:val="21"/>
                    </w:rPr>
                  </w:pPr>
                  <w:r>
                    <w:rPr>
                      <w:color w:val="auto"/>
                      <w:szCs w:val="21"/>
                    </w:rPr>
                    <w:t>臭气浓度</w:t>
                  </w:r>
                </w:p>
              </w:tc>
              <w:tc>
                <w:tcPr>
                  <w:tcW w:w="1132" w:type="dxa"/>
                  <w:vAlign w:val="center"/>
                </w:tcPr>
                <w:p>
                  <w:pPr>
                    <w:adjustRightInd w:val="0"/>
                    <w:snapToGrid w:val="0"/>
                    <w:jc w:val="center"/>
                    <w:rPr>
                      <w:bCs/>
                      <w:color w:val="auto"/>
                      <w:szCs w:val="21"/>
                    </w:rPr>
                  </w:pPr>
                  <w:r>
                    <w:rPr>
                      <w:rFonts w:hint="eastAsia"/>
                      <w:color w:val="auto"/>
                      <w:szCs w:val="21"/>
                      <w:lang w:val="en-US" w:eastAsia="zh-CN"/>
                    </w:rPr>
                    <w:t>2</w:t>
                  </w:r>
                  <w:r>
                    <w:rPr>
                      <w:color w:val="auto"/>
                      <w:szCs w:val="21"/>
                    </w:rPr>
                    <w:t>000（无量纲）</w:t>
                  </w:r>
                </w:p>
              </w:tc>
              <w:tc>
                <w:tcPr>
                  <w:tcW w:w="1791" w:type="dxa"/>
                  <w:vAlign w:val="center"/>
                </w:tcPr>
                <w:p>
                  <w:pPr>
                    <w:adjustRightInd w:val="0"/>
                    <w:snapToGrid w:val="0"/>
                    <w:jc w:val="center"/>
                    <w:rPr>
                      <w:bCs/>
                      <w:color w:val="auto"/>
                      <w:szCs w:val="21"/>
                    </w:rPr>
                  </w:pPr>
                  <w:r>
                    <w:rPr>
                      <w:rFonts w:hint="eastAsia"/>
                      <w:bCs/>
                      <w:color w:val="auto"/>
                      <w:szCs w:val="21"/>
                    </w:rPr>
                    <w:t>/</w:t>
                  </w:r>
                </w:p>
              </w:tc>
              <w:tc>
                <w:tcPr>
                  <w:tcW w:w="2008" w:type="dxa"/>
                  <w:vAlign w:val="center"/>
                </w:tcPr>
                <w:p>
                  <w:pPr>
                    <w:adjustRightInd w:val="0"/>
                    <w:snapToGrid w:val="0"/>
                    <w:jc w:val="center"/>
                    <w:rPr>
                      <w:b/>
                      <w:color w:val="auto"/>
                      <w:szCs w:val="21"/>
                    </w:rPr>
                  </w:pPr>
                  <w:r>
                    <w:rPr>
                      <w:color w:val="auto"/>
                      <w:szCs w:val="21"/>
                    </w:rPr>
                    <w:t>《恶臭污染物排放标准》（GB14554-93）表2标准</w:t>
                  </w:r>
                </w:p>
              </w:tc>
            </w:tr>
          </w:tbl>
          <w:p>
            <w:pPr>
              <w:spacing w:line="360" w:lineRule="auto"/>
              <w:ind w:firstLine="482" w:firstLineChars="200"/>
              <w:rPr>
                <w:b/>
                <w:color w:val="auto"/>
                <w:sz w:val="24"/>
                <w:szCs w:val="24"/>
              </w:rPr>
            </w:pPr>
            <w:r>
              <w:rPr>
                <w:b/>
                <w:color w:val="auto"/>
                <w:sz w:val="24"/>
                <w:szCs w:val="24"/>
              </w:rPr>
              <w:t>（2）无组织废气</w:t>
            </w:r>
          </w:p>
          <w:p>
            <w:pPr>
              <w:spacing w:line="360" w:lineRule="auto"/>
              <w:ind w:firstLine="480" w:firstLineChars="200"/>
              <w:rPr>
                <w:color w:val="auto"/>
                <w:sz w:val="24"/>
                <w:szCs w:val="24"/>
              </w:rPr>
            </w:pPr>
            <w:r>
              <w:rPr>
                <w:color w:val="auto"/>
                <w:sz w:val="24"/>
                <w:szCs w:val="24"/>
              </w:rPr>
              <w:t>本项目无组织废气主要为</w:t>
            </w:r>
            <w:r>
              <w:rPr>
                <w:rFonts w:hint="eastAsia"/>
                <w:bCs/>
                <w:color w:val="auto"/>
                <w:sz w:val="24"/>
                <w:szCs w:val="24"/>
              </w:rPr>
              <w:t>生产过程中</w:t>
            </w:r>
            <w:r>
              <w:rPr>
                <w:color w:val="auto"/>
                <w:sz w:val="24"/>
                <w:szCs w:val="24"/>
              </w:rPr>
              <w:t>未被收集的</w:t>
            </w:r>
            <w:r>
              <w:rPr>
                <w:rFonts w:hint="eastAsia"/>
                <w:color w:val="auto"/>
                <w:sz w:val="24"/>
                <w:szCs w:val="24"/>
              </w:rPr>
              <w:t>挥发性</w:t>
            </w:r>
            <w:r>
              <w:rPr>
                <w:color w:val="auto"/>
                <w:sz w:val="24"/>
                <w:szCs w:val="24"/>
              </w:rPr>
              <w:t>有机废气（以非甲烷总烃计）</w:t>
            </w:r>
            <w:r>
              <w:rPr>
                <w:rFonts w:hint="eastAsia"/>
                <w:color w:val="auto"/>
                <w:sz w:val="24"/>
                <w:szCs w:val="24"/>
              </w:rPr>
              <w:t>、颗粒物以及原料堆放产生的恶臭（</w:t>
            </w:r>
            <w:r>
              <w:rPr>
                <w:color w:val="auto"/>
                <w:sz w:val="24"/>
                <w:szCs w:val="24"/>
              </w:rPr>
              <w:t>臭气浓度</w:t>
            </w:r>
            <w:r>
              <w:rPr>
                <w:rFonts w:hint="eastAsia"/>
                <w:color w:val="auto"/>
                <w:sz w:val="24"/>
                <w:szCs w:val="24"/>
              </w:rPr>
              <w:t>）</w:t>
            </w:r>
            <w:r>
              <w:rPr>
                <w:color w:val="auto"/>
                <w:sz w:val="24"/>
                <w:szCs w:val="24"/>
              </w:rPr>
              <w:t>。</w:t>
            </w:r>
          </w:p>
          <w:p>
            <w:pPr>
              <w:spacing w:line="360" w:lineRule="auto"/>
              <w:ind w:firstLine="480" w:firstLineChars="200"/>
              <w:rPr>
                <w:color w:val="auto"/>
                <w:sz w:val="24"/>
                <w:szCs w:val="24"/>
              </w:rPr>
            </w:pPr>
            <w:r>
              <w:rPr>
                <w:color w:val="auto"/>
                <w:sz w:val="24"/>
                <w:szCs w:val="24"/>
              </w:rPr>
              <w:t>根据《挥发性有机物无组织排放控制标准》（GB37822-2019），表征VOCs总体排放情况时，可采用非甲烷总烃作为污染物控制项目。根据GB37822-2019“11.1企业边界及周边VOCs监控要求执行GB16297或相关行业排放标准的规定”。</w:t>
            </w:r>
          </w:p>
          <w:p>
            <w:pPr>
              <w:spacing w:line="360" w:lineRule="auto"/>
              <w:ind w:firstLine="480" w:firstLineChars="200"/>
              <w:rPr>
                <w:color w:val="auto"/>
                <w:sz w:val="24"/>
                <w:szCs w:val="24"/>
              </w:rPr>
            </w:pPr>
            <w:r>
              <w:rPr>
                <w:color w:val="auto"/>
                <w:sz w:val="24"/>
                <w:szCs w:val="24"/>
              </w:rPr>
              <w:t>综上，本项目厂界无组织排放的非甲烷总烃、颗粒物执行《大气污染物综合排放标准》（GB16297-1996）表2中的无组织排放监控浓度限值；臭气浓度执行《恶臭污染物排放标准》（GB14554-93）表1中的二级（新改扩建）标准限值。具体详见表3-</w:t>
            </w:r>
            <w:r>
              <w:rPr>
                <w:rFonts w:hint="eastAsia"/>
                <w:color w:val="auto"/>
                <w:sz w:val="24"/>
                <w:szCs w:val="24"/>
              </w:rPr>
              <w:t>5</w:t>
            </w:r>
            <w:r>
              <w:rPr>
                <w:color w:val="auto"/>
                <w:sz w:val="24"/>
                <w:szCs w:val="24"/>
              </w:rPr>
              <w:t>。</w:t>
            </w:r>
          </w:p>
          <w:p>
            <w:pPr>
              <w:adjustRightInd w:val="0"/>
              <w:snapToGrid w:val="0"/>
              <w:spacing w:before="120" w:beforeLines="50"/>
              <w:jc w:val="center"/>
              <w:rPr>
                <w:b/>
                <w:color w:val="auto"/>
                <w:sz w:val="24"/>
                <w:szCs w:val="24"/>
              </w:rPr>
            </w:pPr>
            <w:r>
              <w:rPr>
                <w:b/>
                <w:color w:val="auto"/>
                <w:kern w:val="0"/>
                <w:sz w:val="24"/>
                <w:szCs w:val="24"/>
              </w:rPr>
              <w:t>表3-</w:t>
            </w:r>
            <w:r>
              <w:rPr>
                <w:rFonts w:hint="eastAsia"/>
                <w:b/>
                <w:color w:val="auto"/>
                <w:kern w:val="0"/>
                <w:sz w:val="24"/>
                <w:szCs w:val="24"/>
              </w:rPr>
              <w:t>5</w:t>
            </w:r>
            <w:r>
              <w:rPr>
                <w:b/>
                <w:color w:val="auto"/>
                <w:kern w:val="0"/>
                <w:sz w:val="24"/>
                <w:szCs w:val="24"/>
              </w:rPr>
              <w:t xml:space="preserve">  </w:t>
            </w:r>
            <w:r>
              <w:rPr>
                <w:b/>
                <w:color w:val="auto"/>
                <w:sz w:val="24"/>
                <w:szCs w:val="24"/>
              </w:rPr>
              <w:t>项目厂界无组织废气排放标准</w:t>
            </w:r>
            <w:r>
              <w:rPr>
                <w:rFonts w:hint="eastAsia"/>
                <w:b/>
                <w:color w:val="auto"/>
                <w:sz w:val="24"/>
                <w:szCs w:val="24"/>
              </w:rPr>
              <w:t>限值一览表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39"/>
              <w:gridCol w:w="1420"/>
              <w:gridCol w:w="1689"/>
              <w:gridCol w:w="13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57" w:type="pct"/>
                  <w:vAlign w:val="center"/>
                </w:tcPr>
                <w:p>
                  <w:pPr>
                    <w:pStyle w:val="6"/>
                    <w:spacing w:after="0"/>
                    <w:ind w:firstLine="0" w:firstLineChars="0"/>
                    <w:jc w:val="center"/>
                    <w:rPr>
                      <w:color w:val="auto"/>
                      <w:szCs w:val="21"/>
                    </w:rPr>
                  </w:pPr>
                  <w:r>
                    <w:rPr>
                      <w:color w:val="auto"/>
                      <w:szCs w:val="21"/>
                    </w:rPr>
                    <w:t>执行标准</w:t>
                  </w:r>
                </w:p>
              </w:tc>
              <w:tc>
                <w:tcPr>
                  <w:tcW w:w="850" w:type="pct"/>
                  <w:vAlign w:val="center"/>
                </w:tcPr>
                <w:p>
                  <w:pPr>
                    <w:pStyle w:val="6"/>
                    <w:spacing w:after="0"/>
                    <w:ind w:firstLine="0" w:firstLineChars="0"/>
                    <w:jc w:val="center"/>
                    <w:rPr>
                      <w:color w:val="auto"/>
                      <w:szCs w:val="21"/>
                    </w:rPr>
                  </w:pPr>
                  <w:r>
                    <w:rPr>
                      <w:color w:val="auto"/>
                      <w:szCs w:val="21"/>
                    </w:rPr>
                    <w:t>污染物</w:t>
                  </w:r>
                </w:p>
              </w:tc>
              <w:tc>
                <w:tcPr>
                  <w:tcW w:w="1792" w:type="pct"/>
                  <w:gridSpan w:val="2"/>
                  <w:vAlign w:val="center"/>
                </w:tcPr>
                <w:p>
                  <w:pPr>
                    <w:pStyle w:val="6"/>
                    <w:spacing w:after="0"/>
                    <w:ind w:firstLine="0" w:firstLineChars="0"/>
                    <w:jc w:val="center"/>
                    <w:rPr>
                      <w:color w:val="auto"/>
                      <w:szCs w:val="21"/>
                    </w:rPr>
                  </w:pPr>
                  <w:r>
                    <w:rPr>
                      <w:color w:val="auto"/>
                      <w:szCs w:val="21"/>
                    </w:rPr>
                    <w:t>厂界标准限值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2357" w:type="pct"/>
                  <w:vMerge w:val="restart"/>
                  <w:vAlign w:val="center"/>
                </w:tcPr>
                <w:p>
                  <w:pPr>
                    <w:pStyle w:val="6"/>
                    <w:spacing w:after="0"/>
                    <w:ind w:firstLine="0" w:firstLineChars="0"/>
                    <w:jc w:val="center"/>
                    <w:rPr>
                      <w:color w:val="auto"/>
                      <w:szCs w:val="21"/>
                    </w:rPr>
                  </w:pPr>
                  <w:r>
                    <w:rPr>
                      <w:color w:val="auto"/>
                      <w:szCs w:val="21"/>
                    </w:rPr>
                    <w:t>《大气污染物综合排放标准》（GB16297-1996）表2</w:t>
                  </w:r>
                </w:p>
              </w:tc>
              <w:tc>
                <w:tcPr>
                  <w:tcW w:w="850" w:type="pct"/>
                  <w:vAlign w:val="center"/>
                </w:tcPr>
                <w:p>
                  <w:pPr>
                    <w:pStyle w:val="6"/>
                    <w:spacing w:after="0"/>
                    <w:ind w:firstLine="0" w:firstLineChars="0"/>
                    <w:jc w:val="center"/>
                    <w:rPr>
                      <w:color w:val="auto"/>
                      <w:szCs w:val="21"/>
                    </w:rPr>
                  </w:pPr>
                  <w:r>
                    <w:rPr>
                      <w:color w:val="auto"/>
                      <w:szCs w:val="21"/>
                    </w:rPr>
                    <w:t>非甲烷总烃</w:t>
                  </w:r>
                </w:p>
              </w:tc>
              <w:tc>
                <w:tcPr>
                  <w:tcW w:w="1011" w:type="pct"/>
                  <w:vMerge w:val="restart"/>
                  <w:vAlign w:val="center"/>
                </w:tcPr>
                <w:p>
                  <w:pPr>
                    <w:pStyle w:val="6"/>
                    <w:spacing w:after="0"/>
                    <w:ind w:firstLine="0" w:firstLineChars="0"/>
                    <w:jc w:val="center"/>
                    <w:rPr>
                      <w:color w:val="auto"/>
                      <w:szCs w:val="21"/>
                    </w:rPr>
                  </w:pPr>
                  <w:r>
                    <w:rPr>
                      <w:rFonts w:hint="eastAsia"/>
                      <w:color w:val="auto"/>
                      <w:szCs w:val="21"/>
                    </w:rPr>
                    <w:t>周界外浓度最高点</w:t>
                  </w:r>
                </w:p>
              </w:tc>
              <w:tc>
                <w:tcPr>
                  <w:tcW w:w="782" w:type="pct"/>
                  <w:vAlign w:val="center"/>
                </w:tcPr>
                <w:p>
                  <w:pPr>
                    <w:pStyle w:val="6"/>
                    <w:spacing w:after="0"/>
                    <w:ind w:firstLine="0" w:firstLineChars="0"/>
                    <w:jc w:val="center"/>
                    <w:rPr>
                      <w:color w:val="auto"/>
                      <w:szCs w:val="21"/>
                    </w:rPr>
                  </w:pPr>
                  <w:r>
                    <w:rPr>
                      <w:color w:val="auto"/>
                      <w:szCs w:val="21"/>
                    </w:rPr>
                    <w:t>4mg/m</w:t>
                  </w:r>
                  <w:r>
                    <w:rPr>
                      <w:color w:val="auto"/>
                      <w:szCs w:val="21"/>
                      <w:vertAlign w:val="superscript"/>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57" w:type="pct"/>
                  <w:vMerge w:val="continue"/>
                  <w:vAlign w:val="center"/>
                </w:tcPr>
                <w:p>
                  <w:pPr>
                    <w:pStyle w:val="6"/>
                    <w:spacing w:after="0"/>
                    <w:ind w:firstLine="0" w:firstLineChars="0"/>
                    <w:jc w:val="center"/>
                    <w:rPr>
                      <w:color w:val="auto"/>
                      <w:szCs w:val="21"/>
                    </w:rPr>
                  </w:pPr>
                </w:p>
              </w:tc>
              <w:tc>
                <w:tcPr>
                  <w:tcW w:w="850" w:type="pct"/>
                  <w:vAlign w:val="center"/>
                </w:tcPr>
                <w:p>
                  <w:pPr>
                    <w:pStyle w:val="6"/>
                    <w:spacing w:after="0"/>
                    <w:ind w:firstLine="0" w:firstLineChars="0"/>
                    <w:jc w:val="center"/>
                    <w:rPr>
                      <w:color w:val="auto"/>
                      <w:szCs w:val="21"/>
                    </w:rPr>
                  </w:pPr>
                  <w:r>
                    <w:rPr>
                      <w:color w:val="auto"/>
                      <w:szCs w:val="21"/>
                    </w:rPr>
                    <w:t>颗粒物</w:t>
                  </w:r>
                </w:p>
              </w:tc>
              <w:tc>
                <w:tcPr>
                  <w:tcW w:w="1011" w:type="pct"/>
                  <w:vMerge w:val="continue"/>
                  <w:vAlign w:val="center"/>
                </w:tcPr>
                <w:p>
                  <w:pPr>
                    <w:pStyle w:val="6"/>
                    <w:spacing w:after="0"/>
                    <w:ind w:firstLine="0" w:firstLineChars="0"/>
                    <w:jc w:val="center"/>
                    <w:rPr>
                      <w:color w:val="auto"/>
                      <w:szCs w:val="21"/>
                    </w:rPr>
                  </w:pPr>
                </w:p>
              </w:tc>
              <w:tc>
                <w:tcPr>
                  <w:tcW w:w="782" w:type="pct"/>
                  <w:vAlign w:val="center"/>
                </w:tcPr>
                <w:p>
                  <w:pPr>
                    <w:pStyle w:val="6"/>
                    <w:spacing w:after="0"/>
                    <w:ind w:firstLine="0" w:firstLineChars="0"/>
                    <w:jc w:val="center"/>
                    <w:rPr>
                      <w:color w:val="auto"/>
                      <w:szCs w:val="21"/>
                    </w:rPr>
                  </w:pPr>
                  <w:r>
                    <w:rPr>
                      <w:color w:val="auto"/>
                      <w:szCs w:val="21"/>
                    </w:rPr>
                    <w:t>1mg/m</w:t>
                  </w:r>
                  <w:r>
                    <w:rPr>
                      <w:color w:val="auto"/>
                      <w:szCs w:val="21"/>
                      <w:vertAlign w:val="superscript"/>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57" w:type="pct"/>
                  <w:vAlign w:val="center"/>
                </w:tcPr>
                <w:p>
                  <w:pPr>
                    <w:pStyle w:val="6"/>
                    <w:spacing w:after="0"/>
                    <w:ind w:firstLine="0" w:firstLineChars="0"/>
                    <w:jc w:val="center"/>
                    <w:rPr>
                      <w:color w:val="auto"/>
                      <w:szCs w:val="21"/>
                    </w:rPr>
                  </w:pPr>
                  <w:r>
                    <w:rPr>
                      <w:color w:val="auto"/>
                      <w:szCs w:val="21"/>
                    </w:rPr>
                    <w:t>《恶臭污染物排放标准》（GB14554-93）表1二级（新改扩建）标准限值</w:t>
                  </w:r>
                </w:p>
              </w:tc>
              <w:tc>
                <w:tcPr>
                  <w:tcW w:w="850" w:type="pct"/>
                  <w:vAlign w:val="center"/>
                </w:tcPr>
                <w:p>
                  <w:pPr>
                    <w:pStyle w:val="6"/>
                    <w:spacing w:after="0"/>
                    <w:ind w:firstLine="0" w:firstLineChars="0"/>
                    <w:jc w:val="center"/>
                    <w:rPr>
                      <w:color w:val="auto"/>
                      <w:szCs w:val="21"/>
                    </w:rPr>
                  </w:pPr>
                  <w:r>
                    <w:rPr>
                      <w:color w:val="auto"/>
                      <w:szCs w:val="21"/>
                    </w:rPr>
                    <w:t>臭气浓度</w:t>
                  </w:r>
                </w:p>
              </w:tc>
              <w:tc>
                <w:tcPr>
                  <w:tcW w:w="1792" w:type="pct"/>
                  <w:gridSpan w:val="2"/>
                  <w:vAlign w:val="center"/>
                </w:tcPr>
                <w:p>
                  <w:pPr>
                    <w:pStyle w:val="6"/>
                    <w:spacing w:after="0"/>
                    <w:ind w:firstLine="0" w:firstLineChars="0"/>
                    <w:jc w:val="center"/>
                    <w:rPr>
                      <w:color w:val="auto"/>
                      <w:szCs w:val="21"/>
                    </w:rPr>
                  </w:pPr>
                  <w:r>
                    <w:rPr>
                      <w:color w:val="auto"/>
                      <w:szCs w:val="21"/>
                    </w:rPr>
                    <w:t>20（无量纲）</w:t>
                  </w:r>
                </w:p>
              </w:tc>
            </w:tr>
          </w:tbl>
          <w:p>
            <w:pPr>
              <w:adjustRightInd w:val="0"/>
              <w:snapToGrid w:val="0"/>
              <w:spacing w:line="360" w:lineRule="auto"/>
              <w:ind w:firstLine="480" w:firstLineChars="200"/>
              <w:rPr>
                <w:bCs/>
                <w:color w:val="auto"/>
                <w:sz w:val="24"/>
                <w:szCs w:val="24"/>
              </w:rPr>
            </w:pPr>
            <w:r>
              <w:rPr>
                <w:bCs/>
                <w:color w:val="auto"/>
                <w:sz w:val="24"/>
                <w:szCs w:val="24"/>
              </w:rPr>
              <w:t>厂区内非甲烷总烃执行《挥发性有机物无组织排放控制标准》（GB37822-2019）表A.1中排放限值，具体标准限值详见下表。</w:t>
            </w:r>
          </w:p>
          <w:p>
            <w:pPr>
              <w:adjustRightInd w:val="0"/>
              <w:snapToGrid w:val="0"/>
              <w:spacing w:before="120" w:beforeLines="50"/>
              <w:jc w:val="center"/>
              <w:rPr>
                <w:b/>
                <w:color w:val="auto"/>
                <w:kern w:val="0"/>
                <w:sz w:val="24"/>
                <w:szCs w:val="24"/>
              </w:rPr>
            </w:pPr>
            <w:r>
              <w:rPr>
                <w:b/>
                <w:color w:val="auto"/>
                <w:kern w:val="0"/>
                <w:sz w:val="24"/>
                <w:szCs w:val="24"/>
              </w:rPr>
              <w:t>表3-</w:t>
            </w:r>
            <w:r>
              <w:rPr>
                <w:rFonts w:hint="eastAsia"/>
                <w:b/>
                <w:color w:val="auto"/>
                <w:kern w:val="0"/>
                <w:sz w:val="24"/>
                <w:szCs w:val="24"/>
              </w:rPr>
              <w:t>6</w:t>
            </w:r>
            <w:r>
              <w:rPr>
                <w:b/>
                <w:color w:val="auto"/>
                <w:kern w:val="0"/>
                <w:sz w:val="24"/>
                <w:szCs w:val="24"/>
              </w:rPr>
              <w:t xml:space="preserve">   厂区内非甲烷总烃无组织排放限值</w:t>
            </w:r>
            <w:r>
              <w:rPr>
                <w:rFonts w:hint="eastAsia"/>
                <w:b/>
                <w:color w:val="auto"/>
                <w:kern w:val="0"/>
                <w:sz w:val="24"/>
                <w:szCs w:val="24"/>
              </w:rPr>
              <w:t>一览表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9"/>
              <w:gridCol w:w="1756"/>
              <w:gridCol w:w="2779"/>
              <w:gridCol w:w="23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5" w:type="pct"/>
                  <w:vAlign w:val="center"/>
                </w:tcPr>
                <w:p>
                  <w:pPr>
                    <w:pStyle w:val="6"/>
                    <w:spacing w:after="0"/>
                    <w:ind w:firstLine="0" w:firstLineChars="0"/>
                    <w:jc w:val="center"/>
                    <w:rPr>
                      <w:color w:val="auto"/>
                      <w:szCs w:val="21"/>
                    </w:rPr>
                  </w:pPr>
                  <w:r>
                    <w:rPr>
                      <w:color w:val="auto"/>
                      <w:szCs w:val="21"/>
                    </w:rPr>
                    <w:t>污染物</w:t>
                  </w:r>
                </w:p>
              </w:tc>
              <w:tc>
                <w:tcPr>
                  <w:tcW w:w="1051" w:type="pct"/>
                  <w:vAlign w:val="center"/>
                </w:tcPr>
                <w:p>
                  <w:pPr>
                    <w:pStyle w:val="6"/>
                    <w:spacing w:after="0"/>
                    <w:ind w:firstLine="0" w:firstLineChars="0"/>
                    <w:jc w:val="center"/>
                    <w:rPr>
                      <w:color w:val="auto"/>
                      <w:szCs w:val="21"/>
                    </w:rPr>
                  </w:pPr>
                  <w:r>
                    <w:rPr>
                      <w:color w:val="auto"/>
                      <w:szCs w:val="21"/>
                    </w:rPr>
                    <w:t>排放限值</w:t>
                  </w:r>
                </w:p>
              </w:tc>
              <w:tc>
                <w:tcPr>
                  <w:tcW w:w="1663" w:type="pct"/>
                  <w:vAlign w:val="center"/>
                </w:tcPr>
                <w:p>
                  <w:pPr>
                    <w:pStyle w:val="6"/>
                    <w:spacing w:after="0"/>
                    <w:ind w:firstLine="0" w:firstLineChars="0"/>
                    <w:jc w:val="center"/>
                    <w:rPr>
                      <w:color w:val="auto"/>
                      <w:szCs w:val="21"/>
                    </w:rPr>
                  </w:pPr>
                  <w:r>
                    <w:rPr>
                      <w:color w:val="auto"/>
                      <w:szCs w:val="21"/>
                    </w:rPr>
                    <w:t>限值含义</w:t>
                  </w:r>
                </w:p>
              </w:tc>
              <w:tc>
                <w:tcPr>
                  <w:tcW w:w="1431" w:type="pct"/>
                  <w:vAlign w:val="center"/>
                </w:tcPr>
                <w:p>
                  <w:pPr>
                    <w:pStyle w:val="6"/>
                    <w:spacing w:after="0"/>
                    <w:ind w:firstLine="0" w:firstLineChars="0"/>
                    <w:jc w:val="center"/>
                    <w:rPr>
                      <w:color w:val="auto"/>
                      <w:szCs w:val="21"/>
                    </w:rPr>
                  </w:pPr>
                  <w:r>
                    <w:rPr>
                      <w:color w:val="auto"/>
                      <w:szCs w:val="21"/>
                    </w:rPr>
                    <w:t>无组织排放监控位置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5" w:type="pct"/>
                  <w:vMerge w:val="restart"/>
                  <w:vAlign w:val="center"/>
                </w:tcPr>
                <w:p>
                  <w:pPr>
                    <w:pStyle w:val="6"/>
                    <w:spacing w:after="0"/>
                    <w:ind w:firstLine="0" w:firstLineChars="0"/>
                    <w:jc w:val="center"/>
                    <w:rPr>
                      <w:color w:val="auto"/>
                      <w:szCs w:val="21"/>
                    </w:rPr>
                  </w:pPr>
                  <w:r>
                    <w:rPr>
                      <w:color w:val="auto"/>
                      <w:szCs w:val="21"/>
                    </w:rPr>
                    <w:t>NMHC</w:t>
                  </w:r>
                </w:p>
              </w:tc>
              <w:tc>
                <w:tcPr>
                  <w:tcW w:w="1051" w:type="pct"/>
                  <w:vAlign w:val="center"/>
                </w:tcPr>
                <w:p>
                  <w:pPr>
                    <w:pStyle w:val="6"/>
                    <w:spacing w:after="0"/>
                    <w:ind w:firstLine="0" w:firstLineChars="0"/>
                    <w:jc w:val="center"/>
                    <w:rPr>
                      <w:color w:val="auto"/>
                      <w:szCs w:val="21"/>
                    </w:rPr>
                  </w:pPr>
                  <w:r>
                    <w:rPr>
                      <w:color w:val="auto"/>
                      <w:szCs w:val="21"/>
                    </w:rPr>
                    <w:t>10mg/m</w:t>
                  </w:r>
                  <w:r>
                    <w:rPr>
                      <w:color w:val="auto"/>
                      <w:szCs w:val="21"/>
                      <w:vertAlign w:val="superscript"/>
                    </w:rPr>
                    <w:t>3</w:t>
                  </w:r>
                </w:p>
              </w:tc>
              <w:tc>
                <w:tcPr>
                  <w:tcW w:w="1663" w:type="pct"/>
                  <w:vAlign w:val="center"/>
                </w:tcPr>
                <w:p>
                  <w:pPr>
                    <w:pStyle w:val="6"/>
                    <w:spacing w:after="0"/>
                    <w:ind w:firstLine="0" w:firstLineChars="0"/>
                    <w:jc w:val="center"/>
                    <w:rPr>
                      <w:color w:val="auto"/>
                      <w:szCs w:val="21"/>
                    </w:rPr>
                  </w:pPr>
                  <w:r>
                    <w:rPr>
                      <w:color w:val="auto"/>
                      <w:szCs w:val="21"/>
                    </w:rPr>
                    <w:t>监控点处1h平均浓度值</w:t>
                  </w:r>
                </w:p>
              </w:tc>
              <w:tc>
                <w:tcPr>
                  <w:tcW w:w="1431" w:type="pct"/>
                  <w:vMerge w:val="restart"/>
                  <w:vAlign w:val="center"/>
                </w:tcPr>
                <w:p>
                  <w:pPr>
                    <w:pStyle w:val="6"/>
                    <w:spacing w:after="0"/>
                    <w:ind w:firstLine="0" w:firstLineChars="0"/>
                    <w:jc w:val="center"/>
                    <w:rPr>
                      <w:color w:val="auto"/>
                      <w:szCs w:val="21"/>
                    </w:rPr>
                  </w:pPr>
                  <w:r>
                    <w:rPr>
                      <w:color w:val="auto"/>
                      <w:szCs w:val="21"/>
                    </w:rPr>
                    <w:t>在厂房外设置监控点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5" w:type="pct"/>
                  <w:vMerge w:val="continue"/>
                  <w:vAlign w:val="center"/>
                </w:tcPr>
                <w:p>
                  <w:pPr>
                    <w:pStyle w:val="6"/>
                    <w:spacing w:after="0"/>
                    <w:ind w:firstLine="0" w:firstLineChars="0"/>
                    <w:jc w:val="center"/>
                    <w:rPr>
                      <w:color w:val="auto"/>
                      <w:szCs w:val="21"/>
                    </w:rPr>
                  </w:pPr>
                </w:p>
              </w:tc>
              <w:tc>
                <w:tcPr>
                  <w:tcW w:w="1051" w:type="pct"/>
                  <w:vAlign w:val="center"/>
                </w:tcPr>
                <w:p>
                  <w:pPr>
                    <w:pStyle w:val="6"/>
                    <w:spacing w:after="0"/>
                    <w:ind w:firstLine="0" w:firstLineChars="0"/>
                    <w:jc w:val="center"/>
                    <w:rPr>
                      <w:color w:val="auto"/>
                      <w:szCs w:val="21"/>
                    </w:rPr>
                  </w:pPr>
                  <w:r>
                    <w:rPr>
                      <w:color w:val="auto"/>
                      <w:szCs w:val="21"/>
                    </w:rPr>
                    <w:t>30mg/m</w:t>
                  </w:r>
                  <w:r>
                    <w:rPr>
                      <w:color w:val="auto"/>
                      <w:szCs w:val="21"/>
                      <w:vertAlign w:val="superscript"/>
                    </w:rPr>
                    <w:t>3</w:t>
                  </w:r>
                </w:p>
              </w:tc>
              <w:tc>
                <w:tcPr>
                  <w:tcW w:w="1663" w:type="pct"/>
                  <w:vAlign w:val="center"/>
                </w:tcPr>
                <w:p>
                  <w:pPr>
                    <w:pStyle w:val="6"/>
                    <w:spacing w:after="0"/>
                    <w:ind w:firstLine="0" w:firstLineChars="0"/>
                    <w:jc w:val="center"/>
                    <w:rPr>
                      <w:color w:val="auto"/>
                      <w:szCs w:val="21"/>
                    </w:rPr>
                  </w:pPr>
                  <w:r>
                    <w:rPr>
                      <w:color w:val="auto"/>
                      <w:szCs w:val="21"/>
                    </w:rPr>
                    <w:t>监控点处任意一次浓度值</w:t>
                  </w:r>
                </w:p>
              </w:tc>
              <w:tc>
                <w:tcPr>
                  <w:tcW w:w="1431" w:type="pct"/>
                  <w:vMerge w:val="continue"/>
                  <w:vAlign w:val="center"/>
                </w:tcPr>
                <w:p>
                  <w:pPr>
                    <w:pStyle w:val="6"/>
                    <w:spacing w:after="0"/>
                    <w:ind w:firstLine="0" w:firstLineChars="0"/>
                    <w:jc w:val="center"/>
                    <w:rPr>
                      <w:color w:val="auto"/>
                      <w:szCs w:val="21"/>
                    </w:rPr>
                  </w:pPr>
                </w:p>
              </w:tc>
            </w:tr>
          </w:tbl>
          <w:p>
            <w:pPr>
              <w:adjustRightInd w:val="0"/>
              <w:snapToGrid w:val="0"/>
              <w:spacing w:line="360" w:lineRule="auto"/>
              <w:rPr>
                <w:b/>
                <w:color w:val="auto"/>
                <w:kern w:val="0"/>
                <w:sz w:val="24"/>
                <w:szCs w:val="24"/>
              </w:rPr>
            </w:pPr>
            <w:r>
              <w:rPr>
                <w:b/>
                <w:color w:val="auto"/>
                <w:kern w:val="0"/>
                <w:sz w:val="24"/>
                <w:szCs w:val="24"/>
              </w:rPr>
              <w:t>2、废水</w:t>
            </w:r>
          </w:p>
          <w:p>
            <w:pPr>
              <w:adjustRightInd w:val="0"/>
              <w:snapToGrid w:val="0"/>
              <w:spacing w:line="360" w:lineRule="auto"/>
              <w:ind w:firstLine="480" w:firstLineChars="200"/>
              <w:rPr>
                <w:color w:val="auto"/>
                <w:sz w:val="24"/>
                <w:szCs w:val="24"/>
              </w:rPr>
            </w:pPr>
            <w:r>
              <w:rPr>
                <w:snapToGrid w:val="0"/>
                <w:color w:val="auto"/>
                <w:sz w:val="24"/>
                <w:szCs w:val="24"/>
              </w:rPr>
              <w:t>运营期</w:t>
            </w:r>
            <w:r>
              <w:rPr>
                <w:rFonts w:hint="eastAsia"/>
                <w:snapToGrid w:val="0"/>
                <w:color w:val="auto"/>
                <w:sz w:val="24"/>
                <w:szCs w:val="24"/>
                <w:lang w:val="en-US" w:eastAsia="zh-CN"/>
              </w:rPr>
              <w:t>冷却水</w:t>
            </w:r>
            <w:r>
              <w:rPr>
                <w:rFonts w:hint="eastAsia"/>
                <w:snapToGrid w:val="0"/>
                <w:color w:val="auto"/>
                <w:sz w:val="24"/>
                <w:szCs w:val="24"/>
              </w:rPr>
              <w:t>循环</w:t>
            </w:r>
            <w:r>
              <w:rPr>
                <w:rFonts w:hint="eastAsia"/>
                <w:snapToGrid w:val="0"/>
                <w:color w:val="auto"/>
                <w:sz w:val="24"/>
                <w:szCs w:val="24"/>
                <w:lang w:val="en-US" w:eastAsia="zh-CN"/>
              </w:rPr>
              <w:t>使用不外排，因此该部分废水不设排放标准，</w:t>
            </w:r>
            <w:r>
              <w:rPr>
                <w:rFonts w:hint="eastAsia"/>
                <w:color w:val="auto"/>
                <w:sz w:val="24"/>
                <w:szCs w:val="24"/>
              </w:rPr>
              <w:t>项目区内不设食堂和宿舍，</w:t>
            </w:r>
            <w:r>
              <w:rPr>
                <w:color w:val="auto"/>
                <w:sz w:val="24"/>
                <w:szCs w:val="24"/>
              </w:rPr>
              <w:t>依托使用</w:t>
            </w:r>
            <w:r>
              <w:rPr>
                <w:rFonts w:hint="eastAsia"/>
                <w:color w:val="auto"/>
                <w:sz w:val="24"/>
                <w:szCs w:val="24"/>
                <w:lang w:eastAsia="zh-CN"/>
              </w:rPr>
              <w:t>云南宝塑塑料管业有限公司</w:t>
            </w:r>
            <w:r>
              <w:rPr>
                <w:rFonts w:hint="eastAsia"/>
                <w:color w:val="auto"/>
                <w:sz w:val="24"/>
                <w:szCs w:val="24"/>
              </w:rPr>
              <w:t>已建设的</w:t>
            </w:r>
            <w:r>
              <w:rPr>
                <w:color w:val="auto"/>
                <w:kern w:val="0"/>
                <w:sz w:val="24"/>
                <w:szCs w:val="24"/>
              </w:rPr>
              <w:t>卫生间，</w:t>
            </w:r>
            <w:r>
              <w:rPr>
                <w:rFonts w:hint="eastAsia"/>
                <w:color w:val="auto"/>
                <w:sz w:val="24"/>
                <w:szCs w:val="24"/>
              </w:rPr>
              <w:t>员工日常</w:t>
            </w:r>
            <w:r>
              <w:rPr>
                <w:color w:val="auto"/>
                <w:sz w:val="24"/>
                <w:szCs w:val="24"/>
              </w:rPr>
              <w:t>清洗废水、冲厕废水等</w:t>
            </w:r>
            <w:r>
              <w:rPr>
                <w:rFonts w:hint="eastAsia"/>
                <w:color w:val="auto"/>
                <w:sz w:val="24"/>
                <w:szCs w:val="24"/>
              </w:rPr>
              <w:t>生活污水依托</w:t>
            </w:r>
            <w:r>
              <w:rPr>
                <w:rFonts w:hint="eastAsia"/>
                <w:color w:val="auto"/>
                <w:sz w:val="24"/>
                <w:szCs w:val="24"/>
                <w:lang w:eastAsia="zh-CN"/>
              </w:rPr>
              <w:t>云南宝塑塑料管业有限公司</w:t>
            </w:r>
            <w:r>
              <w:rPr>
                <w:rFonts w:hint="eastAsia"/>
                <w:color w:val="auto"/>
                <w:sz w:val="24"/>
                <w:szCs w:val="24"/>
              </w:rPr>
              <w:t>的化粪池处理</w:t>
            </w:r>
            <w:r>
              <w:rPr>
                <w:rFonts w:hint="eastAsia"/>
                <w:color w:val="auto"/>
                <w:sz w:val="24"/>
                <w:szCs w:val="24"/>
                <w:lang w:eastAsia="zh-CN"/>
              </w:rPr>
              <w:t>达到</w:t>
            </w:r>
            <w:r>
              <w:rPr>
                <w:rFonts w:hint="eastAsia"/>
                <w:color w:val="auto"/>
                <w:sz w:val="24"/>
                <w:szCs w:val="24"/>
              </w:rPr>
              <w:t>《污水排入城镇下水道水质标准》（GB/T31962-2015）中A级标准后</w:t>
            </w:r>
            <w:r>
              <w:rPr>
                <w:rFonts w:hint="eastAsia"/>
                <w:color w:val="auto"/>
                <w:sz w:val="24"/>
                <w:szCs w:val="24"/>
                <w:lang w:val="en-US" w:eastAsia="zh-CN"/>
              </w:rPr>
              <w:t>委托宜良县汇金环境卫生服务部定期清运生活污水、定期清掏化粪池</w:t>
            </w:r>
            <w:r>
              <w:rPr>
                <w:rFonts w:hint="eastAsia"/>
                <w:color w:val="auto"/>
                <w:sz w:val="24"/>
                <w:szCs w:val="24"/>
              </w:rPr>
              <w:t>。</w:t>
            </w:r>
          </w:p>
          <w:p>
            <w:pPr>
              <w:spacing w:before="120" w:beforeLines="50"/>
              <w:jc w:val="center"/>
              <w:rPr>
                <w:b/>
                <w:color w:val="auto"/>
                <w:kern w:val="0"/>
                <w:sz w:val="24"/>
                <w:szCs w:val="24"/>
              </w:rPr>
            </w:pPr>
            <w:r>
              <w:rPr>
                <w:b/>
                <w:color w:val="auto"/>
                <w:kern w:val="0"/>
                <w:sz w:val="24"/>
                <w:szCs w:val="24"/>
              </w:rPr>
              <w:t>表</w:t>
            </w:r>
            <w:r>
              <w:rPr>
                <w:rFonts w:hint="eastAsia"/>
                <w:b/>
                <w:color w:val="auto"/>
                <w:kern w:val="0"/>
                <w:sz w:val="24"/>
                <w:szCs w:val="24"/>
              </w:rPr>
              <w:t>3-</w:t>
            </w:r>
            <w:r>
              <w:rPr>
                <w:rFonts w:hint="eastAsia"/>
                <w:b/>
                <w:color w:val="auto"/>
                <w:kern w:val="0"/>
                <w:sz w:val="24"/>
                <w:szCs w:val="24"/>
                <w:lang w:val="en-US" w:eastAsia="zh-CN"/>
              </w:rPr>
              <w:t>7</w:t>
            </w:r>
            <w:r>
              <w:rPr>
                <w:b/>
                <w:color w:val="auto"/>
                <w:kern w:val="0"/>
                <w:sz w:val="24"/>
                <w:szCs w:val="24"/>
              </w:rPr>
              <w:t xml:space="preserve"> </w:t>
            </w:r>
            <w:r>
              <w:rPr>
                <w:rFonts w:hint="eastAsia"/>
                <w:b/>
                <w:color w:val="auto"/>
                <w:kern w:val="0"/>
                <w:sz w:val="24"/>
                <w:szCs w:val="24"/>
              </w:rPr>
              <w:t>《污水排入城镇下水道水质标准》（GB/T31962-2015）</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1"/>
              <w:gridCol w:w="818"/>
              <w:gridCol w:w="687"/>
              <w:gridCol w:w="884"/>
              <w:gridCol w:w="654"/>
              <w:gridCol w:w="1135"/>
              <w:gridCol w:w="770"/>
              <w:gridCol w:w="15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301" w:type="dxa"/>
                  <w:noWrap w:val="0"/>
                  <w:vAlign w:val="center"/>
                </w:tcPr>
                <w:p>
                  <w:pPr>
                    <w:jc w:val="center"/>
                    <w:rPr>
                      <w:rFonts w:ascii="Times New Roman" w:hAnsi="Times New Roman"/>
                      <w:b/>
                      <w:bCs/>
                      <w:color w:val="auto"/>
                      <w:sz w:val="21"/>
                      <w:szCs w:val="21"/>
                      <w:lang w:val="zh-CN"/>
                    </w:rPr>
                  </w:pPr>
                  <w:r>
                    <w:rPr>
                      <w:rFonts w:ascii="Times New Roman" w:hAnsi="Times New Roman"/>
                      <w:b/>
                      <w:bCs/>
                      <w:color w:val="auto"/>
                      <w:sz w:val="21"/>
                      <w:szCs w:val="21"/>
                      <w:lang w:val="zh-CN"/>
                    </w:rPr>
                    <w:t>项目</w:t>
                  </w:r>
                </w:p>
              </w:tc>
              <w:tc>
                <w:tcPr>
                  <w:tcW w:w="8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ascii="Times New Roman" w:hAnsi="Times New Roman"/>
                      <w:color w:val="auto"/>
                      <w:sz w:val="21"/>
                      <w:szCs w:val="21"/>
                    </w:rPr>
                  </w:pPr>
                  <w:r>
                    <w:rPr>
                      <w:rFonts w:hint="default" w:ascii="Times New Roman" w:hAnsi="Times New Roman" w:eastAsia="宋体" w:cs="Times New Roman"/>
                      <w:color w:val="auto"/>
                      <w:sz w:val="21"/>
                      <w:szCs w:val="21"/>
                    </w:rPr>
                    <w:t>pH</w:t>
                  </w:r>
                </w:p>
              </w:tc>
              <w:tc>
                <w:tcPr>
                  <w:tcW w:w="6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ascii="Times New Roman" w:hAnsi="Times New Roman"/>
                      <w:color w:val="auto"/>
                      <w:sz w:val="21"/>
                      <w:szCs w:val="21"/>
                    </w:rPr>
                  </w:pPr>
                  <w:r>
                    <w:rPr>
                      <w:rFonts w:hint="default" w:ascii="Times New Roman" w:hAnsi="Times New Roman" w:eastAsia="宋体" w:cs="Times New Roman"/>
                      <w:color w:val="auto"/>
                      <w:sz w:val="21"/>
                      <w:szCs w:val="21"/>
                    </w:rPr>
                    <w:t>COD</w:t>
                  </w:r>
                </w:p>
              </w:tc>
              <w:tc>
                <w:tcPr>
                  <w:tcW w:w="88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ascii="Times New Roman" w:hAnsi="Times New Roman"/>
                      <w:color w:val="auto"/>
                      <w:sz w:val="21"/>
                      <w:szCs w:val="21"/>
                    </w:rPr>
                  </w:pPr>
                  <w:r>
                    <w:rPr>
                      <w:rFonts w:hint="default" w:ascii="Times New Roman" w:hAnsi="Times New Roman" w:eastAsia="宋体" w:cs="Times New Roman"/>
                      <w:color w:val="auto"/>
                      <w:sz w:val="21"/>
                      <w:szCs w:val="21"/>
                    </w:rPr>
                    <w:t>BOD</w:t>
                  </w:r>
                  <w:r>
                    <w:rPr>
                      <w:rFonts w:hint="default" w:ascii="Times New Roman" w:hAnsi="Times New Roman" w:eastAsia="宋体" w:cs="Times New Roman"/>
                      <w:color w:val="auto"/>
                      <w:sz w:val="21"/>
                      <w:szCs w:val="21"/>
                      <w:vertAlign w:val="subscript"/>
                    </w:rPr>
                    <w:t>5</w:t>
                  </w:r>
                </w:p>
              </w:tc>
              <w:tc>
                <w:tcPr>
                  <w:tcW w:w="65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ascii="Times New Roman" w:hAnsi="Times New Roman"/>
                      <w:color w:val="auto"/>
                      <w:sz w:val="21"/>
                      <w:szCs w:val="21"/>
                    </w:rPr>
                  </w:pPr>
                  <w:r>
                    <w:rPr>
                      <w:rFonts w:hint="default" w:ascii="Times New Roman" w:hAnsi="Times New Roman" w:eastAsia="宋体" w:cs="Times New Roman"/>
                      <w:color w:val="auto"/>
                      <w:sz w:val="21"/>
                      <w:szCs w:val="21"/>
                    </w:rPr>
                    <w:t>SS</w:t>
                  </w:r>
                </w:p>
              </w:tc>
              <w:tc>
                <w:tcPr>
                  <w:tcW w:w="11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ascii="Times New Roman" w:hAnsi="Times New Roman"/>
                      <w:color w:val="auto"/>
                      <w:sz w:val="21"/>
                      <w:szCs w:val="21"/>
                      <w:lang w:val="zh-CN"/>
                    </w:rPr>
                  </w:pPr>
                  <w:r>
                    <w:rPr>
                      <w:rFonts w:hint="default" w:ascii="Times New Roman" w:hAnsi="Times New Roman" w:eastAsia="宋体" w:cs="Times New Roman"/>
                      <w:color w:val="auto"/>
                      <w:sz w:val="21"/>
                      <w:szCs w:val="21"/>
                    </w:rPr>
                    <w:t>动植物油</w:t>
                  </w:r>
                </w:p>
              </w:tc>
              <w:tc>
                <w:tcPr>
                  <w:tcW w:w="77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ascii="Times New Roman" w:hAnsi="Times New Roman"/>
                      <w:color w:val="auto"/>
                      <w:sz w:val="21"/>
                      <w:szCs w:val="21"/>
                      <w:lang w:val="zh-CN"/>
                    </w:rPr>
                  </w:pPr>
                  <w:r>
                    <w:rPr>
                      <w:rFonts w:hint="default" w:ascii="Times New Roman" w:hAnsi="Times New Roman" w:eastAsia="宋体" w:cs="Times New Roman"/>
                      <w:color w:val="auto"/>
                      <w:sz w:val="21"/>
                      <w:szCs w:val="21"/>
                    </w:rPr>
                    <w:t>氨氮</w:t>
                  </w:r>
                </w:p>
              </w:tc>
              <w:tc>
                <w:tcPr>
                  <w:tcW w:w="15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ascii="Times New Roman" w:hAnsi="Times New Roman"/>
                      <w:color w:val="auto"/>
                      <w:sz w:val="21"/>
                      <w:szCs w:val="21"/>
                      <w:lang w:val="zh-CN"/>
                    </w:rPr>
                  </w:pPr>
                  <w:r>
                    <w:rPr>
                      <w:rFonts w:hint="default" w:ascii="Times New Roman" w:hAnsi="Times New Roman" w:eastAsia="宋体" w:cs="Times New Roman"/>
                      <w:color w:val="auto"/>
                      <w:sz w:val="21"/>
                      <w:szCs w:val="21"/>
                    </w:rPr>
                    <w:t>TP（以P计）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301" w:type="dxa"/>
                  <w:noWrap w:val="0"/>
                  <w:vAlign w:val="center"/>
                </w:tcPr>
                <w:p>
                  <w:pPr>
                    <w:jc w:val="center"/>
                    <w:rPr>
                      <w:rFonts w:ascii="Times New Roman" w:hAnsi="Times New Roman"/>
                      <w:b/>
                      <w:bCs/>
                      <w:color w:val="auto"/>
                      <w:sz w:val="21"/>
                      <w:szCs w:val="21"/>
                      <w:lang w:val="zh-CN"/>
                    </w:rPr>
                  </w:pPr>
                  <w:r>
                    <w:rPr>
                      <w:rFonts w:hint="eastAsia" w:ascii="Times New Roman" w:hAnsi="Times New Roman"/>
                      <w:b/>
                      <w:bCs/>
                      <w:color w:val="auto"/>
                      <w:sz w:val="21"/>
                      <w:szCs w:val="21"/>
                      <w:lang w:val="en-US" w:eastAsia="zh-CN"/>
                    </w:rPr>
                    <w:t>A</w:t>
                  </w:r>
                  <w:r>
                    <w:rPr>
                      <w:rFonts w:ascii="Times New Roman" w:hAnsi="Times New Roman"/>
                      <w:b/>
                      <w:bCs/>
                      <w:color w:val="auto"/>
                      <w:sz w:val="21"/>
                      <w:szCs w:val="21"/>
                      <w:lang w:val="zh-CN"/>
                    </w:rPr>
                    <w:t>级限值</w:t>
                  </w:r>
                </w:p>
              </w:tc>
              <w:tc>
                <w:tcPr>
                  <w:tcW w:w="8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ascii="Times New Roman" w:hAnsi="Times New Roman"/>
                      <w:color w:val="auto"/>
                      <w:sz w:val="21"/>
                      <w:szCs w:val="21"/>
                    </w:rPr>
                  </w:pPr>
                  <w:r>
                    <w:rPr>
                      <w:rFonts w:hint="default" w:ascii="Times New Roman" w:hAnsi="Times New Roman" w:eastAsia="宋体" w:cs="Times New Roman"/>
                      <w:color w:val="auto"/>
                      <w:sz w:val="21"/>
                      <w:szCs w:val="21"/>
                    </w:rPr>
                    <w:t>6~9</w:t>
                  </w:r>
                </w:p>
              </w:tc>
              <w:tc>
                <w:tcPr>
                  <w:tcW w:w="6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ascii="Times New Roman" w:hAnsi="Times New Roman"/>
                      <w:color w:val="auto"/>
                      <w:sz w:val="21"/>
                      <w:szCs w:val="21"/>
                    </w:rPr>
                  </w:pPr>
                  <w:r>
                    <w:rPr>
                      <w:rFonts w:hint="default" w:ascii="Times New Roman" w:hAnsi="Times New Roman" w:eastAsia="宋体" w:cs="Times New Roman"/>
                      <w:color w:val="auto"/>
                      <w:sz w:val="21"/>
                      <w:szCs w:val="21"/>
                    </w:rPr>
                    <w:t>500</w:t>
                  </w:r>
                </w:p>
              </w:tc>
              <w:tc>
                <w:tcPr>
                  <w:tcW w:w="88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ascii="Times New Roman" w:hAnsi="Times New Roman"/>
                      <w:color w:val="auto"/>
                      <w:sz w:val="21"/>
                      <w:szCs w:val="21"/>
                    </w:rPr>
                  </w:pPr>
                  <w:r>
                    <w:rPr>
                      <w:rFonts w:hint="default" w:ascii="Times New Roman" w:hAnsi="Times New Roman" w:eastAsia="宋体" w:cs="Times New Roman"/>
                      <w:color w:val="auto"/>
                      <w:sz w:val="21"/>
                      <w:szCs w:val="21"/>
                    </w:rPr>
                    <w:t>3</w:t>
                  </w:r>
                  <w:r>
                    <w:rPr>
                      <w:rFonts w:hint="default" w:ascii="Times New Roman" w:hAnsi="Times New Roman" w:eastAsia="宋体" w:cs="Times New Roman"/>
                      <w:color w:val="auto"/>
                      <w:sz w:val="21"/>
                      <w:szCs w:val="21"/>
                      <w:lang w:val="en-US" w:eastAsia="zh-CN"/>
                    </w:rPr>
                    <w:t>50</w:t>
                  </w:r>
                </w:p>
              </w:tc>
              <w:tc>
                <w:tcPr>
                  <w:tcW w:w="65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ascii="Times New Roman" w:hAnsi="Times New Roman"/>
                      <w:color w:val="auto"/>
                      <w:sz w:val="21"/>
                      <w:szCs w:val="21"/>
                    </w:rPr>
                  </w:pPr>
                  <w:r>
                    <w:rPr>
                      <w:rFonts w:hint="default" w:ascii="Times New Roman" w:hAnsi="Times New Roman" w:eastAsia="宋体" w:cs="Times New Roman"/>
                      <w:color w:val="auto"/>
                      <w:sz w:val="21"/>
                      <w:szCs w:val="21"/>
                    </w:rPr>
                    <w:t>400</w:t>
                  </w:r>
                </w:p>
              </w:tc>
              <w:tc>
                <w:tcPr>
                  <w:tcW w:w="11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ascii="Times New Roman" w:hAnsi="Times New Roman"/>
                      <w:color w:val="auto"/>
                      <w:sz w:val="21"/>
                      <w:szCs w:val="21"/>
                    </w:rPr>
                  </w:pPr>
                  <w:r>
                    <w:rPr>
                      <w:rFonts w:hint="default" w:ascii="Times New Roman" w:hAnsi="Times New Roman" w:eastAsia="宋体" w:cs="Times New Roman"/>
                      <w:color w:val="auto"/>
                      <w:sz w:val="21"/>
                      <w:szCs w:val="21"/>
                    </w:rPr>
                    <w:t>100</w:t>
                  </w:r>
                </w:p>
              </w:tc>
              <w:tc>
                <w:tcPr>
                  <w:tcW w:w="77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ascii="Times New Roman" w:hAnsi="Times New Roman"/>
                      <w:color w:val="auto"/>
                      <w:sz w:val="21"/>
                      <w:szCs w:val="21"/>
                    </w:rPr>
                  </w:pPr>
                  <w:r>
                    <w:rPr>
                      <w:rFonts w:hint="default" w:ascii="Times New Roman" w:hAnsi="Times New Roman" w:eastAsia="宋体" w:cs="Times New Roman"/>
                      <w:color w:val="auto"/>
                      <w:sz w:val="21"/>
                      <w:szCs w:val="21"/>
                    </w:rPr>
                    <w:t>45</w:t>
                  </w:r>
                </w:p>
              </w:tc>
              <w:tc>
                <w:tcPr>
                  <w:tcW w:w="15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ascii="Times New Roman" w:hAnsi="Times New Roman"/>
                      <w:color w:val="auto"/>
                      <w:sz w:val="21"/>
                      <w:szCs w:val="21"/>
                    </w:rPr>
                  </w:pPr>
                  <w:r>
                    <w:rPr>
                      <w:rFonts w:hint="default" w:ascii="Times New Roman" w:hAnsi="Times New Roman" w:eastAsia="宋体" w:cs="Times New Roman"/>
                      <w:color w:val="auto"/>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7824" w:type="dxa"/>
                  <w:gridSpan w:val="8"/>
                  <w:noWrap w:val="0"/>
                  <w:vAlign w:val="center"/>
                </w:tcPr>
                <w:p>
                  <w:pPr>
                    <w:jc w:val="both"/>
                    <w:rPr>
                      <w:rFonts w:ascii="Times New Roman" w:hAnsi="Times New Roman"/>
                      <w:b/>
                      <w:bCs/>
                      <w:color w:val="auto"/>
                      <w:sz w:val="21"/>
                      <w:szCs w:val="21"/>
                      <w:lang w:val="zh-CN"/>
                    </w:rPr>
                  </w:pPr>
                  <w:r>
                    <w:rPr>
                      <w:rFonts w:hint="eastAsia" w:ascii="Times New Roman" w:hAnsi="Times New Roman"/>
                      <w:color w:val="auto"/>
                      <w:sz w:val="21"/>
                      <w:szCs w:val="21"/>
                      <w:lang w:val="en-US" w:eastAsia="zh-CN"/>
                    </w:rPr>
                    <w:t>注</w:t>
                  </w:r>
                  <w:r>
                    <w:rPr>
                      <w:rFonts w:ascii="Times New Roman" w:hAnsi="Times New Roman"/>
                      <w:color w:val="auto"/>
                      <w:sz w:val="21"/>
                      <w:szCs w:val="21"/>
                      <w:lang w:val="zh-CN"/>
                    </w:rPr>
                    <w:t>：pH无量纲，其他单位mg/L。</w:t>
                  </w:r>
                </w:p>
              </w:tc>
            </w:tr>
          </w:tbl>
          <w:p>
            <w:pPr>
              <w:pStyle w:val="16"/>
              <w:spacing w:line="360" w:lineRule="auto"/>
              <w:rPr>
                <w:rFonts w:ascii="Times New Roman" w:hAnsi="Times New Roman"/>
                <w:color w:val="auto"/>
                <w:sz w:val="24"/>
                <w:szCs w:val="24"/>
              </w:rPr>
            </w:pPr>
            <w:r>
              <w:rPr>
                <w:rFonts w:ascii="Times New Roman" w:hAnsi="Times New Roman"/>
                <w:b/>
                <w:color w:val="auto"/>
                <w:sz w:val="24"/>
                <w:szCs w:val="24"/>
              </w:rPr>
              <w:t>3、噪声</w:t>
            </w:r>
          </w:p>
          <w:p>
            <w:pPr>
              <w:widowControl/>
              <w:spacing w:line="360" w:lineRule="auto"/>
              <w:ind w:firstLine="480" w:firstLineChars="200"/>
              <w:rPr>
                <w:color w:val="auto"/>
                <w:kern w:val="0"/>
                <w:sz w:val="24"/>
                <w:szCs w:val="24"/>
              </w:rPr>
            </w:pPr>
            <w:r>
              <w:rPr>
                <w:color w:val="auto"/>
                <w:kern w:val="0"/>
                <w:sz w:val="24"/>
                <w:szCs w:val="24"/>
              </w:rPr>
              <w:t>根据</w:t>
            </w:r>
            <w:r>
              <w:rPr>
                <w:color w:val="auto"/>
                <w:sz w:val="24"/>
                <w:szCs w:val="24"/>
              </w:rPr>
              <w:t>《宜良县声环境功能区划分（2019-2029）》</w:t>
            </w:r>
            <w:r>
              <w:rPr>
                <w:rFonts w:hint="eastAsia"/>
                <w:color w:val="auto"/>
                <w:sz w:val="24"/>
                <w:szCs w:val="24"/>
              </w:rPr>
              <w:t>及</w:t>
            </w:r>
            <w:r>
              <w:rPr>
                <w:color w:val="auto"/>
                <w:kern w:val="0"/>
                <w:sz w:val="24"/>
                <w:szCs w:val="24"/>
              </w:rPr>
              <w:t>《云南宜良产业园区总体规划（2021</w:t>
            </w:r>
            <w:r>
              <w:rPr>
                <w:rFonts w:hint="eastAsia"/>
                <w:color w:val="auto"/>
                <w:kern w:val="0"/>
                <w:sz w:val="24"/>
                <w:szCs w:val="24"/>
                <w:lang w:eastAsia="zh-CN"/>
              </w:rPr>
              <w:t>—</w:t>
            </w:r>
            <w:r>
              <w:rPr>
                <w:color w:val="auto"/>
                <w:kern w:val="0"/>
                <w:sz w:val="24"/>
                <w:szCs w:val="24"/>
              </w:rPr>
              <w:t>2035年）环境影响报告书》</w:t>
            </w:r>
            <w:r>
              <w:rPr>
                <w:color w:val="auto"/>
                <w:sz w:val="24"/>
                <w:szCs w:val="24"/>
              </w:rPr>
              <w:t>，</w:t>
            </w:r>
            <w:r>
              <w:rPr>
                <w:color w:val="auto"/>
                <w:sz w:val="24"/>
                <w:szCs w:val="24"/>
                <w:lang w:bidi="ar"/>
              </w:rPr>
              <w:t>项目所在区域</w:t>
            </w:r>
            <w:r>
              <w:rPr>
                <w:color w:val="auto"/>
                <w:sz w:val="24"/>
                <w:szCs w:val="24"/>
              </w:rPr>
              <w:t>属于3类声环境功能区，</w:t>
            </w:r>
            <w:r>
              <w:rPr>
                <w:rFonts w:hint="eastAsia"/>
                <w:color w:val="auto"/>
                <w:sz w:val="24"/>
                <w:szCs w:val="24"/>
              </w:rPr>
              <w:t>厂界噪声</w:t>
            </w:r>
            <w:r>
              <w:rPr>
                <w:color w:val="auto"/>
                <w:sz w:val="24"/>
                <w:szCs w:val="24"/>
              </w:rPr>
              <w:t>执行《</w:t>
            </w:r>
            <w:r>
              <w:rPr>
                <w:color w:val="auto"/>
                <w:spacing w:val="5"/>
                <w:sz w:val="24"/>
                <w:szCs w:val="24"/>
              </w:rPr>
              <w:t>工业企业厂界环境噪声排放标准》（GB12348-2008）</w:t>
            </w:r>
            <w:r>
              <w:rPr>
                <w:color w:val="auto"/>
                <w:sz w:val="24"/>
                <w:szCs w:val="24"/>
              </w:rPr>
              <w:t>3类标准。标准限值见表3-</w:t>
            </w:r>
            <w:r>
              <w:rPr>
                <w:rFonts w:hint="eastAsia"/>
                <w:color w:val="auto"/>
                <w:sz w:val="24"/>
                <w:szCs w:val="24"/>
              </w:rPr>
              <w:t>9</w:t>
            </w:r>
            <w:r>
              <w:rPr>
                <w:color w:val="auto"/>
                <w:kern w:val="0"/>
                <w:sz w:val="24"/>
                <w:szCs w:val="24"/>
              </w:rPr>
              <w:t>。</w:t>
            </w:r>
          </w:p>
          <w:p>
            <w:pPr>
              <w:adjustRightInd w:val="0"/>
              <w:snapToGrid w:val="0"/>
              <w:spacing w:before="120" w:beforeLines="50"/>
              <w:jc w:val="center"/>
              <w:rPr>
                <w:b/>
                <w:color w:val="auto"/>
                <w:kern w:val="0"/>
                <w:sz w:val="24"/>
                <w:szCs w:val="24"/>
              </w:rPr>
            </w:pPr>
            <w:r>
              <w:rPr>
                <w:b/>
                <w:color w:val="auto"/>
                <w:kern w:val="0"/>
                <w:sz w:val="24"/>
                <w:szCs w:val="24"/>
              </w:rPr>
              <w:t>表3-</w:t>
            </w:r>
            <w:r>
              <w:rPr>
                <w:rFonts w:hint="eastAsia"/>
                <w:b/>
                <w:color w:val="auto"/>
                <w:kern w:val="0"/>
                <w:sz w:val="24"/>
                <w:szCs w:val="24"/>
                <w:lang w:val="en-US" w:eastAsia="zh-CN"/>
              </w:rPr>
              <w:t>8</w:t>
            </w:r>
            <w:r>
              <w:rPr>
                <w:b/>
                <w:color w:val="auto"/>
                <w:kern w:val="0"/>
                <w:sz w:val="24"/>
                <w:szCs w:val="24"/>
              </w:rPr>
              <w:t xml:space="preserve">  工业企业厂界环境噪声排放标准</w:t>
            </w:r>
          </w:p>
          <w:tbl>
            <w:tblPr>
              <w:tblStyle w:val="2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23"/>
              <w:gridCol w:w="3165"/>
              <w:gridCol w:w="31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11"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color w:val="auto"/>
                      <w:sz w:val="21"/>
                      <w:szCs w:val="21"/>
                    </w:rPr>
                  </w:pPr>
                  <w:r>
                    <w:rPr>
                      <w:b/>
                      <w:bCs/>
                      <w:color w:val="auto"/>
                      <w:sz w:val="21"/>
                      <w:szCs w:val="21"/>
                    </w:rPr>
                    <w:t>类别</w:t>
                  </w:r>
                </w:p>
              </w:tc>
              <w:tc>
                <w:tcPr>
                  <w:tcW w:w="3788" w:type="pct"/>
                  <w:gridSpan w:val="2"/>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color w:val="auto"/>
                      <w:sz w:val="21"/>
                      <w:szCs w:val="21"/>
                    </w:rPr>
                  </w:pPr>
                  <w:r>
                    <w:rPr>
                      <w:b/>
                      <w:bCs/>
                      <w:color w:val="auto"/>
                      <w:sz w:val="21"/>
                      <w:szCs w:val="21"/>
                    </w:rPr>
                    <w:t>等效声级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11"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color w:val="auto"/>
                      <w:sz w:val="21"/>
                      <w:szCs w:val="21"/>
                    </w:rPr>
                  </w:pPr>
                </w:p>
              </w:tc>
              <w:tc>
                <w:tcPr>
                  <w:tcW w:w="189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color w:val="auto"/>
                      <w:sz w:val="21"/>
                      <w:szCs w:val="21"/>
                    </w:rPr>
                  </w:pPr>
                  <w:r>
                    <w:rPr>
                      <w:b/>
                      <w:bCs/>
                      <w:color w:val="auto"/>
                      <w:sz w:val="21"/>
                      <w:szCs w:val="21"/>
                    </w:rPr>
                    <w:t>昼间</w:t>
                  </w:r>
                </w:p>
              </w:tc>
              <w:tc>
                <w:tcPr>
                  <w:tcW w:w="189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color w:val="auto"/>
                      <w:sz w:val="21"/>
                      <w:szCs w:val="21"/>
                    </w:rPr>
                  </w:pPr>
                  <w:r>
                    <w:rPr>
                      <w:b/>
                      <w:bCs/>
                      <w:color w:val="auto"/>
                      <w:sz w:val="21"/>
                      <w:szCs w:val="21"/>
                    </w:rPr>
                    <w:t>夜间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11"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 w:val="21"/>
                      <w:szCs w:val="21"/>
                    </w:rPr>
                  </w:pPr>
                  <w:r>
                    <w:rPr>
                      <w:color w:val="auto"/>
                      <w:sz w:val="21"/>
                      <w:szCs w:val="21"/>
                    </w:rPr>
                    <w:t>3类</w:t>
                  </w:r>
                </w:p>
              </w:tc>
              <w:tc>
                <w:tcPr>
                  <w:tcW w:w="189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 w:val="21"/>
                      <w:szCs w:val="21"/>
                    </w:rPr>
                  </w:pPr>
                  <w:r>
                    <w:rPr>
                      <w:color w:val="auto"/>
                      <w:sz w:val="21"/>
                      <w:szCs w:val="21"/>
                    </w:rPr>
                    <w:t>65 dB(A)</w:t>
                  </w:r>
                </w:p>
              </w:tc>
              <w:tc>
                <w:tcPr>
                  <w:tcW w:w="189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 w:val="21"/>
                      <w:szCs w:val="21"/>
                    </w:rPr>
                  </w:pPr>
                  <w:r>
                    <w:rPr>
                      <w:color w:val="auto"/>
                      <w:sz w:val="21"/>
                      <w:szCs w:val="21"/>
                    </w:rPr>
                    <w:t>55 dB(A)</w:t>
                  </w:r>
                </w:p>
              </w:tc>
            </w:tr>
          </w:tbl>
          <w:p>
            <w:pPr>
              <w:adjustRightInd w:val="0"/>
              <w:snapToGrid w:val="0"/>
              <w:spacing w:line="360" w:lineRule="auto"/>
              <w:rPr>
                <w:b/>
                <w:color w:val="auto"/>
                <w:sz w:val="24"/>
                <w:szCs w:val="24"/>
              </w:rPr>
            </w:pPr>
            <w:r>
              <w:rPr>
                <w:b/>
                <w:color w:val="auto"/>
                <w:sz w:val="24"/>
                <w:szCs w:val="24"/>
              </w:rPr>
              <w:t>4、固体废物</w:t>
            </w:r>
          </w:p>
          <w:p>
            <w:pPr>
              <w:adjustRightInd w:val="0"/>
              <w:snapToGrid w:val="0"/>
              <w:spacing w:line="360" w:lineRule="auto"/>
              <w:ind w:firstLine="480" w:firstLineChars="200"/>
              <w:rPr>
                <w:color w:val="auto"/>
                <w:szCs w:val="21"/>
              </w:rPr>
            </w:pPr>
            <w:r>
              <w:rPr>
                <w:color w:val="auto"/>
                <w:sz w:val="24"/>
                <w:szCs w:val="24"/>
              </w:rPr>
              <w:t>项目运营过程中所产生的一般固体废物存放执行《一般工业固体废物贮存和填埋污染控制标准》（GB18599-2020）；危险废物贮存执行《危险废物贮存污染控制标准》（GB18597-2023）。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tcMar>
              <w:left w:w="28" w:type="dxa"/>
              <w:right w:w="28" w:type="dxa"/>
            </w:tcMar>
            <w:vAlign w:val="center"/>
          </w:tcPr>
          <w:p>
            <w:pPr>
              <w:adjustRightInd w:val="0"/>
              <w:snapToGrid w:val="0"/>
              <w:jc w:val="center"/>
              <w:rPr>
                <w:color w:val="auto"/>
                <w:kern w:val="0"/>
                <w:szCs w:val="21"/>
              </w:rPr>
            </w:pPr>
            <w:r>
              <w:rPr>
                <w:color w:val="auto"/>
                <w:kern w:val="0"/>
                <w:szCs w:val="21"/>
              </w:rPr>
              <w:t>总量</w:t>
            </w:r>
          </w:p>
          <w:p>
            <w:pPr>
              <w:adjustRightInd w:val="0"/>
              <w:snapToGrid w:val="0"/>
              <w:jc w:val="center"/>
              <w:rPr>
                <w:color w:val="auto"/>
                <w:kern w:val="0"/>
                <w:szCs w:val="21"/>
              </w:rPr>
            </w:pPr>
            <w:r>
              <w:rPr>
                <w:color w:val="auto"/>
                <w:kern w:val="0"/>
                <w:szCs w:val="21"/>
              </w:rPr>
              <w:t>控制</w:t>
            </w:r>
          </w:p>
          <w:p>
            <w:pPr>
              <w:adjustRightInd w:val="0"/>
              <w:snapToGrid w:val="0"/>
              <w:jc w:val="center"/>
              <w:rPr>
                <w:color w:val="auto"/>
                <w:kern w:val="0"/>
                <w:szCs w:val="21"/>
              </w:rPr>
            </w:pPr>
            <w:r>
              <w:rPr>
                <w:color w:val="auto"/>
                <w:kern w:val="0"/>
                <w:szCs w:val="21"/>
              </w:rPr>
              <w:t>指标</w:t>
            </w:r>
          </w:p>
        </w:tc>
        <w:tc>
          <w:tcPr>
            <w:tcW w:w="0" w:type="auto"/>
            <w:vAlign w:val="center"/>
          </w:tcPr>
          <w:p>
            <w:pPr>
              <w:spacing w:line="360" w:lineRule="auto"/>
              <w:ind w:firstLine="480" w:firstLineChars="200"/>
              <w:rPr>
                <w:color w:val="auto"/>
                <w:sz w:val="24"/>
                <w:szCs w:val="24"/>
              </w:rPr>
            </w:pPr>
            <w:r>
              <w:rPr>
                <w:rFonts w:ascii="宋体" w:hAnsi="宋体"/>
                <w:color w:val="auto"/>
                <w:sz w:val="24"/>
                <w:szCs w:val="24"/>
              </w:rPr>
              <w:t>“</w:t>
            </w:r>
            <w:r>
              <w:rPr>
                <w:color w:val="auto"/>
                <w:sz w:val="24"/>
                <w:szCs w:val="24"/>
              </w:rPr>
              <w:t>十四五</w:t>
            </w:r>
            <w:r>
              <w:rPr>
                <w:rFonts w:ascii="宋体" w:hAnsi="宋体"/>
                <w:color w:val="auto"/>
                <w:sz w:val="24"/>
                <w:szCs w:val="24"/>
              </w:rPr>
              <w:t>”</w:t>
            </w:r>
            <w:r>
              <w:rPr>
                <w:color w:val="auto"/>
                <w:sz w:val="24"/>
                <w:szCs w:val="24"/>
              </w:rPr>
              <w:t>期间国家实施排放总量控制的主要污染物为：化学需氧量、氨氮、氮氧化物、VOCs，根据本项目的排污特征，结合国家污染物排放总量控制原则，列出本项目建议执行的总量控制指标。</w:t>
            </w:r>
          </w:p>
          <w:p>
            <w:pPr>
              <w:spacing w:line="360" w:lineRule="auto"/>
              <w:ind w:firstLine="482" w:firstLineChars="200"/>
              <w:rPr>
                <w:b/>
                <w:color w:val="auto"/>
                <w:sz w:val="24"/>
                <w:szCs w:val="24"/>
              </w:rPr>
            </w:pPr>
            <w:r>
              <w:rPr>
                <w:b/>
                <w:color w:val="auto"/>
                <w:sz w:val="24"/>
                <w:szCs w:val="24"/>
              </w:rPr>
              <w:t>1、废气</w:t>
            </w:r>
          </w:p>
          <w:p>
            <w:pPr>
              <w:spacing w:line="360" w:lineRule="auto"/>
              <w:ind w:firstLine="480" w:firstLineChars="200"/>
              <w:rPr>
                <w:color w:val="auto"/>
                <w:sz w:val="24"/>
                <w:szCs w:val="24"/>
              </w:rPr>
            </w:pPr>
            <w:r>
              <w:rPr>
                <w:color w:val="auto"/>
                <w:sz w:val="24"/>
                <w:szCs w:val="24"/>
              </w:rPr>
              <w:t>根据分析核算，本项目废气量为</w:t>
            </w:r>
            <w:r>
              <w:rPr>
                <w:rFonts w:hint="eastAsia"/>
                <w:color w:val="auto"/>
                <w:sz w:val="24"/>
                <w:szCs w:val="24"/>
                <w:lang w:val="en-US" w:eastAsia="zh-CN"/>
              </w:rPr>
              <w:t>72</w:t>
            </w:r>
            <w:r>
              <w:rPr>
                <w:color w:val="auto"/>
                <w:sz w:val="24"/>
                <w:szCs w:val="24"/>
              </w:rPr>
              <w:t>00</w:t>
            </w:r>
            <w:r>
              <w:rPr>
                <w:color w:val="auto"/>
                <w:kern w:val="0"/>
                <w:sz w:val="24"/>
                <w:szCs w:val="24"/>
              </w:rPr>
              <w:t>万</w:t>
            </w:r>
            <w:r>
              <w:rPr>
                <w:bCs/>
                <w:color w:val="auto"/>
                <w:sz w:val="24"/>
                <w:szCs w:val="24"/>
              </w:rPr>
              <w:t>m</w:t>
            </w:r>
            <w:r>
              <w:rPr>
                <w:bCs/>
                <w:color w:val="auto"/>
                <w:sz w:val="24"/>
                <w:szCs w:val="24"/>
                <w:vertAlign w:val="superscript"/>
              </w:rPr>
              <w:t>3</w:t>
            </w:r>
            <w:r>
              <w:rPr>
                <w:bCs/>
                <w:color w:val="auto"/>
                <w:sz w:val="24"/>
                <w:szCs w:val="24"/>
              </w:rPr>
              <w:t>/a，</w:t>
            </w:r>
            <w:r>
              <w:rPr>
                <w:color w:val="auto"/>
                <w:sz w:val="24"/>
                <w:szCs w:val="24"/>
              </w:rPr>
              <w:t>非甲烷总烃</w:t>
            </w:r>
            <w:r>
              <w:rPr>
                <w:rFonts w:hint="eastAsia"/>
                <w:color w:val="auto"/>
                <w:sz w:val="24"/>
                <w:szCs w:val="24"/>
                <w:lang w:val="en-US" w:eastAsia="zh-CN"/>
              </w:rPr>
              <w:t>年总排放量8.82</w:t>
            </w:r>
            <w:r>
              <w:rPr>
                <w:rFonts w:hint="eastAsia"/>
                <w:color w:val="auto"/>
                <w:sz w:val="24"/>
                <w:szCs w:val="24"/>
              </w:rPr>
              <w:t>t</w:t>
            </w:r>
            <w:r>
              <w:rPr>
                <w:color w:val="auto"/>
                <w:sz w:val="24"/>
                <w:szCs w:val="24"/>
              </w:rPr>
              <w:t>/a</w:t>
            </w:r>
            <w:r>
              <w:rPr>
                <w:rFonts w:hint="eastAsia"/>
                <w:color w:val="auto"/>
                <w:sz w:val="24"/>
                <w:szCs w:val="24"/>
              </w:rPr>
              <w:t>、颗粒物</w:t>
            </w:r>
            <w:r>
              <w:rPr>
                <w:rFonts w:hint="eastAsia"/>
                <w:color w:val="auto"/>
                <w:sz w:val="24"/>
                <w:szCs w:val="24"/>
                <w:lang w:val="en-US" w:eastAsia="zh-CN"/>
              </w:rPr>
              <w:t>年总排放量</w:t>
            </w:r>
            <w:r>
              <w:rPr>
                <w:rFonts w:hint="eastAsia"/>
                <w:color w:val="auto"/>
                <w:sz w:val="24"/>
                <w:szCs w:val="24"/>
              </w:rPr>
              <w:t>0.048t/a。</w:t>
            </w:r>
          </w:p>
          <w:p>
            <w:pPr>
              <w:adjustRightInd w:val="0"/>
              <w:snapToGrid w:val="0"/>
              <w:spacing w:line="360" w:lineRule="auto"/>
              <w:ind w:firstLine="482" w:firstLineChars="200"/>
              <w:rPr>
                <w:b/>
                <w:color w:val="auto"/>
                <w:kern w:val="0"/>
                <w:sz w:val="24"/>
                <w:szCs w:val="24"/>
              </w:rPr>
            </w:pPr>
            <w:r>
              <w:rPr>
                <w:b/>
                <w:color w:val="auto"/>
                <w:kern w:val="0"/>
                <w:sz w:val="24"/>
                <w:szCs w:val="24"/>
              </w:rPr>
              <w:t>2、废水</w:t>
            </w:r>
          </w:p>
          <w:p>
            <w:pPr>
              <w:adjustRightInd w:val="0"/>
              <w:snapToGrid w:val="0"/>
              <w:spacing w:line="360" w:lineRule="auto"/>
              <w:ind w:firstLine="480" w:firstLineChars="200"/>
              <w:rPr>
                <w:snapToGrid w:val="0"/>
                <w:color w:val="auto"/>
                <w:sz w:val="24"/>
                <w:szCs w:val="24"/>
              </w:rPr>
            </w:pPr>
            <w:r>
              <w:rPr>
                <w:rFonts w:hint="eastAsia"/>
                <w:snapToGrid w:val="0"/>
                <w:color w:val="auto"/>
                <w:sz w:val="24"/>
                <w:szCs w:val="24"/>
              </w:rPr>
              <w:t>本项目</w:t>
            </w:r>
            <w:r>
              <w:rPr>
                <w:snapToGrid w:val="0"/>
                <w:color w:val="auto"/>
                <w:sz w:val="24"/>
                <w:szCs w:val="24"/>
              </w:rPr>
              <w:t>生产</w:t>
            </w:r>
            <w:r>
              <w:rPr>
                <w:rFonts w:hint="eastAsia"/>
                <w:snapToGrid w:val="0"/>
                <w:color w:val="auto"/>
                <w:sz w:val="24"/>
                <w:szCs w:val="24"/>
              </w:rPr>
              <w:t>废</w:t>
            </w:r>
            <w:r>
              <w:rPr>
                <w:snapToGrid w:val="0"/>
                <w:color w:val="auto"/>
                <w:sz w:val="24"/>
                <w:szCs w:val="24"/>
              </w:rPr>
              <w:t>水循环使用，不外排。</w:t>
            </w:r>
            <w:r>
              <w:rPr>
                <w:rFonts w:hint="eastAsia"/>
                <w:color w:val="auto"/>
                <w:sz w:val="24"/>
                <w:szCs w:val="24"/>
              </w:rPr>
              <w:t>生活污水依托</w:t>
            </w:r>
            <w:r>
              <w:rPr>
                <w:rFonts w:hint="eastAsia"/>
                <w:color w:val="auto"/>
                <w:sz w:val="24"/>
                <w:szCs w:val="24"/>
                <w:lang w:eastAsia="zh-CN"/>
              </w:rPr>
              <w:t>云南宝塑塑料管业有限公司</w:t>
            </w:r>
            <w:r>
              <w:rPr>
                <w:rFonts w:hint="eastAsia"/>
                <w:color w:val="auto"/>
                <w:sz w:val="24"/>
                <w:szCs w:val="24"/>
              </w:rPr>
              <w:t>的化粪池</w:t>
            </w:r>
            <w:r>
              <w:rPr>
                <w:rFonts w:hint="eastAsia"/>
                <w:color w:val="auto"/>
                <w:sz w:val="24"/>
                <w:szCs w:val="24"/>
                <w:lang w:val="en-US" w:eastAsia="zh-CN"/>
              </w:rPr>
              <w:t>暂存后委托环卫部门处理</w:t>
            </w:r>
            <w:r>
              <w:rPr>
                <w:rFonts w:hint="eastAsia"/>
                <w:color w:val="auto"/>
                <w:sz w:val="24"/>
                <w:szCs w:val="24"/>
              </w:rPr>
              <w:t>。</w:t>
            </w:r>
            <w:r>
              <w:rPr>
                <w:rFonts w:hint="eastAsia"/>
                <w:snapToGrid w:val="0"/>
                <w:color w:val="auto"/>
                <w:sz w:val="24"/>
                <w:szCs w:val="24"/>
              </w:rPr>
              <w:t>项目废水均不外排，因此不设置废水</w:t>
            </w:r>
            <w:r>
              <w:rPr>
                <w:color w:val="auto"/>
                <w:sz w:val="24"/>
                <w:szCs w:val="24"/>
              </w:rPr>
              <w:t>总量控制指标</w:t>
            </w:r>
            <w:r>
              <w:rPr>
                <w:rFonts w:hint="eastAsia"/>
                <w:color w:val="auto"/>
                <w:sz w:val="24"/>
                <w:szCs w:val="24"/>
              </w:rPr>
              <w:t>。</w:t>
            </w:r>
          </w:p>
          <w:p>
            <w:pPr>
              <w:spacing w:line="360" w:lineRule="auto"/>
              <w:ind w:firstLine="482" w:firstLineChars="200"/>
              <w:rPr>
                <w:b/>
                <w:color w:val="auto"/>
                <w:sz w:val="24"/>
                <w:szCs w:val="24"/>
              </w:rPr>
            </w:pPr>
            <w:r>
              <w:rPr>
                <w:b/>
                <w:color w:val="auto"/>
                <w:sz w:val="24"/>
                <w:szCs w:val="24"/>
              </w:rPr>
              <w:t>3、固体废物</w:t>
            </w:r>
          </w:p>
          <w:p>
            <w:pPr>
              <w:adjustRightInd w:val="0"/>
              <w:snapToGrid w:val="0"/>
              <w:spacing w:line="360" w:lineRule="auto"/>
              <w:ind w:firstLine="480" w:firstLineChars="200"/>
              <w:rPr>
                <w:color w:val="auto"/>
                <w:kern w:val="1"/>
                <w:sz w:val="24"/>
                <w:szCs w:val="24"/>
              </w:rPr>
            </w:pPr>
            <w:r>
              <w:rPr>
                <w:color w:val="auto"/>
                <w:sz w:val="24"/>
                <w:szCs w:val="24"/>
              </w:rPr>
              <w:t>固废处置率为100%。</w:t>
            </w: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spacing w:line="360" w:lineRule="auto"/>
              <w:ind w:firstLine="420" w:firstLineChars="200"/>
              <w:rPr>
                <w:color w:val="auto"/>
                <w:szCs w:val="21"/>
              </w:rPr>
            </w:pPr>
          </w:p>
          <w:p>
            <w:pPr>
              <w:spacing w:line="360" w:lineRule="auto"/>
              <w:ind w:firstLine="420" w:firstLineChars="200"/>
              <w:rPr>
                <w:color w:val="auto"/>
                <w:szCs w:val="21"/>
              </w:rPr>
            </w:pPr>
          </w:p>
          <w:p>
            <w:pPr>
              <w:spacing w:line="360" w:lineRule="auto"/>
              <w:ind w:firstLine="420" w:firstLineChars="200"/>
              <w:rPr>
                <w:color w:val="auto"/>
                <w:szCs w:val="21"/>
              </w:rPr>
            </w:pPr>
          </w:p>
          <w:p>
            <w:pPr>
              <w:spacing w:line="360" w:lineRule="auto"/>
              <w:ind w:firstLine="420" w:firstLineChars="200"/>
              <w:rPr>
                <w:color w:val="auto"/>
                <w:szCs w:val="21"/>
              </w:rPr>
            </w:pPr>
          </w:p>
          <w:p>
            <w:pPr>
              <w:spacing w:line="360" w:lineRule="auto"/>
              <w:ind w:firstLine="420" w:firstLineChars="200"/>
              <w:rPr>
                <w:color w:val="auto"/>
                <w:szCs w:val="21"/>
              </w:rPr>
            </w:pPr>
          </w:p>
          <w:p>
            <w:pPr>
              <w:spacing w:line="360" w:lineRule="auto"/>
              <w:ind w:firstLine="420" w:firstLineChars="200"/>
              <w:rPr>
                <w:color w:val="auto"/>
                <w:szCs w:val="21"/>
              </w:rPr>
            </w:pPr>
          </w:p>
          <w:p>
            <w:pPr>
              <w:spacing w:line="360" w:lineRule="auto"/>
              <w:ind w:firstLine="420" w:firstLineChars="200"/>
              <w:rPr>
                <w:color w:val="auto"/>
                <w:szCs w:val="21"/>
              </w:rPr>
            </w:pPr>
          </w:p>
          <w:p>
            <w:pPr>
              <w:spacing w:line="360" w:lineRule="auto"/>
              <w:ind w:firstLine="420" w:firstLineChars="200"/>
              <w:rPr>
                <w:color w:val="auto"/>
                <w:szCs w:val="21"/>
              </w:rPr>
            </w:pPr>
          </w:p>
          <w:p>
            <w:pPr>
              <w:spacing w:line="360" w:lineRule="auto"/>
              <w:ind w:firstLine="420" w:firstLineChars="200"/>
              <w:rPr>
                <w:color w:val="auto"/>
                <w:szCs w:val="21"/>
              </w:rPr>
            </w:pPr>
          </w:p>
        </w:tc>
      </w:tr>
    </w:tbl>
    <w:p>
      <w:pPr>
        <w:pStyle w:val="20"/>
        <w:jc w:val="center"/>
        <w:outlineLvl w:val="0"/>
        <w:rPr>
          <w:rFonts w:ascii="Times New Roman" w:hAnsi="Times New Roman" w:eastAsia="黑体"/>
          <w:snapToGrid w:val="0"/>
          <w:color w:val="auto"/>
          <w:sz w:val="30"/>
          <w:szCs w:val="30"/>
        </w:rPr>
      </w:pPr>
      <w:r>
        <w:rPr>
          <w:rFonts w:ascii="Times New Roman" w:hAnsi="Times New Roman" w:eastAsia="黑体"/>
          <w:snapToGrid w:val="0"/>
          <w:color w:val="auto"/>
          <w:sz w:val="36"/>
          <w:szCs w:val="36"/>
        </w:rPr>
        <w:br w:type="page"/>
      </w:r>
      <w:bookmarkStart w:id="18" w:name="_Toc163725976"/>
      <w:r>
        <w:rPr>
          <w:rFonts w:ascii="Times New Roman" w:hAnsi="Times New Roman" w:eastAsia="黑体"/>
          <w:snapToGrid w:val="0"/>
          <w:color w:val="auto"/>
          <w:sz w:val="30"/>
          <w:szCs w:val="30"/>
        </w:rPr>
        <w:t>四、主要环境影响和保护措施</w:t>
      </w:r>
      <w:bookmarkEnd w:id="18"/>
    </w:p>
    <w:tbl>
      <w:tblPr>
        <w:tblStyle w:val="2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57"/>
        <w:gridCol w:w="826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557" w:type="dxa"/>
            <w:tcMar>
              <w:left w:w="28" w:type="dxa"/>
              <w:right w:w="28" w:type="dxa"/>
            </w:tcMar>
            <w:vAlign w:val="center"/>
          </w:tcPr>
          <w:p>
            <w:pPr>
              <w:pStyle w:val="20"/>
              <w:adjustRightInd w:val="0"/>
              <w:snapToGrid w:val="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施工</w:t>
            </w:r>
          </w:p>
          <w:p>
            <w:pPr>
              <w:pStyle w:val="20"/>
              <w:adjustRightInd w:val="0"/>
              <w:snapToGrid w:val="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期环</w:t>
            </w:r>
          </w:p>
          <w:p>
            <w:pPr>
              <w:pStyle w:val="20"/>
              <w:adjustRightInd w:val="0"/>
              <w:snapToGrid w:val="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境保</w:t>
            </w:r>
          </w:p>
          <w:p>
            <w:pPr>
              <w:pStyle w:val="20"/>
              <w:adjustRightInd w:val="0"/>
              <w:snapToGrid w:val="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护措</w:t>
            </w:r>
          </w:p>
          <w:p>
            <w:pPr>
              <w:pStyle w:val="20"/>
              <w:adjustRightInd w:val="0"/>
              <w:snapToGrid w:val="0"/>
              <w:spacing w:before="0" w:beforeAutospacing="0" w:after="0" w:afterAutospacing="0"/>
              <w:jc w:val="center"/>
              <w:rPr>
                <w:rFonts w:ascii="Times New Roman" w:hAnsi="Times New Roman"/>
                <w:bCs/>
                <w:color w:val="auto"/>
                <w:sz w:val="21"/>
                <w:szCs w:val="21"/>
              </w:rPr>
            </w:pPr>
            <w:r>
              <w:rPr>
                <w:rFonts w:ascii="Times New Roman" w:hAnsi="Times New Roman"/>
                <w:color w:val="auto"/>
                <w:sz w:val="21"/>
                <w:szCs w:val="21"/>
              </w:rPr>
              <w:t>施</w:t>
            </w:r>
          </w:p>
        </w:tc>
        <w:tc>
          <w:tcPr>
            <w:tcW w:w="8268" w:type="dxa"/>
            <w:vAlign w:val="center"/>
          </w:tcPr>
          <w:p>
            <w:pPr>
              <w:adjustRightInd w:val="0"/>
              <w:snapToGrid w:val="0"/>
              <w:spacing w:line="360" w:lineRule="auto"/>
              <w:ind w:firstLine="480" w:firstLineChars="200"/>
              <w:rPr>
                <w:color w:val="auto"/>
                <w:sz w:val="24"/>
                <w:szCs w:val="24"/>
              </w:rPr>
            </w:pPr>
            <w:r>
              <w:rPr>
                <w:color w:val="auto"/>
                <w:sz w:val="24"/>
                <w:szCs w:val="24"/>
              </w:rPr>
              <w:t>项目租用</w:t>
            </w:r>
            <w:r>
              <w:rPr>
                <w:rFonts w:hint="eastAsia"/>
                <w:color w:val="auto"/>
                <w:sz w:val="24"/>
                <w:szCs w:val="24"/>
                <w:lang w:eastAsia="zh-CN"/>
              </w:rPr>
              <w:t>云南宝塑塑料管业有限公司</w:t>
            </w:r>
            <w:r>
              <w:rPr>
                <w:color w:val="auto"/>
                <w:sz w:val="24"/>
                <w:szCs w:val="24"/>
              </w:rPr>
              <w:t>的车间和场地进行生产线建设，后续施工期主要进行设备安装、场地硬化</w:t>
            </w:r>
            <w:r>
              <w:rPr>
                <w:rFonts w:hint="eastAsia"/>
                <w:color w:val="auto"/>
                <w:sz w:val="24"/>
                <w:szCs w:val="24"/>
              </w:rPr>
              <w:t>以及废气处理设施、废水处理设施、防渗工程、固废贮存设施等建设</w:t>
            </w:r>
            <w:r>
              <w:rPr>
                <w:color w:val="auto"/>
                <w:sz w:val="24"/>
                <w:szCs w:val="24"/>
              </w:rPr>
              <w:t>。</w:t>
            </w:r>
            <w:r>
              <w:rPr>
                <w:bCs/>
                <w:color w:val="auto"/>
                <w:sz w:val="24"/>
                <w:szCs w:val="24"/>
              </w:rPr>
              <w:t>施工期工程量较小，</w:t>
            </w:r>
            <w:r>
              <w:rPr>
                <w:color w:val="auto"/>
                <w:sz w:val="24"/>
                <w:szCs w:val="24"/>
              </w:rPr>
              <w:t>施工期主要污染为施工扬尘、机械废气、施工人员废水、施工噪声和生活垃圾、设备废包装物等。</w:t>
            </w:r>
          </w:p>
          <w:p>
            <w:pPr>
              <w:adjustRightInd w:val="0"/>
              <w:snapToGrid w:val="0"/>
              <w:spacing w:line="360" w:lineRule="auto"/>
              <w:ind w:firstLine="482" w:firstLineChars="200"/>
              <w:rPr>
                <w:color w:val="auto"/>
                <w:sz w:val="24"/>
                <w:szCs w:val="24"/>
              </w:rPr>
            </w:pPr>
            <w:r>
              <w:rPr>
                <w:b/>
                <w:bCs/>
                <w:color w:val="auto"/>
                <w:sz w:val="24"/>
                <w:szCs w:val="24"/>
              </w:rPr>
              <w:t>1、施工废气污染防治措施</w:t>
            </w:r>
          </w:p>
          <w:p>
            <w:pPr>
              <w:adjustRightInd w:val="0"/>
              <w:snapToGrid w:val="0"/>
              <w:spacing w:line="360" w:lineRule="auto"/>
              <w:ind w:firstLine="480" w:firstLineChars="200"/>
              <w:rPr>
                <w:rFonts w:hint="eastAsia"/>
                <w:color w:val="auto"/>
                <w:sz w:val="24"/>
                <w:szCs w:val="24"/>
              </w:rPr>
            </w:pPr>
            <w:r>
              <w:rPr>
                <w:rFonts w:hint="eastAsia"/>
                <w:color w:val="auto"/>
                <w:sz w:val="24"/>
                <w:szCs w:val="24"/>
              </w:rPr>
              <w:t>（1）扬尘</w:t>
            </w:r>
          </w:p>
          <w:p>
            <w:pPr>
              <w:adjustRightInd w:val="0"/>
              <w:snapToGrid w:val="0"/>
              <w:spacing w:line="360" w:lineRule="auto"/>
              <w:ind w:firstLine="480" w:firstLineChars="200"/>
              <w:rPr>
                <w:rFonts w:hint="eastAsia"/>
                <w:color w:val="auto"/>
                <w:sz w:val="24"/>
                <w:szCs w:val="24"/>
              </w:rPr>
            </w:pPr>
            <w:r>
              <w:rPr>
                <w:rFonts w:hint="eastAsia"/>
                <w:color w:val="auto"/>
                <w:sz w:val="24"/>
                <w:szCs w:val="24"/>
              </w:rPr>
              <w:t>施工期扬尘主要产生于</w:t>
            </w:r>
            <w:r>
              <w:rPr>
                <w:rFonts w:hint="eastAsia"/>
                <w:color w:val="auto"/>
                <w:sz w:val="24"/>
                <w:szCs w:val="24"/>
                <w:lang w:val="en-US" w:eastAsia="zh-CN"/>
              </w:rPr>
              <w:t>厂区</w:t>
            </w:r>
            <w:r>
              <w:rPr>
                <w:rFonts w:hint="eastAsia"/>
                <w:color w:val="auto"/>
                <w:sz w:val="24"/>
                <w:szCs w:val="24"/>
              </w:rPr>
              <w:t>改造、设备运输、装卸等作业，使空气中总悬浮颗粒物含量增加，根据国内外有关研究资料，施工扬尘起尘量与许多因素有关。起尘量主要包括两类：设备安装以及建筑垃圾清运起尘量，属无组织排放，源强不易确定，主要是通过管理来进行控制，尽量减少扬尘的排放量。施工期产生的扬尘如不采取有效的治理措施，会对周围大气环境带来一定不利影响，环评建议施工单位采取以下大气污染防治措施：</w:t>
            </w:r>
          </w:p>
          <w:p>
            <w:pPr>
              <w:adjustRightInd w:val="0"/>
              <w:snapToGrid w:val="0"/>
              <w:spacing w:line="360" w:lineRule="auto"/>
              <w:ind w:firstLine="480" w:firstLineChars="200"/>
              <w:rPr>
                <w:rFonts w:hint="eastAsia"/>
                <w:color w:val="auto"/>
                <w:sz w:val="24"/>
                <w:szCs w:val="24"/>
              </w:rPr>
            </w:pPr>
            <w:r>
              <w:rPr>
                <w:rFonts w:hint="eastAsia"/>
                <w:color w:val="auto"/>
                <w:sz w:val="24"/>
                <w:szCs w:val="24"/>
              </w:rPr>
              <w:t>①施工期安排专人对施工区进行定期清扫；并定期洒水降尘。</w:t>
            </w:r>
          </w:p>
          <w:p>
            <w:pPr>
              <w:adjustRightInd w:val="0"/>
              <w:snapToGrid w:val="0"/>
              <w:spacing w:line="360" w:lineRule="auto"/>
              <w:ind w:firstLine="480" w:firstLineChars="200"/>
              <w:rPr>
                <w:rFonts w:hint="eastAsia"/>
                <w:color w:val="auto"/>
                <w:sz w:val="24"/>
                <w:szCs w:val="24"/>
              </w:rPr>
            </w:pPr>
            <w:r>
              <w:rPr>
                <w:rFonts w:hint="eastAsia"/>
                <w:color w:val="auto"/>
                <w:sz w:val="24"/>
                <w:szCs w:val="24"/>
              </w:rPr>
              <w:t>②对运输建筑材料及建筑垃圾的车辆加盖篷布减少洒落。临时堆放时必须全部遮盖。</w:t>
            </w:r>
          </w:p>
          <w:p>
            <w:pPr>
              <w:adjustRightInd w:val="0"/>
              <w:snapToGrid w:val="0"/>
              <w:spacing w:line="360" w:lineRule="auto"/>
              <w:ind w:firstLine="480" w:firstLineChars="200"/>
              <w:rPr>
                <w:rFonts w:hint="eastAsia"/>
                <w:color w:val="auto"/>
                <w:sz w:val="24"/>
                <w:szCs w:val="24"/>
              </w:rPr>
            </w:pPr>
            <w:r>
              <w:rPr>
                <w:rFonts w:hint="eastAsia"/>
                <w:color w:val="auto"/>
                <w:sz w:val="24"/>
                <w:szCs w:val="24"/>
              </w:rPr>
              <w:t>③运输车辆密闭运输，减少抛洒，车辆进出项目区时限速行驶。</w:t>
            </w:r>
          </w:p>
          <w:p>
            <w:pPr>
              <w:adjustRightInd w:val="0"/>
              <w:snapToGrid w:val="0"/>
              <w:spacing w:line="360" w:lineRule="auto"/>
              <w:ind w:firstLine="480" w:firstLineChars="200"/>
              <w:rPr>
                <w:rFonts w:hint="eastAsia"/>
                <w:color w:val="auto"/>
                <w:sz w:val="24"/>
                <w:szCs w:val="24"/>
              </w:rPr>
            </w:pPr>
            <w:r>
              <w:rPr>
                <w:rFonts w:hint="eastAsia"/>
                <w:color w:val="auto"/>
                <w:sz w:val="24"/>
                <w:szCs w:val="24"/>
              </w:rPr>
              <w:t>经采取上述措施后，可显著降低施工期扬尘对周围环境的影响。</w:t>
            </w:r>
          </w:p>
          <w:p>
            <w:pPr>
              <w:adjustRightInd w:val="0"/>
              <w:snapToGrid w:val="0"/>
              <w:spacing w:line="360" w:lineRule="auto"/>
              <w:ind w:firstLine="480" w:firstLineChars="200"/>
              <w:rPr>
                <w:rFonts w:hint="eastAsia"/>
                <w:color w:val="auto"/>
                <w:sz w:val="24"/>
                <w:szCs w:val="24"/>
              </w:rPr>
            </w:pPr>
            <w:r>
              <w:rPr>
                <w:rFonts w:hint="eastAsia"/>
                <w:color w:val="auto"/>
                <w:sz w:val="24"/>
                <w:szCs w:val="24"/>
              </w:rPr>
              <w:t>（2）燃油废气、运输车辆尾气</w:t>
            </w:r>
          </w:p>
          <w:p>
            <w:pPr>
              <w:adjustRightInd w:val="0"/>
              <w:snapToGrid w:val="0"/>
              <w:spacing w:line="360" w:lineRule="auto"/>
              <w:ind w:firstLine="480" w:firstLineChars="200"/>
              <w:rPr>
                <w:color w:val="auto"/>
                <w:sz w:val="24"/>
                <w:szCs w:val="24"/>
              </w:rPr>
            </w:pPr>
            <w:r>
              <w:rPr>
                <w:rFonts w:hint="eastAsia"/>
                <w:color w:val="auto"/>
                <w:sz w:val="24"/>
                <w:szCs w:val="24"/>
              </w:rPr>
              <w:t>燃油废气来源于以汽油、柴油作为能源的施工机械、运输车辆，施工期运输车辆会产生汽车尾气，均属于无组织排放，主要污染物为CO、NOx及CHx等。具有流动性、间歇性、产生点相对分散、易被稀释扩散等特点，产生量较小，本环评提出使用符合现行环保要求的机械设备，使用达标燃油，保证燃油废气达标排放，保持车况良好可减小尾气对环境的影响。</w:t>
            </w:r>
          </w:p>
          <w:p>
            <w:pPr>
              <w:adjustRightInd w:val="0"/>
              <w:snapToGrid w:val="0"/>
              <w:spacing w:line="360" w:lineRule="auto"/>
              <w:ind w:firstLine="482" w:firstLineChars="200"/>
              <w:rPr>
                <w:color w:val="auto"/>
                <w:sz w:val="24"/>
                <w:szCs w:val="24"/>
              </w:rPr>
            </w:pPr>
            <w:r>
              <w:rPr>
                <w:b/>
                <w:bCs/>
                <w:color w:val="auto"/>
                <w:sz w:val="24"/>
                <w:szCs w:val="24"/>
              </w:rPr>
              <w:t>2、施工废水污染防治措施</w:t>
            </w:r>
          </w:p>
          <w:p>
            <w:pPr>
              <w:adjustRightInd w:val="0"/>
              <w:snapToGrid w:val="0"/>
              <w:spacing w:line="360" w:lineRule="auto"/>
              <w:ind w:firstLine="480" w:firstLineChars="200"/>
              <w:rPr>
                <w:color w:val="auto"/>
                <w:sz w:val="24"/>
                <w:szCs w:val="24"/>
              </w:rPr>
            </w:pPr>
            <w:r>
              <w:rPr>
                <w:rFonts w:hint="eastAsia"/>
                <w:color w:val="auto"/>
                <w:sz w:val="24"/>
                <w:szCs w:val="24"/>
              </w:rPr>
              <w:t>项目施工期施工人员均为周边村民，不在厂区内食宿，</w:t>
            </w:r>
            <w:r>
              <w:rPr>
                <w:color w:val="auto"/>
                <w:sz w:val="24"/>
                <w:szCs w:val="24"/>
              </w:rPr>
              <w:t>依托使用</w:t>
            </w:r>
            <w:r>
              <w:rPr>
                <w:rFonts w:hint="eastAsia"/>
                <w:color w:val="auto"/>
                <w:sz w:val="24"/>
                <w:szCs w:val="24"/>
                <w:lang w:val="en-US" w:eastAsia="zh-CN"/>
              </w:rPr>
              <w:t>租用厂区</w:t>
            </w:r>
            <w:r>
              <w:rPr>
                <w:rFonts w:hint="eastAsia"/>
                <w:color w:val="auto"/>
                <w:sz w:val="24"/>
                <w:szCs w:val="24"/>
              </w:rPr>
              <w:t>已建设的</w:t>
            </w:r>
            <w:r>
              <w:rPr>
                <w:color w:val="auto"/>
                <w:kern w:val="0"/>
                <w:sz w:val="24"/>
                <w:szCs w:val="24"/>
              </w:rPr>
              <w:t>卫生间，</w:t>
            </w:r>
            <w:r>
              <w:rPr>
                <w:color w:val="auto"/>
                <w:sz w:val="24"/>
                <w:szCs w:val="24"/>
              </w:rPr>
              <w:t>施工日常产生的</w:t>
            </w:r>
            <w:r>
              <w:rPr>
                <w:rFonts w:hint="eastAsia"/>
                <w:color w:val="auto"/>
                <w:sz w:val="24"/>
                <w:szCs w:val="24"/>
              </w:rPr>
              <w:t>人员</w:t>
            </w:r>
            <w:r>
              <w:rPr>
                <w:color w:val="auto"/>
                <w:sz w:val="24"/>
                <w:szCs w:val="24"/>
              </w:rPr>
              <w:t>清洗废水、冲厕废水等</w:t>
            </w:r>
            <w:r>
              <w:rPr>
                <w:rFonts w:hint="eastAsia"/>
                <w:color w:val="auto"/>
                <w:sz w:val="24"/>
                <w:szCs w:val="24"/>
              </w:rPr>
              <w:t>生活污水依托</w:t>
            </w:r>
            <w:r>
              <w:rPr>
                <w:rFonts w:hint="eastAsia"/>
                <w:color w:val="auto"/>
                <w:sz w:val="24"/>
                <w:szCs w:val="24"/>
                <w:lang w:val="en-US" w:eastAsia="zh-CN"/>
              </w:rPr>
              <w:t>已建</w:t>
            </w:r>
            <w:r>
              <w:rPr>
                <w:rFonts w:hint="eastAsia"/>
                <w:color w:val="auto"/>
                <w:sz w:val="24"/>
                <w:szCs w:val="24"/>
              </w:rPr>
              <w:t>化粪池处理站</w:t>
            </w:r>
            <w:r>
              <w:rPr>
                <w:rFonts w:hint="eastAsia"/>
                <w:color w:val="auto"/>
                <w:sz w:val="24"/>
                <w:szCs w:val="24"/>
                <w:lang w:val="en-US" w:eastAsia="zh-CN"/>
              </w:rPr>
              <w:t>委托宜良县汇金环境卫生服务部定期清运、清掏</w:t>
            </w:r>
            <w:r>
              <w:rPr>
                <w:rFonts w:hint="eastAsia"/>
                <w:color w:val="auto"/>
                <w:sz w:val="24"/>
                <w:szCs w:val="24"/>
              </w:rPr>
              <w:t>等。</w:t>
            </w:r>
          </w:p>
          <w:p>
            <w:pPr>
              <w:adjustRightInd w:val="0"/>
              <w:snapToGrid w:val="0"/>
              <w:spacing w:line="360" w:lineRule="auto"/>
              <w:ind w:firstLine="482" w:firstLineChars="200"/>
              <w:rPr>
                <w:b/>
                <w:color w:val="auto"/>
                <w:sz w:val="24"/>
                <w:szCs w:val="24"/>
              </w:rPr>
            </w:pPr>
            <w:r>
              <w:rPr>
                <w:rFonts w:hint="eastAsia"/>
                <w:b/>
                <w:color w:val="auto"/>
                <w:sz w:val="24"/>
                <w:szCs w:val="24"/>
              </w:rPr>
              <w:t>3、施工噪声</w:t>
            </w:r>
            <w:r>
              <w:rPr>
                <w:b/>
                <w:bCs/>
                <w:color w:val="auto"/>
                <w:sz w:val="24"/>
                <w:szCs w:val="24"/>
              </w:rPr>
              <w:t>污染防治措施</w:t>
            </w:r>
          </w:p>
          <w:p>
            <w:pPr>
              <w:adjustRightInd w:val="0"/>
              <w:snapToGrid w:val="0"/>
              <w:spacing w:line="360" w:lineRule="auto"/>
              <w:ind w:firstLine="480" w:firstLineChars="200"/>
              <w:rPr>
                <w:color w:val="auto"/>
                <w:sz w:val="24"/>
                <w:szCs w:val="24"/>
              </w:rPr>
            </w:pPr>
            <w:r>
              <w:rPr>
                <w:color w:val="auto"/>
                <w:sz w:val="24"/>
                <w:szCs w:val="24"/>
              </w:rPr>
              <w:t>施工期不使用大型施工设备，施工工期短，经采取低噪声设备、</w:t>
            </w:r>
            <w:r>
              <w:rPr>
                <w:rFonts w:hint="eastAsia"/>
                <w:color w:val="auto"/>
                <w:sz w:val="24"/>
                <w:szCs w:val="24"/>
              </w:rPr>
              <w:t>厂房隔声</w:t>
            </w:r>
            <w:r>
              <w:rPr>
                <w:color w:val="auto"/>
                <w:sz w:val="24"/>
                <w:szCs w:val="24"/>
              </w:rPr>
              <w:t>，并避开</w:t>
            </w:r>
            <w:r>
              <w:rPr>
                <w:bCs/>
                <w:color w:val="auto"/>
                <w:sz w:val="24"/>
                <w:szCs w:val="24"/>
              </w:rPr>
              <w:t>中午（12:00～14:00）和夜间（22:00～次日6:00）时间段施工等措施后，施工噪声对周边影响较小</w:t>
            </w:r>
            <w:r>
              <w:rPr>
                <w:color w:val="auto"/>
                <w:sz w:val="24"/>
                <w:szCs w:val="24"/>
              </w:rPr>
              <w:t>。</w:t>
            </w:r>
          </w:p>
          <w:p>
            <w:pPr>
              <w:adjustRightInd w:val="0"/>
              <w:snapToGrid w:val="0"/>
              <w:spacing w:line="360" w:lineRule="auto"/>
              <w:ind w:firstLine="482" w:firstLineChars="200"/>
              <w:rPr>
                <w:b/>
                <w:color w:val="auto"/>
                <w:sz w:val="24"/>
                <w:szCs w:val="24"/>
              </w:rPr>
            </w:pPr>
            <w:r>
              <w:rPr>
                <w:rFonts w:hint="eastAsia"/>
                <w:b/>
                <w:color w:val="auto"/>
                <w:sz w:val="24"/>
                <w:szCs w:val="24"/>
              </w:rPr>
              <w:t>4、施工固废</w:t>
            </w:r>
            <w:r>
              <w:rPr>
                <w:b/>
                <w:bCs/>
                <w:color w:val="auto"/>
                <w:sz w:val="24"/>
                <w:szCs w:val="24"/>
              </w:rPr>
              <w:t>污染防治措施</w:t>
            </w:r>
          </w:p>
          <w:p>
            <w:pPr>
              <w:adjustRightInd w:val="0"/>
              <w:snapToGrid w:val="0"/>
              <w:spacing w:line="360" w:lineRule="auto"/>
              <w:ind w:firstLine="480" w:firstLineChars="200"/>
              <w:rPr>
                <w:bCs/>
                <w:color w:val="auto"/>
                <w:szCs w:val="21"/>
              </w:rPr>
            </w:pPr>
            <w:r>
              <w:rPr>
                <w:rFonts w:hint="eastAsia"/>
                <w:bCs/>
                <w:color w:val="auto"/>
                <w:sz w:val="24"/>
                <w:szCs w:val="24"/>
              </w:rPr>
              <w:t>项目</w:t>
            </w:r>
            <w:r>
              <w:rPr>
                <w:bCs/>
                <w:color w:val="auto"/>
                <w:sz w:val="24"/>
                <w:szCs w:val="24"/>
              </w:rPr>
              <w:t>施工期基础开挖工程量不大，无废弃土石方产生。</w:t>
            </w:r>
            <w:r>
              <w:rPr>
                <w:rFonts w:hint="eastAsia"/>
                <w:bCs/>
                <w:color w:val="auto"/>
                <w:sz w:val="24"/>
                <w:szCs w:val="24"/>
              </w:rPr>
              <w:t>项目仅租用厂房进行</w:t>
            </w:r>
            <w:r>
              <w:rPr>
                <w:rFonts w:hint="eastAsia"/>
                <w:bCs/>
                <w:color w:val="auto"/>
                <w:sz w:val="24"/>
                <w:szCs w:val="24"/>
                <w:lang w:val="en-US" w:eastAsia="zh-CN"/>
              </w:rPr>
              <w:t>装修改造、</w:t>
            </w:r>
            <w:r>
              <w:rPr>
                <w:rFonts w:hint="eastAsia"/>
                <w:bCs/>
                <w:color w:val="auto"/>
                <w:sz w:val="24"/>
                <w:szCs w:val="24"/>
              </w:rPr>
              <w:t>生产设备安装</w:t>
            </w:r>
            <w:r>
              <w:rPr>
                <w:rFonts w:hint="eastAsia"/>
                <w:bCs/>
                <w:color w:val="auto"/>
                <w:sz w:val="24"/>
                <w:szCs w:val="24"/>
                <w:lang w:eastAsia="zh-CN"/>
              </w:rPr>
              <w:t>、</w:t>
            </w:r>
            <w:r>
              <w:rPr>
                <w:color w:val="auto"/>
                <w:sz w:val="24"/>
                <w:szCs w:val="24"/>
              </w:rPr>
              <w:t>场地硬化</w:t>
            </w:r>
            <w:r>
              <w:rPr>
                <w:rFonts w:hint="eastAsia"/>
                <w:color w:val="auto"/>
                <w:sz w:val="24"/>
                <w:szCs w:val="24"/>
              </w:rPr>
              <w:t>建设等</w:t>
            </w:r>
            <w:r>
              <w:rPr>
                <w:rFonts w:hint="eastAsia"/>
                <w:bCs/>
                <w:color w:val="auto"/>
                <w:sz w:val="24"/>
                <w:szCs w:val="24"/>
              </w:rPr>
              <w:t>，施工期不进行建筑物等主体工程建设，建筑垃圾产生量较少，通过分类集中堆存、回收利用，可资源化利用的废物应予以回收利用，不能回收利用的建筑垃圾运至合法的建筑垃圾处置场处理，不得随意倾倒、抛撒或者堆放建筑垃圾。</w:t>
            </w:r>
            <w:r>
              <w:rPr>
                <w:color w:val="auto"/>
                <w:sz w:val="24"/>
                <w:szCs w:val="24"/>
              </w:rPr>
              <w:t>设备安装产生的废包装物收集后外售废品回收商；生活垃圾收集于垃圾桶内，委托环卫部门清运处置。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10" w:hRule="atLeast"/>
          <w:jc w:val="center"/>
        </w:trPr>
        <w:tc>
          <w:tcPr>
            <w:tcW w:w="557" w:type="dxa"/>
            <w:tcMar>
              <w:left w:w="28" w:type="dxa"/>
              <w:right w:w="28" w:type="dxa"/>
            </w:tcMar>
            <w:vAlign w:val="center"/>
          </w:tcPr>
          <w:p>
            <w:pPr>
              <w:adjustRightInd w:val="0"/>
              <w:snapToGrid w:val="0"/>
              <w:jc w:val="center"/>
              <w:rPr>
                <w:bCs/>
                <w:color w:val="auto"/>
                <w:szCs w:val="21"/>
              </w:rPr>
            </w:pPr>
            <w:r>
              <w:rPr>
                <w:bCs/>
                <w:color w:val="auto"/>
                <w:szCs w:val="21"/>
              </w:rPr>
              <w:t>运营</w:t>
            </w:r>
          </w:p>
          <w:p>
            <w:pPr>
              <w:adjustRightInd w:val="0"/>
              <w:snapToGrid w:val="0"/>
              <w:jc w:val="center"/>
              <w:rPr>
                <w:bCs/>
                <w:color w:val="auto"/>
                <w:szCs w:val="21"/>
              </w:rPr>
            </w:pPr>
            <w:r>
              <w:rPr>
                <w:bCs/>
                <w:color w:val="auto"/>
                <w:szCs w:val="21"/>
              </w:rPr>
              <w:t>期环</w:t>
            </w:r>
          </w:p>
          <w:p>
            <w:pPr>
              <w:adjustRightInd w:val="0"/>
              <w:snapToGrid w:val="0"/>
              <w:jc w:val="center"/>
              <w:rPr>
                <w:bCs/>
                <w:color w:val="auto"/>
                <w:szCs w:val="21"/>
              </w:rPr>
            </w:pPr>
            <w:r>
              <w:rPr>
                <w:bCs/>
                <w:color w:val="auto"/>
                <w:szCs w:val="21"/>
              </w:rPr>
              <w:t>境影</w:t>
            </w:r>
          </w:p>
          <w:p>
            <w:pPr>
              <w:adjustRightInd w:val="0"/>
              <w:snapToGrid w:val="0"/>
              <w:jc w:val="center"/>
              <w:rPr>
                <w:bCs/>
                <w:color w:val="auto"/>
                <w:szCs w:val="21"/>
              </w:rPr>
            </w:pPr>
            <w:r>
              <w:rPr>
                <w:bCs/>
                <w:color w:val="auto"/>
                <w:szCs w:val="21"/>
              </w:rPr>
              <w:t>响和</w:t>
            </w:r>
          </w:p>
          <w:p>
            <w:pPr>
              <w:adjustRightInd w:val="0"/>
              <w:snapToGrid w:val="0"/>
              <w:jc w:val="center"/>
              <w:rPr>
                <w:bCs/>
                <w:color w:val="auto"/>
                <w:szCs w:val="21"/>
              </w:rPr>
            </w:pPr>
            <w:r>
              <w:rPr>
                <w:bCs/>
                <w:color w:val="auto"/>
                <w:szCs w:val="21"/>
              </w:rPr>
              <w:t>保护</w:t>
            </w:r>
          </w:p>
          <w:p>
            <w:pPr>
              <w:adjustRightInd w:val="0"/>
              <w:snapToGrid w:val="0"/>
              <w:jc w:val="center"/>
              <w:rPr>
                <w:bCs/>
                <w:color w:val="auto"/>
                <w:szCs w:val="21"/>
              </w:rPr>
            </w:pPr>
            <w:r>
              <w:rPr>
                <w:bCs/>
                <w:color w:val="auto"/>
                <w:szCs w:val="21"/>
              </w:rPr>
              <w:t>措施</w:t>
            </w:r>
          </w:p>
        </w:tc>
        <w:tc>
          <w:tcPr>
            <w:tcW w:w="8268" w:type="dxa"/>
            <w:vAlign w:val="center"/>
          </w:tcPr>
          <w:p>
            <w:pPr>
              <w:autoSpaceDE w:val="0"/>
              <w:autoSpaceDN w:val="0"/>
              <w:adjustRightInd w:val="0"/>
              <w:snapToGrid w:val="0"/>
              <w:spacing w:line="360" w:lineRule="auto"/>
              <w:ind w:firstLine="482" w:firstLineChars="200"/>
              <w:rPr>
                <w:b/>
                <w:bCs/>
                <w:color w:val="auto"/>
                <w:sz w:val="24"/>
                <w:szCs w:val="24"/>
              </w:rPr>
            </w:pPr>
            <w:r>
              <w:rPr>
                <w:b/>
                <w:bCs/>
                <w:color w:val="auto"/>
                <w:sz w:val="24"/>
                <w:szCs w:val="24"/>
              </w:rPr>
              <w:t>1、废气</w:t>
            </w:r>
          </w:p>
          <w:p>
            <w:pPr>
              <w:pStyle w:val="20"/>
              <w:spacing w:before="0" w:beforeAutospacing="0" w:after="0" w:afterAutospacing="0" w:line="360" w:lineRule="auto"/>
              <w:ind w:firstLine="480" w:firstLineChars="200"/>
              <w:jc w:val="both"/>
              <w:rPr>
                <w:rFonts w:hint="eastAsia"/>
                <w:bCs/>
                <w:color w:val="auto"/>
                <w:sz w:val="24"/>
                <w:szCs w:val="24"/>
              </w:rPr>
            </w:pPr>
            <w:r>
              <w:rPr>
                <w:rFonts w:ascii="Times New Roman" w:hAnsi="Times New Roman"/>
                <w:bCs/>
                <w:color w:val="auto"/>
                <w:sz w:val="24"/>
                <w:szCs w:val="24"/>
              </w:rPr>
              <w:t>本项目产生废气的环节主要为：</w:t>
            </w:r>
            <w:r>
              <w:rPr>
                <w:rFonts w:hint="eastAsia" w:ascii="Times New Roman" w:hAnsi="Times New Roman"/>
                <w:color w:val="auto"/>
                <w:sz w:val="24"/>
                <w:szCs w:val="24"/>
              </w:rPr>
              <w:t>熔融</w:t>
            </w:r>
            <w:r>
              <w:rPr>
                <w:rFonts w:hint="eastAsia" w:ascii="Times New Roman" w:hAnsi="Times New Roman"/>
                <w:bCs/>
                <w:color w:val="auto"/>
                <w:sz w:val="24"/>
                <w:szCs w:val="24"/>
              </w:rPr>
              <w:t>造粒工序产生的</w:t>
            </w:r>
            <w:r>
              <w:rPr>
                <w:rFonts w:hint="eastAsia"/>
                <w:bCs/>
                <w:color w:val="auto"/>
                <w:sz w:val="24"/>
                <w:szCs w:val="24"/>
              </w:rPr>
              <w:t>挥发性</w:t>
            </w:r>
            <w:r>
              <w:rPr>
                <w:bCs/>
                <w:color w:val="auto"/>
                <w:sz w:val="24"/>
                <w:szCs w:val="24"/>
              </w:rPr>
              <w:t>有机废气（</w:t>
            </w:r>
            <w:r>
              <w:rPr>
                <w:rFonts w:hint="eastAsia"/>
                <w:bCs/>
                <w:color w:val="auto"/>
                <w:sz w:val="24"/>
                <w:szCs w:val="24"/>
              </w:rPr>
              <w:t>以</w:t>
            </w:r>
            <w:r>
              <w:rPr>
                <w:bCs/>
                <w:color w:val="auto"/>
                <w:sz w:val="24"/>
                <w:szCs w:val="24"/>
              </w:rPr>
              <w:t>非甲烷总烃</w:t>
            </w:r>
            <w:r>
              <w:rPr>
                <w:rFonts w:hint="eastAsia"/>
                <w:bCs/>
                <w:color w:val="auto"/>
                <w:sz w:val="24"/>
                <w:szCs w:val="24"/>
              </w:rPr>
              <w:t>计</w:t>
            </w:r>
            <w:r>
              <w:rPr>
                <w:bCs/>
                <w:color w:val="auto"/>
                <w:sz w:val="24"/>
                <w:szCs w:val="24"/>
              </w:rPr>
              <w:t>）</w:t>
            </w:r>
            <w:r>
              <w:rPr>
                <w:rFonts w:hint="eastAsia"/>
                <w:bCs/>
                <w:color w:val="auto"/>
                <w:sz w:val="24"/>
                <w:szCs w:val="24"/>
              </w:rPr>
              <w:t>、颗粒物、臭气浓度，以及原料堆放恶臭、污水处理设施异味。</w:t>
            </w:r>
          </w:p>
          <w:p>
            <w:pPr>
              <w:pStyle w:val="20"/>
              <w:spacing w:before="0" w:beforeAutospacing="0" w:after="0" w:afterAutospacing="0" w:line="360" w:lineRule="auto"/>
              <w:ind w:firstLine="480" w:firstLineChars="200"/>
              <w:jc w:val="both"/>
              <w:rPr>
                <w:rFonts w:hint="eastAsia"/>
                <w:color w:val="auto"/>
                <w:sz w:val="24"/>
                <w:szCs w:val="24"/>
              </w:rPr>
            </w:pPr>
            <w:r>
              <w:rPr>
                <w:rFonts w:hint="eastAsia"/>
                <w:bCs/>
                <w:color w:val="auto"/>
                <w:sz w:val="24"/>
                <w:szCs w:val="24"/>
              </w:rPr>
              <w:t>由于原料含水率较高，且生产工艺过程需补充水，在筛选、</w:t>
            </w:r>
            <w:r>
              <w:rPr>
                <w:rFonts w:hint="eastAsia"/>
                <w:color w:val="auto"/>
                <w:sz w:val="24"/>
                <w:szCs w:val="24"/>
              </w:rPr>
              <w:t>挤压、输送</w:t>
            </w:r>
            <w:r>
              <w:rPr>
                <w:rFonts w:hint="eastAsia"/>
                <w:bCs/>
                <w:color w:val="auto"/>
                <w:sz w:val="24"/>
                <w:szCs w:val="24"/>
              </w:rPr>
              <w:t>等预处理过</w:t>
            </w:r>
            <w:r>
              <w:rPr>
                <w:rFonts w:hint="eastAsia"/>
                <w:bCs/>
                <w:color w:val="auto"/>
                <w:sz w:val="24"/>
                <w:szCs w:val="24"/>
                <w:lang w:eastAsia="zh-CN"/>
              </w:rPr>
              <w:t>程中</w:t>
            </w:r>
            <w:r>
              <w:rPr>
                <w:rFonts w:hint="eastAsia"/>
                <w:bCs/>
                <w:color w:val="auto"/>
                <w:sz w:val="24"/>
                <w:szCs w:val="24"/>
              </w:rPr>
              <w:t>基本无粉尘产生，对环境影响较小，可忽略不计。项目挤压造粒工序后的塑料送入挤压造粒机，经过不断地压缩和捻搓，形成条状物，经自然冷却后进行切粒，该过程不加热，无挥发性有机废气产生。</w:t>
            </w:r>
            <w:r>
              <w:rPr>
                <w:rFonts w:hint="eastAsia" w:ascii="Times New Roman" w:hAnsi="Times New Roman"/>
                <w:bCs/>
                <w:color w:val="auto"/>
                <w:sz w:val="24"/>
                <w:szCs w:val="24"/>
              </w:rPr>
              <w:t>项目不设置食堂，无</w:t>
            </w:r>
            <w:r>
              <w:rPr>
                <w:rFonts w:hint="eastAsia"/>
                <w:bCs/>
                <w:color w:val="auto"/>
                <w:sz w:val="24"/>
                <w:szCs w:val="24"/>
              </w:rPr>
              <w:t>食堂油烟废气产生。</w:t>
            </w:r>
          </w:p>
          <w:p>
            <w:pPr>
              <w:pStyle w:val="20"/>
              <w:widowControl w:val="0"/>
              <w:spacing w:before="0" w:beforeAutospacing="0" w:after="0" w:afterAutospacing="0" w:line="360" w:lineRule="auto"/>
              <w:ind w:firstLine="482" w:firstLineChars="200"/>
              <w:jc w:val="both"/>
              <w:rPr>
                <w:rFonts w:ascii="Times New Roman" w:hAnsi="Times New Roman"/>
                <w:b/>
                <w:bCs/>
                <w:color w:val="auto"/>
                <w:sz w:val="24"/>
                <w:szCs w:val="24"/>
              </w:rPr>
            </w:pPr>
            <w:r>
              <w:rPr>
                <w:rFonts w:ascii="Times New Roman" w:hAnsi="Times New Roman"/>
                <w:b/>
                <w:bCs/>
                <w:color w:val="auto"/>
                <w:sz w:val="24"/>
                <w:szCs w:val="24"/>
              </w:rPr>
              <w:t>（1）</w:t>
            </w:r>
            <w:r>
              <w:rPr>
                <w:rFonts w:ascii="Times New Roman" w:hAnsi="Times New Roman"/>
                <w:b/>
                <w:color w:val="auto"/>
                <w:sz w:val="24"/>
                <w:szCs w:val="24"/>
              </w:rPr>
              <w:t>污染源强</w:t>
            </w:r>
            <w:r>
              <w:rPr>
                <w:rFonts w:ascii="Times New Roman" w:hAnsi="Times New Roman"/>
                <w:b/>
                <w:color w:val="auto"/>
                <w:kern w:val="1"/>
                <w:sz w:val="24"/>
                <w:szCs w:val="24"/>
              </w:rPr>
              <w:t>核算及治理措施</w:t>
            </w:r>
          </w:p>
          <w:p>
            <w:pPr>
              <w:pStyle w:val="20"/>
              <w:spacing w:before="0" w:beforeAutospacing="0" w:after="0" w:afterAutospacing="0" w:line="360" w:lineRule="auto"/>
              <w:ind w:firstLine="482" w:firstLineChars="200"/>
              <w:jc w:val="both"/>
              <w:rPr>
                <w:rFonts w:ascii="Times New Roman" w:hAnsi="Times New Roman"/>
                <w:b/>
                <w:bCs/>
                <w:color w:val="auto"/>
                <w:sz w:val="24"/>
                <w:szCs w:val="24"/>
              </w:rPr>
            </w:pPr>
            <w:r>
              <w:rPr>
                <w:rFonts w:hint="eastAsia" w:ascii="Times New Roman" w:hAnsi="Times New Roman"/>
                <w:b/>
                <w:bCs/>
                <w:color w:val="auto"/>
                <w:sz w:val="24"/>
                <w:szCs w:val="24"/>
              </w:rPr>
              <w:t>1）熔融造粒废气</w:t>
            </w:r>
          </w:p>
          <w:p>
            <w:pPr>
              <w:pStyle w:val="20"/>
              <w:spacing w:before="0" w:beforeAutospacing="0" w:after="0" w:afterAutospacing="0" w:line="360" w:lineRule="auto"/>
              <w:ind w:firstLine="480" w:firstLineChars="200"/>
              <w:jc w:val="both"/>
              <w:rPr>
                <w:rFonts w:ascii="Times New Roman" w:hAnsi="Times New Roman"/>
                <w:color w:val="auto"/>
                <w:sz w:val="24"/>
                <w:szCs w:val="24"/>
              </w:rPr>
            </w:pPr>
            <w:r>
              <w:rPr>
                <w:rFonts w:hint="eastAsia" w:ascii="Times New Roman" w:hAnsi="Times New Roman"/>
                <w:color w:val="auto"/>
                <w:sz w:val="24"/>
                <w:szCs w:val="24"/>
              </w:rPr>
              <w:t>项目设置造粒机对废塑料进行熔融造粒，用于造粒的塑料成分为PE、PP，该过程会产生造粒废气，污染物主要为</w:t>
            </w:r>
            <w:r>
              <w:rPr>
                <w:rFonts w:hint="eastAsia"/>
                <w:color w:val="auto"/>
                <w:sz w:val="24"/>
                <w:szCs w:val="24"/>
              </w:rPr>
              <w:t>挥发性</w:t>
            </w:r>
            <w:r>
              <w:rPr>
                <w:color w:val="auto"/>
                <w:sz w:val="24"/>
                <w:szCs w:val="24"/>
              </w:rPr>
              <w:t>有机</w:t>
            </w:r>
            <w:r>
              <w:rPr>
                <w:rFonts w:hint="eastAsia"/>
                <w:color w:val="auto"/>
                <w:sz w:val="24"/>
                <w:szCs w:val="24"/>
              </w:rPr>
              <w:t>物</w:t>
            </w:r>
            <w:r>
              <w:rPr>
                <w:color w:val="auto"/>
                <w:sz w:val="24"/>
                <w:szCs w:val="24"/>
              </w:rPr>
              <w:t>（</w:t>
            </w:r>
            <w:r>
              <w:rPr>
                <w:rFonts w:hint="eastAsia"/>
                <w:color w:val="auto"/>
                <w:sz w:val="24"/>
                <w:szCs w:val="24"/>
              </w:rPr>
              <w:t>以</w:t>
            </w:r>
            <w:r>
              <w:rPr>
                <w:color w:val="auto"/>
                <w:sz w:val="24"/>
                <w:szCs w:val="24"/>
              </w:rPr>
              <w:t>非甲烷总烃</w:t>
            </w:r>
            <w:r>
              <w:rPr>
                <w:rFonts w:hint="eastAsia"/>
                <w:color w:val="auto"/>
                <w:sz w:val="24"/>
                <w:szCs w:val="24"/>
              </w:rPr>
              <w:t>计</w:t>
            </w:r>
            <w:r>
              <w:rPr>
                <w:color w:val="auto"/>
                <w:sz w:val="24"/>
                <w:szCs w:val="24"/>
              </w:rPr>
              <w:t>）</w:t>
            </w:r>
            <w:r>
              <w:rPr>
                <w:rFonts w:hint="eastAsia"/>
                <w:color w:val="auto"/>
                <w:sz w:val="24"/>
                <w:szCs w:val="24"/>
              </w:rPr>
              <w:t>、颗粒物、臭气浓度。</w:t>
            </w:r>
          </w:p>
          <w:p>
            <w:pPr>
              <w:pStyle w:val="20"/>
              <w:spacing w:before="0" w:beforeAutospacing="0" w:after="0" w:afterAutospacing="0" w:line="360" w:lineRule="auto"/>
              <w:ind w:firstLine="480" w:firstLineChars="200"/>
              <w:jc w:val="both"/>
              <w:rPr>
                <w:rFonts w:ascii="Times New Roman" w:hAnsi="Times New Roman"/>
                <w:color w:val="auto"/>
                <w:sz w:val="24"/>
                <w:szCs w:val="24"/>
              </w:rPr>
            </w:pPr>
            <w:r>
              <w:rPr>
                <w:rFonts w:hint="eastAsia"/>
                <w:color w:val="auto"/>
                <w:sz w:val="24"/>
                <w:szCs w:val="24"/>
              </w:rPr>
              <w:t>①挥发性</w:t>
            </w:r>
            <w:r>
              <w:rPr>
                <w:color w:val="auto"/>
                <w:sz w:val="24"/>
                <w:szCs w:val="24"/>
              </w:rPr>
              <w:t>有机</w:t>
            </w:r>
            <w:r>
              <w:rPr>
                <w:rFonts w:hint="eastAsia"/>
                <w:color w:val="auto"/>
                <w:sz w:val="24"/>
                <w:szCs w:val="24"/>
              </w:rPr>
              <w:t>物</w:t>
            </w:r>
            <w:r>
              <w:rPr>
                <w:color w:val="auto"/>
                <w:sz w:val="24"/>
                <w:szCs w:val="24"/>
              </w:rPr>
              <w:t>（非甲烷总烃）</w:t>
            </w:r>
          </w:p>
          <w:p>
            <w:pPr>
              <w:pStyle w:val="20"/>
              <w:spacing w:before="0" w:beforeAutospacing="0" w:after="0" w:afterAutospacing="0" w:line="360" w:lineRule="auto"/>
              <w:ind w:firstLine="480" w:firstLineChars="200"/>
              <w:jc w:val="both"/>
              <w:rPr>
                <w:rFonts w:ascii="Times New Roman" w:hAnsi="Times New Roman"/>
                <w:bCs/>
                <w:color w:val="auto"/>
                <w:sz w:val="24"/>
                <w:szCs w:val="24"/>
              </w:rPr>
            </w:pPr>
            <w:r>
              <w:rPr>
                <w:rFonts w:hint="eastAsia" w:ascii="Times New Roman" w:hAnsi="Times New Roman"/>
                <w:bCs/>
                <w:color w:val="auto"/>
                <w:sz w:val="24"/>
                <w:szCs w:val="24"/>
              </w:rPr>
              <w:t>废塑料熔融挤出造粒过程产生的有机废气参考</w:t>
            </w:r>
            <w:r>
              <w:rPr>
                <w:rFonts w:ascii="Times New Roman" w:hAnsi="Times New Roman"/>
                <w:bCs/>
                <w:color w:val="auto"/>
                <w:sz w:val="24"/>
                <w:szCs w:val="24"/>
              </w:rPr>
              <w:t>《排放源统计调查产排污核算方法和系数手册》</w:t>
            </w:r>
            <w:r>
              <w:rPr>
                <w:rFonts w:hint="eastAsia" w:ascii="Times New Roman" w:hAnsi="Times New Roman"/>
                <w:bCs/>
                <w:color w:val="auto"/>
                <w:sz w:val="24"/>
                <w:szCs w:val="24"/>
              </w:rPr>
              <w:t>（</w:t>
            </w:r>
            <w:r>
              <w:rPr>
                <w:rFonts w:ascii="Times New Roman" w:hAnsi="Times New Roman"/>
                <w:bCs/>
                <w:color w:val="auto"/>
                <w:sz w:val="24"/>
                <w:szCs w:val="24"/>
              </w:rPr>
              <w:t>公告2021年第24号</w:t>
            </w:r>
            <w:r>
              <w:rPr>
                <w:rFonts w:hint="eastAsia" w:ascii="Times New Roman" w:hAnsi="Times New Roman"/>
                <w:bCs/>
                <w:color w:val="auto"/>
                <w:sz w:val="24"/>
                <w:szCs w:val="24"/>
              </w:rPr>
              <w:t>）</w:t>
            </w:r>
            <w:r>
              <w:rPr>
                <w:rFonts w:ascii="Times New Roman" w:hAnsi="Times New Roman"/>
                <w:bCs/>
                <w:color w:val="auto"/>
                <w:sz w:val="24"/>
                <w:szCs w:val="24"/>
              </w:rPr>
              <w:t>中的</w:t>
            </w:r>
            <w:r>
              <w:rPr>
                <w:rFonts w:hint="eastAsia" w:ascii="Times New Roman" w:hAnsi="Times New Roman"/>
                <w:bCs/>
                <w:color w:val="auto"/>
                <w:sz w:val="24"/>
                <w:szCs w:val="24"/>
              </w:rPr>
              <w:t>“</w:t>
            </w:r>
            <w:r>
              <w:rPr>
                <w:rFonts w:hint="eastAsia" w:ascii="Times New Roman" w:hAnsi="Times New Roman"/>
                <w:color w:val="auto"/>
                <w:sz w:val="24"/>
                <w:szCs w:val="24"/>
              </w:rPr>
              <w:t>42废弃资源综合利用行业系数手册-4220非金属废料和碎屑加工处理行业系数表</w:t>
            </w:r>
            <w:r>
              <w:rPr>
                <w:rFonts w:hint="eastAsia" w:ascii="Times New Roman" w:hAnsi="Times New Roman"/>
                <w:bCs/>
                <w:color w:val="auto"/>
                <w:sz w:val="24"/>
                <w:szCs w:val="24"/>
              </w:rPr>
              <w:t>”，塑料熔融造粒</w:t>
            </w:r>
            <w:r>
              <w:rPr>
                <w:rFonts w:hint="eastAsia" w:ascii="Times New Roman" w:hAnsi="Times New Roman"/>
                <w:color w:val="auto"/>
                <w:sz w:val="24"/>
                <w:szCs w:val="24"/>
              </w:rPr>
              <w:t>工序挥发性</w:t>
            </w:r>
            <w:r>
              <w:rPr>
                <w:rFonts w:ascii="Times New Roman" w:hAnsi="Times New Roman"/>
                <w:color w:val="auto"/>
                <w:sz w:val="24"/>
                <w:szCs w:val="24"/>
              </w:rPr>
              <w:t>有机废气</w:t>
            </w:r>
            <w:r>
              <w:rPr>
                <w:rFonts w:ascii="Times New Roman" w:hAnsi="Times New Roman"/>
                <w:bCs/>
                <w:color w:val="auto"/>
                <w:sz w:val="24"/>
                <w:szCs w:val="24"/>
              </w:rPr>
              <w:t>的产污系数如下：</w:t>
            </w:r>
          </w:p>
          <w:p>
            <w:pPr>
              <w:pStyle w:val="20"/>
              <w:spacing w:before="0" w:beforeAutospacing="0" w:after="0" w:afterAutospacing="0" w:line="276" w:lineRule="auto"/>
              <w:jc w:val="center"/>
              <w:rPr>
                <w:rFonts w:ascii="Times New Roman" w:hAnsi="Times New Roman"/>
                <w:b/>
                <w:bCs/>
                <w:color w:val="auto"/>
                <w:sz w:val="24"/>
                <w:szCs w:val="24"/>
              </w:rPr>
            </w:pPr>
            <w:r>
              <w:rPr>
                <w:rFonts w:ascii="Times New Roman" w:hAnsi="Times New Roman"/>
                <w:b/>
                <w:bCs/>
                <w:color w:val="auto"/>
                <w:sz w:val="24"/>
                <w:szCs w:val="24"/>
              </w:rPr>
              <w:t>表4-1  项目</w:t>
            </w:r>
            <w:r>
              <w:rPr>
                <w:rFonts w:hint="eastAsia" w:ascii="Times New Roman" w:hAnsi="Times New Roman"/>
                <w:b/>
                <w:color w:val="auto"/>
                <w:sz w:val="24"/>
                <w:szCs w:val="24"/>
              </w:rPr>
              <w:t>挥发性</w:t>
            </w:r>
            <w:r>
              <w:rPr>
                <w:rFonts w:ascii="Times New Roman" w:hAnsi="Times New Roman"/>
                <w:b/>
                <w:color w:val="auto"/>
                <w:sz w:val="24"/>
                <w:szCs w:val="24"/>
              </w:rPr>
              <w:t>有机废气</w:t>
            </w:r>
            <w:r>
              <w:rPr>
                <w:rFonts w:ascii="Times New Roman" w:hAnsi="Times New Roman"/>
                <w:b/>
                <w:bCs/>
                <w:color w:val="auto"/>
                <w:sz w:val="24"/>
                <w:szCs w:val="24"/>
              </w:rPr>
              <w:t>产污系数表</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2"/>
              <w:gridCol w:w="753"/>
              <w:gridCol w:w="689"/>
              <w:gridCol w:w="1346"/>
              <w:gridCol w:w="1902"/>
              <w:gridCol w:w="993"/>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62" w:type="dxa"/>
                  <w:vAlign w:val="center"/>
                </w:tcPr>
                <w:p>
                  <w:pPr>
                    <w:pStyle w:val="20"/>
                    <w:spacing w:before="0" w:beforeAutospacing="0" w:after="0" w:afterAutospacing="0"/>
                    <w:jc w:val="center"/>
                    <w:rPr>
                      <w:rFonts w:ascii="Times New Roman" w:hAnsi="Times New Roman"/>
                      <w:b/>
                      <w:bCs/>
                      <w:color w:val="auto"/>
                      <w:sz w:val="21"/>
                      <w:szCs w:val="21"/>
                    </w:rPr>
                  </w:pPr>
                  <w:r>
                    <w:rPr>
                      <w:rFonts w:ascii="Times New Roman" w:hAnsi="Times New Roman"/>
                      <w:b/>
                      <w:color w:val="auto"/>
                      <w:sz w:val="21"/>
                      <w:szCs w:val="21"/>
                    </w:rPr>
                    <w:t>产品名称</w:t>
                  </w:r>
                </w:p>
              </w:tc>
              <w:tc>
                <w:tcPr>
                  <w:tcW w:w="753" w:type="dxa"/>
                  <w:vAlign w:val="center"/>
                </w:tcPr>
                <w:p>
                  <w:pPr>
                    <w:pStyle w:val="20"/>
                    <w:spacing w:before="0" w:beforeAutospacing="0" w:after="0" w:afterAutospacing="0"/>
                    <w:jc w:val="center"/>
                    <w:rPr>
                      <w:rFonts w:ascii="Times New Roman" w:hAnsi="Times New Roman"/>
                      <w:b/>
                      <w:bCs/>
                      <w:color w:val="auto"/>
                      <w:sz w:val="21"/>
                      <w:szCs w:val="21"/>
                    </w:rPr>
                  </w:pPr>
                  <w:r>
                    <w:rPr>
                      <w:rFonts w:ascii="Times New Roman" w:hAnsi="Times New Roman"/>
                      <w:b/>
                      <w:color w:val="auto"/>
                      <w:sz w:val="21"/>
                      <w:szCs w:val="21"/>
                    </w:rPr>
                    <w:t>原料名称</w:t>
                  </w:r>
                </w:p>
              </w:tc>
              <w:tc>
                <w:tcPr>
                  <w:tcW w:w="689" w:type="dxa"/>
                  <w:vAlign w:val="center"/>
                </w:tcPr>
                <w:p>
                  <w:pPr>
                    <w:pStyle w:val="20"/>
                    <w:spacing w:before="0" w:beforeAutospacing="0" w:after="0" w:afterAutospacing="0"/>
                    <w:jc w:val="center"/>
                    <w:rPr>
                      <w:rFonts w:ascii="Times New Roman" w:hAnsi="Times New Roman"/>
                      <w:b/>
                      <w:bCs/>
                      <w:color w:val="auto"/>
                      <w:sz w:val="21"/>
                      <w:szCs w:val="21"/>
                    </w:rPr>
                  </w:pPr>
                  <w:r>
                    <w:rPr>
                      <w:rFonts w:ascii="Times New Roman" w:hAnsi="Times New Roman"/>
                      <w:b/>
                      <w:color w:val="auto"/>
                      <w:sz w:val="21"/>
                      <w:szCs w:val="21"/>
                    </w:rPr>
                    <w:t>工艺名称</w:t>
                  </w:r>
                </w:p>
              </w:tc>
              <w:tc>
                <w:tcPr>
                  <w:tcW w:w="1346" w:type="dxa"/>
                  <w:vAlign w:val="center"/>
                </w:tcPr>
                <w:p>
                  <w:pPr>
                    <w:pStyle w:val="20"/>
                    <w:spacing w:before="0" w:beforeAutospacing="0" w:after="0" w:afterAutospacing="0"/>
                    <w:jc w:val="center"/>
                    <w:rPr>
                      <w:rFonts w:ascii="Times New Roman" w:hAnsi="Times New Roman"/>
                      <w:b/>
                      <w:bCs/>
                      <w:color w:val="auto"/>
                      <w:sz w:val="21"/>
                      <w:szCs w:val="21"/>
                    </w:rPr>
                  </w:pPr>
                  <w:r>
                    <w:rPr>
                      <w:rFonts w:ascii="Times New Roman" w:hAnsi="Times New Roman"/>
                      <w:b/>
                      <w:color w:val="auto"/>
                      <w:sz w:val="21"/>
                      <w:szCs w:val="21"/>
                    </w:rPr>
                    <w:t>污染物</w:t>
                  </w:r>
                </w:p>
              </w:tc>
              <w:tc>
                <w:tcPr>
                  <w:tcW w:w="1902" w:type="dxa"/>
                  <w:vAlign w:val="center"/>
                </w:tcPr>
                <w:p>
                  <w:pPr>
                    <w:pStyle w:val="20"/>
                    <w:spacing w:before="0" w:beforeAutospacing="0" w:after="0" w:afterAutospacing="0"/>
                    <w:jc w:val="center"/>
                    <w:rPr>
                      <w:rFonts w:ascii="Times New Roman" w:hAnsi="Times New Roman"/>
                      <w:b/>
                      <w:bCs/>
                      <w:color w:val="auto"/>
                      <w:sz w:val="21"/>
                      <w:szCs w:val="21"/>
                    </w:rPr>
                  </w:pPr>
                  <w:r>
                    <w:rPr>
                      <w:rFonts w:ascii="Times New Roman" w:hAnsi="Times New Roman"/>
                      <w:b/>
                      <w:color w:val="auto"/>
                      <w:sz w:val="21"/>
                      <w:szCs w:val="21"/>
                    </w:rPr>
                    <w:t>产污系数</w:t>
                  </w:r>
                </w:p>
              </w:tc>
              <w:tc>
                <w:tcPr>
                  <w:tcW w:w="993" w:type="dxa"/>
                  <w:vAlign w:val="center"/>
                </w:tcPr>
                <w:p>
                  <w:pPr>
                    <w:pStyle w:val="20"/>
                    <w:spacing w:before="0" w:beforeAutospacing="0" w:after="0" w:afterAutospacing="0"/>
                    <w:jc w:val="center"/>
                    <w:rPr>
                      <w:rFonts w:ascii="Times New Roman" w:hAnsi="Times New Roman"/>
                      <w:b/>
                      <w:bCs/>
                      <w:color w:val="auto"/>
                      <w:sz w:val="21"/>
                      <w:szCs w:val="21"/>
                    </w:rPr>
                  </w:pPr>
                  <w:r>
                    <w:rPr>
                      <w:rFonts w:hint="eastAsia" w:ascii="Times New Roman" w:hAnsi="Times New Roman"/>
                      <w:b/>
                      <w:bCs/>
                      <w:color w:val="auto"/>
                      <w:sz w:val="21"/>
                      <w:szCs w:val="21"/>
                    </w:rPr>
                    <w:t>治理技术名称</w:t>
                  </w:r>
                </w:p>
              </w:tc>
              <w:tc>
                <w:tcPr>
                  <w:tcW w:w="1497" w:type="dxa"/>
                  <w:vAlign w:val="center"/>
                </w:tcPr>
                <w:p>
                  <w:pPr>
                    <w:pStyle w:val="20"/>
                    <w:spacing w:before="0" w:beforeAutospacing="0" w:after="0" w:afterAutospacing="0"/>
                    <w:jc w:val="center"/>
                    <w:rPr>
                      <w:rFonts w:ascii="Times New Roman" w:hAnsi="Times New Roman"/>
                      <w:b/>
                      <w:bCs/>
                      <w:color w:val="auto"/>
                      <w:sz w:val="21"/>
                      <w:szCs w:val="21"/>
                    </w:rPr>
                  </w:pPr>
                  <w:r>
                    <w:rPr>
                      <w:rFonts w:hint="eastAsia" w:ascii="Times New Roman" w:hAnsi="Times New Roman"/>
                      <w:b/>
                      <w:bCs/>
                      <w:color w:val="auto"/>
                      <w:sz w:val="21"/>
                      <w:szCs w:val="21"/>
                    </w:rPr>
                    <w:t>末端治理技术平均去除效率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62" w:type="dxa"/>
                  <w:vAlign w:val="center"/>
                </w:tcPr>
                <w:p>
                  <w:pPr>
                    <w:pStyle w:val="20"/>
                    <w:spacing w:before="0" w:beforeAutospacing="0" w:after="0" w:afterAutospacing="0"/>
                    <w:jc w:val="center"/>
                    <w:rPr>
                      <w:rFonts w:ascii="Times New Roman" w:hAnsi="Times New Roman"/>
                      <w:b/>
                      <w:bCs/>
                      <w:color w:val="auto"/>
                      <w:sz w:val="21"/>
                      <w:szCs w:val="21"/>
                    </w:rPr>
                  </w:pPr>
                  <w:r>
                    <w:rPr>
                      <w:rFonts w:hint="eastAsia" w:ascii="Times New Roman" w:hAnsi="Times New Roman"/>
                      <w:color w:val="auto"/>
                      <w:sz w:val="21"/>
                      <w:szCs w:val="21"/>
                    </w:rPr>
                    <w:t>再生塑料粒子</w:t>
                  </w:r>
                </w:p>
              </w:tc>
              <w:tc>
                <w:tcPr>
                  <w:tcW w:w="753" w:type="dxa"/>
                  <w:vAlign w:val="center"/>
                </w:tcPr>
                <w:p>
                  <w:pPr>
                    <w:pStyle w:val="20"/>
                    <w:spacing w:before="0" w:beforeAutospacing="0" w:after="0" w:afterAutospacing="0"/>
                    <w:jc w:val="center"/>
                    <w:rPr>
                      <w:rFonts w:ascii="Times New Roman" w:hAnsi="Times New Roman"/>
                      <w:b/>
                      <w:bCs/>
                      <w:color w:val="auto"/>
                      <w:sz w:val="21"/>
                      <w:szCs w:val="21"/>
                    </w:rPr>
                  </w:pPr>
                  <w:r>
                    <w:rPr>
                      <w:rFonts w:hint="eastAsia" w:ascii="Times New Roman" w:hAnsi="Times New Roman"/>
                      <w:color w:val="auto"/>
                      <w:sz w:val="21"/>
                      <w:szCs w:val="21"/>
                    </w:rPr>
                    <w:t>废PE/PP</w:t>
                  </w:r>
                </w:p>
              </w:tc>
              <w:tc>
                <w:tcPr>
                  <w:tcW w:w="689" w:type="dxa"/>
                  <w:vAlign w:val="center"/>
                </w:tcPr>
                <w:p>
                  <w:pPr>
                    <w:pStyle w:val="20"/>
                    <w:spacing w:before="0" w:beforeAutospacing="0" w:after="0" w:afterAutospacing="0"/>
                    <w:jc w:val="center"/>
                    <w:rPr>
                      <w:rFonts w:ascii="Times New Roman" w:hAnsi="Times New Roman"/>
                      <w:b/>
                      <w:bCs/>
                      <w:color w:val="auto"/>
                      <w:sz w:val="21"/>
                      <w:szCs w:val="21"/>
                    </w:rPr>
                  </w:pPr>
                  <w:r>
                    <w:rPr>
                      <w:rFonts w:hint="eastAsia" w:ascii="Times New Roman" w:hAnsi="Times New Roman"/>
                      <w:color w:val="auto"/>
                      <w:sz w:val="21"/>
                      <w:szCs w:val="21"/>
                    </w:rPr>
                    <w:t>挤出造粒</w:t>
                  </w:r>
                </w:p>
              </w:tc>
              <w:tc>
                <w:tcPr>
                  <w:tcW w:w="1346" w:type="dxa"/>
                  <w:vAlign w:val="center"/>
                </w:tcPr>
                <w:p>
                  <w:pPr>
                    <w:pStyle w:val="20"/>
                    <w:spacing w:before="0" w:beforeAutospacing="0" w:after="0" w:afterAutospacing="0"/>
                    <w:jc w:val="center"/>
                    <w:rPr>
                      <w:rFonts w:ascii="Times New Roman" w:hAnsi="Times New Roman"/>
                      <w:b/>
                      <w:bCs/>
                      <w:color w:val="auto"/>
                      <w:sz w:val="21"/>
                      <w:szCs w:val="21"/>
                    </w:rPr>
                  </w:pPr>
                  <w:r>
                    <w:rPr>
                      <w:rFonts w:ascii="Times New Roman" w:hAnsi="Times New Roman"/>
                      <w:bCs/>
                      <w:color w:val="auto"/>
                      <w:sz w:val="21"/>
                      <w:szCs w:val="21"/>
                    </w:rPr>
                    <w:t>挥发性有机物</w:t>
                  </w:r>
                </w:p>
              </w:tc>
              <w:tc>
                <w:tcPr>
                  <w:tcW w:w="1902" w:type="dxa"/>
                  <w:vAlign w:val="center"/>
                </w:tcPr>
                <w:p>
                  <w:pPr>
                    <w:pStyle w:val="20"/>
                    <w:spacing w:before="0" w:beforeAutospacing="0" w:after="0" w:afterAutospacing="0"/>
                    <w:jc w:val="center"/>
                    <w:rPr>
                      <w:rFonts w:ascii="Times New Roman" w:hAnsi="Times New Roman"/>
                      <w:b/>
                      <w:bCs/>
                      <w:color w:val="auto"/>
                      <w:sz w:val="21"/>
                      <w:szCs w:val="21"/>
                    </w:rPr>
                  </w:pPr>
                  <w:r>
                    <w:rPr>
                      <w:rFonts w:hint="eastAsia" w:ascii="Times New Roman" w:hAnsi="Times New Roman"/>
                      <w:bCs/>
                      <w:color w:val="auto"/>
                      <w:sz w:val="21"/>
                      <w:szCs w:val="21"/>
                    </w:rPr>
                    <w:t>350克/吨</w:t>
                  </w:r>
                  <w:r>
                    <w:rPr>
                      <w:rFonts w:hint="eastAsia" w:ascii="Times New Roman" w:hAnsi="Times New Roman"/>
                      <w:bCs/>
                      <w:color w:val="auto"/>
                      <w:sz w:val="21"/>
                      <w:szCs w:val="21"/>
                      <w:lang w:eastAsia="zh-CN"/>
                    </w:rPr>
                    <w:t>－</w:t>
                  </w:r>
                  <w:r>
                    <w:rPr>
                      <w:rFonts w:hint="eastAsia" w:ascii="Times New Roman" w:hAnsi="Times New Roman"/>
                      <w:bCs/>
                      <w:color w:val="auto"/>
                      <w:sz w:val="21"/>
                      <w:szCs w:val="21"/>
                    </w:rPr>
                    <w:t>原料</w:t>
                  </w:r>
                </w:p>
              </w:tc>
              <w:tc>
                <w:tcPr>
                  <w:tcW w:w="993" w:type="dxa"/>
                  <w:vAlign w:val="center"/>
                </w:tcPr>
                <w:p>
                  <w:pPr>
                    <w:pStyle w:val="20"/>
                    <w:spacing w:before="0" w:beforeAutospacing="0" w:after="0" w:afterAutospacing="0"/>
                    <w:jc w:val="center"/>
                    <w:rPr>
                      <w:rFonts w:ascii="Times New Roman" w:hAnsi="Times New Roman"/>
                      <w:color w:val="auto"/>
                      <w:sz w:val="21"/>
                      <w:szCs w:val="21"/>
                    </w:rPr>
                  </w:pPr>
                  <w:r>
                    <w:rPr>
                      <w:rFonts w:hint="eastAsia" w:ascii="Times New Roman" w:hAnsi="Times New Roman"/>
                      <w:color w:val="auto"/>
                      <w:sz w:val="21"/>
                      <w:szCs w:val="21"/>
                    </w:rPr>
                    <w:t>活性炭吸附</w:t>
                  </w:r>
                </w:p>
              </w:tc>
              <w:tc>
                <w:tcPr>
                  <w:tcW w:w="1497" w:type="dxa"/>
                  <w:vAlign w:val="center"/>
                </w:tcPr>
                <w:p>
                  <w:pPr>
                    <w:pStyle w:val="20"/>
                    <w:spacing w:before="0" w:beforeAutospacing="0" w:after="0" w:afterAutospacing="0"/>
                    <w:jc w:val="center"/>
                    <w:rPr>
                      <w:rFonts w:ascii="Times New Roman" w:hAnsi="Times New Roman"/>
                      <w:color w:val="auto"/>
                      <w:sz w:val="21"/>
                      <w:szCs w:val="21"/>
                    </w:rPr>
                  </w:pPr>
                  <w:r>
                    <w:rPr>
                      <w:rFonts w:hint="eastAsia" w:ascii="Times New Roman" w:hAnsi="Times New Roman"/>
                      <w:color w:val="auto"/>
                      <w:sz w:val="21"/>
                      <w:szCs w:val="21"/>
                    </w:rPr>
                    <w:t>55%</w:t>
                  </w:r>
                </w:p>
              </w:tc>
            </w:tr>
          </w:tbl>
          <w:p>
            <w:pPr>
              <w:pStyle w:val="20"/>
              <w:widowControl w:val="0"/>
              <w:spacing w:before="0" w:beforeAutospacing="0" w:after="0" w:afterAutospacing="0" w:line="360" w:lineRule="auto"/>
              <w:ind w:firstLine="480" w:firstLineChars="200"/>
              <w:jc w:val="both"/>
              <w:rPr>
                <w:rFonts w:ascii="Times New Roman" w:hAnsi="Times New Roman"/>
                <w:color w:val="auto"/>
                <w:kern w:val="0"/>
                <w:sz w:val="24"/>
                <w:szCs w:val="24"/>
                <w:lang w:bidi="ar"/>
              </w:rPr>
            </w:pPr>
            <w:r>
              <w:rPr>
                <w:rFonts w:ascii="Times New Roman" w:hAnsi="Times New Roman"/>
                <w:bCs/>
                <w:color w:val="auto"/>
                <w:kern w:val="0"/>
                <w:sz w:val="24"/>
                <w:szCs w:val="24"/>
                <w:lang w:bidi="ar"/>
              </w:rPr>
              <w:t>根据上表产污系数进行核算，</w:t>
            </w:r>
            <w:r>
              <w:rPr>
                <w:rFonts w:hint="eastAsia" w:ascii="Times New Roman" w:hAnsi="Times New Roman"/>
                <w:bCs/>
                <w:color w:val="auto"/>
                <w:kern w:val="0"/>
                <w:sz w:val="24"/>
                <w:szCs w:val="24"/>
                <w:lang w:bidi="ar"/>
              </w:rPr>
              <w:t>项目用于</w:t>
            </w:r>
            <w:r>
              <w:rPr>
                <w:rFonts w:hint="eastAsia" w:ascii="Times New Roman" w:hAnsi="Times New Roman"/>
                <w:bCs/>
                <w:color w:val="auto"/>
                <w:sz w:val="24"/>
                <w:szCs w:val="24"/>
              </w:rPr>
              <w:t>熔融挤出造粒的废塑料</w:t>
            </w:r>
            <w:r>
              <w:rPr>
                <w:rFonts w:hint="eastAsia" w:ascii="Times New Roman" w:hAnsi="Times New Roman"/>
                <w:color w:val="auto"/>
                <w:sz w:val="24"/>
                <w:szCs w:val="24"/>
              </w:rPr>
              <w:t>原料量为</w:t>
            </w:r>
            <w:r>
              <w:rPr>
                <w:rFonts w:hint="eastAsia" w:ascii="Times New Roman" w:hAnsi="Times New Roman"/>
                <w:bCs/>
                <w:color w:val="auto"/>
                <w:sz w:val="24"/>
                <w:szCs w:val="24"/>
                <w:lang w:val="en-US" w:eastAsia="zh-CN"/>
              </w:rPr>
              <w:t>45000</w:t>
            </w:r>
            <w:r>
              <w:rPr>
                <w:rFonts w:hint="eastAsia" w:ascii="Times New Roman" w:hAnsi="Times New Roman"/>
                <w:bCs/>
                <w:color w:val="auto"/>
                <w:sz w:val="24"/>
                <w:szCs w:val="24"/>
              </w:rPr>
              <w:t>t</w:t>
            </w:r>
            <w:r>
              <w:rPr>
                <w:rFonts w:hint="eastAsia" w:ascii="Times New Roman" w:hAnsi="Times New Roman"/>
                <w:color w:val="auto"/>
                <w:sz w:val="24"/>
                <w:szCs w:val="24"/>
              </w:rPr>
              <w:t>/a</w:t>
            </w:r>
            <w:r>
              <w:rPr>
                <w:rFonts w:hint="eastAsia" w:ascii="Times New Roman" w:hAnsi="Times New Roman"/>
                <w:bCs/>
                <w:color w:val="auto"/>
                <w:sz w:val="24"/>
                <w:szCs w:val="24"/>
              </w:rPr>
              <w:t>，年运行</w:t>
            </w:r>
            <w:r>
              <w:rPr>
                <w:rFonts w:hint="eastAsia" w:ascii="Times New Roman" w:hAnsi="Times New Roman"/>
                <w:bCs/>
                <w:color w:val="auto"/>
                <w:sz w:val="24"/>
                <w:szCs w:val="24"/>
                <w:lang w:val="en-US" w:eastAsia="zh-CN"/>
              </w:rPr>
              <w:t>720</w:t>
            </w:r>
            <w:r>
              <w:rPr>
                <w:rFonts w:hint="eastAsia" w:ascii="Times New Roman" w:hAnsi="Times New Roman"/>
                <w:bCs/>
                <w:color w:val="auto"/>
                <w:sz w:val="24"/>
                <w:szCs w:val="24"/>
              </w:rPr>
              <w:t>0h，则</w:t>
            </w:r>
            <w:r>
              <w:rPr>
                <w:rFonts w:hint="eastAsia" w:ascii="Times New Roman" w:hAnsi="Times New Roman"/>
                <w:color w:val="auto"/>
                <w:sz w:val="24"/>
                <w:szCs w:val="24"/>
              </w:rPr>
              <w:t>熔融造粒</w:t>
            </w:r>
            <w:r>
              <w:rPr>
                <w:rFonts w:ascii="Times New Roman" w:hAnsi="Times New Roman"/>
                <w:bCs/>
                <w:color w:val="auto"/>
                <w:sz w:val="24"/>
                <w:szCs w:val="24"/>
              </w:rPr>
              <w:t>产生的</w:t>
            </w:r>
            <w:r>
              <w:rPr>
                <w:rFonts w:ascii="Times New Roman" w:hAnsi="Times New Roman"/>
                <w:color w:val="auto"/>
                <w:sz w:val="24"/>
                <w:szCs w:val="24"/>
              </w:rPr>
              <w:t>挥发性有机物（以非甲烷总烃计）为</w:t>
            </w:r>
            <w:r>
              <w:rPr>
                <w:rFonts w:hint="eastAsia" w:ascii="Times New Roman" w:hAnsi="Times New Roman"/>
                <w:color w:val="auto"/>
                <w:sz w:val="24"/>
                <w:szCs w:val="24"/>
                <w:lang w:val="en-US" w:eastAsia="zh-CN"/>
              </w:rPr>
              <w:t>15.75</w:t>
            </w:r>
            <w:r>
              <w:rPr>
                <w:rFonts w:hint="eastAsia" w:ascii="Times New Roman" w:hAnsi="Times New Roman"/>
                <w:color w:val="auto"/>
                <w:sz w:val="24"/>
                <w:szCs w:val="24"/>
              </w:rPr>
              <w:t>t/a。</w:t>
            </w:r>
          </w:p>
          <w:p>
            <w:pPr>
              <w:pStyle w:val="20"/>
              <w:widowControl w:val="0"/>
              <w:spacing w:before="0" w:beforeAutospacing="0" w:after="0" w:afterAutospacing="0" w:line="360" w:lineRule="auto"/>
              <w:ind w:firstLine="480" w:firstLineChars="200"/>
              <w:jc w:val="both"/>
              <w:rPr>
                <w:rFonts w:ascii="Times New Roman" w:hAnsi="Times New Roman"/>
                <w:color w:val="auto"/>
                <w:sz w:val="24"/>
                <w:szCs w:val="24"/>
              </w:rPr>
            </w:pPr>
            <w:r>
              <w:rPr>
                <w:rFonts w:ascii="Times New Roman" w:hAnsi="Times New Roman"/>
                <w:color w:val="auto"/>
                <w:sz w:val="24"/>
                <w:szCs w:val="24"/>
              </w:rPr>
              <w:t>在</w:t>
            </w:r>
            <w:r>
              <w:rPr>
                <w:rFonts w:hint="eastAsia" w:ascii="Times New Roman" w:hAnsi="Times New Roman"/>
                <w:color w:val="auto"/>
                <w:sz w:val="24"/>
                <w:szCs w:val="24"/>
              </w:rPr>
              <w:t>热熔造粒机出料口上方设置1个集气罩</w:t>
            </w:r>
            <w:r>
              <w:rPr>
                <w:rFonts w:ascii="Times New Roman" w:hAnsi="Times New Roman"/>
                <w:bCs/>
                <w:color w:val="auto"/>
                <w:sz w:val="24"/>
                <w:szCs w:val="24"/>
              </w:rPr>
              <w:t>（</w:t>
            </w:r>
            <w:r>
              <w:rPr>
                <w:rFonts w:ascii="Times New Roman" w:hAnsi="Times New Roman"/>
                <w:color w:val="auto"/>
                <w:sz w:val="24"/>
                <w:szCs w:val="24"/>
              </w:rPr>
              <w:t>集气罩边界投影范围应覆盖并大于设备产气点</w:t>
            </w:r>
            <w:r>
              <w:rPr>
                <w:rFonts w:ascii="Times New Roman" w:hAnsi="Times New Roman"/>
                <w:bCs/>
                <w:color w:val="auto"/>
                <w:sz w:val="24"/>
                <w:szCs w:val="24"/>
              </w:rPr>
              <w:t>）</w:t>
            </w:r>
            <w:r>
              <w:rPr>
                <w:rFonts w:hint="eastAsia" w:ascii="Times New Roman" w:hAnsi="Times New Roman"/>
                <w:color w:val="auto"/>
                <w:sz w:val="24"/>
                <w:szCs w:val="24"/>
              </w:rPr>
              <w:t>，</w:t>
            </w:r>
            <w:r>
              <w:rPr>
                <w:rFonts w:ascii="Times New Roman" w:hAnsi="Times New Roman"/>
                <w:color w:val="auto"/>
                <w:sz w:val="24"/>
                <w:szCs w:val="24"/>
              </w:rPr>
              <w:t>集气罩收集效率以</w:t>
            </w:r>
            <w:r>
              <w:rPr>
                <w:rFonts w:hint="eastAsia" w:ascii="Times New Roman" w:hAnsi="Times New Roman"/>
                <w:color w:val="auto"/>
                <w:sz w:val="24"/>
                <w:szCs w:val="24"/>
              </w:rPr>
              <w:t>80</w:t>
            </w:r>
            <w:r>
              <w:rPr>
                <w:rFonts w:ascii="Times New Roman" w:hAnsi="Times New Roman"/>
                <w:color w:val="auto"/>
                <w:sz w:val="24"/>
                <w:szCs w:val="24"/>
              </w:rPr>
              <w:t>%计</w:t>
            </w:r>
            <w:r>
              <w:rPr>
                <w:rFonts w:hint="eastAsia" w:ascii="Times New Roman" w:hAnsi="Times New Roman"/>
                <w:color w:val="auto"/>
                <w:sz w:val="24"/>
                <w:szCs w:val="24"/>
              </w:rPr>
              <w:t>，</w:t>
            </w:r>
            <w:r>
              <w:rPr>
                <w:rFonts w:ascii="Times New Roman" w:hAnsi="Times New Roman"/>
                <w:color w:val="auto"/>
                <w:sz w:val="24"/>
                <w:szCs w:val="24"/>
              </w:rPr>
              <w:t>有机废气</w:t>
            </w:r>
            <w:r>
              <w:rPr>
                <w:rFonts w:ascii="Times New Roman" w:hAnsi="Times New Roman"/>
                <w:bCs/>
                <w:color w:val="auto"/>
                <w:sz w:val="24"/>
                <w:szCs w:val="24"/>
              </w:rPr>
              <w:t>经</w:t>
            </w:r>
            <w:r>
              <w:rPr>
                <w:rFonts w:ascii="Times New Roman" w:hAnsi="Times New Roman"/>
                <w:color w:val="auto"/>
                <w:sz w:val="24"/>
                <w:szCs w:val="24"/>
              </w:rPr>
              <w:t>集气罩收集后，通过管道连接汇总至末端</w:t>
            </w:r>
            <w:r>
              <w:rPr>
                <w:color w:val="auto"/>
                <w:sz w:val="24"/>
                <w:szCs w:val="24"/>
              </w:rPr>
              <w:t>“</w:t>
            </w:r>
            <w:r>
              <w:rPr>
                <w:rFonts w:ascii="Times New Roman" w:hAnsi="Times New Roman"/>
                <w:color w:val="auto"/>
                <w:sz w:val="24"/>
                <w:szCs w:val="24"/>
              </w:rPr>
              <w:t>过滤棉+</w:t>
            </w:r>
            <w:r>
              <w:rPr>
                <w:rFonts w:hint="eastAsia" w:ascii="Times New Roman" w:hAnsi="Times New Roman"/>
                <w:color w:val="auto"/>
                <w:sz w:val="24"/>
                <w:szCs w:val="24"/>
                <w:lang w:eastAsia="zh-CN"/>
              </w:rPr>
              <w:t>三级活性炭</w:t>
            </w:r>
            <w:r>
              <w:rPr>
                <w:rFonts w:ascii="Times New Roman" w:hAnsi="Times New Roman"/>
                <w:color w:val="auto"/>
                <w:sz w:val="24"/>
                <w:szCs w:val="24"/>
              </w:rPr>
              <w:t>吸附装置</w:t>
            </w:r>
            <w:r>
              <w:rPr>
                <w:color w:val="auto"/>
                <w:sz w:val="24"/>
                <w:szCs w:val="24"/>
              </w:rPr>
              <w:t>”</w:t>
            </w:r>
            <w:r>
              <w:rPr>
                <w:rFonts w:ascii="Times New Roman" w:hAnsi="Times New Roman"/>
                <w:color w:val="auto"/>
                <w:sz w:val="24"/>
                <w:szCs w:val="24"/>
              </w:rPr>
              <w:t>处理（</w:t>
            </w:r>
            <w:r>
              <w:rPr>
                <w:rFonts w:hint="eastAsia" w:ascii="Times New Roman" w:hAnsi="Times New Roman"/>
                <w:color w:val="auto"/>
                <w:sz w:val="24"/>
                <w:szCs w:val="24"/>
              </w:rPr>
              <w:t>活性炭吸附处理效率为55%，处理风量约</w:t>
            </w:r>
            <w:r>
              <w:rPr>
                <w:rFonts w:hint="eastAsia" w:ascii="Times New Roman" w:hAnsi="Times New Roman"/>
                <w:bCs/>
                <w:color w:val="auto"/>
                <w:sz w:val="24"/>
                <w:szCs w:val="24"/>
                <w:lang w:val="en-US" w:eastAsia="zh-CN"/>
              </w:rPr>
              <w:t>10</w:t>
            </w:r>
            <w:r>
              <w:rPr>
                <w:rFonts w:ascii="Times New Roman" w:hAnsi="Times New Roman"/>
                <w:bCs/>
                <w:color w:val="auto"/>
                <w:sz w:val="24"/>
                <w:szCs w:val="24"/>
              </w:rPr>
              <w:t>000m</w:t>
            </w:r>
            <w:r>
              <w:rPr>
                <w:rFonts w:ascii="Times New Roman" w:hAnsi="Times New Roman"/>
                <w:bCs/>
                <w:color w:val="auto"/>
                <w:sz w:val="24"/>
                <w:szCs w:val="24"/>
                <w:vertAlign w:val="superscript"/>
              </w:rPr>
              <w:t>3</w:t>
            </w:r>
            <w:r>
              <w:rPr>
                <w:rFonts w:ascii="Times New Roman" w:hAnsi="Times New Roman"/>
                <w:color w:val="auto"/>
                <w:sz w:val="24"/>
                <w:szCs w:val="24"/>
              </w:rPr>
              <w:t>/</w:t>
            </w:r>
            <w:r>
              <w:rPr>
                <w:rFonts w:hint="eastAsia" w:ascii="Times New Roman" w:hAnsi="Times New Roman"/>
                <w:color w:val="auto"/>
                <w:sz w:val="24"/>
                <w:szCs w:val="24"/>
              </w:rPr>
              <w:t>h</w:t>
            </w:r>
            <w:r>
              <w:rPr>
                <w:rFonts w:ascii="Times New Roman" w:hAnsi="Times New Roman"/>
                <w:color w:val="auto"/>
                <w:sz w:val="24"/>
                <w:szCs w:val="24"/>
              </w:rPr>
              <w:t>、</w:t>
            </w:r>
            <w:r>
              <w:rPr>
                <w:rFonts w:hint="eastAsia" w:ascii="Times New Roman" w:hAnsi="Times New Roman"/>
                <w:color w:val="auto"/>
                <w:sz w:val="24"/>
                <w:szCs w:val="24"/>
                <w:lang w:val="en-US" w:eastAsia="zh-CN"/>
              </w:rPr>
              <w:t>7200</w:t>
            </w:r>
            <w:r>
              <w:rPr>
                <w:rFonts w:ascii="Times New Roman" w:hAnsi="Times New Roman"/>
                <w:color w:val="auto"/>
                <w:sz w:val="24"/>
                <w:szCs w:val="24"/>
              </w:rPr>
              <w:t>万</w:t>
            </w:r>
            <w:r>
              <w:rPr>
                <w:rFonts w:ascii="Times New Roman" w:hAnsi="Times New Roman"/>
                <w:bCs/>
                <w:color w:val="auto"/>
                <w:sz w:val="24"/>
                <w:szCs w:val="24"/>
              </w:rPr>
              <w:t>m</w:t>
            </w:r>
            <w:r>
              <w:rPr>
                <w:rFonts w:ascii="Times New Roman" w:hAnsi="Times New Roman"/>
                <w:bCs/>
                <w:color w:val="auto"/>
                <w:sz w:val="24"/>
                <w:szCs w:val="24"/>
                <w:vertAlign w:val="superscript"/>
              </w:rPr>
              <w:t>3</w:t>
            </w:r>
            <w:r>
              <w:rPr>
                <w:rFonts w:ascii="Times New Roman" w:hAnsi="Times New Roman"/>
                <w:bCs/>
                <w:color w:val="auto"/>
                <w:sz w:val="24"/>
                <w:szCs w:val="24"/>
              </w:rPr>
              <w:t>/a</w:t>
            </w:r>
            <w:r>
              <w:rPr>
                <w:rFonts w:ascii="Times New Roman" w:hAnsi="Times New Roman"/>
                <w:color w:val="auto"/>
                <w:sz w:val="24"/>
                <w:szCs w:val="24"/>
              </w:rPr>
              <w:t>），最终由1根</w:t>
            </w:r>
            <w:r>
              <w:rPr>
                <w:rFonts w:hint="eastAsia" w:ascii="Times New Roman" w:hAnsi="Times New Roman"/>
                <w:color w:val="auto"/>
                <w:sz w:val="24"/>
                <w:szCs w:val="24"/>
                <w:lang w:val="en-US" w:eastAsia="zh-CN"/>
              </w:rPr>
              <w:t>15</w:t>
            </w:r>
            <w:r>
              <w:rPr>
                <w:rFonts w:ascii="Times New Roman" w:hAnsi="Times New Roman"/>
                <w:color w:val="auto"/>
                <w:sz w:val="24"/>
                <w:szCs w:val="24"/>
              </w:rPr>
              <w:t>m高的排气筒（DA001）排放。</w:t>
            </w:r>
          </w:p>
          <w:p>
            <w:pPr>
              <w:pStyle w:val="20"/>
              <w:widowControl w:val="0"/>
              <w:spacing w:before="0" w:beforeAutospacing="0" w:after="0" w:afterAutospacing="0" w:line="360" w:lineRule="auto"/>
              <w:ind w:firstLine="480" w:firstLineChars="200"/>
              <w:jc w:val="both"/>
              <w:rPr>
                <w:rFonts w:ascii="Times New Roman" w:hAnsi="Times New Roman"/>
                <w:color w:val="auto"/>
                <w:kern w:val="0"/>
                <w:sz w:val="24"/>
                <w:szCs w:val="24"/>
                <w:lang w:bidi="ar"/>
              </w:rPr>
            </w:pPr>
            <w:r>
              <w:rPr>
                <w:rFonts w:ascii="Times New Roman" w:hAnsi="Times New Roman"/>
                <w:bCs/>
                <w:color w:val="auto"/>
                <w:kern w:val="0"/>
                <w:sz w:val="24"/>
                <w:szCs w:val="24"/>
                <w:lang w:bidi="ar"/>
              </w:rPr>
              <w:t>根据上述计算，本项目</w:t>
            </w:r>
            <w:r>
              <w:rPr>
                <w:rFonts w:hint="eastAsia" w:ascii="Times New Roman" w:hAnsi="Times New Roman"/>
                <w:color w:val="auto"/>
                <w:sz w:val="24"/>
                <w:szCs w:val="24"/>
              </w:rPr>
              <w:t>熔融造粒</w:t>
            </w:r>
            <w:r>
              <w:rPr>
                <w:rFonts w:ascii="Times New Roman" w:hAnsi="Times New Roman"/>
                <w:bCs/>
                <w:color w:val="auto"/>
                <w:sz w:val="24"/>
                <w:szCs w:val="24"/>
              </w:rPr>
              <w:t>工序产生的</w:t>
            </w:r>
            <w:r>
              <w:rPr>
                <w:rFonts w:ascii="Times New Roman" w:hAnsi="Times New Roman"/>
                <w:color w:val="auto"/>
                <w:sz w:val="24"/>
                <w:szCs w:val="24"/>
              </w:rPr>
              <w:t>挥发性有机物（以非甲烷总烃计）为</w:t>
            </w:r>
            <w:r>
              <w:rPr>
                <w:rFonts w:hint="eastAsia" w:ascii="Times New Roman" w:hAnsi="Times New Roman"/>
                <w:color w:val="auto"/>
                <w:sz w:val="24"/>
                <w:szCs w:val="24"/>
                <w:lang w:val="en-US" w:eastAsia="zh-CN"/>
              </w:rPr>
              <w:t>15.75</w:t>
            </w:r>
            <w:r>
              <w:rPr>
                <w:rFonts w:hint="eastAsia" w:ascii="Times New Roman" w:hAnsi="Times New Roman"/>
                <w:color w:val="auto"/>
                <w:sz w:val="24"/>
                <w:szCs w:val="24"/>
              </w:rPr>
              <w:t>t/a、</w:t>
            </w:r>
            <w:r>
              <w:rPr>
                <w:rFonts w:hint="eastAsia" w:ascii="Times New Roman" w:hAnsi="Times New Roman"/>
                <w:color w:val="auto"/>
                <w:sz w:val="24"/>
                <w:szCs w:val="24"/>
                <w:lang w:val="en-US" w:eastAsia="zh-CN"/>
              </w:rPr>
              <w:t>2.18</w:t>
            </w:r>
            <w:r>
              <w:rPr>
                <w:rFonts w:ascii="Times New Roman" w:hAnsi="Times New Roman"/>
                <w:color w:val="auto"/>
                <w:sz w:val="24"/>
                <w:szCs w:val="24"/>
              </w:rPr>
              <w:t>kg/h</w:t>
            </w:r>
            <w:r>
              <w:rPr>
                <w:rFonts w:hint="eastAsia" w:ascii="Times New Roman" w:hAnsi="Times New Roman"/>
                <w:color w:val="auto"/>
                <w:sz w:val="24"/>
                <w:szCs w:val="24"/>
              </w:rPr>
              <w:t>，</w:t>
            </w:r>
            <w:r>
              <w:rPr>
                <w:rFonts w:ascii="Times New Roman" w:hAnsi="Times New Roman"/>
                <w:color w:val="auto"/>
                <w:sz w:val="24"/>
                <w:szCs w:val="24"/>
              </w:rPr>
              <w:t>其中有</w:t>
            </w:r>
            <w:r>
              <w:rPr>
                <w:rFonts w:hint="eastAsia" w:ascii="Times New Roman" w:hAnsi="Times New Roman"/>
                <w:color w:val="auto"/>
                <w:sz w:val="24"/>
                <w:szCs w:val="24"/>
              </w:rPr>
              <w:t>80</w:t>
            </w:r>
            <w:r>
              <w:rPr>
                <w:rFonts w:ascii="Times New Roman" w:hAnsi="Times New Roman"/>
                <w:color w:val="auto"/>
                <w:sz w:val="24"/>
                <w:szCs w:val="24"/>
              </w:rPr>
              <w:t>%的废气经过集气罩收集，则有组织非甲烷总烃收集量为</w:t>
            </w:r>
            <w:r>
              <w:rPr>
                <w:rFonts w:hint="eastAsia" w:ascii="Times New Roman" w:hAnsi="Times New Roman"/>
                <w:color w:val="auto"/>
                <w:sz w:val="24"/>
                <w:szCs w:val="24"/>
                <w:lang w:val="en-US" w:eastAsia="zh-CN"/>
              </w:rPr>
              <w:t>12.6</w:t>
            </w:r>
            <w:r>
              <w:rPr>
                <w:rFonts w:ascii="Times New Roman" w:hAnsi="Times New Roman"/>
                <w:color w:val="auto"/>
                <w:sz w:val="24"/>
                <w:szCs w:val="24"/>
              </w:rPr>
              <w:t>t/a、</w:t>
            </w:r>
            <w:r>
              <w:rPr>
                <w:rFonts w:hint="eastAsia" w:ascii="Times New Roman" w:hAnsi="Times New Roman"/>
                <w:color w:val="auto"/>
                <w:sz w:val="24"/>
                <w:szCs w:val="24"/>
                <w:lang w:val="en-US" w:eastAsia="zh-CN"/>
              </w:rPr>
              <w:t>1.744</w:t>
            </w:r>
            <w:r>
              <w:rPr>
                <w:rFonts w:ascii="Times New Roman" w:hAnsi="Times New Roman"/>
                <w:color w:val="auto"/>
                <w:sz w:val="24"/>
                <w:szCs w:val="24"/>
              </w:rPr>
              <w:t>kg/h，产生浓度为</w:t>
            </w:r>
            <w:r>
              <w:rPr>
                <w:rFonts w:hint="eastAsia" w:ascii="Times New Roman" w:hAnsi="Times New Roman"/>
                <w:color w:val="auto"/>
                <w:sz w:val="24"/>
                <w:szCs w:val="24"/>
                <w:lang w:val="en-US" w:eastAsia="zh-CN"/>
              </w:rPr>
              <w:t>174.4</w:t>
            </w:r>
            <w:r>
              <w:rPr>
                <w:rFonts w:ascii="Times New Roman" w:hAnsi="Times New Roman"/>
                <w:color w:val="auto"/>
                <w:sz w:val="24"/>
                <w:szCs w:val="24"/>
              </w:rPr>
              <w:t>mg/m</w:t>
            </w:r>
            <w:r>
              <w:rPr>
                <w:rFonts w:ascii="Times New Roman" w:hAnsi="Times New Roman"/>
                <w:color w:val="auto"/>
                <w:sz w:val="24"/>
                <w:szCs w:val="24"/>
                <w:vertAlign w:val="superscript"/>
              </w:rPr>
              <w:t>3</w:t>
            </w:r>
            <w:r>
              <w:rPr>
                <w:rFonts w:ascii="Times New Roman" w:hAnsi="Times New Roman"/>
                <w:color w:val="auto"/>
                <w:kern w:val="0"/>
                <w:sz w:val="24"/>
                <w:szCs w:val="24"/>
                <w:lang w:bidi="ar"/>
              </w:rPr>
              <w:t>，</w:t>
            </w:r>
            <w:r>
              <w:rPr>
                <w:rFonts w:ascii="Times New Roman" w:hAnsi="Times New Roman"/>
                <w:color w:val="auto"/>
                <w:sz w:val="24"/>
                <w:szCs w:val="24"/>
              </w:rPr>
              <w:t>经</w:t>
            </w:r>
            <w:r>
              <w:rPr>
                <w:color w:val="auto"/>
                <w:sz w:val="24"/>
                <w:szCs w:val="24"/>
              </w:rPr>
              <w:t>“过滤棉+</w:t>
            </w:r>
            <w:r>
              <w:rPr>
                <w:rFonts w:hint="eastAsia"/>
                <w:color w:val="auto"/>
                <w:sz w:val="24"/>
                <w:szCs w:val="24"/>
                <w:lang w:eastAsia="zh-CN"/>
              </w:rPr>
              <w:t>三级活性炭</w:t>
            </w:r>
            <w:r>
              <w:rPr>
                <w:color w:val="auto"/>
                <w:sz w:val="24"/>
                <w:szCs w:val="24"/>
              </w:rPr>
              <w:t>吸附装置”</w:t>
            </w:r>
            <w:r>
              <w:rPr>
                <w:rFonts w:ascii="Times New Roman" w:hAnsi="Times New Roman"/>
                <w:color w:val="auto"/>
                <w:sz w:val="24"/>
                <w:szCs w:val="24"/>
              </w:rPr>
              <w:t>处理后由</w:t>
            </w:r>
            <w:r>
              <w:rPr>
                <w:rFonts w:hint="eastAsia" w:ascii="Times New Roman" w:hAnsi="Times New Roman"/>
                <w:color w:val="auto"/>
                <w:sz w:val="24"/>
                <w:szCs w:val="24"/>
              </w:rPr>
              <w:t>1根</w:t>
            </w:r>
            <w:r>
              <w:rPr>
                <w:rFonts w:hint="eastAsia" w:ascii="Times New Roman" w:hAnsi="Times New Roman"/>
                <w:color w:val="auto"/>
                <w:sz w:val="24"/>
                <w:szCs w:val="24"/>
                <w:lang w:val="en-US" w:eastAsia="zh-CN"/>
              </w:rPr>
              <w:t>15</w:t>
            </w:r>
            <w:r>
              <w:rPr>
                <w:rFonts w:ascii="Times New Roman" w:hAnsi="Times New Roman"/>
                <w:color w:val="auto"/>
                <w:sz w:val="24"/>
                <w:szCs w:val="24"/>
              </w:rPr>
              <w:t>m高的排气筒排放，处理效率为</w:t>
            </w:r>
            <w:r>
              <w:rPr>
                <w:rFonts w:hint="eastAsia" w:ascii="Times New Roman" w:hAnsi="Times New Roman"/>
                <w:color w:val="auto"/>
                <w:sz w:val="24"/>
                <w:szCs w:val="24"/>
              </w:rPr>
              <w:t>55</w:t>
            </w:r>
            <w:r>
              <w:rPr>
                <w:rFonts w:ascii="Times New Roman" w:hAnsi="Times New Roman"/>
                <w:color w:val="auto"/>
                <w:sz w:val="24"/>
                <w:szCs w:val="24"/>
              </w:rPr>
              <w:t>%，则有组织非甲烷总烃排放量为</w:t>
            </w:r>
            <w:r>
              <w:rPr>
                <w:rFonts w:hint="eastAsia" w:ascii="Times New Roman" w:hAnsi="Times New Roman"/>
                <w:color w:val="auto"/>
                <w:sz w:val="24"/>
                <w:szCs w:val="24"/>
                <w:lang w:val="en-US" w:eastAsia="zh-CN"/>
              </w:rPr>
              <w:t>5.67</w:t>
            </w:r>
            <w:r>
              <w:rPr>
                <w:rFonts w:ascii="Times New Roman" w:hAnsi="Times New Roman"/>
                <w:color w:val="auto"/>
                <w:sz w:val="24"/>
                <w:szCs w:val="24"/>
              </w:rPr>
              <w:t>t/a，排放速率为</w:t>
            </w:r>
            <w:r>
              <w:rPr>
                <w:rFonts w:hint="eastAsia" w:ascii="Times New Roman" w:hAnsi="Times New Roman"/>
                <w:color w:val="auto"/>
                <w:sz w:val="24"/>
                <w:szCs w:val="24"/>
                <w:lang w:val="en-US" w:eastAsia="zh-CN"/>
              </w:rPr>
              <w:t>0.7848</w:t>
            </w:r>
            <w:r>
              <w:rPr>
                <w:rFonts w:ascii="Times New Roman" w:hAnsi="Times New Roman"/>
                <w:color w:val="auto"/>
                <w:sz w:val="24"/>
                <w:szCs w:val="24"/>
              </w:rPr>
              <w:t>kg/h，排放浓度为</w:t>
            </w:r>
            <w:r>
              <w:rPr>
                <w:rFonts w:hint="eastAsia" w:ascii="Times New Roman" w:hAnsi="Times New Roman"/>
                <w:color w:val="auto"/>
                <w:sz w:val="24"/>
                <w:szCs w:val="24"/>
                <w:lang w:val="en-US" w:eastAsia="zh-CN"/>
              </w:rPr>
              <w:t>78.3</w:t>
            </w:r>
            <w:r>
              <w:rPr>
                <w:rFonts w:ascii="Times New Roman" w:hAnsi="Times New Roman"/>
                <w:color w:val="auto"/>
                <w:sz w:val="24"/>
                <w:szCs w:val="24"/>
              </w:rPr>
              <w:t>mg/m</w:t>
            </w:r>
            <w:r>
              <w:rPr>
                <w:rFonts w:ascii="Times New Roman" w:hAnsi="Times New Roman"/>
                <w:color w:val="auto"/>
                <w:sz w:val="24"/>
                <w:szCs w:val="24"/>
                <w:vertAlign w:val="superscript"/>
              </w:rPr>
              <w:t>3</w:t>
            </w:r>
            <w:r>
              <w:rPr>
                <w:rFonts w:ascii="Times New Roman" w:hAnsi="Times New Roman"/>
                <w:color w:val="auto"/>
                <w:sz w:val="24"/>
                <w:szCs w:val="24"/>
              </w:rPr>
              <w:t>。</w:t>
            </w:r>
          </w:p>
          <w:p>
            <w:pPr>
              <w:pStyle w:val="20"/>
              <w:widowControl w:val="0"/>
              <w:spacing w:before="0" w:beforeAutospacing="0" w:after="0" w:afterAutospacing="0" w:line="360" w:lineRule="auto"/>
              <w:ind w:firstLine="480" w:firstLineChars="200"/>
              <w:jc w:val="both"/>
              <w:rPr>
                <w:rFonts w:ascii="Times New Roman" w:hAnsi="Times New Roman"/>
                <w:bCs/>
                <w:color w:val="auto"/>
                <w:sz w:val="24"/>
                <w:szCs w:val="24"/>
              </w:rPr>
            </w:pPr>
            <w:r>
              <w:rPr>
                <w:rFonts w:ascii="Times New Roman" w:hAnsi="Times New Roman"/>
                <w:color w:val="auto"/>
                <w:kern w:val="1"/>
                <w:sz w:val="24"/>
                <w:szCs w:val="24"/>
              </w:rPr>
              <w:t>未被收集的</w:t>
            </w:r>
            <w:r>
              <w:rPr>
                <w:rFonts w:hint="eastAsia" w:ascii="Times New Roman" w:hAnsi="Times New Roman"/>
                <w:color w:val="auto"/>
                <w:kern w:val="1"/>
                <w:sz w:val="24"/>
                <w:szCs w:val="24"/>
              </w:rPr>
              <w:t>有机</w:t>
            </w:r>
            <w:r>
              <w:rPr>
                <w:rFonts w:ascii="Times New Roman" w:hAnsi="Times New Roman"/>
                <w:color w:val="auto"/>
                <w:sz w:val="24"/>
                <w:szCs w:val="24"/>
              </w:rPr>
              <w:t>废气</w:t>
            </w:r>
            <w:r>
              <w:rPr>
                <w:rFonts w:ascii="Times New Roman" w:hAnsi="Times New Roman"/>
                <w:color w:val="auto"/>
                <w:kern w:val="1"/>
                <w:sz w:val="24"/>
                <w:szCs w:val="24"/>
              </w:rPr>
              <w:t>（约</w:t>
            </w:r>
            <w:r>
              <w:rPr>
                <w:rFonts w:hint="eastAsia" w:ascii="Times New Roman" w:hAnsi="Times New Roman"/>
                <w:color w:val="auto"/>
                <w:kern w:val="1"/>
                <w:sz w:val="24"/>
                <w:szCs w:val="24"/>
              </w:rPr>
              <w:t>20</w:t>
            </w:r>
            <w:r>
              <w:rPr>
                <w:rFonts w:ascii="Times New Roman" w:hAnsi="Times New Roman"/>
                <w:color w:val="auto"/>
                <w:kern w:val="1"/>
                <w:sz w:val="24"/>
                <w:szCs w:val="24"/>
              </w:rPr>
              <w:t>%）</w:t>
            </w:r>
            <w:r>
              <w:rPr>
                <w:rFonts w:ascii="Times New Roman" w:hAnsi="Times New Roman"/>
                <w:bCs/>
                <w:color w:val="auto"/>
                <w:sz w:val="24"/>
                <w:szCs w:val="24"/>
              </w:rPr>
              <w:t>以无组织形式排放，</w:t>
            </w:r>
            <w:r>
              <w:rPr>
                <w:rFonts w:ascii="Times New Roman" w:hAnsi="Times New Roman"/>
                <w:color w:val="auto"/>
                <w:sz w:val="24"/>
                <w:szCs w:val="24"/>
              </w:rPr>
              <w:t>无组织非甲烷总烃排放量为</w:t>
            </w:r>
            <w:r>
              <w:rPr>
                <w:rFonts w:hint="eastAsia" w:ascii="Times New Roman" w:hAnsi="Times New Roman"/>
                <w:bCs/>
                <w:color w:val="auto"/>
                <w:sz w:val="24"/>
                <w:szCs w:val="24"/>
                <w:lang w:val="en-US" w:eastAsia="zh-CN"/>
              </w:rPr>
              <w:t>3.15</w:t>
            </w:r>
            <w:r>
              <w:rPr>
                <w:rFonts w:ascii="Times New Roman" w:hAnsi="Times New Roman"/>
                <w:bCs/>
                <w:color w:val="auto"/>
                <w:sz w:val="24"/>
                <w:szCs w:val="24"/>
              </w:rPr>
              <w:t>t</w:t>
            </w:r>
            <w:r>
              <w:rPr>
                <w:rFonts w:ascii="Times New Roman" w:hAnsi="Times New Roman"/>
                <w:color w:val="auto"/>
                <w:sz w:val="24"/>
                <w:szCs w:val="24"/>
              </w:rPr>
              <w:t>/a</w:t>
            </w:r>
            <w:r>
              <w:rPr>
                <w:rFonts w:ascii="Times New Roman" w:hAnsi="Times New Roman"/>
                <w:bCs/>
                <w:color w:val="auto"/>
                <w:sz w:val="24"/>
                <w:szCs w:val="24"/>
              </w:rPr>
              <w:t>。</w:t>
            </w:r>
          </w:p>
          <w:p>
            <w:pPr>
              <w:pStyle w:val="20"/>
              <w:widowControl w:val="0"/>
              <w:spacing w:before="0" w:beforeAutospacing="0" w:after="0" w:afterAutospacing="0" w:line="360" w:lineRule="auto"/>
              <w:ind w:firstLine="480" w:firstLineChars="200"/>
              <w:jc w:val="both"/>
              <w:rPr>
                <w:rFonts w:ascii="Times New Roman" w:hAnsi="Times New Roman"/>
                <w:color w:val="auto"/>
                <w:sz w:val="24"/>
                <w:szCs w:val="24"/>
              </w:rPr>
            </w:pPr>
            <w:r>
              <w:rPr>
                <w:rFonts w:hint="eastAsia"/>
                <w:color w:val="auto"/>
                <w:sz w:val="24"/>
                <w:szCs w:val="24"/>
              </w:rPr>
              <w:t>②</w:t>
            </w:r>
            <w:r>
              <w:rPr>
                <w:rFonts w:hint="eastAsia" w:ascii="Times New Roman" w:hAnsi="Times New Roman"/>
                <w:color w:val="auto"/>
                <w:sz w:val="24"/>
                <w:szCs w:val="24"/>
              </w:rPr>
              <w:t>颗粒物</w:t>
            </w:r>
          </w:p>
          <w:p>
            <w:pPr>
              <w:pStyle w:val="20"/>
              <w:spacing w:before="0" w:beforeAutospacing="0" w:after="0" w:afterAutospacing="0" w:line="360" w:lineRule="auto"/>
              <w:ind w:firstLine="480" w:firstLineChars="200"/>
              <w:jc w:val="both"/>
              <w:rPr>
                <w:rFonts w:hint="eastAsia" w:ascii="Times New Roman" w:hAnsi="Times New Roman"/>
                <w:bCs/>
                <w:color w:val="auto"/>
                <w:sz w:val="24"/>
                <w:szCs w:val="24"/>
              </w:rPr>
            </w:pPr>
            <w:r>
              <w:rPr>
                <w:rFonts w:hint="eastAsia" w:ascii="Times New Roman" w:hAnsi="Times New Roman"/>
                <w:b w:val="0"/>
                <w:bCs w:val="0"/>
                <w:color w:val="auto"/>
                <w:sz w:val="24"/>
                <w:szCs w:val="24"/>
                <w:lang w:val="en-US" w:eastAsia="zh-CN"/>
              </w:rPr>
              <w:t>颗粒物仅在熔融工段产生，项目原料含水率较高</w:t>
            </w:r>
            <w:r>
              <w:rPr>
                <w:rFonts w:hint="eastAsia" w:ascii="Times New Roman" w:hAnsi="Times New Roman"/>
                <w:b w:val="0"/>
                <w:bCs w:val="0"/>
                <w:color w:val="auto"/>
                <w:sz w:val="24"/>
                <w:szCs w:val="24"/>
              </w:rPr>
              <w:t>，</w:t>
            </w:r>
            <w:r>
              <w:rPr>
                <w:rFonts w:hint="eastAsia" w:ascii="Times New Roman" w:hAnsi="Times New Roman"/>
                <w:b w:val="0"/>
                <w:bCs w:val="0"/>
                <w:color w:val="auto"/>
                <w:sz w:val="24"/>
                <w:szCs w:val="24"/>
                <w:lang w:val="en-US" w:eastAsia="zh-CN"/>
              </w:rPr>
              <w:t>打铁及筛分</w:t>
            </w:r>
            <w:r>
              <w:rPr>
                <w:rFonts w:hint="eastAsia" w:ascii="Times New Roman" w:hAnsi="Times New Roman"/>
                <w:b w:val="0"/>
                <w:bCs w:val="0"/>
                <w:color w:val="auto"/>
                <w:sz w:val="24"/>
                <w:szCs w:val="24"/>
              </w:rPr>
              <w:t>过程不需要</w:t>
            </w:r>
            <w:r>
              <w:rPr>
                <w:rFonts w:hint="eastAsia" w:ascii="Times New Roman" w:hAnsi="Times New Roman"/>
                <w:b w:val="0"/>
                <w:bCs w:val="0"/>
                <w:color w:val="auto"/>
                <w:sz w:val="24"/>
                <w:szCs w:val="24"/>
                <w:lang w:val="en-US" w:eastAsia="zh-CN"/>
              </w:rPr>
              <w:t>洒水及湿润</w:t>
            </w:r>
            <w:r>
              <w:rPr>
                <w:rFonts w:hint="eastAsia" w:ascii="Times New Roman" w:hAnsi="Times New Roman"/>
                <w:b w:val="0"/>
                <w:bCs w:val="0"/>
                <w:color w:val="auto"/>
                <w:sz w:val="24"/>
                <w:szCs w:val="24"/>
              </w:rPr>
              <w:t>，</w:t>
            </w:r>
            <w:r>
              <w:rPr>
                <w:rFonts w:hint="eastAsia" w:ascii="Times New Roman" w:hAnsi="Times New Roman"/>
                <w:b w:val="0"/>
                <w:bCs w:val="0"/>
                <w:color w:val="auto"/>
                <w:sz w:val="24"/>
                <w:szCs w:val="24"/>
                <w:lang w:val="en-US" w:eastAsia="zh-CN"/>
              </w:rPr>
              <w:t>因此项目运行时预处理工段产生的不涉及粉尘产生</w:t>
            </w:r>
            <w:r>
              <w:rPr>
                <w:rFonts w:hint="eastAsia" w:ascii="Times New Roman" w:hAnsi="Times New Roman"/>
                <w:b w:val="0"/>
                <w:bCs w:val="0"/>
                <w:color w:val="auto"/>
                <w:sz w:val="24"/>
                <w:szCs w:val="24"/>
              </w:rPr>
              <w:t>。</w:t>
            </w:r>
          </w:p>
          <w:p>
            <w:pPr>
              <w:pStyle w:val="20"/>
              <w:spacing w:before="0" w:beforeAutospacing="0" w:after="0" w:afterAutospacing="0" w:line="360" w:lineRule="auto"/>
              <w:ind w:firstLine="480" w:firstLineChars="200"/>
              <w:jc w:val="both"/>
              <w:rPr>
                <w:rFonts w:ascii="Times New Roman" w:hAnsi="Times New Roman"/>
                <w:bCs/>
                <w:color w:val="auto"/>
                <w:kern w:val="0"/>
                <w:sz w:val="24"/>
                <w:szCs w:val="24"/>
                <w:lang w:bidi="ar"/>
              </w:rPr>
            </w:pPr>
            <w:r>
              <w:rPr>
                <w:rFonts w:hint="eastAsia" w:ascii="Times New Roman" w:hAnsi="Times New Roman"/>
                <w:bCs/>
                <w:color w:val="auto"/>
                <w:sz w:val="24"/>
                <w:szCs w:val="24"/>
              </w:rPr>
              <w:t>废塑料熔融挤出造粒过程</w:t>
            </w:r>
            <w:r>
              <w:rPr>
                <w:rFonts w:ascii="Times New Roman" w:hAnsi="Times New Roman"/>
                <w:color w:val="auto"/>
                <w:kern w:val="0"/>
                <w:sz w:val="24"/>
                <w:szCs w:val="24"/>
              </w:rPr>
              <w:t>会产生</w:t>
            </w:r>
            <w:r>
              <w:rPr>
                <w:rFonts w:hint="eastAsia" w:ascii="Times New Roman" w:hAnsi="Times New Roman"/>
                <w:color w:val="auto"/>
                <w:kern w:val="0"/>
                <w:sz w:val="24"/>
                <w:szCs w:val="24"/>
              </w:rPr>
              <w:t>少量烟尘（颗粒物），</w:t>
            </w:r>
            <w:r>
              <w:rPr>
                <w:rFonts w:hint="eastAsia" w:ascii="Times New Roman" w:hAnsi="Times New Roman"/>
                <w:color w:val="auto"/>
                <w:sz w:val="24"/>
                <w:szCs w:val="24"/>
              </w:rPr>
              <w:t>参考《塑料加工手册》和《空气污染物排放控制手册</w:t>
            </w:r>
            <w:r>
              <w:rPr>
                <w:rFonts w:hint="eastAsia" w:ascii="Times New Roman" w:hAnsi="Times New Roman"/>
                <w:color w:val="auto"/>
                <w:sz w:val="24"/>
                <w:szCs w:val="24"/>
                <w:lang w:eastAsia="zh-CN"/>
              </w:rPr>
              <w:t>－</w:t>
            </w:r>
            <w:r>
              <w:rPr>
                <w:rFonts w:hint="eastAsia" w:ascii="Times New Roman" w:hAnsi="Times New Roman"/>
                <w:color w:val="auto"/>
                <w:sz w:val="24"/>
                <w:szCs w:val="24"/>
              </w:rPr>
              <w:t>工业污染源调查与研究第二辑》，熔融挤出过程颗粒物产生量为0.05kg/t-原料。</w:t>
            </w:r>
            <w:r>
              <w:rPr>
                <w:rFonts w:hint="eastAsia" w:ascii="Times New Roman" w:hAnsi="Times New Roman"/>
                <w:bCs/>
                <w:color w:val="auto"/>
                <w:kern w:val="0"/>
                <w:sz w:val="24"/>
                <w:szCs w:val="24"/>
                <w:lang w:bidi="ar"/>
              </w:rPr>
              <w:t>项目用于</w:t>
            </w:r>
            <w:r>
              <w:rPr>
                <w:rFonts w:hint="eastAsia" w:ascii="Times New Roman" w:hAnsi="Times New Roman"/>
                <w:bCs/>
                <w:color w:val="auto"/>
                <w:sz w:val="24"/>
                <w:szCs w:val="24"/>
              </w:rPr>
              <w:t>熔融挤出造粒的废塑料原料量为</w:t>
            </w:r>
            <w:r>
              <w:rPr>
                <w:rFonts w:hint="eastAsia" w:ascii="Times New Roman" w:hAnsi="Times New Roman"/>
                <w:bCs/>
                <w:color w:val="auto"/>
                <w:sz w:val="24"/>
                <w:szCs w:val="24"/>
                <w:lang w:val="en-US" w:eastAsia="zh-CN"/>
              </w:rPr>
              <w:t>45000</w:t>
            </w:r>
            <w:r>
              <w:rPr>
                <w:rFonts w:hint="eastAsia" w:ascii="Times New Roman" w:hAnsi="Times New Roman"/>
                <w:bCs/>
                <w:color w:val="auto"/>
                <w:sz w:val="24"/>
                <w:szCs w:val="24"/>
              </w:rPr>
              <w:t>t/a，则</w:t>
            </w:r>
            <w:r>
              <w:rPr>
                <w:rFonts w:hint="eastAsia" w:ascii="Times New Roman" w:hAnsi="Times New Roman"/>
                <w:color w:val="auto"/>
                <w:sz w:val="24"/>
                <w:szCs w:val="24"/>
              </w:rPr>
              <w:t>熔融造粒</w:t>
            </w:r>
            <w:r>
              <w:rPr>
                <w:rFonts w:ascii="Times New Roman" w:hAnsi="Times New Roman"/>
                <w:bCs/>
                <w:color w:val="auto"/>
                <w:sz w:val="24"/>
                <w:szCs w:val="24"/>
              </w:rPr>
              <w:t>产生的</w:t>
            </w:r>
            <w:r>
              <w:rPr>
                <w:rFonts w:hint="eastAsia" w:ascii="Times New Roman" w:hAnsi="Times New Roman"/>
                <w:bCs/>
                <w:color w:val="auto"/>
                <w:sz w:val="24"/>
                <w:szCs w:val="24"/>
              </w:rPr>
              <w:t>颗粒物为</w:t>
            </w:r>
            <w:r>
              <w:rPr>
                <w:rFonts w:hint="eastAsia" w:ascii="Times New Roman" w:hAnsi="Times New Roman"/>
                <w:bCs/>
                <w:color w:val="auto"/>
                <w:sz w:val="24"/>
                <w:szCs w:val="24"/>
                <w:lang w:val="en-US" w:eastAsia="zh-CN"/>
              </w:rPr>
              <w:t>2.25</w:t>
            </w:r>
            <w:r>
              <w:rPr>
                <w:rFonts w:hint="eastAsia" w:ascii="Times New Roman" w:hAnsi="Times New Roman"/>
                <w:bCs/>
                <w:color w:val="auto"/>
                <w:sz w:val="24"/>
                <w:szCs w:val="24"/>
              </w:rPr>
              <w:t>t/a、</w:t>
            </w:r>
            <w:r>
              <w:rPr>
                <w:rFonts w:hint="eastAsia" w:ascii="Times New Roman" w:hAnsi="Times New Roman"/>
                <w:bCs/>
                <w:color w:val="auto"/>
                <w:sz w:val="24"/>
                <w:szCs w:val="24"/>
                <w:lang w:val="en-US" w:eastAsia="zh-CN"/>
              </w:rPr>
              <w:t>0.3125</w:t>
            </w:r>
            <w:r>
              <w:rPr>
                <w:rFonts w:ascii="Times New Roman" w:hAnsi="Times New Roman"/>
                <w:color w:val="auto"/>
                <w:sz w:val="24"/>
                <w:szCs w:val="24"/>
              </w:rPr>
              <w:t>kg/h</w:t>
            </w:r>
            <w:r>
              <w:rPr>
                <w:rFonts w:hint="eastAsia" w:ascii="Times New Roman" w:hAnsi="Times New Roman"/>
                <w:bCs/>
                <w:color w:val="auto"/>
                <w:sz w:val="24"/>
                <w:szCs w:val="24"/>
              </w:rPr>
              <w:t>，</w:t>
            </w:r>
            <w:r>
              <w:rPr>
                <w:rFonts w:ascii="Times New Roman" w:hAnsi="Times New Roman"/>
                <w:color w:val="auto"/>
                <w:sz w:val="24"/>
                <w:szCs w:val="24"/>
              </w:rPr>
              <w:t>其中有</w:t>
            </w:r>
            <w:r>
              <w:rPr>
                <w:rFonts w:hint="eastAsia" w:ascii="Times New Roman" w:hAnsi="Times New Roman"/>
                <w:color w:val="auto"/>
                <w:sz w:val="24"/>
                <w:szCs w:val="24"/>
              </w:rPr>
              <w:t>80</w:t>
            </w:r>
            <w:r>
              <w:rPr>
                <w:rFonts w:ascii="Times New Roman" w:hAnsi="Times New Roman"/>
                <w:color w:val="auto"/>
                <w:sz w:val="24"/>
                <w:szCs w:val="24"/>
              </w:rPr>
              <w:t>%的废气经过集气罩收集，则有组织</w:t>
            </w:r>
            <w:r>
              <w:rPr>
                <w:rFonts w:hint="eastAsia" w:ascii="Times New Roman" w:hAnsi="Times New Roman"/>
                <w:bCs/>
                <w:color w:val="auto"/>
                <w:sz w:val="24"/>
                <w:szCs w:val="24"/>
              </w:rPr>
              <w:t>颗粒物</w:t>
            </w:r>
            <w:r>
              <w:rPr>
                <w:rFonts w:ascii="Times New Roman" w:hAnsi="Times New Roman"/>
                <w:color w:val="auto"/>
                <w:sz w:val="24"/>
                <w:szCs w:val="24"/>
              </w:rPr>
              <w:t>收集量为</w:t>
            </w:r>
            <w:r>
              <w:rPr>
                <w:rFonts w:hint="eastAsia" w:ascii="Times New Roman" w:hAnsi="Times New Roman"/>
                <w:color w:val="auto"/>
                <w:sz w:val="24"/>
                <w:szCs w:val="24"/>
                <w:lang w:val="en-US" w:eastAsia="zh-CN"/>
              </w:rPr>
              <w:t>1.8</w:t>
            </w:r>
            <w:r>
              <w:rPr>
                <w:rFonts w:ascii="Times New Roman" w:hAnsi="Times New Roman"/>
                <w:color w:val="auto"/>
                <w:sz w:val="24"/>
                <w:szCs w:val="24"/>
              </w:rPr>
              <w:t>t/a、</w:t>
            </w:r>
            <w:r>
              <w:rPr>
                <w:rFonts w:hint="eastAsia" w:ascii="Times New Roman" w:hAnsi="Times New Roman"/>
                <w:color w:val="auto"/>
                <w:sz w:val="24"/>
                <w:szCs w:val="24"/>
                <w:lang w:val="en-US" w:eastAsia="zh-CN"/>
              </w:rPr>
              <w:t>0.25</w:t>
            </w:r>
            <w:r>
              <w:rPr>
                <w:rFonts w:ascii="Times New Roman" w:hAnsi="Times New Roman"/>
                <w:color w:val="auto"/>
                <w:sz w:val="24"/>
                <w:szCs w:val="24"/>
              </w:rPr>
              <w:t>kg/h，产生浓度为</w:t>
            </w:r>
            <w:r>
              <w:rPr>
                <w:rFonts w:hint="eastAsia" w:ascii="Times New Roman" w:hAnsi="Times New Roman"/>
                <w:color w:val="auto"/>
                <w:sz w:val="24"/>
                <w:szCs w:val="24"/>
                <w:lang w:val="en-US" w:eastAsia="zh-CN"/>
              </w:rPr>
              <w:t>25</w:t>
            </w:r>
            <w:r>
              <w:rPr>
                <w:rFonts w:ascii="Times New Roman" w:hAnsi="Times New Roman"/>
                <w:color w:val="auto"/>
                <w:sz w:val="24"/>
                <w:szCs w:val="24"/>
              </w:rPr>
              <w:t>mg/m</w:t>
            </w:r>
            <w:r>
              <w:rPr>
                <w:rFonts w:ascii="Times New Roman" w:hAnsi="Times New Roman"/>
                <w:color w:val="auto"/>
                <w:sz w:val="24"/>
                <w:szCs w:val="24"/>
                <w:vertAlign w:val="superscript"/>
              </w:rPr>
              <w:t>3</w:t>
            </w:r>
            <w:r>
              <w:rPr>
                <w:rFonts w:ascii="Times New Roman" w:hAnsi="Times New Roman"/>
                <w:bCs/>
                <w:color w:val="auto"/>
                <w:kern w:val="0"/>
                <w:sz w:val="24"/>
                <w:szCs w:val="24"/>
                <w:lang w:bidi="ar"/>
              </w:rPr>
              <w:t>，</w:t>
            </w:r>
            <w:r>
              <w:rPr>
                <w:rFonts w:hint="eastAsia" w:ascii="Times New Roman" w:hAnsi="Times New Roman"/>
                <w:bCs/>
                <w:color w:val="auto"/>
                <w:kern w:val="0"/>
                <w:sz w:val="24"/>
                <w:szCs w:val="24"/>
                <w:lang w:bidi="ar"/>
              </w:rPr>
              <w:t>颗粒物随造粒有机废气一起进入</w:t>
            </w:r>
            <w:r>
              <w:rPr>
                <w:rFonts w:ascii="Times New Roman" w:hAnsi="Times New Roman"/>
                <w:bCs/>
                <w:color w:val="auto"/>
                <w:kern w:val="0"/>
                <w:sz w:val="24"/>
                <w:szCs w:val="24"/>
                <w:lang w:bidi="ar"/>
              </w:rPr>
              <w:t>“过滤棉+</w:t>
            </w:r>
            <w:r>
              <w:rPr>
                <w:rFonts w:hint="eastAsia" w:ascii="Times New Roman" w:hAnsi="Times New Roman"/>
                <w:bCs/>
                <w:color w:val="auto"/>
                <w:kern w:val="0"/>
                <w:sz w:val="24"/>
                <w:szCs w:val="24"/>
                <w:lang w:eastAsia="zh-CN" w:bidi="ar"/>
              </w:rPr>
              <w:t>三级活性炭</w:t>
            </w:r>
            <w:r>
              <w:rPr>
                <w:rFonts w:ascii="Times New Roman" w:hAnsi="Times New Roman"/>
                <w:bCs/>
                <w:color w:val="auto"/>
                <w:kern w:val="0"/>
                <w:sz w:val="24"/>
                <w:szCs w:val="24"/>
                <w:lang w:bidi="ar"/>
              </w:rPr>
              <w:t>吸附装置”</w:t>
            </w:r>
            <w:r>
              <w:rPr>
                <w:rFonts w:hint="eastAsia" w:ascii="Times New Roman" w:hAnsi="Times New Roman"/>
                <w:bCs/>
                <w:color w:val="auto"/>
                <w:kern w:val="0"/>
                <w:sz w:val="24"/>
                <w:szCs w:val="24"/>
                <w:lang w:bidi="ar"/>
              </w:rPr>
              <w:t>，活性炭吸附装置前端设置过滤棉处理颗粒物，除尘效率约</w:t>
            </w:r>
            <w:r>
              <w:rPr>
                <w:rFonts w:ascii="Times New Roman" w:hAnsi="Times New Roman"/>
                <w:bCs/>
                <w:color w:val="auto"/>
                <w:kern w:val="0"/>
                <w:sz w:val="24"/>
                <w:szCs w:val="24"/>
                <w:lang w:bidi="ar"/>
              </w:rPr>
              <w:t>70%</w:t>
            </w:r>
            <w:r>
              <w:rPr>
                <w:rFonts w:hint="eastAsia" w:ascii="Times New Roman" w:hAnsi="Times New Roman"/>
                <w:bCs/>
                <w:color w:val="auto"/>
                <w:kern w:val="0"/>
                <w:sz w:val="24"/>
                <w:szCs w:val="24"/>
                <w:lang w:bidi="ar"/>
              </w:rPr>
              <w:t>，</w:t>
            </w:r>
            <w:r>
              <w:rPr>
                <w:rFonts w:ascii="Times New Roman" w:hAnsi="Times New Roman"/>
                <w:color w:val="auto"/>
                <w:sz w:val="24"/>
                <w:szCs w:val="24"/>
              </w:rPr>
              <w:t>则有组织</w:t>
            </w:r>
            <w:r>
              <w:rPr>
                <w:rFonts w:hint="eastAsia" w:ascii="Times New Roman" w:hAnsi="Times New Roman"/>
                <w:bCs/>
                <w:color w:val="auto"/>
                <w:sz w:val="24"/>
                <w:szCs w:val="24"/>
              </w:rPr>
              <w:t>颗粒物</w:t>
            </w:r>
            <w:r>
              <w:rPr>
                <w:rFonts w:ascii="Times New Roman" w:hAnsi="Times New Roman"/>
                <w:color w:val="auto"/>
                <w:sz w:val="24"/>
                <w:szCs w:val="24"/>
              </w:rPr>
              <w:t>排放量为</w:t>
            </w:r>
            <w:r>
              <w:rPr>
                <w:rFonts w:hint="eastAsia" w:ascii="Times New Roman" w:hAnsi="Times New Roman"/>
                <w:color w:val="auto"/>
                <w:sz w:val="24"/>
                <w:szCs w:val="24"/>
                <w:lang w:val="en-US" w:eastAsia="zh-CN"/>
              </w:rPr>
              <w:t>0.54</w:t>
            </w:r>
            <w:r>
              <w:rPr>
                <w:rFonts w:ascii="Times New Roman" w:hAnsi="Times New Roman"/>
                <w:color w:val="auto"/>
                <w:sz w:val="24"/>
                <w:szCs w:val="24"/>
              </w:rPr>
              <w:t>t/a，排放速率为</w:t>
            </w:r>
            <w:r>
              <w:rPr>
                <w:rFonts w:hint="eastAsia" w:ascii="Times New Roman" w:hAnsi="Times New Roman"/>
                <w:color w:val="auto"/>
                <w:sz w:val="24"/>
                <w:szCs w:val="24"/>
                <w:lang w:val="en-US" w:eastAsia="zh-CN"/>
              </w:rPr>
              <w:t>0.075</w:t>
            </w:r>
            <w:r>
              <w:rPr>
                <w:rFonts w:ascii="Times New Roman" w:hAnsi="Times New Roman"/>
                <w:color w:val="auto"/>
                <w:sz w:val="24"/>
                <w:szCs w:val="24"/>
              </w:rPr>
              <w:t>kg/h，排放浓度为</w:t>
            </w:r>
            <w:r>
              <w:rPr>
                <w:rFonts w:hint="eastAsia" w:ascii="Times New Roman" w:hAnsi="Times New Roman"/>
                <w:color w:val="auto"/>
                <w:sz w:val="24"/>
                <w:szCs w:val="24"/>
                <w:lang w:val="en-US" w:eastAsia="zh-CN"/>
              </w:rPr>
              <w:t>7.5</w:t>
            </w:r>
            <w:r>
              <w:rPr>
                <w:rFonts w:ascii="Times New Roman" w:hAnsi="Times New Roman"/>
                <w:color w:val="auto"/>
                <w:sz w:val="24"/>
                <w:szCs w:val="24"/>
              </w:rPr>
              <w:t>mg/m</w:t>
            </w:r>
            <w:r>
              <w:rPr>
                <w:rFonts w:ascii="Times New Roman" w:hAnsi="Times New Roman"/>
                <w:color w:val="auto"/>
                <w:sz w:val="24"/>
                <w:szCs w:val="24"/>
                <w:vertAlign w:val="superscript"/>
              </w:rPr>
              <w:t>3</w:t>
            </w:r>
            <w:r>
              <w:rPr>
                <w:rFonts w:ascii="Times New Roman" w:hAnsi="Times New Roman"/>
                <w:color w:val="auto"/>
                <w:sz w:val="24"/>
                <w:szCs w:val="24"/>
              </w:rPr>
              <w:t>。</w:t>
            </w:r>
            <w:r>
              <w:rPr>
                <w:rFonts w:hint="eastAsia" w:ascii="Times New Roman" w:hAnsi="Times New Roman"/>
                <w:color w:val="auto"/>
                <w:sz w:val="24"/>
                <w:szCs w:val="24"/>
              </w:rPr>
              <w:t>废气最终由</w:t>
            </w:r>
            <w:r>
              <w:rPr>
                <w:rFonts w:ascii="Times New Roman" w:hAnsi="Times New Roman"/>
                <w:color w:val="auto"/>
                <w:sz w:val="24"/>
                <w:szCs w:val="24"/>
              </w:rPr>
              <w:t>1</w:t>
            </w:r>
            <w:r>
              <w:rPr>
                <w:rFonts w:hint="eastAsia" w:ascii="Times New Roman" w:hAnsi="Times New Roman"/>
                <w:color w:val="auto"/>
                <w:sz w:val="24"/>
                <w:szCs w:val="24"/>
              </w:rPr>
              <w:t>根</w:t>
            </w:r>
            <w:r>
              <w:rPr>
                <w:rFonts w:hint="eastAsia" w:ascii="Times New Roman" w:hAnsi="Times New Roman"/>
                <w:color w:val="auto"/>
                <w:sz w:val="24"/>
                <w:szCs w:val="24"/>
                <w:lang w:val="en-US" w:eastAsia="zh-CN"/>
              </w:rPr>
              <w:t>15</w:t>
            </w:r>
            <w:r>
              <w:rPr>
                <w:rFonts w:ascii="Times New Roman" w:hAnsi="Times New Roman"/>
                <w:color w:val="auto"/>
                <w:sz w:val="24"/>
                <w:szCs w:val="24"/>
              </w:rPr>
              <w:t>m</w:t>
            </w:r>
            <w:r>
              <w:rPr>
                <w:rFonts w:hint="eastAsia" w:ascii="Times New Roman" w:hAnsi="Times New Roman"/>
                <w:color w:val="auto"/>
                <w:sz w:val="24"/>
                <w:szCs w:val="24"/>
              </w:rPr>
              <w:t>高的排气筒排放。</w:t>
            </w:r>
          </w:p>
          <w:p>
            <w:pPr>
              <w:pStyle w:val="20"/>
              <w:spacing w:before="0" w:beforeAutospacing="0" w:after="0" w:afterAutospacing="0" w:line="360" w:lineRule="auto"/>
              <w:ind w:firstLine="480" w:firstLineChars="200"/>
              <w:jc w:val="both"/>
              <w:rPr>
                <w:rFonts w:ascii="Times New Roman" w:hAnsi="Times New Roman"/>
                <w:color w:val="auto"/>
                <w:sz w:val="24"/>
                <w:szCs w:val="24"/>
              </w:rPr>
            </w:pPr>
            <w:r>
              <w:rPr>
                <w:rFonts w:ascii="Times New Roman" w:hAnsi="Times New Roman"/>
                <w:color w:val="auto"/>
                <w:kern w:val="1"/>
                <w:sz w:val="24"/>
                <w:szCs w:val="24"/>
              </w:rPr>
              <w:t>未被收集的</w:t>
            </w:r>
            <w:r>
              <w:rPr>
                <w:rFonts w:hint="eastAsia" w:ascii="Times New Roman" w:hAnsi="Times New Roman"/>
                <w:color w:val="auto"/>
                <w:kern w:val="1"/>
                <w:sz w:val="24"/>
                <w:szCs w:val="24"/>
              </w:rPr>
              <w:t>颗粒物</w:t>
            </w:r>
            <w:r>
              <w:rPr>
                <w:rFonts w:ascii="Times New Roman" w:hAnsi="Times New Roman"/>
                <w:color w:val="auto"/>
                <w:kern w:val="1"/>
                <w:sz w:val="24"/>
                <w:szCs w:val="24"/>
              </w:rPr>
              <w:t>（约</w:t>
            </w:r>
            <w:r>
              <w:rPr>
                <w:rFonts w:hint="eastAsia" w:ascii="Times New Roman" w:hAnsi="Times New Roman"/>
                <w:color w:val="auto"/>
                <w:kern w:val="1"/>
                <w:sz w:val="24"/>
                <w:szCs w:val="24"/>
              </w:rPr>
              <w:t>20</w:t>
            </w:r>
            <w:r>
              <w:rPr>
                <w:rFonts w:ascii="Times New Roman" w:hAnsi="Times New Roman"/>
                <w:color w:val="auto"/>
                <w:kern w:val="1"/>
                <w:sz w:val="24"/>
                <w:szCs w:val="24"/>
              </w:rPr>
              <w:t>%）</w:t>
            </w:r>
            <w:r>
              <w:rPr>
                <w:rFonts w:ascii="Times New Roman" w:hAnsi="Times New Roman"/>
                <w:bCs/>
                <w:color w:val="auto"/>
                <w:sz w:val="24"/>
                <w:szCs w:val="24"/>
              </w:rPr>
              <w:t>以无组织形式排放，无组织</w:t>
            </w:r>
            <w:r>
              <w:rPr>
                <w:rFonts w:hint="eastAsia" w:ascii="Times New Roman" w:hAnsi="Times New Roman"/>
                <w:bCs/>
                <w:color w:val="auto"/>
                <w:sz w:val="24"/>
                <w:szCs w:val="24"/>
              </w:rPr>
              <w:t>颗粒物</w:t>
            </w:r>
            <w:r>
              <w:rPr>
                <w:rFonts w:ascii="Times New Roman" w:hAnsi="Times New Roman"/>
                <w:bCs/>
                <w:color w:val="auto"/>
                <w:sz w:val="24"/>
                <w:szCs w:val="24"/>
              </w:rPr>
              <w:t>排放量为</w:t>
            </w:r>
            <w:r>
              <w:rPr>
                <w:rFonts w:hint="eastAsia" w:ascii="Times New Roman" w:hAnsi="Times New Roman"/>
                <w:bCs/>
                <w:color w:val="auto"/>
                <w:sz w:val="24"/>
                <w:szCs w:val="24"/>
              </w:rPr>
              <w:t>0.</w:t>
            </w:r>
            <w:r>
              <w:rPr>
                <w:rFonts w:hint="eastAsia" w:ascii="Times New Roman" w:hAnsi="Times New Roman"/>
                <w:bCs/>
                <w:color w:val="auto"/>
                <w:sz w:val="24"/>
                <w:szCs w:val="24"/>
                <w:lang w:val="en-US" w:eastAsia="zh-CN"/>
              </w:rPr>
              <w:t>45</w:t>
            </w:r>
            <w:r>
              <w:rPr>
                <w:rFonts w:ascii="Times New Roman" w:hAnsi="Times New Roman"/>
                <w:bCs/>
                <w:color w:val="auto"/>
                <w:sz w:val="24"/>
                <w:szCs w:val="24"/>
              </w:rPr>
              <w:t>t/a。</w:t>
            </w:r>
          </w:p>
          <w:p>
            <w:pPr>
              <w:pStyle w:val="20"/>
              <w:spacing w:before="0" w:beforeAutospacing="0" w:after="0" w:afterAutospacing="0" w:line="360" w:lineRule="auto"/>
              <w:ind w:firstLine="480" w:firstLineChars="200"/>
              <w:jc w:val="both"/>
              <w:rPr>
                <w:rFonts w:ascii="Times New Roman" w:hAnsi="Times New Roman"/>
                <w:color w:val="auto"/>
                <w:sz w:val="24"/>
                <w:szCs w:val="24"/>
              </w:rPr>
            </w:pPr>
            <w:r>
              <w:rPr>
                <w:rFonts w:hint="eastAsia"/>
                <w:color w:val="auto"/>
                <w:sz w:val="24"/>
                <w:szCs w:val="24"/>
              </w:rPr>
              <w:t>③</w:t>
            </w:r>
            <w:r>
              <w:rPr>
                <w:rFonts w:hint="eastAsia" w:ascii="Times New Roman" w:hAnsi="Times New Roman"/>
                <w:color w:val="auto"/>
                <w:sz w:val="24"/>
                <w:szCs w:val="24"/>
              </w:rPr>
              <w:t>臭气浓度</w:t>
            </w:r>
          </w:p>
          <w:p>
            <w:pPr>
              <w:pStyle w:val="20"/>
              <w:spacing w:before="0" w:beforeAutospacing="0" w:after="0" w:afterAutospacing="0" w:line="360" w:lineRule="auto"/>
              <w:ind w:firstLine="480" w:firstLineChars="200"/>
              <w:jc w:val="both"/>
              <w:rPr>
                <w:rFonts w:ascii="Times New Roman" w:hAnsi="Times New Roman"/>
                <w:bCs/>
                <w:color w:val="auto"/>
                <w:sz w:val="24"/>
                <w:szCs w:val="24"/>
              </w:rPr>
            </w:pPr>
            <w:r>
              <w:rPr>
                <w:rFonts w:hint="eastAsia" w:ascii="Times New Roman" w:hAnsi="Times New Roman"/>
                <w:bCs/>
                <w:color w:val="auto"/>
                <w:sz w:val="24"/>
                <w:szCs w:val="24"/>
              </w:rPr>
              <w:t>塑料熔融挤出造粒废气中伴随有臭气，难以定量分析，大部分臭气收集进入</w:t>
            </w:r>
            <w:r>
              <w:rPr>
                <w:rFonts w:ascii="Times New Roman" w:hAnsi="Times New Roman"/>
                <w:bCs/>
                <w:color w:val="auto"/>
                <w:sz w:val="24"/>
                <w:szCs w:val="24"/>
              </w:rPr>
              <w:t>活性炭吸附装置</w:t>
            </w:r>
            <w:r>
              <w:rPr>
                <w:rFonts w:hint="eastAsia" w:ascii="Times New Roman" w:hAnsi="Times New Roman"/>
                <w:bCs/>
                <w:color w:val="auto"/>
                <w:sz w:val="24"/>
                <w:szCs w:val="24"/>
              </w:rPr>
              <w:t>处理后</w:t>
            </w:r>
            <w:r>
              <w:rPr>
                <w:rFonts w:ascii="Times New Roman" w:hAnsi="Times New Roman"/>
                <w:color w:val="auto"/>
                <w:sz w:val="24"/>
                <w:szCs w:val="24"/>
              </w:rPr>
              <w:t>由1根</w:t>
            </w:r>
            <w:r>
              <w:rPr>
                <w:rFonts w:hint="eastAsia" w:ascii="Times New Roman" w:hAnsi="Times New Roman"/>
                <w:color w:val="auto"/>
                <w:sz w:val="24"/>
                <w:szCs w:val="24"/>
                <w:lang w:val="en-US" w:eastAsia="zh-CN"/>
              </w:rPr>
              <w:t>15</w:t>
            </w:r>
            <w:r>
              <w:rPr>
                <w:rFonts w:ascii="Times New Roman" w:hAnsi="Times New Roman"/>
                <w:color w:val="auto"/>
                <w:sz w:val="24"/>
                <w:szCs w:val="24"/>
              </w:rPr>
              <w:t>m高的排气筒（DA001）排放</w:t>
            </w:r>
            <w:r>
              <w:rPr>
                <w:rFonts w:hint="eastAsia" w:ascii="Times New Roman" w:hAnsi="Times New Roman"/>
                <w:color w:val="auto"/>
                <w:sz w:val="24"/>
                <w:szCs w:val="24"/>
              </w:rPr>
              <w:t>；剩余少部分臭气呈无组织排放，</w:t>
            </w:r>
            <w:r>
              <w:rPr>
                <w:rFonts w:hint="eastAsia" w:ascii="Times New Roman" w:hAnsi="Times New Roman"/>
                <w:bCs/>
                <w:color w:val="auto"/>
                <w:sz w:val="24"/>
                <w:szCs w:val="24"/>
              </w:rPr>
              <w:t>经采取加强车间通风措施，无组织臭气经大气稀释扩散后</w:t>
            </w:r>
            <w:r>
              <w:rPr>
                <w:rFonts w:ascii="Times New Roman" w:hAnsi="Times New Roman"/>
                <w:bCs/>
                <w:color w:val="auto"/>
                <w:sz w:val="24"/>
                <w:szCs w:val="24"/>
              </w:rPr>
              <w:t>排放量较少。</w:t>
            </w:r>
          </w:p>
          <w:p>
            <w:pPr>
              <w:pStyle w:val="20"/>
              <w:spacing w:before="0" w:beforeAutospacing="0" w:after="0" w:afterAutospacing="0" w:line="360" w:lineRule="auto"/>
              <w:ind w:firstLine="480" w:firstLineChars="200"/>
              <w:jc w:val="both"/>
              <w:rPr>
                <w:rFonts w:ascii="Times New Roman" w:hAnsi="Times New Roman"/>
                <w:bCs/>
                <w:color w:val="auto"/>
                <w:sz w:val="24"/>
                <w:szCs w:val="24"/>
              </w:rPr>
            </w:pPr>
            <w:r>
              <w:rPr>
                <w:rFonts w:ascii="Times New Roman" w:hAnsi="Times New Roman"/>
                <w:color w:val="auto"/>
                <w:sz w:val="24"/>
                <w:szCs w:val="24"/>
              </w:rPr>
              <w:t>臭气浓度类比《重庆北控再生资源有限公司5万吨废旧塑料综合利用项目（造粒车间4条生产线3.5万吨）竣工环境保护验收监测报告》中的监测数据进行分析，该项目年产</w:t>
            </w:r>
            <w:r>
              <w:rPr>
                <w:rFonts w:ascii="Times New Roman" w:hAnsi="Times New Roman"/>
                <w:bCs/>
                <w:color w:val="auto"/>
                <w:sz w:val="24"/>
                <w:szCs w:val="24"/>
              </w:rPr>
              <w:t>塑料颗粒3.5万吨，原料为废塑料，经破碎、清洗、脱水、熔融挤出、冷却、切粒工序得到塑料颗粒产品，熔融</w:t>
            </w:r>
            <w:r>
              <w:rPr>
                <w:rFonts w:hint="eastAsia" w:ascii="Times New Roman" w:hAnsi="Times New Roman"/>
                <w:bCs/>
                <w:color w:val="auto"/>
                <w:sz w:val="24"/>
                <w:szCs w:val="24"/>
              </w:rPr>
              <w:t>造粒</w:t>
            </w:r>
            <w:r>
              <w:rPr>
                <w:rFonts w:ascii="Times New Roman" w:hAnsi="Times New Roman"/>
                <w:bCs/>
                <w:color w:val="auto"/>
                <w:sz w:val="24"/>
                <w:szCs w:val="24"/>
              </w:rPr>
              <w:t>废气采用活性炭吸附处理工艺。</w:t>
            </w:r>
            <w:r>
              <w:rPr>
                <w:rFonts w:ascii="Times New Roman" w:hAnsi="Times New Roman"/>
                <w:color w:val="auto"/>
                <w:sz w:val="24"/>
                <w:szCs w:val="24"/>
              </w:rPr>
              <w:t>该项目</w:t>
            </w:r>
            <w:r>
              <w:rPr>
                <w:rFonts w:hint="eastAsia" w:ascii="Times New Roman" w:hAnsi="Times New Roman"/>
                <w:color w:val="auto"/>
                <w:sz w:val="24"/>
                <w:szCs w:val="24"/>
              </w:rPr>
              <w:t>生产工艺、</w:t>
            </w:r>
            <w:r>
              <w:rPr>
                <w:rFonts w:ascii="Times New Roman" w:hAnsi="Times New Roman"/>
                <w:color w:val="auto"/>
                <w:sz w:val="24"/>
                <w:szCs w:val="24"/>
              </w:rPr>
              <w:t>废气产污环节、污染物种类</w:t>
            </w:r>
            <w:r>
              <w:rPr>
                <w:rFonts w:hint="eastAsia" w:ascii="Times New Roman" w:hAnsi="Times New Roman"/>
                <w:color w:val="auto"/>
                <w:sz w:val="24"/>
                <w:szCs w:val="24"/>
              </w:rPr>
              <w:t>、废气处理工艺与本项目基本一致，</w:t>
            </w:r>
            <w:r>
              <w:rPr>
                <w:rFonts w:hint="eastAsia"/>
                <w:color w:val="auto"/>
                <w:sz w:val="24"/>
                <w:szCs w:val="24"/>
              </w:rPr>
              <w:t>本项目臭气浓度类比该项目竣工环境保护验收监测数据是可行的。</w:t>
            </w:r>
          </w:p>
          <w:p>
            <w:pPr>
              <w:pStyle w:val="20"/>
              <w:spacing w:before="0" w:beforeAutospacing="0" w:after="0" w:afterAutospacing="0" w:line="360" w:lineRule="auto"/>
              <w:ind w:firstLine="480" w:firstLineChars="200"/>
              <w:jc w:val="both"/>
              <w:rPr>
                <w:rFonts w:hint="eastAsia"/>
                <w:color w:val="auto"/>
                <w:sz w:val="24"/>
                <w:szCs w:val="24"/>
              </w:rPr>
            </w:pPr>
            <w:r>
              <w:rPr>
                <w:rFonts w:hint="eastAsia"/>
                <w:color w:val="auto"/>
                <w:sz w:val="24"/>
                <w:szCs w:val="24"/>
              </w:rPr>
              <w:t>类比项目有组织臭气浓度监测结果如下：</w:t>
            </w:r>
          </w:p>
          <w:p>
            <w:pPr>
              <w:pStyle w:val="20"/>
              <w:widowControl w:val="0"/>
              <w:spacing w:before="0" w:beforeAutospacing="0" w:after="0" w:afterAutospacing="0"/>
              <w:jc w:val="center"/>
              <w:rPr>
                <w:rFonts w:ascii="Times New Roman" w:hAnsi="Times New Roman"/>
                <w:b/>
                <w:bCs/>
                <w:color w:val="auto"/>
                <w:sz w:val="24"/>
                <w:szCs w:val="24"/>
              </w:rPr>
            </w:pPr>
            <w:r>
              <w:rPr>
                <w:rFonts w:ascii="Times New Roman" w:hAnsi="Times New Roman"/>
                <w:b/>
                <w:bCs/>
                <w:color w:val="auto"/>
                <w:sz w:val="24"/>
                <w:szCs w:val="24"/>
              </w:rPr>
              <w:t>表4-</w:t>
            </w:r>
            <w:r>
              <w:rPr>
                <w:rFonts w:hint="eastAsia" w:ascii="Times New Roman" w:hAnsi="Times New Roman"/>
                <w:b/>
                <w:bCs/>
                <w:color w:val="auto"/>
                <w:sz w:val="24"/>
                <w:szCs w:val="24"/>
              </w:rPr>
              <w:t>2</w:t>
            </w:r>
            <w:r>
              <w:rPr>
                <w:rFonts w:ascii="Times New Roman" w:hAnsi="Times New Roman"/>
                <w:b/>
                <w:bCs/>
                <w:color w:val="auto"/>
                <w:sz w:val="24"/>
                <w:szCs w:val="24"/>
              </w:rPr>
              <w:t xml:space="preserve">  类比项目有组织臭气浓度监测结果表</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4"/>
              <w:gridCol w:w="850"/>
              <w:gridCol w:w="851"/>
              <w:gridCol w:w="850"/>
              <w:gridCol w:w="851"/>
              <w:gridCol w:w="850"/>
              <w:gridCol w:w="851"/>
              <w:gridCol w:w="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2864" w:type="dxa"/>
                  <w:gridSpan w:val="2"/>
                  <w:vMerge w:val="restart"/>
                  <w:vAlign w:val="center"/>
                </w:tcPr>
                <w:p>
                  <w:pPr>
                    <w:pStyle w:val="20"/>
                    <w:spacing w:before="0" w:after="0"/>
                    <w:jc w:val="center"/>
                    <w:rPr>
                      <w:rFonts w:ascii="Times New Roman" w:hAnsi="Times New Roman"/>
                      <w:b/>
                      <w:bCs/>
                      <w:color w:val="auto"/>
                      <w:sz w:val="21"/>
                      <w:szCs w:val="21"/>
                    </w:rPr>
                  </w:pPr>
                  <w:r>
                    <w:rPr>
                      <w:rFonts w:ascii="Times New Roman" w:hAnsi="Times New Roman"/>
                      <w:b/>
                      <w:bCs/>
                      <w:color w:val="auto"/>
                      <w:sz w:val="21"/>
                      <w:szCs w:val="21"/>
                    </w:rPr>
                    <w:t>检测点位</w:t>
                  </w:r>
                </w:p>
              </w:tc>
              <w:tc>
                <w:tcPr>
                  <w:tcW w:w="5178" w:type="dxa"/>
                  <w:gridSpan w:val="6"/>
                  <w:vAlign w:val="center"/>
                </w:tcPr>
                <w:p>
                  <w:pPr>
                    <w:pStyle w:val="20"/>
                    <w:spacing w:before="0" w:beforeAutospacing="0" w:after="0" w:afterAutospacing="0"/>
                    <w:jc w:val="center"/>
                    <w:rPr>
                      <w:rFonts w:ascii="Times New Roman" w:hAnsi="Times New Roman"/>
                      <w:b/>
                      <w:bCs/>
                      <w:color w:val="auto"/>
                      <w:sz w:val="21"/>
                      <w:szCs w:val="21"/>
                    </w:rPr>
                  </w:pPr>
                  <w:r>
                    <w:rPr>
                      <w:rFonts w:ascii="Times New Roman" w:hAnsi="Times New Roman"/>
                      <w:b/>
                      <w:bCs/>
                      <w:color w:val="auto"/>
                      <w:sz w:val="21"/>
                      <w:szCs w:val="21"/>
                    </w:rPr>
                    <w:t>造粒生产线废气处理设施进口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2864" w:type="dxa"/>
                  <w:gridSpan w:val="2"/>
                  <w:vMerge w:val="continue"/>
                  <w:vAlign w:val="center"/>
                </w:tcPr>
                <w:p>
                  <w:pPr>
                    <w:pStyle w:val="20"/>
                    <w:spacing w:before="0" w:beforeAutospacing="0" w:after="0" w:afterAutospacing="0"/>
                    <w:jc w:val="center"/>
                    <w:rPr>
                      <w:rFonts w:ascii="Times New Roman" w:hAnsi="Times New Roman"/>
                      <w:b/>
                      <w:bCs/>
                      <w:color w:val="auto"/>
                      <w:sz w:val="21"/>
                      <w:szCs w:val="21"/>
                    </w:rPr>
                  </w:pPr>
                </w:p>
              </w:tc>
              <w:tc>
                <w:tcPr>
                  <w:tcW w:w="2552" w:type="dxa"/>
                  <w:gridSpan w:val="3"/>
                  <w:vAlign w:val="center"/>
                </w:tcPr>
                <w:p>
                  <w:pPr>
                    <w:pStyle w:val="20"/>
                    <w:jc w:val="center"/>
                    <w:rPr>
                      <w:rFonts w:ascii="Times New Roman" w:hAnsi="Times New Roman"/>
                      <w:b/>
                      <w:bCs/>
                      <w:color w:val="auto"/>
                      <w:sz w:val="21"/>
                      <w:szCs w:val="21"/>
                    </w:rPr>
                  </w:pPr>
                  <w:r>
                    <w:rPr>
                      <w:rFonts w:ascii="Times New Roman" w:hAnsi="Times New Roman"/>
                      <w:b/>
                      <w:bCs/>
                      <w:color w:val="auto"/>
                      <w:sz w:val="21"/>
                      <w:szCs w:val="21"/>
                    </w:rPr>
                    <w:t>2018年3月20日</w:t>
                  </w:r>
                </w:p>
              </w:tc>
              <w:tc>
                <w:tcPr>
                  <w:tcW w:w="2626" w:type="dxa"/>
                  <w:gridSpan w:val="3"/>
                  <w:vAlign w:val="center"/>
                </w:tcPr>
                <w:p>
                  <w:pPr>
                    <w:pStyle w:val="20"/>
                    <w:jc w:val="center"/>
                    <w:rPr>
                      <w:rFonts w:ascii="Times New Roman" w:hAnsi="Times New Roman"/>
                      <w:b/>
                      <w:bCs/>
                      <w:color w:val="auto"/>
                      <w:sz w:val="21"/>
                      <w:szCs w:val="21"/>
                    </w:rPr>
                  </w:pPr>
                  <w:r>
                    <w:rPr>
                      <w:rFonts w:ascii="Times New Roman" w:hAnsi="Times New Roman"/>
                      <w:b/>
                      <w:bCs/>
                      <w:color w:val="auto"/>
                      <w:sz w:val="21"/>
                      <w:szCs w:val="21"/>
                    </w:rPr>
                    <w:t>2018年3月21日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2014" w:type="dxa"/>
                  <w:vAlign w:val="center"/>
                </w:tcPr>
                <w:p>
                  <w:pPr>
                    <w:pStyle w:val="20"/>
                    <w:jc w:val="center"/>
                    <w:rPr>
                      <w:rFonts w:ascii="Times New Roman" w:hAnsi="Times New Roman"/>
                      <w:color w:val="auto"/>
                      <w:sz w:val="21"/>
                      <w:szCs w:val="21"/>
                    </w:rPr>
                  </w:pPr>
                  <w:r>
                    <w:rPr>
                      <w:rFonts w:ascii="Times New Roman" w:hAnsi="Times New Roman"/>
                      <w:color w:val="auto"/>
                      <w:sz w:val="21"/>
                      <w:szCs w:val="21"/>
                    </w:rPr>
                    <w:t>检测指标</w:t>
                  </w:r>
                </w:p>
              </w:tc>
              <w:tc>
                <w:tcPr>
                  <w:tcW w:w="850"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单位</w:t>
                  </w:r>
                </w:p>
              </w:tc>
              <w:tc>
                <w:tcPr>
                  <w:tcW w:w="851"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第一次</w:t>
                  </w:r>
                </w:p>
              </w:tc>
              <w:tc>
                <w:tcPr>
                  <w:tcW w:w="850"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第二次</w:t>
                  </w:r>
                </w:p>
              </w:tc>
              <w:tc>
                <w:tcPr>
                  <w:tcW w:w="851"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第三次</w:t>
                  </w:r>
                </w:p>
              </w:tc>
              <w:tc>
                <w:tcPr>
                  <w:tcW w:w="850"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第一次</w:t>
                  </w:r>
                </w:p>
              </w:tc>
              <w:tc>
                <w:tcPr>
                  <w:tcW w:w="851"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第二次</w:t>
                  </w:r>
                </w:p>
              </w:tc>
              <w:tc>
                <w:tcPr>
                  <w:tcW w:w="925"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第三次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14" w:type="dxa"/>
                  <w:vAlign w:val="center"/>
                </w:tcPr>
                <w:p>
                  <w:pPr>
                    <w:pStyle w:val="20"/>
                    <w:jc w:val="center"/>
                    <w:rPr>
                      <w:rFonts w:ascii="Times New Roman" w:hAnsi="Times New Roman"/>
                      <w:color w:val="auto"/>
                      <w:sz w:val="21"/>
                      <w:szCs w:val="21"/>
                    </w:rPr>
                  </w:pPr>
                  <w:r>
                    <w:rPr>
                      <w:rFonts w:ascii="Times New Roman" w:hAnsi="Times New Roman"/>
                      <w:color w:val="auto"/>
                      <w:sz w:val="21"/>
                      <w:szCs w:val="21"/>
                    </w:rPr>
                    <w:t>烟气流速</w:t>
                  </w:r>
                </w:p>
              </w:tc>
              <w:tc>
                <w:tcPr>
                  <w:tcW w:w="850" w:type="dxa"/>
                  <w:vAlign w:val="center"/>
                </w:tcPr>
                <w:p>
                  <w:pPr>
                    <w:pStyle w:val="20"/>
                    <w:jc w:val="center"/>
                    <w:rPr>
                      <w:rFonts w:ascii="Times New Roman" w:hAnsi="Times New Roman"/>
                      <w:color w:val="auto"/>
                      <w:sz w:val="21"/>
                      <w:szCs w:val="21"/>
                    </w:rPr>
                  </w:pPr>
                  <w:r>
                    <w:rPr>
                      <w:rFonts w:ascii="Times New Roman" w:hAnsi="Times New Roman"/>
                      <w:color w:val="auto"/>
                      <w:sz w:val="21"/>
                      <w:szCs w:val="21"/>
                    </w:rPr>
                    <w:t>m/s</w:t>
                  </w:r>
                </w:p>
              </w:tc>
              <w:tc>
                <w:tcPr>
                  <w:tcW w:w="851"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13.6</w:t>
                  </w:r>
                </w:p>
              </w:tc>
              <w:tc>
                <w:tcPr>
                  <w:tcW w:w="850"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13.8</w:t>
                  </w:r>
                </w:p>
              </w:tc>
              <w:tc>
                <w:tcPr>
                  <w:tcW w:w="851"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13.7</w:t>
                  </w:r>
                </w:p>
              </w:tc>
              <w:tc>
                <w:tcPr>
                  <w:tcW w:w="850"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13.5</w:t>
                  </w:r>
                </w:p>
              </w:tc>
              <w:tc>
                <w:tcPr>
                  <w:tcW w:w="851"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13.5</w:t>
                  </w:r>
                </w:p>
              </w:tc>
              <w:tc>
                <w:tcPr>
                  <w:tcW w:w="925"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13.5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14" w:type="dxa"/>
                  <w:vAlign w:val="center"/>
                </w:tcPr>
                <w:p>
                  <w:pPr>
                    <w:pStyle w:val="20"/>
                    <w:jc w:val="center"/>
                    <w:rPr>
                      <w:rFonts w:ascii="Times New Roman" w:hAnsi="Times New Roman"/>
                      <w:color w:val="auto"/>
                      <w:sz w:val="21"/>
                      <w:szCs w:val="21"/>
                    </w:rPr>
                  </w:pPr>
                  <w:r>
                    <w:rPr>
                      <w:rFonts w:ascii="Times New Roman" w:hAnsi="Times New Roman"/>
                      <w:color w:val="auto"/>
                      <w:sz w:val="21"/>
                      <w:szCs w:val="21"/>
                    </w:rPr>
                    <w:t>烟气流量（标干）</w:t>
                  </w:r>
                </w:p>
              </w:tc>
              <w:tc>
                <w:tcPr>
                  <w:tcW w:w="850" w:type="dxa"/>
                  <w:vAlign w:val="center"/>
                </w:tcPr>
                <w:p>
                  <w:pPr>
                    <w:pStyle w:val="20"/>
                    <w:jc w:val="center"/>
                    <w:rPr>
                      <w:rFonts w:ascii="Times New Roman" w:hAnsi="Times New Roman"/>
                      <w:color w:val="auto"/>
                      <w:sz w:val="21"/>
                      <w:szCs w:val="21"/>
                    </w:rPr>
                  </w:pPr>
                  <w:r>
                    <w:rPr>
                      <w:rFonts w:ascii="Times New Roman" w:hAnsi="Times New Roman"/>
                      <w:color w:val="auto"/>
                      <w:sz w:val="21"/>
                      <w:szCs w:val="21"/>
                    </w:rPr>
                    <w:t>m</w:t>
                  </w:r>
                  <w:r>
                    <w:rPr>
                      <w:rFonts w:ascii="Times New Roman" w:hAnsi="Times New Roman"/>
                      <w:color w:val="auto"/>
                      <w:sz w:val="21"/>
                      <w:szCs w:val="21"/>
                      <w:vertAlign w:val="superscript"/>
                    </w:rPr>
                    <w:t>3</w:t>
                  </w:r>
                  <w:r>
                    <w:rPr>
                      <w:rFonts w:ascii="Times New Roman" w:hAnsi="Times New Roman"/>
                      <w:color w:val="auto"/>
                      <w:sz w:val="21"/>
                      <w:szCs w:val="21"/>
                    </w:rPr>
                    <w:t>/h</w:t>
                  </w:r>
                </w:p>
              </w:tc>
              <w:tc>
                <w:tcPr>
                  <w:tcW w:w="851"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4980</w:t>
                  </w:r>
                </w:p>
              </w:tc>
              <w:tc>
                <w:tcPr>
                  <w:tcW w:w="850"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5010</w:t>
                  </w:r>
                </w:p>
              </w:tc>
              <w:tc>
                <w:tcPr>
                  <w:tcW w:w="851"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5000</w:t>
                  </w:r>
                </w:p>
              </w:tc>
              <w:tc>
                <w:tcPr>
                  <w:tcW w:w="850"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4960</w:t>
                  </w:r>
                </w:p>
              </w:tc>
              <w:tc>
                <w:tcPr>
                  <w:tcW w:w="851"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4970</w:t>
                  </w:r>
                </w:p>
              </w:tc>
              <w:tc>
                <w:tcPr>
                  <w:tcW w:w="925"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4980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14" w:type="dxa"/>
                  <w:vAlign w:val="center"/>
                </w:tcPr>
                <w:p>
                  <w:pPr>
                    <w:pStyle w:val="20"/>
                    <w:jc w:val="center"/>
                    <w:rPr>
                      <w:rFonts w:ascii="Times New Roman" w:hAnsi="Times New Roman"/>
                      <w:color w:val="auto"/>
                      <w:sz w:val="21"/>
                      <w:szCs w:val="21"/>
                    </w:rPr>
                  </w:pPr>
                  <w:r>
                    <w:rPr>
                      <w:rFonts w:ascii="Times New Roman" w:hAnsi="Times New Roman"/>
                      <w:color w:val="auto"/>
                      <w:sz w:val="21"/>
                      <w:szCs w:val="21"/>
                    </w:rPr>
                    <w:t>臭气浓度</w:t>
                  </w:r>
                </w:p>
              </w:tc>
              <w:tc>
                <w:tcPr>
                  <w:tcW w:w="850" w:type="dxa"/>
                  <w:vAlign w:val="center"/>
                </w:tcPr>
                <w:p>
                  <w:pPr>
                    <w:pStyle w:val="20"/>
                    <w:jc w:val="center"/>
                    <w:rPr>
                      <w:rFonts w:ascii="Times New Roman" w:hAnsi="Times New Roman"/>
                      <w:color w:val="auto"/>
                      <w:sz w:val="21"/>
                      <w:szCs w:val="21"/>
                    </w:rPr>
                  </w:pPr>
                  <w:r>
                    <w:rPr>
                      <w:rFonts w:ascii="Times New Roman" w:hAnsi="Times New Roman"/>
                      <w:color w:val="auto"/>
                      <w:sz w:val="21"/>
                      <w:szCs w:val="21"/>
                    </w:rPr>
                    <w:t>无量纲</w:t>
                  </w:r>
                </w:p>
              </w:tc>
              <w:tc>
                <w:tcPr>
                  <w:tcW w:w="851"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3090</w:t>
                  </w:r>
                </w:p>
              </w:tc>
              <w:tc>
                <w:tcPr>
                  <w:tcW w:w="850"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3090</w:t>
                  </w:r>
                </w:p>
              </w:tc>
              <w:tc>
                <w:tcPr>
                  <w:tcW w:w="851"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4168</w:t>
                  </w:r>
                </w:p>
              </w:tc>
              <w:tc>
                <w:tcPr>
                  <w:tcW w:w="850"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3090</w:t>
                  </w:r>
                </w:p>
              </w:tc>
              <w:tc>
                <w:tcPr>
                  <w:tcW w:w="851"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2290</w:t>
                  </w:r>
                </w:p>
              </w:tc>
              <w:tc>
                <w:tcPr>
                  <w:tcW w:w="925"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2290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64" w:type="dxa"/>
                  <w:gridSpan w:val="2"/>
                  <w:vMerge w:val="restart"/>
                  <w:vAlign w:val="center"/>
                </w:tcPr>
                <w:p>
                  <w:pPr>
                    <w:pStyle w:val="20"/>
                    <w:spacing w:before="0" w:beforeAutospacing="0" w:after="0" w:afterAutospacing="0"/>
                    <w:jc w:val="center"/>
                    <w:rPr>
                      <w:rFonts w:ascii="Times New Roman" w:hAnsi="Times New Roman"/>
                      <w:b/>
                      <w:bCs/>
                      <w:color w:val="auto"/>
                      <w:sz w:val="21"/>
                      <w:szCs w:val="21"/>
                    </w:rPr>
                  </w:pPr>
                  <w:r>
                    <w:rPr>
                      <w:rFonts w:ascii="Times New Roman" w:hAnsi="Times New Roman"/>
                      <w:b/>
                      <w:bCs/>
                      <w:color w:val="auto"/>
                      <w:sz w:val="21"/>
                      <w:szCs w:val="21"/>
                    </w:rPr>
                    <w:t>检测点位</w:t>
                  </w:r>
                </w:p>
              </w:tc>
              <w:tc>
                <w:tcPr>
                  <w:tcW w:w="5178" w:type="dxa"/>
                  <w:gridSpan w:val="6"/>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b/>
                      <w:bCs/>
                      <w:color w:val="auto"/>
                      <w:sz w:val="21"/>
                      <w:szCs w:val="21"/>
                    </w:rPr>
                    <w:t>造粒生产线废气处理设施出口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64" w:type="dxa"/>
                  <w:gridSpan w:val="2"/>
                  <w:vMerge w:val="continue"/>
                  <w:vAlign w:val="center"/>
                </w:tcPr>
                <w:p>
                  <w:pPr>
                    <w:pStyle w:val="20"/>
                    <w:spacing w:before="0" w:beforeAutospacing="0" w:after="0" w:afterAutospacing="0"/>
                    <w:jc w:val="center"/>
                    <w:rPr>
                      <w:rFonts w:ascii="Times New Roman" w:hAnsi="Times New Roman"/>
                      <w:color w:val="auto"/>
                      <w:sz w:val="21"/>
                      <w:szCs w:val="21"/>
                    </w:rPr>
                  </w:pPr>
                </w:p>
              </w:tc>
              <w:tc>
                <w:tcPr>
                  <w:tcW w:w="2552" w:type="dxa"/>
                  <w:gridSpan w:val="3"/>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b/>
                      <w:bCs/>
                      <w:color w:val="auto"/>
                      <w:sz w:val="21"/>
                      <w:szCs w:val="21"/>
                    </w:rPr>
                    <w:t>2018年3月20日</w:t>
                  </w:r>
                </w:p>
              </w:tc>
              <w:tc>
                <w:tcPr>
                  <w:tcW w:w="2626" w:type="dxa"/>
                  <w:gridSpan w:val="3"/>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b/>
                      <w:bCs/>
                      <w:color w:val="auto"/>
                      <w:sz w:val="21"/>
                      <w:szCs w:val="21"/>
                    </w:rPr>
                    <w:t>2018年3月21日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14" w:type="dxa"/>
                  <w:vAlign w:val="center"/>
                </w:tcPr>
                <w:p>
                  <w:pPr>
                    <w:pStyle w:val="20"/>
                    <w:jc w:val="center"/>
                    <w:rPr>
                      <w:rFonts w:ascii="Times New Roman" w:hAnsi="Times New Roman"/>
                      <w:color w:val="auto"/>
                      <w:sz w:val="21"/>
                      <w:szCs w:val="21"/>
                    </w:rPr>
                  </w:pPr>
                  <w:r>
                    <w:rPr>
                      <w:rFonts w:ascii="Times New Roman" w:hAnsi="Times New Roman"/>
                      <w:color w:val="auto"/>
                      <w:sz w:val="21"/>
                      <w:szCs w:val="21"/>
                    </w:rPr>
                    <w:t>检测指标</w:t>
                  </w:r>
                </w:p>
              </w:tc>
              <w:tc>
                <w:tcPr>
                  <w:tcW w:w="850"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单位</w:t>
                  </w:r>
                </w:p>
              </w:tc>
              <w:tc>
                <w:tcPr>
                  <w:tcW w:w="851"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第一次</w:t>
                  </w:r>
                </w:p>
              </w:tc>
              <w:tc>
                <w:tcPr>
                  <w:tcW w:w="850"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第二次</w:t>
                  </w:r>
                </w:p>
              </w:tc>
              <w:tc>
                <w:tcPr>
                  <w:tcW w:w="851"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第三次</w:t>
                  </w:r>
                </w:p>
              </w:tc>
              <w:tc>
                <w:tcPr>
                  <w:tcW w:w="850"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第一次</w:t>
                  </w:r>
                </w:p>
              </w:tc>
              <w:tc>
                <w:tcPr>
                  <w:tcW w:w="851"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第二次</w:t>
                  </w:r>
                </w:p>
              </w:tc>
              <w:tc>
                <w:tcPr>
                  <w:tcW w:w="925"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第三次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14" w:type="dxa"/>
                  <w:vAlign w:val="center"/>
                </w:tcPr>
                <w:p>
                  <w:pPr>
                    <w:pStyle w:val="20"/>
                    <w:jc w:val="center"/>
                    <w:rPr>
                      <w:rFonts w:ascii="Times New Roman" w:hAnsi="Times New Roman"/>
                      <w:color w:val="auto"/>
                      <w:sz w:val="21"/>
                      <w:szCs w:val="21"/>
                    </w:rPr>
                  </w:pPr>
                  <w:r>
                    <w:rPr>
                      <w:rFonts w:ascii="Times New Roman" w:hAnsi="Times New Roman"/>
                      <w:color w:val="auto"/>
                      <w:sz w:val="21"/>
                      <w:szCs w:val="21"/>
                    </w:rPr>
                    <w:t>烟气流速</w:t>
                  </w:r>
                </w:p>
              </w:tc>
              <w:tc>
                <w:tcPr>
                  <w:tcW w:w="850"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m/s</w:t>
                  </w:r>
                </w:p>
              </w:tc>
              <w:tc>
                <w:tcPr>
                  <w:tcW w:w="851"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34.9</w:t>
                  </w:r>
                </w:p>
              </w:tc>
              <w:tc>
                <w:tcPr>
                  <w:tcW w:w="850"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35.8</w:t>
                  </w:r>
                </w:p>
              </w:tc>
              <w:tc>
                <w:tcPr>
                  <w:tcW w:w="851"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35.9</w:t>
                  </w:r>
                </w:p>
              </w:tc>
              <w:tc>
                <w:tcPr>
                  <w:tcW w:w="850"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33.9</w:t>
                  </w:r>
                </w:p>
              </w:tc>
              <w:tc>
                <w:tcPr>
                  <w:tcW w:w="851"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33.9</w:t>
                  </w:r>
                </w:p>
              </w:tc>
              <w:tc>
                <w:tcPr>
                  <w:tcW w:w="925"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14" w:type="dxa"/>
                  <w:vAlign w:val="center"/>
                </w:tcPr>
                <w:p>
                  <w:pPr>
                    <w:pStyle w:val="20"/>
                    <w:jc w:val="center"/>
                    <w:rPr>
                      <w:rFonts w:ascii="Times New Roman" w:hAnsi="Times New Roman"/>
                      <w:color w:val="auto"/>
                      <w:sz w:val="21"/>
                      <w:szCs w:val="21"/>
                    </w:rPr>
                  </w:pPr>
                  <w:r>
                    <w:rPr>
                      <w:rFonts w:ascii="Times New Roman" w:hAnsi="Times New Roman"/>
                      <w:color w:val="auto"/>
                      <w:sz w:val="21"/>
                      <w:szCs w:val="21"/>
                    </w:rPr>
                    <w:t>烟气流量（标干）</w:t>
                  </w:r>
                </w:p>
              </w:tc>
              <w:tc>
                <w:tcPr>
                  <w:tcW w:w="850"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m</w:t>
                  </w:r>
                  <w:r>
                    <w:rPr>
                      <w:rFonts w:ascii="Times New Roman" w:hAnsi="Times New Roman"/>
                      <w:color w:val="auto"/>
                      <w:sz w:val="21"/>
                      <w:szCs w:val="21"/>
                      <w:vertAlign w:val="superscript"/>
                    </w:rPr>
                    <w:t>3</w:t>
                  </w:r>
                  <w:r>
                    <w:rPr>
                      <w:rFonts w:ascii="Times New Roman" w:hAnsi="Times New Roman"/>
                      <w:color w:val="auto"/>
                      <w:sz w:val="21"/>
                      <w:szCs w:val="21"/>
                    </w:rPr>
                    <w:t>/h</w:t>
                  </w:r>
                </w:p>
              </w:tc>
              <w:tc>
                <w:tcPr>
                  <w:tcW w:w="851"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5070</w:t>
                  </w:r>
                </w:p>
              </w:tc>
              <w:tc>
                <w:tcPr>
                  <w:tcW w:w="850"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5120</w:t>
                  </w:r>
                </w:p>
              </w:tc>
              <w:tc>
                <w:tcPr>
                  <w:tcW w:w="851"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5010</w:t>
                  </w:r>
                </w:p>
              </w:tc>
              <w:tc>
                <w:tcPr>
                  <w:tcW w:w="850"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4960</w:t>
                  </w:r>
                </w:p>
              </w:tc>
              <w:tc>
                <w:tcPr>
                  <w:tcW w:w="851"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4960</w:t>
                  </w:r>
                </w:p>
              </w:tc>
              <w:tc>
                <w:tcPr>
                  <w:tcW w:w="925"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4950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2014" w:type="dxa"/>
                  <w:vAlign w:val="center"/>
                </w:tcPr>
                <w:p>
                  <w:pPr>
                    <w:pStyle w:val="20"/>
                    <w:jc w:val="center"/>
                    <w:rPr>
                      <w:rFonts w:ascii="Times New Roman" w:hAnsi="Times New Roman"/>
                      <w:color w:val="auto"/>
                      <w:sz w:val="21"/>
                      <w:szCs w:val="21"/>
                    </w:rPr>
                  </w:pPr>
                  <w:r>
                    <w:rPr>
                      <w:rFonts w:ascii="Times New Roman" w:hAnsi="Times New Roman"/>
                      <w:color w:val="auto"/>
                      <w:sz w:val="21"/>
                      <w:szCs w:val="21"/>
                    </w:rPr>
                    <w:t>臭气浓度</w:t>
                  </w:r>
                </w:p>
              </w:tc>
              <w:tc>
                <w:tcPr>
                  <w:tcW w:w="850"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无量纲</w:t>
                  </w:r>
                </w:p>
              </w:tc>
              <w:tc>
                <w:tcPr>
                  <w:tcW w:w="851"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229</w:t>
                  </w:r>
                </w:p>
              </w:tc>
              <w:tc>
                <w:tcPr>
                  <w:tcW w:w="850"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309</w:t>
                  </w:r>
                </w:p>
              </w:tc>
              <w:tc>
                <w:tcPr>
                  <w:tcW w:w="851"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309</w:t>
                  </w:r>
                </w:p>
              </w:tc>
              <w:tc>
                <w:tcPr>
                  <w:tcW w:w="850"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309</w:t>
                  </w:r>
                </w:p>
              </w:tc>
              <w:tc>
                <w:tcPr>
                  <w:tcW w:w="851"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173</w:t>
                  </w:r>
                </w:p>
              </w:tc>
              <w:tc>
                <w:tcPr>
                  <w:tcW w:w="925" w:type="dxa"/>
                  <w:vAlign w:val="center"/>
                </w:tcPr>
                <w:p>
                  <w:pPr>
                    <w:pStyle w:val="2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173</w:t>
                  </w:r>
                </w:p>
              </w:tc>
            </w:tr>
          </w:tbl>
          <w:p>
            <w:pPr>
              <w:pStyle w:val="20"/>
              <w:spacing w:before="0" w:beforeAutospacing="0" w:after="0" w:afterAutospacing="0" w:line="360" w:lineRule="auto"/>
              <w:ind w:firstLine="468" w:firstLineChars="200"/>
              <w:jc w:val="both"/>
              <w:rPr>
                <w:rFonts w:ascii="Times New Roman" w:hAnsi="Times New Roman"/>
                <w:color w:val="auto"/>
                <w:spacing w:val="-2"/>
                <w:sz w:val="24"/>
                <w:szCs w:val="24"/>
              </w:rPr>
            </w:pPr>
            <w:r>
              <w:rPr>
                <w:rFonts w:ascii="Times New Roman" w:hAnsi="Times New Roman"/>
                <w:color w:val="auto"/>
                <w:spacing w:val="-3"/>
                <w:sz w:val="24"/>
                <w:szCs w:val="24"/>
              </w:rPr>
              <w:t>本项目的原材料含PP、PE塑料成分，原材料使用比重庆北控再生资源有限公司更为简单，生产</w:t>
            </w:r>
            <w:r>
              <w:rPr>
                <w:rFonts w:ascii="Times New Roman" w:hAnsi="Times New Roman"/>
                <w:color w:val="auto"/>
                <w:spacing w:val="-2"/>
                <w:sz w:val="24"/>
                <w:szCs w:val="24"/>
              </w:rPr>
              <w:t>工艺类似，根据类比得出，</w:t>
            </w:r>
            <w:r>
              <w:rPr>
                <w:rFonts w:hint="eastAsia" w:ascii="Times New Roman" w:hAnsi="Times New Roman"/>
                <w:color w:val="auto"/>
                <w:spacing w:val="-2"/>
                <w:sz w:val="24"/>
                <w:szCs w:val="24"/>
              </w:rPr>
              <w:t>本项目臭气浓度取类比监测数据中的最大值，则</w:t>
            </w:r>
            <w:r>
              <w:rPr>
                <w:rFonts w:hint="eastAsia" w:ascii="Times New Roman" w:hAnsi="Times New Roman"/>
                <w:bCs/>
                <w:color w:val="auto"/>
                <w:sz w:val="24"/>
                <w:szCs w:val="24"/>
              </w:rPr>
              <w:t>造粒臭气浓度产生浓度为</w:t>
            </w:r>
            <w:r>
              <w:rPr>
                <w:rFonts w:ascii="Times New Roman" w:hAnsi="Times New Roman"/>
                <w:color w:val="auto"/>
                <w:sz w:val="24"/>
                <w:szCs w:val="24"/>
              </w:rPr>
              <w:t>4168</w:t>
            </w:r>
            <w:r>
              <w:rPr>
                <w:rFonts w:hint="eastAsia" w:ascii="Times New Roman" w:hAnsi="Times New Roman"/>
                <w:color w:val="auto"/>
                <w:sz w:val="24"/>
                <w:szCs w:val="24"/>
              </w:rPr>
              <w:t>（无量纲）、排放浓度为309（无量纲）</w:t>
            </w:r>
            <w:r>
              <w:rPr>
                <w:rFonts w:hint="eastAsia" w:ascii="Times New Roman" w:hAnsi="Times New Roman"/>
                <w:bCs/>
                <w:color w:val="auto"/>
                <w:sz w:val="24"/>
                <w:szCs w:val="24"/>
              </w:rPr>
              <w:t>，</w:t>
            </w:r>
            <w:r>
              <w:rPr>
                <w:rFonts w:ascii="Times New Roman" w:hAnsi="Times New Roman"/>
                <w:bCs/>
                <w:color w:val="auto"/>
                <w:sz w:val="24"/>
                <w:szCs w:val="24"/>
              </w:rPr>
              <w:t>造粒工序</w:t>
            </w:r>
            <w:r>
              <w:rPr>
                <w:rFonts w:ascii="Times New Roman" w:hAnsi="Times New Roman"/>
                <w:color w:val="auto"/>
                <w:sz w:val="24"/>
                <w:szCs w:val="24"/>
              </w:rPr>
              <w:t>臭气浓度满足《恶臭污染物排放标准》（GB14554-93）表2中的标准限值。</w:t>
            </w:r>
          </w:p>
          <w:p>
            <w:pPr>
              <w:pStyle w:val="20"/>
              <w:spacing w:before="0" w:beforeAutospacing="0" w:after="0" w:afterAutospacing="0" w:line="360" w:lineRule="auto"/>
              <w:ind w:firstLine="482" w:firstLineChars="200"/>
              <w:rPr>
                <w:rFonts w:ascii="Times New Roman" w:hAnsi="Times New Roman"/>
                <w:b/>
                <w:color w:val="auto"/>
                <w:sz w:val="24"/>
                <w:szCs w:val="24"/>
              </w:rPr>
            </w:pPr>
            <w:r>
              <w:rPr>
                <w:rFonts w:hint="eastAsia" w:ascii="Times New Roman" w:hAnsi="Times New Roman"/>
                <w:b/>
                <w:color w:val="auto"/>
                <w:sz w:val="24"/>
                <w:szCs w:val="24"/>
              </w:rPr>
              <w:t>3）小结</w:t>
            </w:r>
          </w:p>
          <w:p>
            <w:pPr>
              <w:pStyle w:val="20"/>
              <w:spacing w:before="0" w:beforeAutospacing="0" w:after="0" w:afterAutospacing="0" w:line="360" w:lineRule="auto"/>
              <w:ind w:firstLine="480" w:firstLineChars="200"/>
              <w:rPr>
                <w:rFonts w:ascii="Times New Roman" w:hAnsi="Times New Roman"/>
                <w:bCs/>
                <w:color w:val="auto"/>
                <w:sz w:val="24"/>
                <w:szCs w:val="24"/>
              </w:rPr>
            </w:pPr>
            <w:r>
              <w:rPr>
                <w:rFonts w:ascii="Times New Roman" w:hAnsi="Times New Roman"/>
                <w:bCs/>
                <w:color w:val="auto"/>
                <w:sz w:val="24"/>
                <w:szCs w:val="24"/>
              </w:rPr>
              <w:t>综上分析，项目</w:t>
            </w:r>
            <w:r>
              <w:rPr>
                <w:rFonts w:ascii="Times New Roman" w:hAnsi="Times New Roman"/>
                <w:color w:val="auto"/>
                <w:kern w:val="1"/>
                <w:sz w:val="24"/>
                <w:szCs w:val="24"/>
              </w:rPr>
              <w:t>废气产生及排放情况如下：</w:t>
            </w:r>
          </w:p>
          <w:p>
            <w:pPr>
              <w:pStyle w:val="20"/>
              <w:spacing w:before="24" w:beforeAutospacing="0" w:after="24" w:afterAutospacing="0"/>
              <w:jc w:val="center"/>
              <w:rPr>
                <w:rFonts w:ascii="Times New Roman" w:hAnsi="Times New Roman"/>
                <w:b/>
                <w:color w:val="auto"/>
                <w:sz w:val="24"/>
                <w:szCs w:val="24"/>
                <w:lang w:bidi="ar"/>
              </w:rPr>
            </w:pPr>
            <w:r>
              <w:rPr>
                <w:rFonts w:ascii="Times New Roman" w:hAnsi="Times New Roman"/>
                <w:b/>
                <w:color w:val="auto"/>
                <w:sz w:val="24"/>
                <w:szCs w:val="24"/>
                <w:lang w:bidi="ar"/>
              </w:rPr>
              <w:t>表4-</w:t>
            </w:r>
            <w:r>
              <w:rPr>
                <w:rFonts w:hint="eastAsia" w:ascii="Times New Roman" w:hAnsi="Times New Roman"/>
                <w:b/>
                <w:color w:val="auto"/>
                <w:sz w:val="24"/>
                <w:szCs w:val="24"/>
                <w:lang w:bidi="ar"/>
              </w:rPr>
              <w:t>3</w:t>
            </w:r>
            <w:r>
              <w:rPr>
                <w:rFonts w:ascii="Times New Roman" w:hAnsi="Times New Roman"/>
                <w:b/>
                <w:color w:val="auto"/>
                <w:sz w:val="24"/>
                <w:szCs w:val="24"/>
                <w:lang w:bidi="ar"/>
              </w:rPr>
              <w:t xml:space="preserve">   废气产排污情况一览表</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617"/>
              <w:gridCol w:w="616"/>
              <w:gridCol w:w="769"/>
              <w:gridCol w:w="933"/>
              <w:gridCol w:w="1012"/>
              <w:gridCol w:w="614"/>
              <w:gridCol w:w="767"/>
              <w:gridCol w:w="769"/>
              <w:gridCol w:w="933"/>
              <w:gridCol w:w="10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722" w:type="dxa"/>
                  <w:vMerge w:val="restart"/>
                  <w:vAlign w:val="center"/>
                </w:tcPr>
                <w:p>
                  <w:pPr>
                    <w:pStyle w:val="20"/>
                    <w:spacing w:before="24" w:beforeAutospacing="0" w:after="24" w:afterAutospacing="0"/>
                    <w:jc w:val="center"/>
                    <w:rPr>
                      <w:rFonts w:ascii="Times New Roman" w:hAnsi="Times New Roman"/>
                      <w:b/>
                      <w:color w:val="auto"/>
                      <w:sz w:val="21"/>
                      <w:szCs w:val="21"/>
                      <w:lang w:bidi="ar"/>
                    </w:rPr>
                  </w:pPr>
                  <w:r>
                    <w:rPr>
                      <w:rFonts w:ascii="Times New Roman" w:hAnsi="Times New Roman"/>
                      <w:b/>
                      <w:bCs/>
                      <w:color w:val="auto"/>
                      <w:sz w:val="21"/>
                      <w:szCs w:val="21"/>
                    </w:rPr>
                    <w:t>产排污环节</w:t>
                  </w:r>
                </w:p>
              </w:tc>
              <w:tc>
                <w:tcPr>
                  <w:tcW w:w="720" w:type="dxa"/>
                  <w:vMerge w:val="restart"/>
                  <w:vAlign w:val="center"/>
                </w:tcPr>
                <w:p>
                  <w:pPr>
                    <w:pStyle w:val="20"/>
                    <w:spacing w:before="24" w:beforeAutospacing="0" w:after="24" w:afterAutospacing="0"/>
                    <w:jc w:val="center"/>
                    <w:rPr>
                      <w:rFonts w:ascii="Times New Roman" w:hAnsi="Times New Roman"/>
                      <w:b/>
                      <w:color w:val="auto"/>
                      <w:sz w:val="21"/>
                      <w:szCs w:val="21"/>
                      <w:lang w:bidi="ar"/>
                    </w:rPr>
                  </w:pPr>
                  <w:r>
                    <w:rPr>
                      <w:rFonts w:ascii="Times New Roman" w:hAnsi="Times New Roman"/>
                      <w:b/>
                      <w:bCs/>
                      <w:color w:val="auto"/>
                      <w:sz w:val="21"/>
                      <w:szCs w:val="21"/>
                    </w:rPr>
                    <w:t>污染物种类</w:t>
                  </w:r>
                </w:p>
              </w:tc>
              <w:tc>
                <w:tcPr>
                  <w:tcW w:w="2516" w:type="dxa"/>
                  <w:gridSpan w:val="3"/>
                  <w:vAlign w:val="center"/>
                </w:tcPr>
                <w:p>
                  <w:pPr>
                    <w:pStyle w:val="20"/>
                    <w:spacing w:before="24" w:beforeAutospacing="0" w:after="24" w:afterAutospacing="0"/>
                    <w:jc w:val="center"/>
                    <w:rPr>
                      <w:rFonts w:ascii="Times New Roman" w:hAnsi="Times New Roman"/>
                      <w:b/>
                      <w:color w:val="auto"/>
                      <w:sz w:val="21"/>
                      <w:szCs w:val="21"/>
                      <w:lang w:bidi="ar"/>
                    </w:rPr>
                  </w:pPr>
                  <w:r>
                    <w:rPr>
                      <w:rFonts w:ascii="Times New Roman" w:hAnsi="Times New Roman"/>
                      <w:b/>
                      <w:bCs/>
                      <w:color w:val="auto"/>
                      <w:sz w:val="21"/>
                      <w:szCs w:val="21"/>
                    </w:rPr>
                    <w:t>污染物产生情况</w:t>
                  </w:r>
                </w:p>
              </w:tc>
              <w:tc>
                <w:tcPr>
                  <w:tcW w:w="718" w:type="dxa"/>
                  <w:vMerge w:val="restart"/>
                  <w:vAlign w:val="center"/>
                </w:tcPr>
                <w:p>
                  <w:pPr>
                    <w:pStyle w:val="20"/>
                    <w:spacing w:before="24" w:after="24"/>
                    <w:jc w:val="center"/>
                    <w:rPr>
                      <w:rFonts w:ascii="Times New Roman" w:hAnsi="Times New Roman"/>
                      <w:b/>
                      <w:color w:val="auto"/>
                      <w:sz w:val="21"/>
                      <w:szCs w:val="21"/>
                      <w:lang w:bidi="ar"/>
                    </w:rPr>
                  </w:pPr>
                  <w:r>
                    <w:rPr>
                      <w:rFonts w:ascii="Times New Roman" w:hAnsi="Times New Roman"/>
                      <w:b/>
                      <w:bCs/>
                      <w:color w:val="auto"/>
                      <w:sz w:val="21"/>
                      <w:szCs w:val="21"/>
                    </w:rPr>
                    <w:t>排放形式</w:t>
                  </w:r>
                </w:p>
              </w:tc>
              <w:tc>
                <w:tcPr>
                  <w:tcW w:w="864" w:type="dxa"/>
                  <w:vMerge w:val="restart"/>
                  <w:vAlign w:val="center"/>
                </w:tcPr>
                <w:p>
                  <w:pPr>
                    <w:pStyle w:val="20"/>
                    <w:spacing w:before="24" w:after="24"/>
                    <w:jc w:val="center"/>
                    <w:rPr>
                      <w:rFonts w:ascii="Times New Roman" w:hAnsi="Times New Roman"/>
                      <w:b/>
                      <w:color w:val="auto"/>
                      <w:sz w:val="21"/>
                      <w:szCs w:val="21"/>
                      <w:lang w:bidi="ar"/>
                    </w:rPr>
                  </w:pPr>
                  <w:r>
                    <w:rPr>
                      <w:rFonts w:ascii="Times New Roman" w:hAnsi="Times New Roman"/>
                      <w:b/>
                      <w:bCs/>
                      <w:color w:val="auto"/>
                      <w:sz w:val="21"/>
                      <w:szCs w:val="21"/>
                    </w:rPr>
                    <w:t>治理设施及效率</w:t>
                  </w:r>
                </w:p>
              </w:tc>
              <w:tc>
                <w:tcPr>
                  <w:tcW w:w="2502" w:type="dxa"/>
                  <w:gridSpan w:val="3"/>
                  <w:vAlign w:val="center"/>
                </w:tcPr>
                <w:p>
                  <w:pPr>
                    <w:pStyle w:val="20"/>
                    <w:spacing w:before="24" w:beforeAutospacing="0" w:after="24" w:afterAutospacing="0"/>
                    <w:jc w:val="center"/>
                    <w:rPr>
                      <w:rFonts w:ascii="Times New Roman" w:hAnsi="Times New Roman"/>
                      <w:b/>
                      <w:color w:val="auto"/>
                      <w:sz w:val="21"/>
                      <w:szCs w:val="21"/>
                      <w:lang w:bidi="ar"/>
                    </w:rPr>
                  </w:pPr>
                  <w:r>
                    <w:rPr>
                      <w:rFonts w:ascii="Times New Roman" w:hAnsi="Times New Roman"/>
                      <w:b/>
                      <w:bCs/>
                      <w:color w:val="auto"/>
                      <w:sz w:val="21"/>
                      <w:szCs w:val="21"/>
                    </w:rPr>
                    <w:t>污染物排放情况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722" w:type="dxa"/>
                  <w:vMerge w:val="continue"/>
                  <w:vAlign w:val="center"/>
                </w:tcPr>
                <w:p>
                  <w:pPr>
                    <w:pStyle w:val="20"/>
                    <w:spacing w:before="24" w:beforeAutospacing="0" w:after="24" w:afterAutospacing="0"/>
                    <w:jc w:val="center"/>
                    <w:rPr>
                      <w:rFonts w:ascii="Times New Roman" w:hAnsi="Times New Roman"/>
                      <w:b/>
                      <w:color w:val="auto"/>
                      <w:sz w:val="21"/>
                      <w:szCs w:val="21"/>
                      <w:lang w:bidi="ar"/>
                    </w:rPr>
                  </w:pPr>
                </w:p>
              </w:tc>
              <w:tc>
                <w:tcPr>
                  <w:tcW w:w="720" w:type="dxa"/>
                  <w:vMerge w:val="continue"/>
                  <w:vAlign w:val="center"/>
                </w:tcPr>
                <w:p>
                  <w:pPr>
                    <w:pStyle w:val="20"/>
                    <w:spacing w:before="24" w:beforeAutospacing="0" w:after="24" w:afterAutospacing="0"/>
                    <w:jc w:val="center"/>
                    <w:rPr>
                      <w:rFonts w:ascii="Times New Roman" w:hAnsi="Times New Roman"/>
                      <w:b/>
                      <w:color w:val="auto"/>
                      <w:sz w:val="21"/>
                      <w:szCs w:val="21"/>
                      <w:lang w:bidi="ar"/>
                    </w:rPr>
                  </w:pPr>
                </w:p>
              </w:tc>
              <w:tc>
                <w:tcPr>
                  <w:tcW w:w="765" w:type="dxa"/>
                  <w:vAlign w:val="center"/>
                </w:tcPr>
                <w:p>
                  <w:pPr>
                    <w:pStyle w:val="20"/>
                    <w:spacing w:before="24" w:beforeAutospacing="0" w:after="24" w:afterAutospacing="0"/>
                    <w:jc w:val="center"/>
                    <w:rPr>
                      <w:rFonts w:ascii="Times New Roman" w:hAnsi="Times New Roman"/>
                      <w:b/>
                      <w:color w:val="auto"/>
                      <w:sz w:val="21"/>
                      <w:szCs w:val="21"/>
                      <w:lang w:bidi="ar"/>
                    </w:rPr>
                  </w:pPr>
                  <w:r>
                    <w:rPr>
                      <w:rFonts w:ascii="Times New Roman" w:hAnsi="Times New Roman"/>
                      <w:b/>
                      <w:bCs/>
                      <w:color w:val="auto"/>
                      <w:sz w:val="21"/>
                      <w:szCs w:val="21"/>
                    </w:rPr>
                    <w:t>产生量</w:t>
                  </w:r>
                  <w:r>
                    <w:rPr>
                      <w:rFonts w:hint="eastAsia" w:ascii="Times New Roman" w:hAnsi="Times New Roman"/>
                      <w:b/>
                      <w:bCs/>
                      <w:color w:val="auto"/>
                      <w:sz w:val="21"/>
                      <w:szCs w:val="21"/>
                      <w:lang w:eastAsia="zh-CN"/>
                    </w:rPr>
                    <w:t>（</w:t>
                  </w:r>
                  <w:r>
                    <w:rPr>
                      <w:rFonts w:ascii="Times New Roman" w:hAnsi="Times New Roman"/>
                      <w:b/>
                      <w:bCs/>
                      <w:color w:val="auto"/>
                      <w:sz w:val="21"/>
                      <w:szCs w:val="21"/>
                    </w:rPr>
                    <w:t>t/a</w:t>
                  </w:r>
                  <w:r>
                    <w:rPr>
                      <w:rFonts w:hint="eastAsia" w:ascii="Times New Roman" w:hAnsi="Times New Roman"/>
                      <w:b/>
                      <w:bCs/>
                      <w:color w:val="auto"/>
                      <w:sz w:val="21"/>
                      <w:szCs w:val="21"/>
                      <w:lang w:eastAsia="zh-CN"/>
                    </w:rPr>
                    <w:t>）</w:t>
                  </w:r>
                </w:p>
              </w:tc>
              <w:tc>
                <w:tcPr>
                  <w:tcW w:w="811" w:type="dxa"/>
                  <w:vAlign w:val="center"/>
                </w:tcPr>
                <w:p>
                  <w:pPr>
                    <w:pStyle w:val="20"/>
                    <w:spacing w:before="24" w:beforeAutospacing="0" w:after="24" w:afterAutospacing="0"/>
                    <w:jc w:val="center"/>
                    <w:rPr>
                      <w:rFonts w:ascii="Times New Roman" w:hAnsi="Times New Roman"/>
                      <w:b/>
                      <w:color w:val="auto"/>
                      <w:sz w:val="21"/>
                      <w:szCs w:val="21"/>
                      <w:lang w:bidi="ar"/>
                    </w:rPr>
                  </w:pPr>
                  <w:r>
                    <w:rPr>
                      <w:rFonts w:ascii="Times New Roman" w:hAnsi="Times New Roman"/>
                      <w:b/>
                      <w:bCs/>
                      <w:color w:val="auto"/>
                      <w:sz w:val="21"/>
                      <w:szCs w:val="21"/>
                    </w:rPr>
                    <w:t>产生速率</w:t>
                  </w:r>
                  <w:r>
                    <w:rPr>
                      <w:rFonts w:hint="eastAsia" w:ascii="Times New Roman" w:hAnsi="Times New Roman"/>
                      <w:b/>
                      <w:bCs/>
                      <w:color w:val="auto"/>
                      <w:sz w:val="21"/>
                      <w:szCs w:val="21"/>
                      <w:lang w:eastAsia="zh-CN"/>
                    </w:rPr>
                    <w:t>（</w:t>
                  </w:r>
                  <w:r>
                    <w:rPr>
                      <w:rFonts w:ascii="Times New Roman" w:hAnsi="Times New Roman"/>
                      <w:b/>
                      <w:bCs/>
                      <w:color w:val="auto"/>
                      <w:sz w:val="21"/>
                      <w:szCs w:val="21"/>
                    </w:rPr>
                    <w:t>kg/h</w:t>
                  </w:r>
                  <w:r>
                    <w:rPr>
                      <w:rFonts w:hint="eastAsia" w:ascii="Times New Roman" w:hAnsi="Times New Roman"/>
                      <w:b/>
                      <w:bCs/>
                      <w:color w:val="auto"/>
                      <w:sz w:val="21"/>
                      <w:szCs w:val="21"/>
                      <w:lang w:eastAsia="zh-CN"/>
                    </w:rPr>
                    <w:t>）</w:t>
                  </w:r>
                </w:p>
              </w:tc>
              <w:tc>
                <w:tcPr>
                  <w:tcW w:w="940" w:type="dxa"/>
                  <w:vAlign w:val="center"/>
                </w:tcPr>
                <w:p>
                  <w:pPr>
                    <w:pStyle w:val="20"/>
                    <w:spacing w:before="24" w:beforeAutospacing="0" w:after="24" w:afterAutospacing="0"/>
                    <w:jc w:val="center"/>
                    <w:rPr>
                      <w:rFonts w:ascii="Times New Roman" w:hAnsi="Times New Roman"/>
                      <w:b/>
                      <w:color w:val="auto"/>
                      <w:sz w:val="21"/>
                      <w:szCs w:val="21"/>
                      <w:lang w:bidi="ar"/>
                    </w:rPr>
                  </w:pPr>
                  <w:r>
                    <w:rPr>
                      <w:rFonts w:ascii="Times New Roman" w:hAnsi="Times New Roman"/>
                      <w:b/>
                      <w:bCs/>
                      <w:color w:val="auto"/>
                      <w:sz w:val="21"/>
                      <w:szCs w:val="21"/>
                    </w:rPr>
                    <w:t>产生浓度</w:t>
                  </w:r>
                  <w:r>
                    <w:rPr>
                      <w:rFonts w:hint="eastAsia" w:ascii="Times New Roman" w:hAnsi="Times New Roman"/>
                      <w:b/>
                      <w:bCs/>
                      <w:color w:val="auto"/>
                      <w:sz w:val="21"/>
                      <w:szCs w:val="21"/>
                      <w:lang w:eastAsia="zh-CN"/>
                    </w:rPr>
                    <w:t>（</w:t>
                  </w:r>
                  <w:r>
                    <w:rPr>
                      <w:rFonts w:ascii="Times New Roman" w:hAnsi="Times New Roman"/>
                      <w:b/>
                      <w:bCs/>
                      <w:color w:val="auto"/>
                      <w:sz w:val="21"/>
                      <w:szCs w:val="21"/>
                    </w:rPr>
                    <w:t>mg/m</w:t>
                  </w:r>
                  <w:r>
                    <w:rPr>
                      <w:rFonts w:ascii="Times New Roman" w:hAnsi="Times New Roman"/>
                      <w:b/>
                      <w:bCs/>
                      <w:color w:val="auto"/>
                      <w:sz w:val="21"/>
                      <w:szCs w:val="21"/>
                      <w:vertAlign w:val="superscript"/>
                    </w:rPr>
                    <w:t>3</w:t>
                  </w:r>
                  <w:r>
                    <w:rPr>
                      <w:rFonts w:hint="eastAsia" w:ascii="Times New Roman" w:hAnsi="Times New Roman"/>
                      <w:b/>
                      <w:bCs/>
                      <w:color w:val="auto"/>
                      <w:sz w:val="21"/>
                      <w:szCs w:val="21"/>
                      <w:vertAlign w:val="superscript"/>
                      <w:lang w:eastAsia="zh-CN"/>
                    </w:rPr>
                    <w:t>）</w:t>
                  </w:r>
                </w:p>
              </w:tc>
              <w:tc>
                <w:tcPr>
                  <w:tcW w:w="718" w:type="dxa"/>
                  <w:vMerge w:val="continue"/>
                  <w:vAlign w:val="center"/>
                </w:tcPr>
                <w:p>
                  <w:pPr>
                    <w:pStyle w:val="20"/>
                    <w:spacing w:before="24" w:beforeAutospacing="0" w:after="24" w:afterAutospacing="0"/>
                    <w:jc w:val="center"/>
                    <w:rPr>
                      <w:rFonts w:ascii="Times New Roman" w:hAnsi="Times New Roman"/>
                      <w:b/>
                      <w:color w:val="auto"/>
                      <w:sz w:val="21"/>
                      <w:szCs w:val="21"/>
                      <w:lang w:bidi="ar"/>
                    </w:rPr>
                  </w:pPr>
                </w:p>
              </w:tc>
              <w:tc>
                <w:tcPr>
                  <w:tcW w:w="864" w:type="dxa"/>
                  <w:vMerge w:val="continue"/>
                  <w:vAlign w:val="center"/>
                </w:tcPr>
                <w:p>
                  <w:pPr>
                    <w:pStyle w:val="20"/>
                    <w:spacing w:before="24" w:beforeAutospacing="0" w:after="24" w:afterAutospacing="0"/>
                    <w:jc w:val="center"/>
                    <w:rPr>
                      <w:rFonts w:ascii="Times New Roman" w:hAnsi="Times New Roman"/>
                      <w:b/>
                      <w:color w:val="auto"/>
                      <w:sz w:val="21"/>
                      <w:szCs w:val="21"/>
                      <w:lang w:bidi="ar"/>
                    </w:rPr>
                  </w:pPr>
                </w:p>
              </w:tc>
              <w:tc>
                <w:tcPr>
                  <w:tcW w:w="760" w:type="dxa"/>
                  <w:vAlign w:val="center"/>
                </w:tcPr>
                <w:p>
                  <w:pPr>
                    <w:pStyle w:val="20"/>
                    <w:spacing w:before="24" w:beforeAutospacing="0" w:after="24" w:afterAutospacing="0"/>
                    <w:jc w:val="center"/>
                    <w:rPr>
                      <w:rFonts w:ascii="Times New Roman" w:hAnsi="Times New Roman"/>
                      <w:b/>
                      <w:color w:val="auto"/>
                      <w:sz w:val="21"/>
                      <w:szCs w:val="21"/>
                      <w:lang w:bidi="ar"/>
                    </w:rPr>
                  </w:pPr>
                  <w:r>
                    <w:rPr>
                      <w:rFonts w:ascii="Times New Roman" w:hAnsi="Times New Roman"/>
                      <w:b/>
                      <w:bCs/>
                      <w:color w:val="auto"/>
                      <w:sz w:val="21"/>
                      <w:szCs w:val="21"/>
                    </w:rPr>
                    <w:t>排放量</w:t>
                  </w:r>
                  <w:r>
                    <w:rPr>
                      <w:rFonts w:hint="eastAsia" w:ascii="Times New Roman" w:hAnsi="Times New Roman"/>
                      <w:b/>
                      <w:bCs/>
                      <w:color w:val="auto"/>
                      <w:sz w:val="21"/>
                      <w:szCs w:val="21"/>
                      <w:lang w:eastAsia="zh-CN"/>
                    </w:rPr>
                    <w:t>（</w:t>
                  </w:r>
                  <w:r>
                    <w:rPr>
                      <w:rFonts w:ascii="Times New Roman" w:hAnsi="Times New Roman"/>
                      <w:b/>
                      <w:bCs/>
                      <w:color w:val="auto"/>
                      <w:sz w:val="21"/>
                      <w:szCs w:val="21"/>
                    </w:rPr>
                    <w:t>t/a</w:t>
                  </w:r>
                  <w:r>
                    <w:rPr>
                      <w:rFonts w:hint="eastAsia" w:ascii="Times New Roman" w:hAnsi="Times New Roman"/>
                      <w:b/>
                      <w:bCs/>
                      <w:color w:val="auto"/>
                      <w:sz w:val="21"/>
                      <w:szCs w:val="21"/>
                      <w:lang w:eastAsia="zh-CN"/>
                    </w:rPr>
                    <w:t>）</w:t>
                  </w:r>
                </w:p>
              </w:tc>
              <w:tc>
                <w:tcPr>
                  <w:tcW w:w="802" w:type="dxa"/>
                  <w:vAlign w:val="center"/>
                </w:tcPr>
                <w:p>
                  <w:pPr>
                    <w:pStyle w:val="20"/>
                    <w:spacing w:before="24" w:beforeAutospacing="0" w:after="24" w:afterAutospacing="0"/>
                    <w:jc w:val="center"/>
                    <w:rPr>
                      <w:rFonts w:ascii="Times New Roman" w:hAnsi="Times New Roman"/>
                      <w:b/>
                      <w:color w:val="auto"/>
                      <w:sz w:val="21"/>
                      <w:szCs w:val="21"/>
                      <w:lang w:bidi="ar"/>
                    </w:rPr>
                  </w:pPr>
                  <w:r>
                    <w:rPr>
                      <w:rFonts w:ascii="Times New Roman" w:hAnsi="Times New Roman"/>
                      <w:b/>
                      <w:bCs/>
                      <w:color w:val="auto"/>
                      <w:sz w:val="21"/>
                      <w:szCs w:val="21"/>
                    </w:rPr>
                    <w:t>排放速率</w:t>
                  </w:r>
                  <w:r>
                    <w:rPr>
                      <w:rFonts w:hint="eastAsia" w:ascii="Times New Roman" w:hAnsi="Times New Roman"/>
                      <w:b/>
                      <w:bCs/>
                      <w:color w:val="auto"/>
                      <w:sz w:val="21"/>
                      <w:szCs w:val="21"/>
                      <w:lang w:eastAsia="zh-CN"/>
                    </w:rPr>
                    <w:t>（</w:t>
                  </w:r>
                  <w:r>
                    <w:rPr>
                      <w:rFonts w:ascii="Times New Roman" w:hAnsi="Times New Roman"/>
                      <w:b/>
                      <w:bCs/>
                      <w:color w:val="auto"/>
                      <w:sz w:val="21"/>
                      <w:szCs w:val="21"/>
                    </w:rPr>
                    <w:t>kg/h</w:t>
                  </w:r>
                  <w:r>
                    <w:rPr>
                      <w:rFonts w:hint="eastAsia" w:ascii="Times New Roman" w:hAnsi="Times New Roman"/>
                      <w:b/>
                      <w:bCs/>
                      <w:color w:val="auto"/>
                      <w:sz w:val="21"/>
                      <w:szCs w:val="21"/>
                      <w:lang w:eastAsia="zh-CN"/>
                    </w:rPr>
                    <w:t>）</w:t>
                  </w:r>
                </w:p>
              </w:tc>
              <w:tc>
                <w:tcPr>
                  <w:tcW w:w="940" w:type="dxa"/>
                  <w:vAlign w:val="center"/>
                </w:tcPr>
                <w:p>
                  <w:pPr>
                    <w:pStyle w:val="20"/>
                    <w:spacing w:before="24" w:beforeAutospacing="0" w:after="24" w:afterAutospacing="0"/>
                    <w:jc w:val="center"/>
                    <w:rPr>
                      <w:rFonts w:ascii="Times New Roman" w:hAnsi="Times New Roman"/>
                      <w:b/>
                      <w:color w:val="auto"/>
                      <w:sz w:val="21"/>
                      <w:szCs w:val="21"/>
                      <w:lang w:bidi="ar"/>
                    </w:rPr>
                  </w:pPr>
                  <w:r>
                    <w:rPr>
                      <w:rFonts w:ascii="Times New Roman" w:hAnsi="Times New Roman"/>
                      <w:b/>
                      <w:bCs/>
                      <w:color w:val="auto"/>
                      <w:sz w:val="21"/>
                      <w:szCs w:val="21"/>
                    </w:rPr>
                    <w:t>排放浓度</w:t>
                  </w:r>
                  <w:r>
                    <w:rPr>
                      <w:rFonts w:hint="eastAsia" w:ascii="Times New Roman" w:hAnsi="Times New Roman"/>
                      <w:b/>
                      <w:bCs/>
                      <w:color w:val="auto"/>
                      <w:sz w:val="21"/>
                      <w:szCs w:val="21"/>
                      <w:lang w:eastAsia="zh-CN"/>
                    </w:rPr>
                    <w:t>（</w:t>
                  </w:r>
                  <w:r>
                    <w:rPr>
                      <w:rFonts w:ascii="Times New Roman" w:hAnsi="Times New Roman"/>
                      <w:b/>
                      <w:bCs/>
                      <w:color w:val="auto"/>
                      <w:sz w:val="21"/>
                      <w:szCs w:val="21"/>
                    </w:rPr>
                    <w:t>mg/m</w:t>
                  </w:r>
                  <w:r>
                    <w:rPr>
                      <w:rFonts w:ascii="Times New Roman" w:hAnsi="Times New Roman"/>
                      <w:b/>
                      <w:bCs/>
                      <w:color w:val="auto"/>
                      <w:sz w:val="21"/>
                      <w:szCs w:val="21"/>
                      <w:vertAlign w:val="superscript"/>
                    </w:rPr>
                    <w:t>3</w:t>
                  </w:r>
                  <w:r>
                    <w:rPr>
                      <w:rFonts w:hint="eastAsia" w:ascii="Times New Roman" w:hAnsi="Times New Roman"/>
                      <w:b/>
                      <w:bCs/>
                      <w:color w:val="auto"/>
                      <w:sz w:val="21"/>
                      <w:szCs w:val="21"/>
                      <w:vertAlign w:val="superscript"/>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722" w:type="dxa"/>
                  <w:vMerge w:val="restart"/>
                  <w:vAlign w:val="center"/>
                </w:tcPr>
                <w:p>
                  <w:pPr>
                    <w:pStyle w:val="20"/>
                    <w:spacing w:before="24" w:beforeAutospacing="0" w:after="24" w:afterAutospacing="0"/>
                    <w:jc w:val="center"/>
                    <w:rPr>
                      <w:rFonts w:ascii="Times New Roman" w:hAnsi="Times New Roman"/>
                      <w:b/>
                      <w:color w:val="auto"/>
                      <w:sz w:val="21"/>
                      <w:szCs w:val="21"/>
                      <w:lang w:bidi="ar"/>
                    </w:rPr>
                  </w:pPr>
                  <w:r>
                    <w:rPr>
                      <w:rFonts w:hint="eastAsia" w:ascii="Times New Roman" w:hAnsi="Times New Roman"/>
                      <w:bCs/>
                      <w:color w:val="auto"/>
                      <w:sz w:val="21"/>
                      <w:szCs w:val="21"/>
                    </w:rPr>
                    <w:t>熔融挤出造粒工序</w:t>
                  </w:r>
                </w:p>
              </w:tc>
              <w:tc>
                <w:tcPr>
                  <w:tcW w:w="720" w:type="dxa"/>
                  <w:vMerge w:val="restart"/>
                  <w:vAlign w:val="center"/>
                </w:tcPr>
                <w:p>
                  <w:pPr>
                    <w:pStyle w:val="20"/>
                    <w:spacing w:before="24" w:beforeAutospacing="0" w:after="24" w:afterAutospacing="0"/>
                    <w:jc w:val="center"/>
                    <w:rPr>
                      <w:rFonts w:ascii="Times New Roman" w:hAnsi="Times New Roman"/>
                      <w:b/>
                      <w:color w:val="auto"/>
                      <w:sz w:val="21"/>
                      <w:szCs w:val="21"/>
                      <w:lang w:bidi="ar"/>
                    </w:rPr>
                  </w:pPr>
                  <w:r>
                    <w:rPr>
                      <w:rFonts w:ascii="Times New Roman" w:hAnsi="Times New Roman"/>
                      <w:bCs/>
                      <w:color w:val="auto"/>
                      <w:sz w:val="21"/>
                      <w:szCs w:val="21"/>
                      <w:lang w:bidi="ar"/>
                    </w:rPr>
                    <w:t>非甲烷总烃</w:t>
                  </w:r>
                </w:p>
              </w:tc>
              <w:tc>
                <w:tcPr>
                  <w:tcW w:w="765" w:type="dxa"/>
                  <w:vAlign w:val="center"/>
                </w:tcPr>
                <w:p>
                  <w:pPr>
                    <w:pStyle w:val="20"/>
                    <w:spacing w:before="24" w:beforeAutospacing="0" w:after="24" w:afterAutospacing="0"/>
                    <w:jc w:val="center"/>
                    <w:rPr>
                      <w:rFonts w:hint="default" w:ascii="Times New Roman" w:hAnsi="Times New Roman" w:eastAsia="宋体"/>
                      <w:b w:val="0"/>
                      <w:bCs/>
                      <w:color w:val="auto"/>
                      <w:sz w:val="21"/>
                      <w:szCs w:val="21"/>
                      <w:lang w:val="en-US" w:eastAsia="zh-CN" w:bidi="ar"/>
                    </w:rPr>
                  </w:pPr>
                  <w:r>
                    <w:rPr>
                      <w:rFonts w:hint="eastAsia" w:ascii="Times New Roman" w:hAnsi="Times New Roman"/>
                      <w:b w:val="0"/>
                      <w:bCs/>
                      <w:color w:val="auto"/>
                      <w:sz w:val="21"/>
                      <w:szCs w:val="21"/>
                      <w:lang w:val="en-US" w:eastAsia="zh-CN" w:bidi="ar"/>
                    </w:rPr>
                    <w:t>12.6</w:t>
                  </w:r>
                </w:p>
              </w:tc>
              <w:tc>
                <w:tcPr>
                  <w:tcW w:w="811" w:type="dxa"/>
                  <w:vAlign w:val="center"/>
                </w:tcPr>
                <w:p>
                  <w:pPr>
                    <w:pStyle w:val="20"/>
                    <w:spacing w:before="24" w:beforeAutospacing="0" w:after="24" w:afterAutospacing="0"/>
                    <w:jc w:val="center"/>
                    <w:rPr>
                      <w:rFonts w:hint="default" w:ascii="Times New Roman" w:hAnsi="Times New Roman" w:eastAsia="宋体"/>
                      <w:b w:val="0"/>
                      <w:bCs/>
                      <w:color w:val="auto"/>
                      <w:sz w:val="21"/>
                      <w:szCs w:val="21"/>
                      <w:lang w:val="en-US" w:eastAsia="zh-CN" w:bidi="ar"/>
                    </w:rPr>
                  </w:pPr>
                  <w:r>
                    <w:rPr>
                      <w:rFonts w:hint="eastAsia" w:ascii="Times New Roman" w:hAnsi="Times New Roman"/>
                      <w:b w:val="0"/>
                      <w:bCs/>
                      <w:color w:val="auto"/>
                      <w:sz w:val="21"/>
                      <w:szCs w:val="21"/>
                      <w:lang w:val="en-US" w:eastAsia="zh-CN" w:bidi="ar"/>
                    </w:rPr>
                    <w:t>1.744</w:t>
                  </w:r>
                </w:p>
              </w:tc>
              <w:tc>
                <w:tcPr>
                  <w:tcW w:w="940" w:type="dxa"/>
                  <w:vAlign w:val="center"/>
                </w:tcPr>
                <w:p>
                  <w:pPr>
                    <w:pStyle w:val="20"/>
                    <w:spacing w:before="24" w:beforeAutospacing="0" w:after="24" w:afterAutospacing="0"/>
                    <w:jc w:val="center"/>
                    <w:rPr>
                      <w:rFonts w:ascii="Times New Roman" w:hAnsi="Times New Roman"/>
                      <w:b w:val="0"/>
                      <w:bCs/>
                      <w:color w:val="auto"/>
                      <w:sz w:val="21"/>
                      <w:szCs w:val="21"/>
                      <w:lang w:bidi="ar"/>
                    </w:rPr>
                  </w:pPr>
                  <w:r>
                    <w:rPr>
                      <w:rFonts w:hint="eastAsia" w:ascii="Times New Roman" w:hAnsi="Times New Roman"/>
                      <w:b w:val="0"/>
                      <w:bCs/>
                      <w:color w:val="auto"/>
                      <w:sz w:val="21"/>
                      <w:szCs w:val="21"/>
                      <w:lang w:val="en-US" w:eastAsia="zh-CN" w:bidi="ar"/>
                    </w:rPr>
                    <w:t>174.4</w:t>
                  </w:r>
                </w:p>
              </w:tc>
              <w:tc>
                <w:tcPr>
                  <w:tcW w:w="718" w:type="dxa"/>
                  <w:vAlign w:val="center"/>
                </w:tcPr>
                <w:p>
                  <w:pPr>
                    <w:pStyle w:val="20"/>
                    <w:spacing w:before="24" w:beforeAutospacing="0" w:after="24" w:afterAutospacing="0"/>
                    <w:jc w:val="center"/>
                    <w:rPr>
                      <w:rFonts w:ascii="Times New Roman" w:hAnsi="Times New Roman"/>
                      <w:b/>
                      <w:color w:val="auto"/>
                      <w:sz w:val="21"/>
                      <w:szCs w:val="21"/>
                      <w:lang w:bidi="ar"/>
                    </w:rPr>
                  </w:pPr>
                  <w:r>
                    <w:rPr>
                      <w:rFonts w:hint="eastAsia" w:ascii="Times New Roman" w:hAnsi="Times New Roman"/>
                      <w:bCs/>
                      <w:color w:val="auto"/>
                      <w:sz w:val="21"/>
                      <w:szCs w:val="21"/>
                      <w:lang w:bidi="ar"/>
                    </w:rPr>
                    <w:t>有组织</w:t>
                  </w:r>
                </w:p>
              </w:tc>
              <w:tc>
                <w:tcPr>
                  <w:tcW w:w="864" w:type="dxa"/>
                  <w:vAlign w:val="center"/>
                </w:tcPr>
                <w:p>
                  <w:pPr>
                    <w:pStyle w:val="20"/>
                    <w:spacing w:before="24" w:beforeAutospacing="0" w:after="24" w:afterAutospacing="0"/>
                    <w:jc w:val="center"/>
                    <w:rPr>
                      <w:rFonts w:ascii="Times New Roman" w:hAnsi="Times New Roman"/>
                      <w:b/>
                      <w:color w:val="auto"/>
                      <w:sz w:val="21"/>
                      <w:szCs w:val="21"/>
                      <w:lang w:bidi="ar"/>
                    </w:rPr>
                  </w:pPr>
                  <w:r>
                    <w:rPr>
                      <w:rFonts w:hint="eastAsia" w:ascii="Times New Roman" w:hAnsi="Times New Roman"/>
                      <w:bCs/>
                      <w:color w:val="auto"/>
                      <w:sz w:val="21"/>
                      <w:szCs w:val="21"/>
                      <w:lang w:eastAsia="zh-CN"/>
                    </w:rPr>
                    <w:t>三级活性炭</w:t>
                  </w:r>
                  <w:r>
                    <w:rPr>
                      <w:rFonts w:ascii="Times New Roman" w:hAnsi="Times New Roman"/>
                      <w:bCs/>
                      <w:color w:val="auto"/>
                      <w:sz w:val="21"/>
                      <w:szCs w:val="21"/>
                    </w:rPr>
                    <w:t>吸附装置</w:t>
                  </w:r>
                  <w:r>
                    <w:rPr>
                      <w:rFonts w:hint="eastAsia" w:ascii="Times New Roman" w:hAnsi="Times New Roman"/>
                      <w:color w:val="auto"/>
                      <w:sz w:val="21"/>
                      <w:szCs w:val="21"/>
                    </w:rPr>
                    <w:t>55</w:t>
                  </w:r>
                  <w:r>
                    <w:rPr>
                      <w:rFonts w:ascii="Times New Roman" w:hAnsi="Times New Roman"/>
                      <w:color w:val="auto"/>
                      <w:sz w:val="21"/>
                      <w:szCs w:val="21"/>
                    </w:rPr>
                    <w:t>%</w:t>
                  </w:r>
                </w:p>
              </w:tc>
              <w:tc>
                <w:tcPr>
                  <w:tcW w:w="760" w:type="dxa"/>
                  <w:vAlign w:val="center"/>
                </w:tcPr>
                <w:p>
                  <w:pPr>
                    <w:pStyle w:val="20"/>
                    <w:spacing w:before="24" w:beforeAutospacing="0" w:after="24" w:afterAutospacing="0"/>
                    <w:jc w:val="center"/>
                    <w:rPr>
                      <w:rFonts w:hint="default" w:ascii="Times New Roman" w:hAnsi="Times New Roman" w:eastAsia="宋体"/>
                      <w:b w:val="0"/>
                      <w:bCs/>
                      <w:color w:val="auto"/>
                      <w:sz w:val="21"/>
                      <w:szCs w:val="21"/>
                      <w:lang w:val="en-US" w:eastAsia="zh-CN" w:bidi="ar"/>
                    </w:rPr>
                  </w:pPr>
                  <w:r>
                    <w:rPr>
                      <w:rFonts w:hint="eastAsia" w:ascii="Times New Roman" w:hAnsi="Times New Roman"/>
                      <w:b w:val="0"/>
                      <w:bCs/>
                      <w:color w:val="auto"/>
                      <w:sz w:val="21"/>
                      <w:szCs w:val="21"/>
                      <w:lang w:val="en-US" w:eastAsia="zh-CN" w:bidi="ar"/>
                    </w:rPr>
                    <w:t>5.67</w:t>
                  </w:r>
                </w:p>
              </w:tc>
              <w:tc>
                <w:tcPr>
                  <w:tcW w:w="802" w:type="dxa"/>
                  <w:vAlign w:val="center"/>
                </w:tcPr>
                <w:p>
                  <w:pPr>
                    <w:pStyle w:val="20"/>
                    <w:spacing w:before="24" w:beforeAutospacing="0" w:after="24" w:afterAutospacing="0"/>
                    <w:jc w:val="center"/>
                    <w:rPr>
                      <w:rFonts w:hint="default" w:ascii="Times New Roman" w:hAnsi="Times New Roman" w:eastAsia="宋体"/>
                      <w:b w:val="0"/>
                      <w:bCs/>
                      <w:color w:val="auto"/>
                      <w:sz w:val="21"/>
                      <w:szCs w:val="21"/>
                      <w:lang w:val="en-US" w:eastAsia="zh-CN" w:bidi="ar"/>
                    </w:rPr>
                  </w:pPr>
                  <w:r>
                    <w:rPr>
                      <w:rFonts w:hint="eastAsia" w:ascii="Times New Roman" w:hAnsi="Times New Roman"/>
                      <w:b w:val="0"/>
                      <w:bCs/>
                      <w:color w:val="auto"/>
                      <w:sz w:val="21"/>
                      <w:szCs w:val="21"/>
                      <w:lang w:val="en-US" w:eastAsia="zh-CN" w:bidi="ar"/>
                    </w:rPr>
                    <w:t>0.7848</w:t>
                  </w:r>
                </w:p>
              </w:tc>
              <w:tc>
                <w:tcPr>
                  <w:tcW w:w="940" w:type="dxa"/>
                  <w:vAlign w:val="center"/>
                </w:tcPr>
                <w:p>
                  <w:pPr>
                    <w:pStyle w:val="20"/>
                    <w:spacing w:before="24" w:beforeAutospacing="0" w:after="24" w:afterAutospacing="0"/>
                    <w:jc w:val="center"/>
                    <w:rPr>
                      <w:rFonts w:hint="default" w:ascii="Times New Roman" w:hAnsi="Times New Roman" w:eastAsia="宋体"/>
                      <w:b w:val="0"/>
                      <w:bCs/>
                      <w:color w:val="auto"/>
                      <w:sz w:val="21"/>
                      <w:szCs w:val="21"/>
                      <w:lang w:val="en-US" w:eastAsia="zh-CN" w:bidi="ar"/>
                    </w:rPr>
                  </w:pPr>
                  <w:r>
                    <w:rPr>
                      <w:rFonts w:hint="eastAsia" w:ascii="Times New Roman" w:hAnsi="Times New Roman"/>
                      <w:b w:val="0"/>
                      <w:bCs/>
                      <w:color w:val="auto"/>
                      <w:sz w:val="21"/>
                      <w:szCs w:val="21"/>
                      <w:lang w:val="en-US" w:eastAsia="zh-CN" w:bidi="ar"/>
                    </w:rPr>
                    <w:t>78.3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722" w:type="dxa"/>
                  <w:vMerge w:val="continue"/>
                  <w:vAlign w:val="center"/>
                </w:tcPr>
                <w:p>
                  <w:pPr>
                    <w:pStyle w:val="20"/>
                    <w:spacing w:before="24" w:beforeAutospacing="0" w:after="24" w:afterAutospacing="0"/>
                    <w:jc w:val="center"/>
                    <w:rPr>
                      <w:rFonts w:ascii="Times New Roman" w:hAnsi="Times New Roman"/>
                      <w:b/>
                      <w:color w:val="auto"/>
                      <w:sz w:val="21"/>
                      <w:szCs w:val="21"/>
                      <w:lang w:bidi="ar"/>
                    </w:rPr>
                  </w:pPr>
                </w:p>
              </w:tc>
              <w:tc>
                <w:tcPr>
                  <w:tcW w:w="720" w:type="dxa"/>
                  <w:vMerge w:val="continue"/>
                  <w:vAlign w:val="center"/>
                </w:tcPr>
                <w:p>
                  <w:pPr>
                    <w:pStyle w:val="20"/>
                    <w:spacing w:before="24" w:beforeAutospacing="0" w:after="24" w:afterAutospacing="0"/>
                    <w:jc w:val="center"/>
                    <w:rPr>
                      <w:rFonts w:ascii="Times New Roman" w:hAnsi="Times New Roman"/>
                      <w:b/>
                      <w:color w:val="auto"/>
                      <w:sz w:val="21"/>
                      <w:szCs w:val="21"/>
                      <w:lang w:bidi="ar"/>
                    </w:rPr>
                  </w:pPr>
                </w:p>
              </w:tc>
              <w:tc>
                <w:tcPr>
                  <w:tcW w:w="765" w:type="dxa"/>
                  <w:vAlign w:val="center"/>
                </w:tcPr>
                <w:p>
                  <w:pPr>
                    <w:pStyle w:val="20"/>
                    <w:spacing w:before="24" w:beforeAutospacing="0" w:after="24" w:afterAutospacing="0"/>
                    <w:jc w:val="center"/>
                    <w:rPr>
                      <w:rFonts w:hint="default" w:ascii="Times New Roman" w:hAnsi="Times New Roman" w:eastAsia="宋体"/>
                      <w:b w:val="0"/>
                      <w:bCs/>
                      <w:color w:val="auto"/>
                      <w:sz w:val="21"/>
                      <w:szCs w:val="21"/>
                      <w:lang w:val="en-US" w:eastAsia="zh-CN" w:bidi="ar"/>
                    </w:rPr>
                  </w:pPr>
                  <w:r>
                    <w:rPr>
                      <w:rFonts w:hint="eastAsia" w:ascii="Times New Roman" w:hAnsi="Times New Roman"/>
                      <w:b w:val="0"/>
                      <w:bCs/>
                      <w:color w:val="auto"/>
                      <w:sz w:val="21"/>
                      <w:szCs w:val="21"/>
                      <w:lang w:val="en-US" w:eastAsia="zh-CN" w:bidi="ar"/>
                    </w:rPr>
                    <w:t>3.15</w:t>
                  </w:r>
                </w:p>
              </w:tc>
              <w:tc>
                <w:tcPr>
                  <w:tcW w:w="811" w:type="dxa"/>
                  <w:vAlign w:val="center"/>
                </w:tcPr>
                <w:p>
                  <w:pPr>
                    <w:pStyle w:val="20"/>
                    <w:spacing w:before="24" w:beforeAutospacing="0" w:after="24" w:afterAutospacing="0"/>
                    <w:jc w:val="center"/>
                    <w:rPr>
                      <w:rFonts w:hint="default" w:ascii="Times New Roman" w:hAnsi="Times New Roman" w:eastAsia="宋体"/>
                      <w:b w:val="0"/>
                      <w:bCs/>
                      <w:color w:val="auto"/>
                      <w:sz w:val="21"/>
                      <w:szCs w:val="21"/>
                      <w:lang w:val="en-US" w:eastAsia="zh-CN" w:bidi="ar"/>
                    </w:rPr>
                  </w:pPr>
                  <w:r>
                    <w:rPr>
                      <w:rFonts w:hint="eastAsia" w:ascii="Times New Roman" w:hAnsi="Times New Roman"/>
                      <w:b w:val="0"/>
                      <w:bCs/>
                      <w:color w:val="auto"/>
                      <w:sz w:val="21"/>
                      <w:szCs w:val="21"/>
                      <w:lang w:val="en-US" w:eastAsia="zh-CN" w:bidi="ar"/>
                    </w:rPr>
                    <w:t>0.4375</w:t>
                  </w:r>
                </w:p>
              </w:tc>
              <w:tc>
                <w:tcPr>
                  <w:tcW w:w="940" w:type="dxa"/>
                  <w:vAlign w:val="center"/>
                </w:tcPr>
                <w:p>
                  <w:pPr>
                    <w:pStyle w:val="20"/>
                    <w:spacing w:before="24" w:beforeAutospacing="0" w:after="24" w:afterAutospacing="0"/>
                    <w:jc w:val="center"/>
                    <w:rPr>
                      <w:rFonts w:ascii="Times New Roman" w:hAnsi="Times New Roman"/>
                      <w:b w:val="0"/>
                      <w:bCs/>
                      <w:color w:val="auto"/>
                      <w:sz w:val="21"/>
                      <w:szCs w:val="21"/>
                      <w:lang w:bidi="ar"/>
                    </w:rPr>
                  </w:pPr>
                  <w:r>
                    <w:rPr>
                      <w:rFonts w:ascii="Times New Roman" w:hAnsi="Times New Roman"/>
                      <w:b w:val="0"/>
                      <w:bCs/>
                      <w:color w:val="auto"/>
                      <w:sz w:val="21"/>
                      <w:szCs w:val="21"/>
                    </w:rPr>
                    <w:t>/</w:t>
                  </w:r>
                </w:p>
              </w:tc>
              <w:tc>
                <w:tcPr>
                  <w:tcW w:w="718" w:type="dxa"/>
                  <w:vAlign w:val="center"/>
                </w:tcPr>
                <w:p>
                  <w:pPr>
                    <w:pStyle w:val="20"/>
                    <w:spacing w:before="24" w:beforeAutospacing="0" w:after="24" w:afterAutospacing="0"/>
                    <w:jc w:val="center"/>
                    <w:rPr>
                      <w:rFonts w:ascii="Times New Roman" w:hAnsi="Times New Roman"/>
                      <w:b/>
                      <w:color w:val="auto"/>
                      <w:sz w:val="21"/>
                      <w:szCs w:val="21"/>
                      <w:lang w:bidi="ar"/>
                    </w:rPr>
                  </w:pPr>
                  <w:r>
                    <w:rPr>
                      <w:rFonts w:ascii="Times New Roman" w:hAnsi="Times New Roman"/>
                      <w:bCs/>
                      <w:color w:val="auto"/>
                      <w:sz w:val="21"/>
                      <w:szCs w:val="21"/>
                      <w:lang w:bidi="ar"/>
                    </w:rPr>
                    <w:t>无组织</w:t>
                  </w:r>
                </w:p>
              </w:tc>
              <w:tc>
                <w:tcPr>
                  <w:tcW w:w="864" w:type="dxa"/>
                  <w:vAlign w:val="center"/>
                </w:tcPr>
                <w:p>
                  <w:pPr>
                    <w:pStyle w:val="20"/>
                    <w:spacing w:before="24" w:beforeAutospacing="0" w:after="24" w:afterAutospacing="0"/>
                    <w:jc w:val="center"/>
                    <w:rPr>
                      <w:rFonts w:ascii="Times New Roman" w:hAnsi="Times New Roman"/>
                      <w:b/>
                      <w:color w:val="auto"/>
                      <w:sz w:val="21"/>
                      <w:szCs w:val="21"/>
                      <w:lang w:bidi="ar"/>
                    </w:rPr>
                  </w:pPr>
                  <w:r>
                    <w:rPr>
                      <w:rFonts w:ascii="Times New Roman" w:hAnsi="Times New Roman"/>
                      <w:color w:val="auto"/>
                      <w:sz w:val="21"/>
                      <w:szCs w:val="21"/>
                    </w:rPr>
                    <w:t>/</w:t>
                  </w:r>
                </w:p>
              </w:tc>
              <w:tc>
                <w:tcPr>
                  <w:tcW w:w="760" w:type="dxa"/>
                  <w:shd w:val="clear" w:color="auto" w:fill="auto"/>
                  <w:vAlign w:val="center"/>
                </w:tcPr>
                <w:p>
                  <w:pPr>
                    <w:pStyle w:val="20"/>
                    <w:spacing w:before="24" w:beforeAutospacing="0" w:after="24" w:afterAutospacing="0"/>
                    <w:jc w:val="center"/>
                    <w:rPr>
                      <w:rFonts w:hint="default" w:ascii="Times New Roman" w:hAnsi="Times New Roman" w:eastAsia="宋体" w:cs="Times New Roman"/>
                      <w:b w:val="0"/>
                      <w:bCs/>
                      <w:color w:val="auto"/>
                      <w:kern w:val="2"/>
                      <w:sz w:val="21"/>
                      <w:szCs w:val="21"/>
                      <w:lang w:val="en-US" w:eastAsia="zh-CN" w:bidi="ar"/>
                    </w:rPr>
                  </w:pPr>
                  <w:r>
                    <w:rPr>
                      <w:rFonts w:hint="eastAsia" w:ascii="Times New Roman" w:hAnsi="Times New Roman"/>
                      <w:b w:val="0"/>
                      <w:bCs/>
                      <w:color w:val="auto"/>
                      <w:sz w:val="21"/>
                      <w:szCs w:val="21"/>
                      <w:lang w:val="en-US" w:eastAsia="zh-CN" w:bidi="ar"/>
                    </w:rPr>
                    <w:t>3.15</w:t>
                  </w:r>
                </w:p>
              </w:tc>
              <w:tc>
                <w:tcPr>
                  <w:tcW w:w="802" w:type="dxa"/>
                  <w:shd w:val="clear" w:color="auto" w:fill="auto"/>
                  <w:vAlign w:val="center"/>
                </w:tcPr>
                <w:p>
                  <w:pPr>
                    <w:pStyle w:val="20"/>
                    <w:spacing w:before="24" w:beforeAutospacing="0" w:after="24" w:afterAutospacing="0"/>
                    <w:jc w:val="center"/>
                    <w:rPr>
                      <w:rFonts w:hint="default" w:ascii="Times New Roman" w:hAnsi="Times New Roman" w:eastAsia="宋体" w:cs="Times New Roman"/>
                      <w:b w:val="0"/>
                      <w:bCs/>
                      <w:color w:val="auto"/>
                      <w:kern w:val="2"/>
                      <w:sz w:val="21"/>
                      <w:szCs w:val="21"/>
                      <w:lang w:val="en-US" w:eastAsia="zh-CN" w:bidi="ar"/>
                    </w:rPr>
                  </w:pPr>
                  <w:r>
                    <w:rPr>
                      <w:rFonts w:hint="eastAsia" w:ascii="Times New Roman" w:hAnsi="Times New Roman"/>
                      <w:b w:val="0"/>
                      <w:bCs/>
                      <w:color w:val="auto"/>
                      <w:sz w:val="21"/>
                      <w:szCs w:val="21"/>
                      <w:lang w:val="en-US" w:eastAsia="zh-CN" w:bidi="ar"/>
                    </w:rPr>
                    <w:t>0.4375</w:t>
                  </w:r>
                </w:p>
              </w:tc>
              <w:tc>
                <w:tcPr>
                  <w:tcW w:w="940" w:type="dxa"/>
                  <w:vAlign w:val="center"/>
                </w:tcPr>
                <w:p>
                  <w:pPr>
                    <w:pStyle w:val="20"/>
                    <w:spacing w:before="24" w:beforeAutospacing="0" w:after="24" w:afterAutospacing="0"/>
                    <w:jc w:val="center"/>
                    <w:rPr>
                      <w:rFonts w:ascii="Times New Roman" w:hAnsi="Times New Roman"/>
                      <w:b/>
                      <w:color w:val="auto"/>
                      <w:sz w:val="21"/>
                      <w:szCs w:val="21"/>
                      <w:lang w:bidi="ar"/>
                    </w:rPr>
                  </w:pPr>
                  <w:r>
                    <w:rPr>
                      <w:rFonts w:ascii="Times New Roman" w:hAnsi="Times New Roman"/>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722" w:type="dxa"/>
                  <w:vMerge w:val="continue"/>
                  <w:vAlign w:val="center"/>
                </w:tcPr>
                <w:p>
                  <w:pPr>
                    <w:pStyle w:val="20"/>
                    <w:spacing w:before="24" w:beforeAutospacing="0" w:after="24" w:afterAutospacing="0"/>
                    <w:jc w:val="center"/>
                    <w:rPr>
                      <w:rFonts w:ascii="Times New Roman" w:hAnsi="Times New Roman"/>
                      <w:b/>
                      <w:color w:val="auto"/>
                      <w:sz w:val="21"/>
                      <w:szCs w:val="21"/>
                      <w:lang w:bidi="ar"/>
                    </w:rPr>
                  </w:pPr>
                </w:p>
              </w:tc>
              <w:tc>
                <w:tcPr>
                  <w:tcW w:w="720" w:type="dxa"/>
                  <w:vMerge w:val="restart"/>
                  <w:vAlign w:val="center"/>
                </w:tcPr>
                <w:p>
                  <w:pPr>
                    <w:pStyle w:val="20"/>
                    <w:spacing w:before="24" w:beforeAutospacing="0" w:after="24" w:afterAutospacing="0"/>
                    <w:jc w:val="center"/>
                    <w:rPr>
                      <w:rFonts w:ascii="Times New Roman" w:hAnsi="Times New Roman"/>
                      <w:bCs/>
                      <w:color w:val="auto"/>
                      <w:sz w:val="21"/>
                      <w:szCs w:val="21"/>
                      <w:lang w:bidi="ar"/>
                    </w:rPr>
                  </w:pPr>
                  <w:r>
                    <w:rPr>
                      <w:rFonts w:hint="eastAsia" w:ascii="Times New Roman" w:hAnsi="Times New Roman"/>
                      <w:bCs/>
                      <w:color w:val="auto"/>
                      <w:sz w:val="21"/>
                      <w:szCs w:val="21"/>
                      <w:lang w:bidi="ar"/>
                    </w:rPr>
                    <w:t>颗粒物</w:t>
                  </w:r>
                </w:p>
              </w:tc>
              <w:tc>
                <w:tcPr>
                  <w:tcW w:w="765" w:type="dxa"/>
                  <w:vAlign w:val="center"/>
                </w:tcPr>
                <w:p>
                  <w:pPr>
                    <w:pStyle w:val="20"/>
                    <w:spacing w:before="24" w:beforeAutospacing="0" w:after="24" w:afterAutospacing="0"/>
                    <w:jc w:val="center"/>
                    <w:rPr>
                      <w:rFonts w:hint="default" w:ascii="Times New Roman" w:hAnsi="Times New Roman" w:eastAsia="宋体"/>
                      <w:b w:val="0"/>
                      <w:bCs/>
                      <w:color w:val="auto"/>
                      <w:sz w:val="21"/>
                      <w:szCs w:val="21"/>
                      <w:lang w:val="en-US" w:eastAsia="zh-CN" w:bidi="ar"/>
                    </w:rPr>
                  </w:pPr>
                  <w:r>
                    <w:rPr>
                      <w:rFonts w:hint="eastAsia" w:ascii="Times New Roman" w:hAnsi="Times New Roman"/>
                      <w:b w:val="0"/>
                      <w:bCs/>
                      <w:color w:val="auto"/>
                      <w:sz w:val="21"/>
                      <w:szCs w:val="21"/>
                      <w:lang w:val="en-US" w:eastAsia="zh-CN" w:bidi="ar"/>
                    </w:rPr>
                    <w:t>1.8</w:t>
                  </w:r>
                </w:p>
              </w:tc>
              <w:tc>
                <w:tcPr>
                  <w:tcW w:w="811" w:type="dxa"/>
                  <w:vAlign w:val="center"/>
                </w:tcPr>
                <w:p>
                  <w:pPr>
                    <w:pStyle w:val="20"/>
                    <w:spacing w:before="24" w:beforeAutospacing="0" w:after="24" w:afterAutospacing="0"/>
                    <w:jc w:val="center"/>
                    <w:rPr>
                      <w:rFonts w:hint="default" w:ascii="Times New Roman" w:hAnsi="Times New Roman" w:eastAsia="宋体"/>
                      <w:b w:val="0"/>
                      <w:bCs/>
                      <w:color w:val="auto"/>
                      <w:sz w:val="21"/>
                      <w:szCs w:val="21"/>
                      <w:lang w:val="en-US" w:eastAsia="zh-CN" w:bidi="ar"/>
                    </w:rPr>
                  </w:pPr>
                  <w:r>
                    <w:rPr>
                      <w:rFonts w:hint="eastAsia" w:ascii="Times New Roman" w:hAnsi="Times New Roman"/>
                      <w:b w:val="0"/>
                      <w:bCs/>
                      <w:color w:val="auto"/>
                      <w:sz w:val="21"/>
                      <w:szCs w:val="21"/>
                      <w:lang w:val="en-US" w:eastAsia="zh-CN" w:bidi="ar"/>
                    </w:rPr>
                    <w:t>0.25</w:t>
                  </w:r>
                </w:p>
              </w:tc>
              <w:tc>
                <w:tcPr>
                  <w:tcW w:w="940" w:type="dxa"/>
                  <w:vAlign w:val="center"/>
                </w:tcPr>
                <w:p>
                  <w:pPr>
                    <w:pStyle w:val="20"/>
                    <w:spacing w:before="24" w:beforeAutospacing="0" w:after="24" w:afterAutospacing="0"/>
                    <w:jc w:val="center"/>
                    <w:rPr>
                      <w:rFonts w:hint="default" w:ascii="Times New Roman" w:hAnsi="Times New Roman" w:eastAsia="宋体"/>
                      <w:b w:val="0"/>
                      <w:bCs/>
                      <w:color w:val="auto"/>
                      <w:sz w:val="21"/>
                      <w:szCs w:val="21"/>
                      <w:lang w:val="en-US" w:eastAsia="zh-CN" w:bidi="ar"/>
                    </w:rPr>
                  </w:pPr>
                  <w:r>
                    <w:rPr>
                      <w:rFonts w:hint="eastAsia" w:ascii="Times New Roman" w:hAnsi="Times New Roman"/>
                      <w:b w:val="0"/>
                      <w:bCs/>
                      <w:color w:val="auto"/>
                      <w:sz w:val="21"/>
                      <w:szCs w:val="21"/>
                      <w:lang w:val="en-US" w:eastAsia="zh-CN" w:bidi="ar"/>
                    </w:rPr>
                    <w:t>25</w:t>
                  </w:r>
                </w:p>
              </w:tc>
              <w:tc>
                <w:tcPr>
                  <w:tcW w:w="718" w:type="dxa"/>
                  <w:vAlign w:val="center"/>
                </w:tcPr>
                <w:p>
                  <w:pPr>
                    <w:pStyle w:val="20"/>
                    <w:spacing w:before="24" w:beforeAutospacing="0" w:after="24" w:afterAutospacing="0"/>
                    <w:jc w:val="center"/>
                    <w:rPr>
                      <w:rFonts w:ascii="Times New Roman" w:hAnsi="Times New Roman"/>
                      <w:b/>
                      <w:color w:val="auto"/>
                      <w:sz w:val="21"/>
                      <w:szCs w:val="21"/>
                      <w:lang w:bidi="ar"/>
                    </w:rPr>
                  </w:pPr>
                  <w:r>
                    <w:rPr>
                      <w:rFonts w:hint="eastAsia" w:ascii="Times New Roman" w:hAnsi="Times New Roman"/>
                      <w:color w:val="auto"/>
                      <w:sz w:val="21"/>
                      <w:szCs w:val="21"/>
                      <w:lang w:bidi="ar"/>
                    </w:rPr>
                    <w:t>有组织</w:t>
                  </w:r>
                </w:p>
              </w:tc>
              <w:tc>
                <w:tcPr>
                  <w:tcW w:w="864" w:type="dxa"/>
                  <w:vAlign w:val="center"/>
                </w:tcPr>
                <w:p>
                  <w:pPr>
                    <w:pStyle w:val="20"/>
                    <w:spacing w:before="24" w:after="24"/>
                    <w:jc w:val="center"/>
                    <w:rPr>
                      <w:rFonts w:ascii="Times New Roman" w:hAnsi="Times New Roman"/>
                      <w:color w:val="auto"/>
                      <w:sz w:val="21"/>
                      <w:szCs w:val="21"/>
                      <w:lang w:bidi="ar"/>
                    </w:rPr>
                  </w:pPr>
                  <w:r>
                    <w:rPr>
                      <w:rFonts w:hint="eastAsia" w:ascii="Times New Roman" w:hAnsi="Times New Roman"/>
                      <w:bCs/>
                      <w:color w:val="auto"/>
                      <w:sz w:val="21"/>
                      <w:szCs w:val="21"/>
                      <w:lang w:bidi="ar"/>
                    </w:rPr>
                    <w:t>过滤棉吸附</w:t>
                  </w:r>
                  <w:r>
                    <w:rPr>
                      <w:rFonts w:ascii="Times New Roman" w:hAnsi="Times New Roman"/>
                      <w:bCs/>
                      <w:color w:val="auto"/>
                      <w:sz w:val="21"/>
                      <w:szCs w:val="21"/>
                      <w:lang w:bidi="ar"/>
                    </w:rPr>
                    <w:t>70%</w:t>
                  </w:r>
                </w:p>
              </w:tc>
              <w:tc>
                <w:tcPr>
                  <w:tcW w:w="760" w:type="dxa"/>
                  <w:vAlign w:val="center"/>
                </w:tcPr>
                <w:p>
                  <w:pPr>
                    <w:pStyle w:val="20"/>
                    <w:spacing w:before="24" w:beforeAutospacing="0" w:after="24" w:afterAutospacing="0"/>
                    <w:jc w:val="center"/>
                    <w:rPr>
                      <w:rFonts w:hint="default" w:ascii="Times New Roman" w:hAnsi="Times New Roman" w:eastAsia="宋体"/>
                      <w:b w:val="0"/>
                      <w:bCs/>
                      <w:color w:val="auto"/>
                      <w:sz w:val="21"/>
                      <w:szCs w:val="21"/>
                      <w:lang w:val="en-US" w:eastAsia="zh-CN" w:bidi="ar"/>
                    </w:rPr>
                  </w:pPr>
                  <w:r>
                    <w:rPr>
                      <w:rFonts w:hint="eastAsia" w:ascii="Times New Roman" w:hAnsi="Times New Roman"/>
                      <w:b w:val="0"/>
                      <w:bCs/>
                      <w:color w:val="auto"/>
                      <w:sz w:val="21"/>
                      <w:szCs w:val="21"/>
                      <w:lang w:val="en-US" w:eastAsia="zh-CN" w:bidi="ar"/>
                    </w:rPr>
                    <w:t>0.54</w:t>
                  </w:r>
                </w:p>
              </w:tc>
              <w:tc>
                <w:tcPr>
                  <w:tcW w:w="802" w:type="dxa"/>
                  <w:vAlign w:val="center"/>
                </w:tcPr>
                <w:p>
                  <w:pPr>
                    <w:pStyle w:val="20"/>
                    <w:spacing w:before="24" w:beforeAutospacing="0" w:after="24" w:afterAutospacing="0"/>
                    <w:jc w:val="center"/>
                    <w:rPr>
                      <w:rFonts w:hint="default" w:ascii="Times New Roman" w:hAnsi="Times New Roman" w:eastAsia="宋体"/>
                      <w:b w:val="0"/>
                      <w:bCs/>
                      <w:color w:val="auto"/>
                      <w:sz w:val="21"/>
                      <w:szCs w:val="21"/>
                      <w:lang w:val="en-US" w:eastAsia="zh-CN" w:bidi="ar"/>
                    </w:rPr>
                  </w:pPr>
                  <w:r>
                    <w:rPr>
                      <w:rFonts w:hint="eastAsia" w:ascii="Times New Roman" w:hAnsi="Times New Roman"/>
                      <w:b w:val="0"/>
                      <w:bCs/>
                      <w:color w:val="auto"/>
                      <w:sz w:val="21"/>
                      <w:szCs w:val="21"/>
                      <w:lang w:val="en-US" w:eastAsia="zh-CN" w:bidi="ar"/>
                    </w:rPr>
                    <w:t>0.075</w:t>
                  </w:r>
                </w:p>
              </w:tc>
              <w:tc>
                <w:tcPr>
                  <w:tcW w:w="940" w:type="dxa"/>
                  <w:vAlign w:val="center"/>
                </w:tcPr>
                <w:p>
                  <w:pPr>
                    <w:pStyle w:val="20"/>
                    <w:spacing w:before="24" w:beforeAutospacing="0" w:after="24" w:afterAutospacing="0"/>
                    <w:jc w:val="center"/>
                    <w:rPr>
                      <w:rFonts w:hint="default" w:ascii="Times New Roman" w:hAnsi="Times New Roman" w:eastAsia="宋体"/>
                      <w:b w:val="0"/>
                      <w:bCs/>
                      <w:color w:val="auto"/>
                      <w:sz w:val="21"/>
                      <w:szCs w:val="21"/>
                      <w:lang w:val="en-US" w:eastAsia="zh-CN" w:bidi="ar"/>
                    </w:rPr>
                  </w:pPr>
                  <w:r>
                    <w:rPr>
                      <w:rFonts w:hint="eastAsia" w:ascii="Times New Roman" w:hAnsi="Times New Roman"/>
                      <w:b w:val="0"/>
                      <w:bCs/>
                      <w:color w:val="auto"/>
                      <w:sz w:val="21"/>
                      <w:szCs w:val="21"/>
                      <w:lang w:val="en-US" w:eastAsia="zh-CN" w:bidi="ar"/>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722" w:type="dxa"/>
                  <w:vMerge w:val="continue"/>
                  <w:vAlign w:val="center"/>
                </w:tcPr>
                <w:p>
                  <w:pPr>
                    <w:pStyle w:val="20"/>
                    <w:spacing w:before="24" w:beforeAutospacing="0" w:after="24" w:afterAutospacing="0"/>
                    <w:jc w:val="center"/>
                    <w:rPr>
                      <w:rFonts w:ascii="Times New Roman" w:hAnsi="Times New Roman"/>
                      <w:b/>
                      <w:color w:val="auto"/>
                      <w:sz w:val="21"/>
                      <w:szCs w:val="21"/>
                      <w:lang w:bidi="ar"/>
                    </w:rPr>
                  </w:pPr>
                </w:p>
              </w:tc>
              <w:tc>
                <w:tcPr>
                  <w:tcW w:w="720" w:type="dxa"/>
                  <w:vMerge w:val="continue"/>
                  <w:vAlign w:val="center"/>
                </w:tcPr>
                <w:p>
                  <w:pPr>
                    <w:pStyle w:val="20"/>
                    <w:spacing w:before="24" w:beforeAutospacing="0" w:after="24" w:afterAutospacing="0"/>
                    <w:jc w:val="center"/>
                    <w:rPr>
                      <w:rFonts w:ascii="Times New Roman" w:hAnsi="Times New Roman"/>
                      <w:bCs/>
                      <w:color w:val="auto"/>
                      <w:sz w:val="21"/>
                      <w:szCs w:val="21"/>
                      <w:lang w:bidi="ar"/>
                    </w:rPr>
                  </w:pPr>
                </w:p>
              </w:tc>
              <w:tc>
                <w:tcPr>
                  <w:tcW w:w="765" w:type="dxa"/>
                  <w:vAlign w:val="center"/>
                </w:tcPr>
                <w:p>
                  <w:pPr>
                    <w:pStyle w:val="20"/>
                    <w:spacing w:before="24" w:beforeAutospacing="0" w:after="24" w:afterAutospacing="0"/>
                    <w:jc w:val="center"/>
                    <w:rPr>
                      <w:rFonts w:hint="default" w:ascii="Times New Roman" w:hAnsi="Times New Roman" w:eastAsia="宋体"/>
                      <w:b w:val="0"/>
                      <w:bCs/>
                      <w:color w:val="auto"/>
                      <w:sz w:val="21"/>
                      <w:szCs w:val="21"/>
                      <w:lang w:val="en-US" w:eastAsia="zh-CN" w:bidi="ar"/>
                    </w:rPr>
                  </w:pPr>
                  <w:r>
                    <w:rPr>
                      <w:rFonts w:hint="eastAsia" w:ascii="Times New Roman" w:hAnsi="Times New Roman"/>
                      <w:b w:val="0"/>
                      <w:bCs/>
                      <w:color w:val="auto"/>
                      <w:sz w:val="21"/>
                      <w:szCs w:val="21"/>
                      <w:lang w:val="en-US" w:eastAsia="zh-CN" w:bidi="ar"/>
                    </w:rPr>
                    <w:t>0.45</w:t>
                  </w:r>
                </w:p>
              </w:tc>
              <w:tc>
                <w:tcPr>
                  <w:tcW w:w="811" w:type="dxa"/>
                  <w:vAlign w:val="center"/>
                </w:tcPr>
                <w:p>
                  <w:pPr>
                    <w:pStyle w:val="20"/>
                    <w:spacing w:before="24" w:beforeAutospacing="0" w:after="24" w:afterAutospacing="0"/>
                    <w:jc w:val="center"/>
                    <w:rPr>
                      <w:rFonts w:hint="default" w:ascii="Times New Roman" w:hAnsi="Times New Roman" w:eastAsia="宋体"/>
                      <w:b w:val="0"/>
                      <w:bCs/>
                      <w:color w:val="auto"/>
                      <w:sz w:val="21"/>
                      <w:szCs w:val="21"/>
                      <w:lang w:val="en-US" w:eastAsia="zh-CN" w:bidi="ar"/>
                    </w:rPr>
                  </w:pPr>
                  <w:r>
                    <w:rPr>
                      <w:rFonts w:hint="eastAsia" w:ascii="Times New Roman" w:hAnsi="Times New Roman"/>
                      <w:b w:val="0"/>
                      <w:bCs/>
                      <w:color w:val="auto"/>
                      <w:sz w:val="21"/>
                      <w:szCs w:val="21"/>
                      <w:lang w:val="en-US" w:eastAsia="zh-CN" w:bidi="ar"/>
                    </w:rPr>
                    <w:t>0.0625</w:t>
                  </w:r>
                </w:p>
              </w:tc>
              <w:tc>
                <w:tcPr>
                  <w:tcW w:w="940" w:type="dxa"/>
                  <w:vAlign w:val="center"/>
                </w:tcPr>
                <w:p>
                  <w:pPr>
                    <w:pStyle w:val="20"/>
                    <w:spacing w:before="24" w:beforeAutospacing="0" w:after="24" w:afterAutospacing="0"/>
                    <w:jc w:val="center"/>
                    <w:rPr>
                      <w:rFonts w:ascii="Times New Roman" w:hAnsi="Times New Roman"/>
                      <w:b w:val="0"/>
                      <w:bCs/>
                      <w:color w:val="auto"/>
                      <w:sz w:val="21"/>
                      <w:szCs w:val="21"/>
                      <w:lang w:bidi="ar"/>
                    </w:rPr>
                  </w:pPr>
                  <w:r>
                    <w:rPr>
                      <w:rFonts w:ascii="Times New Roman" w:hAnsi="Times New Roman"/>
                      <w:b w:val="0"/>
                      <w:bCs/>
                      <w:color w:val="auto"/>
                      <w:sz w:val="21"/>
                      <w:szCs w:val="21"/>
                    </w:rPr>
                    <w:t>/</w:t>
                  </w:r>
                </w:p>
              </w:tc>
              <w:tc>
                <w:tcPr>
                  <w:tcW w:w="718" w:type="dxa"/>
                  <w:vAlign w:val="center"/>
                </w:tcPr>
                <w:p>
                  <w:pPr>
                    <w:pStyle w:val="20"/>
                    <w:spacing w:before="24" w:beforeAutospacing="0" w:after="24" w:afterAutospacing="0"/>
                    <w:jc w:val="center"/>
                    <w:rPr>
                      <w:rFonts w:ascii="Times New Roman" w:hAnsi="Times New Roman"/>
                      <w:color w:val="auto"/>
                      <w:sz w:val="21"/>
                      <w:szCs w:val="21"/>
                      <w:lang w:bidi="ar"/>
                    </w:rPr>
                  </w:pPr>
                  <w:r>
                    <w:rPr>
                      <w:rFonts w:ascii="Times New Roman" w:hAnsi="Times New Roman"/>
                      <w:color w:val="auto"/>
                      <w:sz w:val="21"/>
                      <w:szCs w:val="21"/>
                      <w:lang w:bidi="ar"/>
                    </w:rPr>
                    <w:t>无组织</w:t>
                  </w:r>
                </w:p>
              </w:tc>
              <w:tc>
                <w:tcPr>
                  <w:tcW w:w="864" w:type="dxa"/>
                  <w:vAlign w:val="center"/>
                </w:tcPr>
                <w:p>
                  <w:pPr>
                    <w:pStyle w:val="20"/>
                    <w:spacing w:before="24" w:after="24"/>
                    <w:jc w:val="center"/>
                    <w:rPr>
                      <w:rFonts w:ascii="Times New Roman" w:hAnsi="Times New Roman"/>
                      <w:color w:val="auto"/>
                      <w:sz w:val="21"/>
                      <w:szCs w:val="21"/>
                    </w:rPr>
                  </w:pPr>
                  <w:r>
                    <w:rPr>
                      <w:rFonts w:hint="eastAsia" w:ascii="Times New Roman" w:hAnsi="Times New Roman"/>
                      <w:color w:val="auto"/>
                      <w:sz w:val="21"/>
                      <w:szCs w:val="21"/>
                    </w:rPr>
                    <w:t>/</w:t>
                  </w:r>
                </w:p>
              </w:tc>
              <w:tc>
                <w:tcPr>
                  <w:tcW w:w="760" w:type="dxa"/>
                  <w:shd w:val="clear" w:color="auto" w:fill="auto"/>
                  <w:vAlign w:val="center"/>
                </w:tcPr>
                <w:p>
                  <w:pPr>
                    <w:pStyle w:val="20"/>
                    <w:spacing w:before="24" w:beforeAutospacing="0" w:after="24" w:afterAutospacing="0"/>
                    <w:jc w:val="center"/>
                    <w:rPr>
                      <w:rFonts w:hint="default" w:ascii="Times New Roman" w:hAnsi="Times New Roman" w:eastAsia="宋体" w:cs="Times New Roman"/>
                      <w:b w:val="0"/>
                      <w:bCs/>
                      <w:color w:val="auto"/>
                      <w:kern w:val="2"/>
                      <w:sz w:val="21"/>
                      <w:szCs w:val="21"/>
                      <w:lang w:val="en-US" w:eastAsia="zh-CN" w:bidi="ar"/>
                    </w:rPr>
                  </w:pPr>
                  <w:r>
                    <w:rPr>
                      <w:rFonts w:hint="eastAsia" w:ascii="Times New Roman" w:hAnsi="Times New Roman"/>
                      <w:b w:val="0"/>
                      <w:bCs/>
                      <w:color w:val="auto"/>
                      <w:sz w:val="21"/>
                      <w:szCs w:val="21"/>
                      <w:lang w:val="en-US" w:eastAsia="zh-CN" w:bidi="ar"/>
                    </w:rPr>
                    <w:t>0.45</w:t>
                  </w:r>
                </w:p>
              </w:tc>
              <w:tc>
                <w:tcPr>
                  <w:tcW w:w="802" w:type="dxa"/>
                  <w:shd w:val="clear" w:color="auto" w:fill="auto"/>
                  <w:vAlign w:val="center"/>
                </w:tcPr>
                <w:p>
                  <w:pPr>
                    <w:pStyle w:val="20"/>
                    <w:spacing w:before="24" w:beforeAutospacing="0" w:after="24" w:afterAutospacing="0"/>
                    <w:jc w:val="center"/>
                    <w:rPr>
                      <w:rFonts w:hint="default" w:ascii="Times New Roman" w:hAnsi="Times New Roman" w:eastAsia="宋体" w:cs="Times New Roman"/>
                      <w:b w:val="0"/>
                      <w:bCs/>
                      <w:color w:val="auto"/>
                      <w:kern w:val="2"/>
                      <w:sz w:val="21"/>
                      <w:szCs w:val="21"/>
                      <w:lang w:val="en-US" w:eastAsia="zh-CN" w:bidi="ar"/>
                    </w:rPr>
                  </w:pPr>
                  <w:r>
                    <w:rPr>
                      <w:rFonts w:hint="eastAsia" w:ascii="Times New Roman" w:hAnsi="Times New Roman"/>
                      <w:b w:val="0"/>
                      <w:bCs/>
                      <w:color w:val="auto"/>
                      <w:sz w:val="21"/>
                      <w:szCs w:val="21"/>
                      <w:lang w:val="en-US" w:eastAsia="zh-CN" w:bidi="ar"/>
                    </w:rPr>
                    <w:t>0.0625</w:t>
                  </w:r>
                </w:p>
              </w:tc>
              <w:tc>
                <w:tcPr>
                  <w:tcW w:w="940" w:type="dxa"/>
                  <w:vAlign w:val="center"/>
                </w:tcPr>
                <w:p>
                  <w:pPr>
                    <w:pStyle w:val="20"/>
                    <w:spacing w:before="24" w:beforeAutospacing="0" w:after="24" w:afterAutospacing="0"/>
                    <w:jc w:val="center"/>
                    <w:rPr>
                      <w:rFonts w:ascii="Times New Roman" w:hAnsi="Times New Roman"/>
                      <w:b w:val="0"/>
                      <w:bCs/>
                      <w:color w:val="auto"/>
                      <w:sz w:val="21"/>
                      <w:szCs w:val="21"/>
                      <w:lang w:bidi="ar"/>
                    </w:rPr>
                  </w:pPr>
                  <w:r>
                    <w:rPr>
                      <w:rFonts w:ascii="Times New Roman" w:hAnsi="Times New Roman"/>
                      <w:b w:val="0"/>
                      <w:bCs/>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722" w:type="dxa"/>
                  <w:vMerge w:val="continue"/>
                  <w:vAlign w:val="center"/>
                </w:tcPr>
                <w:p>
                  <w:pPr>
                    <w:pStyle w:val="20"/>
                    <w:spacing w:before="24" w:beforeAutospacing="0" w:after="24" w:afterAutospacing="0"/>
                    <w:jc w:val="center"/>
                    <w:rPr>
                      <w:rFonts w:ascii="Times New Roman" w:hAnsi="Times New Roman"/>
                      <w:b/>
                      <w:color w:val="auto"/>
                      <w:sz w:val="21"/>
                      <w:szCs w:val="21"/>
                      <w:lang w:bidi="ar"/>
                    </w:rPr>
                  </w:pPr>
                </w:p>
              </w:tc>
              <w:tc>
                <w:tcPr>
                  <w:tcW w:w="720" w:type="dxa"/>
                  <w:vAlign w:val="center"/>
                </w:tcPr>
                <w:p>
                  <w:pPr>
                    <w:pStyle w:val="20"/>
                    <w:spacing w:before="24" w:beforeAutospacing="0" w:after="24" w:afterAutospacing="0"/>
                    <w:jc w:val="center"/>
                    <w:rPr>
                      <w:rFonts w:ascii="Times New Roman" w:hAnsi="Times New Roman"/>
                      <w:bCs/>
                      <w:color w:val="auto"/>
                      <w:sz w:val="21"/>
                      <w:szCs w:val="21"/>
                      <w:lang w:bidi="ar"/>
                    </w:rPr>
                  </w:pPr>
                  <w:r>
                    <w:rPr>
                      <w:rFonts w:hint="eastAsia" w:ascii="Times New Roman" w:hAnsi="Times New Roman"/>
                      <w:bCs/>
                      <w:color w:val="auto"/>
                      <w:sz w:val="21"/>
                      <w:szCs w:val="21"/>
                      <w:lang w:bidi="ar"/>
                    </w:rPr>
                    <w:t>臭气浓度</w:t>
                  </w:r>
                </w:p>
              </w:tc>
              <w:tc>
                <w:tcPr>
                  <w:tcW w:w="765" w:type="dxa"/>
                  <w:vAlign w:val="center"/>
                </w:tcPr>
                <w:p>
                  <w:pPr>
                    <w:pStyle w:val="20"/>
                    <w:spacing w:before="24" w:beforeAutospacing="0" w:after="24" w:afterAutospacing="0"/>
                    <w:jc w:val="center"/>
                    <w:rPr>
                      <w:rFonts w:ascii="Times New Roman" w:hAnsi="Times New Roman"/>
                      <w:b/>
                      <w:color w:val="auto"/>
                      <w:sz w:val="21"/>
                      <w:szCs w:val="21"/>
                      <w:lang w:bidi="ar"/>
                    </w:rPr>
                  </w:pPr>
                  <w:r>
                    <w:rPr>
                      <w:rFonts w:hint="eastAsia" w:ascii="Times New Roman" w:hAnsi="Times New Roman"/>
                      <w:bCs/>
                      <w:color w:val="auto"/>
                      <w:sz w:val="21"/>
                      <w:szCs w:val="21"/>
                    </w:rPr>
                    <w:t>少量</w:t>
                  </w:r>
                </w:p>
              </w:tc>
              <w:tc>
                <w:tcPr>
                  <w:tcW w:w="811" w:type="dxa"/>
                  <w:vAlign w:val="center"/>
                </w:tcPr>
                <w:p>
                  <w:pPr>
                    <w:pStyle w:val="20"/>
                    <w:spacing w:before="24" w:beforeAutospacing="0" w:after="24" w:afterAutospacing="0"/>
                    <w:jc w:val="center"/>
                    <w:rPr>
                      <w:rFonts w:ascii="Times New Roman" w:hAnsi="Times New Roman"/>
                      <w:b/>
                      <w:color w:val="auto"/>
                      <w:sz w:val="21"/>
                      <w:szCs w:val="21"/>
                      <w:lang w:bidi="ar"/>
                    </w:rPr>
                  </w:pPr>
                  <w:r>
                    <w:rPr>
                      <w:rFonts w:ascii="Times New Roman" w:hAnsi="Times New Roman"/>
                      <w:bCs/>
                      <w:color w:val="auto"/>
                      <w:sz w:val="21"/>
                      <w:szCs w:val="21"/>
                    </w:rPr>
                    <w:t>/</w:t>
                  </w:r>
                </w:p>
              </w:tc>
              <w:tc>
                <w:tcPr>
                  <w:tcW w:w="940" w:type="dxa"/>
                  <w:vAlign w:val="center"/>
                </w:tcPr>
                <w:p>
                  <w:pPr>
                    <w:pStyle w:val="20"/>
                    <w:spacing w:before="24" w:beforeAutospacing="0" w:after="24" w:afterAutospacing="0"/>
                    <w:jc w:val="center"/>
                    <w:rPr>
                      <w:rFonts w:ascii="Times New Roman" w:hAnsi="Times New Roman"/>
                      <w:b/>
                      <w:color w:val="auto"/>
                      <w:sz w:val="21"/>
                      <w:szCs w:val="21"/>
                      <w:lang w:bidi="ar"/>
                    </w:rPr>
                  </w:pPr>
                  <w:r>
                    <w:rPr>
                      <w:rFonts w:ascii="Times New Roman" w:hAnsi="Times New Roman"/>
                      <w:color w:val="auto"/>
                      <w:sz w:val="21"/>
                      <w:szCs w:val="21"/>
                    </w:rPr>
                    <w:t>4168</w:t>
                  </w:r>
                  <w:r>
                    <w:rPr>
                      <w:rFonts w:hint="eastAsia" w:ascii="Times New Roman" w:hAnsi="Times New Roman"/>
                      <w:color w:val="auto"/>
                      <w:sz w:val="21"/>
                      <w:szCs w:val="21"/>
                    </w:rPr>
                    <w:t>（无量纲）</w:t>
                  </w:r>
                </w:p>
              </w:tc>
              <w:tc>
                <w:tcPr>
                  <w:tcW w:w="718" w:type="dxa"/>
                  <w:vAlign w:val="center"/>
                </w:tcPr>
                <w:p>
                  <w:pPr>
                    <w:pStyle w:val="20"/>
                    <w:spacing w:before="24" w:beforeAutospacing="0" w:after="24" w:afterAutospacing="0"/>
                    <w:jc w:val="center"/>
                    <w:rPr>
                      <w:rFonts w:ascii="Times New Roman" w:hAnsi="Times New Roman"/>
                      <w:b/>
                      <w:color w:val="auto"/>
                      <w:sz w:val="21"/>
                      <w:szCs w:val="21"/>
                      <w:lang w:bidi="ar"/>
                    </w:rPr>
                  </w:pPr>
                  <w:r>
                    <w:rPr>
                      <w:rFonts w:hint="eastAsia" w:ascii="Times New Roman" w:hAnsi="Times New Roman"/>
                      <w:bCs/>
                      <w:color w:val="auto"/>
                      <w:sz w:val="21"/>
                      <w:szCs w:val="21"/>
                      <w:lang w:bidi="ar"/>
                    </w:rPr>
                    <w:t>有组织</w:t>
                  </w:r>
                </w:p>
              </w:tc>
              <w:tc>
                <w:tcPr>
                  <w:tcW w:w="864" w:type="dxa"/>
                  <w:vAlign w:val="center"/>
                </w:tcPr>
                <w:p>
                  <w:pPr>
                    <w:pStyle w:val="20"/>
                    <w:spacing w:before="24" w:beforeAutospacing="0" w:after="24" w:afterAutospacing="0"/>
                    <w:jc w:val="center"/>
                    <w:rPr>
                      <w:rFonts w:ascii="Times New Roman" w:hAnsi="Times New Roman"/>
                      <w:color w:val="auto"/>
                      <w:sz w:val="21"/>
                      <w:szCs w:val="21"/>
                      <w:lang w:bidi="ar"/>
                    </w:rPr>
                  </w:pPr>
                  <w:r>
                    <w:rPr>
                      <w:rFonts w:hint="eastAsia" w:ascii="Times New Roman" w:hAnsi="Times New Roman"/>
                      <w:bCs/>
                      <w:color w:val="auto"/>
                      <w:sz w:val="21"/>
                      <w:szCs w:val="21"/>
                      <w:lang w:bidi="ar"/>
                    </w:rPr>
                    <w:t>/</w:t>
                  </w:r>
                </w:p>
              </w:tc>
              <w:tc>
                <w:tcPr>
                  <w:tcW w:w="760" w:type="dxa"/>
                  <w:vAlign w:val="center"/>
                </w:tcPr>
                <w:p>
                  <w:pPr>
                    <w:pStyle w:val="20"/>
                    <w:spacing w:before="24" w:beforeAutospacing="0" w:after="24" w:afterAutospacing="0"/>
                    <w:jc w:val="center"/>
                    <w:rPr>
                      <w:rFonts w:ascii="Times New Roman" w:hAnsi="Times New Roman"/>
                      <w:b/>
                      <w:color w:val="auto"/>
                      <w:sz w:val="21"/>
                      <w:szCs w:val="21"/>
                      <w:lang w:bidi="ar"/>
                    </w:rPr>
                  </w:pPr>
                  <w:r>
                    <w:rPr>
                      <w:rFonts w:hint="eastAsia" w:ascii="Times New Roman" w:hAnsi="Times New Roman"/>
                      <w:bCs/>
                      <w:color w:val="auto"/>
                      <w:sz w:val="21"/>
                      <w:szCs w:val="21"/>
                    </w:rPr>
                    <w:t>少量</w:t>
                  </w:r>
                </w:p>
              </w:tc>
              <w:tc>
                <w:tcPr>
                  <w:tcW w:w="802" w:type="dxa"/>
                  <w:vAlign w:val="center"/>
                </w:tcPr>
                <w:p>
                  <w:pPr>
                    <w:pStyle w:val="20"/>
                    <w:spacing w:before="24" w:beforeAutospacing="0" w:after="24" w:afterAutospacing="0"/>
                    <w:jc w:val="center"/>
                    <w:rPr>
                      <w:rFonts w:ascii="Times New Roman" w:hAnsi="Times New Roman"/>
                      <w:b/>
                      <w:color w:val="auto"/>
                      <w:sz w:val="21"/>
                      <w:szCs w:val="21"/>
                      <w:lang w:bidi="ar"/>
                    </w:rPr>
                  </w:pPr>
                  <w:r>
                    <w:rPr>
                      <w:rFonts w:ascii="Times New Roman" w:hAnsi="Times New Roman"/>
                      <w:bCs/>
                      <w:color w:val="auto"/>
                      <w:sz w:val="21"/>
                      <w:szCs w:val="21"/>
                    </w:rPr>
                    <w:t>/</w:t>
                  </w:r>
                </w:p>
              </w:tc>
              <w:tc>
                <w:tcPr>
                  <w:tcW w:w="940" w:type="dxa"/>
                  <w:vAlign w:val="center"/>
                </w:tcPr>
                <w:p>
                  <w:pPr>
                    <w:pStyle w:val="20"/>
                    <w:spacing w:before="24" w:beforeAutospacing="0" w:after="24" w:afterAutospacing="0"/>
                    <w:jc w:val="center"/>
                    <w:rPr>
                      <w:rFonts w:ascii="Times New Roman" w:hAnsi="Times New Roman"/>
                      <w:b/>
                      <w:color w:val="auto"/>
                      <w:sz w:val="21"/>
                      <w:szCs w:val="21"/>
                      <w:lang w:bidi="ar"/>
                    </w:rPr>
                  </w:pPr>
                  <w:r>
                    <w:rPr>
                      <w:rFonts w:hint="eastAsia" w:ascii="Times New Roman" w:hAnsi="Times New Roman"/>
                      <w:color w:val="auto"/>
                      <w:sz w:val="21"/>
                      <w:szCs w:val="21"/>
                    </w:rPr>
                    <w:t>309（无量纲）</w:t>
                  </w:r>
                </w:p>
              </w:tc>
            </w:tr>
          </w:tbl>
          <w:p>
            <w:pPr>
              <w:adjustRightInd w:val="0"/>
              <w:snapToGrid w:val="0"/>
              <w:spacing w:line="360" w:lineRule="auto"/>
              <w:ind w:firstLine="480" w:firstLineChars="200"/>
              <w:rPr>
                <w:bCs/>
                <w:color w:val="auto"/>
                <w:sz w:val="24"/>
                <w:szCs w:val="24"/>
              </w:rPr>
            </w:pPr>
            <w:r>
              <w:rPr>
                <w:color w:val="auto"/>
                <w:sz w:val="24"/>
                <w:szCs w:val="24"/>
              </w:rPr>
              <w:t>根据</w:t>
            </w:r>
            <w:r>
              <w:rPr>
                <w:rFonts w:hint="eastAsia"/>
                <w:color w:val="auto"/>
                <w:sz w:val="24"/>
                <w:szCs w:val="24"/>
              </w:rPr>
              <w:t>以上分析</w:t>
            </w:r>
            <w:r>
              <w:rPr>
                <w:color w:val="auto"/>
                <w:sz w:val="24"/>
                <w:szCs w:val="24"/>
              </w:rPr>
              <w:t>，</w:t>
            </w:r>
            <w:r>
              <w:rPr>
                <w:rFonts w:hint="eastAsia"/>
                <w:color w:val="auto"/>
                <w:sz w:val="24"/>
                <w:szCs w:val="24"/>
              </w:rPr>
              <w:t>本项目</w:t>
            </w:r>
            <w:r>
              <w:rPr>
                <w:rFonts w:hint="eastAsia"/>
                <w:bCs/>
                <w:color w:val="auto"/>
                <w:sz w:val="24"/>
                <w:szCs w:val="24"/>
              </w:rPr>
              <w:t>造粒工序</w:t>
            </w:r>
            <w:r>
              <w:rPr>
                <w:color w:val="auto"/>
                <w:sz w:val="24"/>
                <w:szCs w:val="24"/>
              </w:rPr>
              <w:t>有组织排放的非甲烷总烃</w:t>
            </w:r>
            <w:r>
              <w:rPr>
                <w:rFonts w:hint="eastAsia"/>
                <w:color w:val="auto"/>
                <w:sz w:val="24"/>
                <w:szCs w:val="24"/>
              </w:rPr>
              <w:t>、颗粒物</w:t>
            </w:r>
            <w:r>
              <w:rPr>
                <w:color w:val="auto"/>
                <w:sz w:val="24"/>
                <w:szCs w:val="24"/>
              </w:rPr>
              <w:t>浓度</w:t>
            </w:r>
            <w:r>
              <w:rPr>
                <w:rFonts w:hint="eastAsia"/>
                <w:color w:val="auto"/>
                <w:sz w:val="24"/>
                <w:szCs w:val="24"/>
              </w:rPr>
              <w:t>及速率均</w:t>
            </w:r>
            <w:r>
              <w:rPr>
                <w:color w:val="auto"/>
                <w:sz w:val="24"/>
                <w:szCs w:val="24"/>
              </w:rPr>
              <w:t>满足《大气污染物综合排放标准》（GB16297-1996）表2中的</w:t>
            </w:r>
            <w:r>
              <w:rPr>
                <w:rFonts w:hint="eastAsia"/>
                <w:color w:val="auto"/>
                <w:sz w:val="24"/>
                <w:szCs w:val="24"/>
              </w:rPr>
              <w:t>二级</w:t>
            </w:r>
            <w:r>
              <w:rPr>
                <w:color w:val="auto"/>
                <w:sz w:val="24"/>
                <w:szCs w:val="24"/>
              </w:rPr>
              <w:t>标准限值</w:t>
            </w:r>
            <w:r>
              <w:rPr>
                <w:rFonts w:hint="eastAsia"/>
                <w:color w:val="auto"/>
                <w:sz w:val="24"/>
                <w:szCs w:val="24"/>
              </w:rPr>
              <w:t>，</w:t>
            </w:r>
            <w:r>
              <w:rPr>
                <w:color w:val="auto"/>
                <w:sz w:val="24"/>
                <w:szCs w:val="24"/>
              </w:rPr>
              <w:t>臭气浓度</w:t>
            </w:r>
            <w:r>
              <w:rPr>
                <w:rFonts w:hint="eastAsia"/>
                <w:color w:val="auto"/>
                <w:sz w:val="24"/>
                <w:szCs w:val="24"/>
              </w:rPr>
              <w:t>满足</w:t>
            </w:r>
            <w:r>
              <w:rPr>
                <w:color w:val="auto"/>
                <w:sz w:val="24"/>
                <w:szCs w:val="24"/>
              </w:rPr>
              <w:t>《恶臭污染物排放标准》（GB14554-93）</w:t>
            </w:r>
            <w:r>
              <w:rPr>
                <w:rFonts w:hint="eastAsia"/>
                <w:color w:val="auto"/>
                <w:sz w:val="24"/>
                <w:szCs w:val="24"/>
              </w:rPr>
              <w:t>表2中的标准限值</w:t>
            </w:r>
            <w:r>
              <w:rPr>
                <w:color w:val="auto"/>
                <w:sz w:val="24"/>
                <w:szCs w:val="24"/>
              </w:rPr>
              <w:t>。项目</w:t>
            </w:r>
            <w:r>
              <w:rPr>
                <w:rFonts w:hint="eastAsia"/>
                <w:color w:val="auto"/>
                <w:sz w:val="24"/>
                <w:szCs w:val="24"/>
              </w:rPr>
              <w:t>热熔</w:t>
            </w:r>
            <w:r>
              <w:rPr>
                <w:rFonts w:hint="eastAsia"/>
                <w:bCs/>
                <w:color w:val="auto"/>
                <w:sz w:val="24"/>
                <w:szCs w:val="24"/>
              </w:rPr>
              <w:t>造粒工序</w:t>
            </w:r>
            <w:r>
              <w:rPr>
                <w:rFonts w:hint="eastAsia"/>
                <w:color w:val="auto"/>
                <w:sz w:val="24"/>
                <w:szCs w:val="24"/>
              </w:rPr>
              <w:t>生产</w:t>
            </w:r>
            <w:r>
              <w:rPr>
                <w:color w:val="auto"/>
                <w:sz w:val="24"/>
                <w:szCs w:val="24"/>
              </w:rPr>
              <w:t>废气采用有组织</w:t>
            </w:r>
            <w:r>
              <w:rPr>
                <w:rFonts w:hint="eastAsia"/>
                <w:color w:val="auto"/>
                <w:sz w:val="24"/>
                <w:szCs w:val="24"/>
              </w:rPr>
              <w:t>形式</w:t>
            </w:r>
            <w:r>
              <w:rPr>
                <w:color w:val="auto"/>
                <w:sz w:val="24"/>
                <w:szCs w:val="24"/>
              </w:rPr>
              <w:t>收集排放，未经收集的少量无组织废气排放量</w:t>
            </w:r>
            <w:r>
              <w:rPr>
                <w:rFonts w:hint="eastAsia"/>
                <w:color w:val="auto"/>
                <w:sz w:val="24"/>
                <w:szCs w:val="24"/>
              </w:rPr>
              <w:t>不大。</w:t>
            </w:r>
          </w:p>
          <w:p>
            <w:pPr>
              <w:adjustRightInd w:val="0"/>
              <w:snapToGrid w:val="0"/>
              <w:spacing w:line="360" w:lineRule="auto"/>
              <w:ind w:firstLine="482" w:firstLineChars="200"/>
              <w:rPr>
                <w:b/>
                <w:color w:val="auto"/>
                <w:sz w:val="24"/>
                <w:szCs w:val="24"/>
                <w:lang w:bidi="ar"/>
              </w:rPr>
            </w:pPr>
            <w:r>
              <w:rPr>
                <w:b/>
                <w:color w:val="auto"/>
                <w:sz w:val="24"/>
                <w:szCs w:val="24"/>
              </w:rPr>
              <w:t>（2）</w:t>
            </w:r>
            <w:r>
              <w:rPr>
                <w:b/>
                <w:color w:val="auto"/>
                <w:sz w:val="24"/>
                <w:szCs w:val="24"/>
                <w:lang w:bidi="ar"/>
              </w:rPr>
              <w:t>废气</w:t>
            </w:r>
            <w:r>
              <w:rPr>
                <w:b/>
                <w:color w:val="auto"/>
                <w:sz w:val="24"/>
                <w:szCs w:val="24"/>
              </w:rPr>
              <w:t>治理设施参数</w:t>
            </w:r>
          </w:p>
          <w:p>
            <w:pPr>
              <w:adjustRightInd w:val="0"/>
              <w:snapToGrid w:val="0"/>
              <w:spacing w:line="276" w:lineRule="auto"/>
              <w:jc w:val="center"/>
              <w:rPr>
                <w:b/>
                <w:color w:val="auto"/>
                <w:sz w:val="24"/>
                <w:szCs w:val="24"/>
                <w:lang w:bidi="ar"/>
              </w:rPr>
            </w:pPr>
            <w:r>
              <w:rPr>
                <w:b/>
                <w:color w:val="auto"/>
                <w:sz w:val="24"/>
                <w:szCs w:val="24"/>
                <w:lang w:bidi="ar"/>
              </w:rPr>
              <w:t>表4-</w:t>
            </w:r>
            <w:r>
              <w:rPr>
                <w:rFonts w:hint="eastAsia"/>
                <w:b/>
                <w:color w:val="auto"/>
                <w:sz w:val="24"/>
                <w:szCs w:val="24"/>
                <w:lang w:bidi="ar"/>
              </w:rPr>
              <w:t>4</w:t>
            </w:r>
            <w:r>
              <w:rPr>
                <w:b/>
                <w:color w:val="auto"/>
                <w:sz w:val="24"/>
                <w:szCs w:val="24"/>
                <w:lang w:bidi="ar"/>
              </w:rPr>
              <w:t xml:space="preserve">  </w:t>
            </w:r>
            <w:r>
              <w:rPr>
                <w:rFonts w:hint="eastAsia"/>
                <w:b/>
                <w:bCs/>
                <w:color w:val="auto"/>
                <w:sz w:val="24"/>
                <w:szCs w:val="24"/>
              </w:rPr>
              <w:t>熔融造粒</w:t>
            </w:r>
            <w:r>
              <w:rPr>
                <w:b/>
                <w:color w:val="auto"/>
                <w:sz w:val="24"/>
                <w:szCs w:val="24"/>
                <w:lang w:bidi="ar"/>
              </w:rPr>
              <w:t>废气</w:t>
            </w:r>
            <w:r>
              <w:rPr>
                <w:b/>
                <w:color w:val="auto"/>
                <w:sz w:val="24"/>
                <w:szCs w:val="24"/>
              </w:rPr>
              <w:t>治理设施情况</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0"/>
              <w:gridCol w:w="1164"/>
              <w:gridCol w:w="840"/>
              <w:gridCol w:w="1124"/>
              <w:gridCol w:w="4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5000" w:type="pct"/>
                  <w:gridSpan w:val="5"/>
                  <w:vAlign w:val="center"/>
                </w:tcPr>
                <w:p>
                  <w:pPr>
                    <w:adjustRightInd w:val="0"/>
                    <w:snapToGrid w:val="0"/>
                    <w:jc w:val="center"/>
                    <w:textAlignment w:val="baseline"/>
                    <w:rPr>
                      <w:b/>
                      <w:color w:val="auto"/>
                      <w:szCs w:val="21"/>
                    </w:rPr>
                  </w:pPr>
                  <w:r>
                    <w:rPr>
                      <w:b/>
                      <w:color w:val="auto"/>
                      <w:szCs w:val="21"/>
                    </w:rPr>
                    <w:t>治理设施情况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547" w:type="pct"/>
                  <w:vAlign w:val="center"/>
                </w:tcPr>
                <w:p>
                  <w:pPr>
                    <w:adjustRightInd w:val="0"/>
                    <w:snapToGrid w:val="0"/>
                    <w:jc w:val="center"/>
                    <w:textAlignment w:val="baseline"/>
                    <w:rPr>
                      <w:color w:val="auto"/>
                      <w:szCs w:val="21"/>
                    </w:rPr>
                  </w:pPr>
                  <w:r>
                    <w:rPr>
                      <w:color w:val="auto"/>
                      <w:szCs w:val="21"/>
                    </w:rPr>
                    <w:t>名称</w:t>
                  </w:r>
                </w:p>
              </w:tc>
              <w:tc>
                <w:tcPr>
                  <w:tcW w:w="724" w:type="pct"/>
                  <w:vAlign w:val="center"/>
                </w:tcPr>
                <w:p>
                  <w:pPr>
                    <w:adjustRightInd w:val="0"/>
                    <w:snapToGrid w:val="0"/>
                    <w:jc w:val="center"/>
                    <w:textAlignment w:val="baseline"/>
                    <w:rPr>
                      <w:color w:val="auto"/>
                      <w:szCs w:val="21"/>
                    </w:rPr>
                  </w:pPr>
                  <w:r>
                    <w:rPr>
                      <w:rFonts w:hint="eastAsia"/>
                      <w:color w:val="auto"/>
                      <w:szCs w:val="21"/>
                      <w:lang w:val="en-US" w:eastAsia="zh-CN"/>
                    </w:rPr>
                    <w:t>风机风量</w:t>
                  </w:r>
                  <w:r>
                    <w:rPr>
                      <w:color w:val="auto"/>
                      <w:szCs w:val="21"/>
                    </w:rPr>
                    <w:t>（m</w:t>
                  </w:r>
                  <w:r>
                    <w:rPr>
                      <w:color w:val="auto"/>
                      <w:szCs w:val="21"/>
                      <w:vertAlign w:val="superscript"/>
                    </w:rPr>
                    <w:t>3</w:t>
                  </w:r>
                  <w:r>
                    <w:rPr>
                      <w:color w:val="auto"/>
                      <w:szCs w:val="21"/>
                    </w:rPr>
                    <w:t>/h）</w:t>
                  </w:r>
                </w:p>
              </w:tc>
              <w:tc>
                <w:tcPr>
                  <w:tcW w:w="522" w:type="pct"/>
                  <w:vAlign w:val="center"/>
                </w:tcPr>
                <w:p>
                  <w:pPr>
                    <w:adjustRightInd w:val="0"/>
                    <w:snapToGrid w:val="0"/>
                    <w:jc w:val="center"/>
                    <w:textAlignment w:val="baseline"/>
                    <w:rPr>
                      <w:color w:val="auto"/>
                      <w:szCs w:val="21"/>
                    </w:rPr>
                  </w:pPr>
                  <w:r>
                    <w:rPr>
                      <w:color w:val="auto"/>
                      <w:szCs w:val="21"/>
                    </w:rPr>
                    <w:t>收集效率%</w:t>
                  </w:r>
                </w:p>
              </w:tc>
              <w:tc>
                <w:tcPr>
                  <w:tcW w:w="699" w:type="pct"/>
                  <w:vAlign w:val="center"/>
                </w:tcPr>
                <w:p>
                  <w:pPr>
                    <w:adjustRightInd w:val="0"/>
                    <w:snapToGrid w:val="0"/>
                    <w:jc w:val="center"/>
                    <w:textAlignment w:val="baseline"/>
                    <w:rPr>
                      <w:color w:val="auto"/>
                      <w:szCs w:val="21"/>
                    </w:rPr>
                  </w:pPr>
                  <w:r>
                    <w:rPr>
                      <w:color w:val="auto"/>
                      <w:szCs w:val="21"/>
                    </w:rPr>
                    <w:t>治理工艺去除率%</w:t>
                  </w:r>
                </w:p>
              </w:tc>
              <w:tc>
                <w:tcPr>
                  <w:tcW w:w="2509" w:type="pct"/>
                  <w:vAlign w:val="center"/>
                </w:tcPr>
                <w:p>
                  <w:pPr>
                    <w:adjustRightInd w:val="0"/>
                    <w:snapToGrid w:val="0"/>
                    <w:jc w:val="center"/>
                    <w:textAlignment w:val="baseline"/>
                    <w:rPr>
                      <w:color w:val="auto"/>
                      <w:szCs w:val="21"/>
                    </w:rPr>
                  </w:pPr>
                  <w:r>
                    <w:rPr>
                      <w:color w:val="auto"/>
                      <w:szCs w:val="21"/>
                    </w:rPr>
                    <w:t>是否为可行技术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547" w:type="pct"/>
                  <w:vAlign w:val="center"/>
                </w:tcPr>
                <w:p>
                  <w:pPr>
                    <w:adjustRightInd w:val="0"/>
                    <w:snapToGrid w:val="0"/>
                    <w:jc w:val="center"/>
                    <w:textAlignment w:val="baseline"/>
                    <w:rPr>
                      <w:color w:val="auto"/>
                      <w:szCs w:val="21"/>
                    </w:rPr>
                  </w:pPr>
                  <w:r>
                    <w:rPr>
                      <w:bCs/>
                      <w:color w:val="auto"/>
                      <w:szCs w:val="21"/>
                    </w:rPr>
                    <w:t>过滤棉+</w:t>
                  </w:r>
                  <w:r>
                    <w:rPr>
                      <w:rFonts w:hint="eastAsia"/>
                      <w:bCs/>
                      <w:color w:val="auto"/>
                      <w:szCs w:val="21"/>
                      <w:lang w:eastAsia="zh-CN"/>
                    </w:rPr>
                    <w:t>三级活性炭</w:t>
                  </w:r>
                  <w:r>
                    <w:rPr>
                      <w:bCs/>
                      <w:color w:val="auto"/>
                      <w:szCs w:val="21"/>
                    </w:rPr>
                    <w:t>吸附装置</w:t>
                  </w:r>
                </w:p>
              </w:tc>
              <w:tc>
                <w:tcPr>
                  <w:tcW w:w="724" w:type="pct"/>
                  <w:vAlign w:val="center"/>
                </w:tcPr>
                <w:p>
                  <w:pPr>
                    <w:adjustRightInd w:val="0"/>
                    <w:snapToGrid w:val="0"/>
                    <w:jc w:val="center"/>
                    <w:textAlignment w:val="baseline"/>
                    <w:rPr>
                      <w:color w:val="auto"/>
                      <w:szCs w:val="21"/>
                    </w:rPr>
                  </w:pPr>
                  <w:r>
                    <w:rPr>
                      <w:rFonts w:hint="eastAsia"/>
                      <w:bCs/>
                      <w:color w:val="auto"/>
                      <w:szCs w:val="21"/>
                      <w:lang w:val="en-US" w:eastAsia="zh-CN"/>
                    </w:rPr>
                    <w:t>10</w:t>
                  </w:r>
                  <w:r>
                    <w:rPr>
                      <w:rFonts w:hint="eastAsia"/>
                      <w:bCs/>
                      <w:color w:val="auto"/>
                      <w:szCs w:val="21"/>
                    </w:rPr>
                    <w:t>000</w:t>
                  </w:r>
                </w:p>
              </w:tc>
              <w:tc>
                <w:tcPr>
                  <w:tcW w:w="522" w:type="pct"/>
                  <w:vAlign w:val="center"/>
                </w:tcPr>
                <w:p>
                  <w:pPr>
                    <w:adjustRightInd w:val="0"/>
                    <w:snapToGrid w:val="0"/>
                    <w:jc w:val="center"/>
                    <w:textAlignment w:val="baseline"/>
                    <w:rPr>
                      <w:color w:val="auto"/>
                      <w:szCs w:val="21"/>
                    </w:rPr>
                  </w:pPr>
                  <w:r>
                    <w:rPr>
                      <w:rFonts w:hint="eastAsia"/>
                      <w:color w:val="auto"/>
                      <w:szCs w:val="21"/>
                    </w:rPr>
                    <w:t>80</w:t>
                  </w:r>
                </w:p>
              </w:tc>
              <w:tc>
                <w:tcPr>
                  <w:tcW w:w="699" w:type="pct"/>
                  <w:vAlign w:val="center"/>
                </w:tcPr>
                <w:p>
                  <w:pPr>
                    <w:adjustRightInd w:val="0"/>
                    <w:snapToGrid w:val="0"/>
                    <w:jc w:val="center"/>
                    <w:textAlignment w:val="baseline"/>
                    <w:rPr>
                      <w:color w:val="auto"/>
                      <w:szCs w:val="21"/>
                    </w:rPr>
                  </w:pPr>
                  <w:r>
                    <w:rPr>
                      <w:rFonts w:hint="eastAsia"/>
                      <w:color w:val="auto"/>
                      <w:szCs w:val="21"/>
                    </w:rPr>
                    <w:t>55</w:t>
                  </w:r>
                </w:p>
              </w:tc>
              <w:tc>
                <w:tcPr>
                  <w:tcW w:w="2509" w:type="pct"/>
                  <w:vAlign w:val="center"/>
                </w:tcPr>
                <w:p>
                  <w:pPr>
                    <w:adjustRightInd w:val="0"/>
                    <w:snapToGrid w:val="0"/>
                    <w:jc w:val="center"/>
                    <w:textAlignment w:val="baseline"/>
                    <w:rPr>
                      <w:color w:val="auto"/>
                      <w:szCs w:val="21"/>
                    </w:rPr>
                  </w:pPr>
                  <w:r>
                    <w:rPr>
                      <w:color w:val="auto"/>
                      <w:szCs w:val="21"/>
                    </w:rPr>
                    <w:t>是，根据</w:t>
                  </w:r>
                  <w:r>
                    <w:rPr>
                      <w:bCs/>
                      <w:color w:val="auto"/>
                      <w:szCs w:val="21"/>
                    </w:rPr>
                    <w:t>《排污许可证申请与核发技术规范</w:t>
                  </w:r>
                  <w:r>
                    <w:rPr>
                      <w:rFonts w:hint="eastAsia"/>
                      <w:bCs/>
                      <w:color w:val="auto"/>
                      <w:szCs w:val="21"/>
                    </w:rPr>
                    <w:t xml:space="preserve"> </w:t>
                  </w:r>
                  <w:r>
                    <w:rPr>
                      <w:bCs/>
                      <w:color w:val="auto"/>
                      <w:szCs w:val="21"/>
                    </w:rPr>
                    <w:t>废弃资源加工工业》（HJ1034-2019）</w:t>
                  </w:r>
                  <w:r>
                    <w:rPr>
                      <w:rFonts w:hint="eastAsia"/>
                      <w:bCs/>
                      <w:color w:val="auto"/>
                      <w:szCs w:val="21"/>
                    </w:rPr>
                    <w:t>附录A中表A.1</w:t>
                  </w:r>
                  <w:r>
                    <w:rPr>
                      <w:bCs/>
                      <w:color w:val="auto"/>
                      <w:szCs w:val="21"/>
                    </w:rPr>
                    <w:t>废气污染防治可行技术参考表，</w:t>
                  </w:r>
                  <w:r>
                    <w:rPr>
                      <w:rFonts w:hint="eastAsia"/>
                      <w:bCs/>
                      <w:color w:val="auto"/>
                      <w:szCs w:val="21"/>
                    </w:rPr>
                    <w:t>在废塑料加工行业中熔融挤出（造粒）挥发性有机废气的治理技术中，</w:t>
                  </w:r>
                  <w:r>
                    <w:rPr>
                      <w:bCs/>
                      <w:color w:val="auto"/>
                      <w:szCs w:val="21"/>
                    </w:rPr>
                    <w:t>活性炭吸附</w:t>
                  </w:r>
                  <w:r>
                    <w:rPr>
                      <w:rFonts w:hint="eastAsia"/>
                      <w:bCs/>
                      <w:color w:val="auto"/>
                      <w:szCs w:val="21"/>
                    </w:rPr>
                    <w:t>废气处理工艺</w:t>
                  </w:r>
                  <w:r>
                    <w:rPr>
                      <w:bCs/>
                      <w:color w:val="auto"/>
                      <w:szCs w:val="21"/>
                    </w:rPr>
                    <w:t>为可行技术。</w:t>
                  </w:r>
                </w:p>
              </w:tc>
            </w:tr>
          </w:tbl>
          <w:p>
            <w:pPr>
              <w:adjustRightInd w:val="0"/>
              <w:snapToGrid w:val="0"/>
              <w:spacing w:line="360" w:lineRule="auto"/>
              <w:ind w:firstLine="482" w:firstLineChars="200"/>
              <w:rPr>
                <w:b/>
                <w:color w:val="auto"/>
                <w:kern w:val="1"/>
                <w:sz w:val="24"/>
                <w:szCs w:val="24"/>
              </w:rPr>
            </w:pPr>
            <w:r>
              <w:rPr>
                <w:b/>
                <w:bCs/>
                <w:color w:val="auto"/>
                <w:sz w:val="24"/>
                <w:szCs w:val="24"/>
              </w:rPr>
              <w:t>（3）废气排放口基本情况及排放标准</w:t>
            </w:r>
          </w:p>
          <w:p>
            <w:pPr>
              <w:adjustRightInd w:val="0"/>
              <w:snapToGrid w:val="0"/>
              <w:spacing w:line="276" w:lineRule="auto"/>
              <w:ind w:firstLine="200"/>
              <w:jc w:val="center"/>
              <w:rPr>
                <w:b/>
                <w:color w:val="auto"/>
                <w:sz w:val="24"/>
                <w:szCs w:val="24"/>
              </w:rPr>
            </w:pPr>
            <w:r>
              <w:rPr>
                <w:b/>
                <w:color w:val="auto"/>
                <w:sz w:val="24"/>
                <w:szCs w:val="24"/>
                <w:lang w:bidi="ar"/>
              </w:rPr>
              <w:t>表4-</w:t>
            </w:r>
            <w:r>
              <w:rPr>
                <w:rFonts w:hint="eastAsia"/>
                <w:b/>
                <w:color w:val="auto"/>
                <w:sz w:val="24"/>
                <w:szCs w:val="24"/>
                <w:lang w:bidi="ar"/>
              </w:rPr>
              <w:t>5</w:t>
            </w:r>
            <w:r>
              <w:rPr>
                <w:b/>
                <w:color w:val="auto"/>
                <w:sz w:val="24"/>
                <w:szCs w:val="24"/>
                <w:lang w:bidi="ar"/>
              </w:rPr>
              <w:t xml:space="preserve">  废气</w:t>
            </w:r>
            <w:r>
              <w:rPr>
                <w:b/>
                <w:color w:val="auto"/>
                <w:sz w:val="24"/>
                <w:szCs w:val="24"/>
              </w:rPr>
              <w:t>排放口基本情况及执行标准一览表</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
              <w:gridCol w:w="665"/>
              <w:gridCol w:w="718"/>
              <w:gridCol w:w="427"/>
              <w:gridCol w:w="680"/>
              <w:gridCol w:w="655"/>
              <w:gridCol w:w="494"/>
              <w:gridCol w:w="1491"/>
              <w:gridCol w:w="2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00" w:type="pct"/>
                  <w:gridSpan w:val="9"/>
                  <w:vAlign w:val="center"/>
                </w:tcPr>
                <w:p>
                  <w:pPr>
                    <w:adjustRightInd w:val="0"/>
                    <w:snapToGrid w:val="0"/>
                    <w:jc w:val="center"/>
                    <w:rPr>
                      <w:b/>
                      <w:color w:val="auto"/>
                      <w:kern w:val="1"/>
                      <w:szCs w:val="21"/>
                    </w:rPr>
                  </w:pPr>
                  <w:r>
                    <w:rPr>
                      <w:b/>
                      <w:color w:val="auto"/>
                      <w:szCs w:val="21"/>
                    </w:rPr>
                    <w:t>废气排放口基本情况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19" w:type="pct"/>
                  <w:vAlign w:val="center"/>
                </w:tcPr>
                <w:p>
                  <w:pPr>
                    <w:adjustRightInd w:val="0"/>
                    <w:snapToGrid w:val="0"/>
                    <w:jc w:val="center"/>
                    <w:rPr>
                      <w:b/>
                      <w:bCs/>
                      <w:color w:val="auto"/>
                      <w:kern w:val="1"/>
                      <w:szCs w:val="21"/>
                    </w:rPr>
                  </w:pPr>
                  <w:r>
                    <w:rPr>
                      <w:b/>
                      <w:bCs/>
                      <w:color w:val="auto"/>
                      <w:szCs w:val="21"/>
                    </w:rPr>
                    <w:t>编号</w:t>
                  </w:r>
                </w:p>
              </w:tc>
              <w:tc>
                <w:tcPr>
                  <w:tcW w:w="436" w:type="pct"/>
                  <w:vAlign w:val="center"/>
                </w:tcPr>
                <w:p>
                  <w:pPr>
                    <w:adjustRightInd w:val="0"/>
                    <w:snapToGrid w:val="0"/>
                    <w:jc w:val="center"/>
                    <w:rPr>
                      <w:b/>
                      <w:bCs/>
                      <w:color w:val="auto"/>
                      <w:kern w:val="1"/>
                      <w:szCs w:val="21"/>
                    </w:rPr>
                  </w:pPr>
                  <w:r>
                    <w:rPr>
                      <w:b/>
                      <w:bCs/>
                      <w:color w:val="auto"/>
                      <w:szCs w:val="21"/>
                    </w:rPr>
                    <w:t>名称</w:t>
                  </w:r>
                </w:p>
              </w:tc>
              <w:tc>
                <w:tcPr>
                  <w:tcW w:w="469" w:type="pct"/>
                  <w:vAlign w:val="center"/>
                </w:tcPr>
                <w:p>
                  <w:pPr>
                    <w:adjustRightInd w:val="0"/>
                    <w:snapToGrid w:val="0"/>
                    <w:jc w:val="center"/>
                    <w:rPr>
                      <w:b/>
                      <w:bCs/>
                      <w:color w:val="auto"/>
                      <w:kern w:val="1"/>
                      <w:szCs w:val="21"/>
                    </w:rPr>
                  </w:pPr>
                  <w:r>
                    <w:rPr>
                      <w:b/>
                      <w:bCs/>
                      <w:color w:val="auto"/>
                      <w:kern w:val="1"/>
                      <w:szCs w:val="21"/>
                    </w:rPr>
                    <w:t>污染物</w:t>
                  </w:r>
                </w:p>
              </w:tc>
              <w:tc>
                <w:tcPr>
                  <w:tcW w:w="265" w:type="pct"/>
                  <w:vAlign w:val="center"/>
                </w:tcPr>
                <w:p>
                  <w:pPr>
                    <w:adjustRightInd w:val="0"/>
                    <w:snapToGrid w:val="0"/>
                    <w:jc w:val="center"/>
                    <w:rPr>
                      <w:b/>
                      <w:bCs/>
                      <w:color w:val="auto"/>
                      <w:kern w:val="1"/>
                      <w:szCs w:val="21"/>
                    </w:rPr>
                  </w:pPr>
                  <w:r>
                    <w:rPr>
                      <w:b/>
                      <w:bCs/>
                      <w:color w:val="auto"/>
                      <w:szCs w:val="21"/>
                    </w:rPr>
                    <w:t>高度m</w:t>
                  </w:r>
                </w:p>
              </w:tc>
              <w:tc>
                <w:tcPr>
                  <w:tcW w:w="445" w:type="pct"/>
                  <w:vAlign w:val="center"/>
                </w:tcPr>
                <w:p>
                  <w:pPr>
                    <w:adjustRightInd w:val="0"/>
                    <w:snapToGrid w:val="0"/>
                    <w:jc w:val="center"/>
                    <w:rPr>
                      <w:b/>
                      <w:bCs/>
                      <w:color w:val="auto"/>
                      <w:kern w:val="1"/>
                      <w:szCs w:val="21"/>
                    </w:rPr>
                  </w:pPr>
                  <w:r>
                    <w:rPr>
                      <w:b/>
                      <w:bCs/>
                      <w:color w:val="auto"/>
                      <w:szCs w:val="21"/>
                    </w:rPr>
                    <w:t>排气筒内径m</w:t>
                  </w:r>
                </w:p>
              </w:tc>
              <w:tc>
                <w:tcPr>
                  <w:tcW w:w="275" w:type="pct"/>
                  <w:vAlign w:val="center"/>
                </w:tcPr>
                <w:p>
                  <w:pPr>
                    <w:adjustRightInd w:val="0"/>
                    <w:snapToGrid w:val="0"/>
                    <w:jc w:val="center"/>
                    <w:rPr>
                      <w:b/>
                      <w:bCs/>
                      <w:color w:val="auto"/>
                      <w:kern w:val="1"/>
                      <w:szCs w:val="21"/>
                    </w:rPr>
                  </w:pPr>
                  <w:r>
                    <w:rPr>
                      <w:b/>
                      <w:bCs/>
                      <w:color w:val="auto"/>
                      <w:szCs w:val="21"/>
                    </w:rPr>
                    <w:t>温度℃</w:t>
                  </w:r>
                </w:p>
              </w:tc>
              <w:tc>
                <w:tcPr>
                  <w:tcW w:w="329" w:type="pct"/>
                  <w:vAlign w:val="center"/>
                </w:tcPr>
                <w:p>
                  <w:pPr>
                    <w:adjustRightInd w:val="0"/>
                    <w:snapToGrid w:val="0"/>
                    <w:jc w:val="center"/>
                    <w:rPr>
                      <w:b/>
                      <w:bCs/>
                      <w:color w:val="auto"/>
                      <w:kern w:val="1"/>
                      <w:szCs w:val="21"/>
                    </w:rPr>
                  </w:pPr>
                  <w:r>
                    <w:rPr>
                      <w:b/>
                      <w:bCs/>
                      <w:color w:val="auto"/>
                      <w:szCs w:val="21"/>
                    </w:rPr>
                    <w:t>类型</w:t>
                  </w:r>
                </w:p>
              </w:tc>
              <w:tc>
                <w:tcPr>
                  <w:tcW w:w="949" w:type="pct"/>
                  <w:vAlign w:val="center"/>
                </w:tcPr>
                <w:p>
                  <w:pPr>
                    <w:adjustRightInd w:val="0"/>
                    <w:snapToGrid w:val="0"/>
                    <w:jc w:val="center"/>
                    <w:rPr>
                      <w:b/>
                      <w:bCs/>
                      <w:color w:val="auto"/>
                      <w:kern w:val="1"/>
                      <w:szCs w:val="21"/>
                    </w:rPr>
                  </w:pPr>
                  <w:r>
                    <w:rPr>
                      <w:b/>
                      <w:bCs/>
                      <w:color w:val="auto"/>
                      <w:szCs w:val="21"/>
                    </w:rPr>
                    <w:t>地理坐标</w:t>
                  </w:r>
                </w:p>
              </w:tc>
              <w:tc>
                <w:tcPr>
                  <w:tcW w:w="1313" w:type="pct"/>
                  <w:vAlign w:val="center"/>
                </w:tcPr>
                <w:p>
                  <w:pPr>
                    <w:adjustRightInd w:val="0"/>
                    <w:snapToGrid w:val="0"/>
                    <w:jc w:val="center"/>
                    <w:rPr>
                      <w:b/>
                      <w:bCs/>
                      <w:color w:val="auto"/>
                      <w:kern w:val="1"/>
                      <w:szCs w:val="21"/>
                    </w:rPr>
                  </w:pPr>
                  <w:r>
                    <w:rPr>
                      <w:b/>
                      <w:bCs/>
                      <w:color w:val="auto"/>
                      <w:szCs w:val="21"/>
                    </w:rPr>
                    <w:t>排放标准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19" w:type="pct"/>
                  <w:vMerge w:val="restart"/>
                  <w:vAlign w:val="center"/>
                </w:tcPr>
                <w:p>
                  <w:pPr>
                    <w:adjustRightInd w:val="0"/>
                    <w:snapToGrid w:val="0"/>
                    <w:jc w:val="center"/>
                    <w:rPr>
                      <w:b/>
                      <w:color w:val="auto"/>
                      <w:kern w:val="1"/>
                      <w:szCs w:val="21"/>
                    </w:rPr>
                  </w:pPr>
                  <w:r>
                    <w:rPr>
                      <w:color w:val="auto"/>
                      <w:szCs w:val="21"/>
                    </w:rPr>
                    <w:t>DA001</w:t>
                  </w:r>
                </w:p>
              </w:tc>
              <w:tc>
                <w:tcPr>
                  <w:tcW w:w="436" w:type="pct"/>
                  <w:vMerge w:val="restart"/>
                  <w:vAlign w:val="center"/>
                </w:tcPr>
                <w:p>
                  <w:pPr>
                    <w:adjustRightInd w:val="0"/>
                    <w:snapToGrid w:val="0"/>
                    <w:jc w:val="center"/>
                    <w:rPr>
                      <w:color w:val="auto"/>
                      <w:kern w:val="1"/>
                      <w:szCs w:val="21"/>
                    </w:rPr>
                  </w:pPr>
                  <w:r>
                    <w:rPr>
                      <w:rFonts w:hint="eastAsia"/>
                      <w:color w:val="auto"/>
                      <w:szCs w:val="21"/>
                    </w:rPr>
                    <w:t>熔融造粒</w:t>
                  </w:r>
                  <w:r>
                    <w:rPr>
                      <w:color w:val="auto"/>
                      <w:szCs w:val="21"/>
                    </w:rPr>
                    <w:t>废气排放口</w:t>
                  </w:r>
                </w:p>
              </w:tc>
              <w:tc>
                <w:tcPr>
                  <w:tcW w:w="469" w:type="pct"/>
                  <w:vAlign w:val="center"/>
                </w:tcPr>
                <w:p>
                  <w:pPr>
                    <w:adjustRightInd w:val="0"/>
                    <w:snapToGrid w:val="0"/>
                    <w:jc w:val="center"/>
                    <w:rPr>
                      <w:color w:val="auto"/>
                      <w:kern w:val="1"/>
                      <w:szCs w:val="21"/>
                    </w:rPr>
                  </w:pPr>
                  <w:r>
                    <w:rPr>
                      <w:color w:val="auto"/>
                      <w:kern w:val="1"/>
                      <w:szCs w:val="21"/>
                    </w:rPr>
                    <w:t>非甲烷总烃</w:t>
                  </w:r>
                </w:p>
              </w:tc>
              <w:tc>
                <w:tcPr>
                  <w:tcW w:w="265" w:type="pct"/>
                  <w:vMerge w:val="restart"/>
                  <w:vAlign w:val="center"/>
                </w:tcPr>
                <w:p>
                  <w:pPr>
                    <w:adjustRightInd w:val="0"/>
                    <w:snapToGrid w:val="0"/>
                    <w:jc w:val="center"/>
                    <w:rPr>
                      <w:rFonts w:hint="default" w:eastAsia="宋体"/>
                      <w:color w:val="auto"/>
                      <w:kern w:val="1"/>
                      <w:szCs w:val="21"/>
                      <w:lang w:val="en-US" w:eastAsia="zh-CN"/>
                    </w:rPr>
                  </w:pPr>
                  <w:r>
                    <w:rPr>
                      <w:rFonts w:hint="eastAsia"/>
                      <w:color w:val="auto"/>
                      <w:szCs w:val="21"/>
                      <w:lang w:val="en-US" w:eastAsia="zh-CN"/>
                    </w:rPr>
                    <w:t>15</w:t>
                  </w:r>
                </w:p>
              </w:tc>
              <w:tc>
                <w:tcPr>
                  <w:tcW w:w="445" w:type="pct"/>
                  <w:vMerge w:val="restart"/>
                  <w:vAlign w:val="center"/>
                </w:tcPr>
                <w:p>
                  <w:pPr>
                    <w:adjustRightInd w:val="0"/>
                    <w:snapToGrid w:val="0"/>
                    <w:jc w:val="center"/>
                    <w:rPr>
                      <w:rFonts w:hint="default" w:eastAsia="宋体"/>
                      <w:color w:val="auto"/>
                      <w:kern w:val="1"/>
                      <w:szCs w:val="21"/>
                      <w:lang w:val="en-US" w:eastAsia="zh-CN"/>
                    </w:rPr>
                  </w:pPr>
                  <w:r>
                    <w:rPr>
                      <w:rFonts w:hint="eastAsia"/>
                      <w:color w:val="auto"/>
                      <w:szCs w:val="21"/>
                      <w:lang w:val="en-US" w:eastAsia="zh-CN"/>
                    </w:rPr>
                    <w:t>0.3</w:t>
                  </w:r>
                </w:p>
              </w:tc>
              <w:tc>
                <w:tcPr>
                  <w:tcW w:w="275" w:type="pct"/>
                  <w:vMerge w:val="restart"/>
                  <w:vAlign w:val="center"/>
                </w:tcPr>
                <w:p>
                  <w:pPr>
                    <w:adjustRightInd w:val="0"/>
                    <w:snapToGrid w:val="0"/>
                    <w:jc w:val="center"/>
                    <w:rPr>
                      <w:color w:val="auto"/>
                      <w:kern w:val="1"/>
                      <w:szCs w:val="21"/>
                    </w:rPr>
                  </w:pPr>
                  <w:r>
                    <w:rPr>
                      <w:rFonts w:hint="eastAsia"/>
                      <w:color w:val="auto"/>
                      <w:szCs w:val="21"/>
                    </w:rPr>
                    <w:t>常温</w:t>
                  </w:r>
                </w:p>
              </w:tc>
              <w:tc>
                <w:tcPr>
                  <w:tcW w:w="329" w:type="pct"/>
                  <w:vMerge w:val="restart"/>
                  <w:vAlign w:val="center"/>
                </w:tcPr>
                <w:p>
                  <w:pPr>
                    <w:adjustRightInd w:val="0"/>
                    <w:snapToGrid w:val="0"/>
                    <w:jc w:val="center"/>
                    <w:rPr>
                      <w:color w:val="auto"/>
                      <w:kern w:val="1"/>
                      <w:szCs w:val="21"/>
                    </w:rPr>
                  </w:pPr>
                  <w:r>
                    <w:rPr>
                      <w:color w:val="auto"/>
                      <w:szCs w:val="21"/>
                    </w:rPr>
                    <w:t>一般排放口</w:t>
                  </w:r>
                </w:p>
              </w:tc>
              <w:tc>
                <w:tcPr>
                  <w:tcW w:w="949" w:type="pct"/>
                  <w:vMerge w:val="restart"/>
                  <w:vAlign w:val="center"/>
                </w:tcPr>
                <w:p>
                  <w:pPr>
                    <w:adjustRightInd w:val="0"/>
                    <w:snapToGrid w:val="0"/>
                    <w:jc w:val="center"/>
                    <w:rPr>
                      <w:color w:val="auto"/>
                      <w:kern w:val="1"/>
                      <w:szCs w:val="21"/>
                    </w:rPr>
                  </w:pPr>
                  <w:r>
                    <w:rPr>
                      <w:rFonts w:hint="eastAsia"/>
                      <w:color w:val="auto"/>
                      <w:kern w:val="1"/>
                      <w:szCs w:val="21"/>
                      <w:lang w:val="en-US" w:eastAsia="zh-CN"/>
                    </w:rPr>
                    <w:t>东经</w:t>
                  </w:r>
                  <w:r>
                    <w:rPr>
                      <w:rFonts w:hint="eastAsia"/>
                      <w:color w:val="auto"/>
                      <w:kern w:val="1"/>
                      <w:szCs w:val="21"/>
                    </w:rPr>
                    <w:t>103度12分45.761秒，</w:t>
                  </w:r>
                  <w:r>
                    <w:rPr>
                      <w:rFonts w:hint="eastAsia"/>
                      <w:color w:val="auto"/>
                      <w:kern w:val="1"/>
                      <w:szCs w:val="21"/>
                      <w:lang w:val="en-US" w:eastAsia="zh-CN"/>
                    </w:rPr>
                    <w:t>北纬</w:t>
                  </w:r>
                  <w:r>
                    <w:rPr>
                      <w:rFonts w:hint="eastAsia"/>
                      <w:color w:val="auto"/>
                      <w:kern w:val="1"/>
                      <w:szCs w:val="21"/>
                    </w:rPr>
                    <w:t>25度0分24.163秒）</w:t>
                  </w:r>
                </w:p>
              </w:tc>
              <w:tc>
                <w:tcPr>
                  <w:tcW w:w="1313" w:type="pct"/>
                  <w:vMerge w:val="restart"/>
                  <w:vAlign w:val="center"/>
                </w:tcPr>
                <w:p>
                  <w:pPr>
                    <w:adjustRightInd w:val="0"/>
                    <w:snapToGrid w:val="0"/>
                    <w:jc w:val="center"/>
                    <w:rPr>
                      <w:color w:val="auto"/>
                      <w:kern w:val="1"/>
                      <w:szCs w:val="21"/>
                    </w:rPr>
                  </w:pPr>
                  <w:r>
                    <w:rPr>
                      <w:color w:val="auto"/>
                      <w:szCs w:val="21"/>
                    </w:rPr>
                    <w:t>《大气污染物综合排放标准》（GB16297-1996）表2中的</w:t>
                  </w:r>
                  <w:r>
                    <w:rPr>
                      <w:rFonts w:hint="eastAsia"/>
                      <w:color w:val="auto"/>
                      <w:szCs w:val="21"/>
                    </w:rPr>
                    <w:t>二级</w:t>
                  </w:r>
                  <w:r>
                    <w:rPr>
                      <w:color w:val="auto"/>
                      <w:szCs w:val="21"/>
                    </w:rPr>
                    <w:t>标准限值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19" w:type="pct"/>
                  <w:vMerge w:val="continue"/>
                  <w:vAlign w:val="center"/>
                </w:tcPr>
                <w:p>
                  <w:pPr>
                    <w:adjustRightInd w:val="0"/>
                    <w:snapToGrid w:val="0"/>
                    <w:jc w:val="center"/>
                    <w:rPr>
                      <w:color w:val="auto"/>
                      <w:szCs w:val="21"/>
                    </w:rPr>
                  </w:pPr>
                </w:p>
              </w:tc>
              <w:tc>
                <w:tcPr>
                  <w:tcW w:w="436" w:type="pct"/>
                  <w:vMerge w:val="continue"/>
                  <w:vAlign w:val="center"/>
                </w:tcPr>
                <w:p>
                  <w:pPr>
                    <w:adjustRightInd w:val="0"/>
                    <w:snapToGrid w:val="0"/>
                    <w:jc w:val="center"/>
                    <w:rPr>
                      <w:color w:val="auto"/>
                      <w:szCs w:val="21"/>
                    </w:rPr>
                  </w:pPr>
                </w:p>
              </w:tc>
              <w:tc>
                <w:tcPr>
                  <w:tcW w:w="469" w:type="pct"/>
                  <w:vAlign w:val="center"/>
                </w:tcPr>
                <w:p>
                  <w:pPr>
                    <w:adjustRightInd w:val="0"/>
                    <w:snapToGrid w:val="0"/>
                    <w:jc w:val="center"/>
                    <w:rPr>
                      <w:color w:val="auto"/>
                      <w:kern w:val="1"/>
                      <w:szCs w:val="21"/>
                    </w:rPr>
                  </w:pPr>
                  <w:r>
                    <w:rPr>
                      <w:rFonts w:hint="eastAsia"/>
                      <w:color w:val="auto"/>
                      <w:kern w:val="1"/>
                      <w:szCs w:val="21"/>
                    </w:rPr>
                    <w:t>颗粒物</w:t>
                  </w:r>
                </w:p>
              </w:tc>
              <w:tc>
                <w:tcPr>
                  <w:tcW w:w="265" w:type="pct"/>
                  <w:vMerge w:val="continue"/>
                  <w:vAlign w:val="center"/>
                </w:tcPr>
                <w:p>
                  <w:pPr>
                    <w:adjustRightInd w:val="0"/>
                    <w:snapToGrid w:val="0"/>
                    <w:jc w:val="center"/>
                    <w:rPr>
                      <w:color w:val="auto"/>
                      <w:szCs w:val="21"/>
                    </w:rPr>
                  </w:pPr>
                </w:p>
              </w:tc>
              <w:tc>
                <w:tcPr>
                  <w:tcW w:w="445" w:type="pct"/>
                  <w:vMerge w:val="continue"/>
                  <w:vAlign w:val="center"/>
                </w:tcPr>
                <w:p>
                  <w:pPr>
                    <w:adjustRightInd w:val="0"/>
                    <w:snapToGrid w:val="0"/>
                    <w:jc w:val="center"/>
                    <w:rPr>
                      <w:color w:val="auto"/>
                      <w:szCs w:val="21"/>
                    </w:rPr>
                  </w:pPr>
                </w:p>
              </w:tc>
              <w:tc>
                <w:tcPr>
                  <w:tcW w:w="275" w:type="pct"/>
                  <w:vMerge w:val="continue"/>
                  <w:vAlign w:val="center"/>
                </w:tcPr>
                <w:p>
                  <w:pPr>
                    <w:adjustRightInd w:val="0"/>
                    <w:snapToGrid w:val="0"/>
                    <w:jc w:val="center"/>
                    <w:rPr>
                      <w:color w:val="auto"/>
                      <w:szCs w:val="21"/>
                    </w:rPr>
                  </w:pPr>
                </w:p>
              </w:tc>
              <w:tc>
                <w:tcPr>
                  <w:tcW w:w="329" w:type="pct"/>
                  <w:vMerge w:val="continue"/>
                  <w:vAlign w:val="center"/>
                </w:tcPr>
                <w:p>
                  <w:pPr>
                    <w:adjustRightInd w:val="0"/>
                    <w:snapToGrid w:val="0"/>
                    <w:jc w:val="center"/>
                    <w:rPr>
                      <w:color w:val="auto"/>
                      <w:szCs w:val="21"/>
                    </w:rPr>
                  </w:pPr>
                </w:p>
              </w:tc>
              <w:tc>
                <w:tcPr>
                  <w:tcW w:w="949" w:type="pct"/>
                  <w:vMerge w:val="continue"/>
                  <w:vAlign w:val="center"/>
                </w:tcPr>
                <w:p>
                  <w:pPr>
                    <w:adjustRightInd w:val="0"/>
                    <w:snapToGrid w:val="0"/>
                    <w:jc w:val="center"/>
                    <w:textAlignment w:val="baseline"/>
                    <w:rPr>
                      <w:color w:val="auto"/>
                      <w:szCs w:val="21"/>
                    </w:rPr>
                  </w:pPr>
                </w:p>
              </w:tc>
              <w:tc>
                <w:tcPr>
                  <w:tcW w:w="1313" w:type="pct"/>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519" w:type="pct"/>
                  <w:vMerge w:val="continue"/>
                  <w:vAlign w:val="center"/>
                </w:tcPr>
                <w:p>
                  <w:pPr>
                    <w:adjustRightInd w:val="0"/>
                    <w:snapToGrid w:val="0"/>
                    <w:jc w:val="center"/>
                    <w:rPr>
                      <w:color w:val="auto"/>
                      <w:szCs w:val="21"/>
                    </w:rPr>
                  </w:pPr>
                </w:p>
              </w:tc>
              <w:tc>
                <w:tcPr>
                  <w:tcW w:w="436" w:type="pct"/>
                  <w:vMerge w:val="continue"/>
                  <w:vAlign w:val="center"/>
                </w:tcPr>
                <w:p>
                  <w:pPr>
                    <w:adjustRightInd w:val="0"/>
                    <w:snapToGrid w:val="0"/>
                    <w:jc w:val="center"/>
                    <w:rPr>
                      <w:color w:val="auto"/>
                      <w:szCs w:val="21"/>
                    </w:rPr>
                  </w:pPr>
                </w:p>
              </w:tc>
              <w:tc>
                <w:tcPr>
                  <w:tcW w:w="469" w:type="pct"/>
                  <w:vAlign w:val="center"/>
                </w:tcPr>
                <w:p>
                  <w:pPr>
                    <w:adjustRightInd w:val="0"/>
                    <w:snapToGrid w:val="0"/>
                    <w:jc w:val="center"/>
                    <w:rPr>
                      <w:color w:val="auto"/>
                      <w:kern w:val="1"/>
                      <w:szCs w:val="21"/>
                    </w:rPr>
                  </w:pPr>
                  <w:r>
                    <w:rPr>
                      <w:color w:val="auto"/>
                      <w:kern w:val="1"/>
                      <w:szCs w:val="21"/>
                    </w:rPr>
                    <w:t>臭气浓度</w:t>
                  </w:r>
                </w:p>
              </w:tc>
              <w:tc>
                <w:tcPr>
                  <w:tcW w:w="265" w:type="pct"/>
                  <w:vMerge w:val="continue"/>
                  <w:vAlign w:val="center"/>
                </w:tcPr>
                <w:p>
                  <w:pPr>
                    <w:adjustRightInd w:val="0"/>
                    <w:snapToGrid w:val="0"/>
                    <w:jc w:val="center"/>
                    <w:rPr>
                      <w:color w:val="auto"/>
                      <w:szCs w:val="21"/>
                    </w:rPr>
                  </w:pPr>
                </w:p>
              </w:tc>
              <w:tc>
                <w:tcPr>
                  <w:tcW w:w="445" w:type="pct"/>
                  <w:vMerge w:val="continue"/>
                  <w:vAlign w:val="center"/>
                </w:tcPr>
                <w:p>
                  <w:pPr>
                    <w:adjustRightInd w:val="0"/>
                    <w:snapToGrid w:val="0"/>
                    <w:jc w:val="center"/>
                    <w:rPr>
                      <w:color w:val="auto"/>
                      <w:szCs w:val="21"/>
                    </w:rPr>
                  </w:pPr>
                </w:p>
              </w:tc>
              <w:tc>
                <w:tcPr>
                  <w:tcW w:w="275" w:type="pct"/>
                  <w:vMerge w:val="continue"/>
                  <w:vAlign w:val="center"/>
                </w:tcPr>
                <w:p>
                  <w:pPr>
                    <w:adjustRightInd w:val="0"/>
                    <w:snapToGrid w:val="0"/>
                    <w:jc w:val="center"/>
                    <w:rPr>
                      <w:color w:val="auto"/>
                      <w:szCs w:val="21"/>
                    </w:rPr>
                  </w:pPr>
                </w:p>
              </w:tc>
              <w:tc>
                <w:tcPr>
                  <w:tcW w:w="329" w:type="pct"/>
                  <w:vMerge w:val="continue"/>
                  <w:vAlign w:val="center"/>
                </w:tcPr>
                <w:p>
                  <w:pPr>
                    <w:adjustRightInd w:val="0"/>
                    <w:snapToGrid w:val="0"/>
                    <w:jc w:val="center"/>
                    <w:rPr>
                      <w:color w:val="auto"/>
                      <w:szCs w:val="21"/>
                    </w:rPr>
                  </w:pPr>
                </w:p>
              </w:tc>
              <w:tc>
                <w:tcPr>
                  <w:tcW w:w="949" w:type="pct"/>
                  <w:vMerge w:val="continue"/>
                  <w:vAlign w:val="center"/>
                </w:tcPr>
                <w:p>
                  <w:pPr>
                    <w:adjustRightInd w:val="0"/>
                    <w:snapToGrid w:val="0"/>
                    <w:jc w:val="center"/>
                    <w:textAlignment w:val="baseline"/>
                    <w:rPr>
                      <w:color w:val="auto"/>
                      <w:szCs w:val="21"/>
                    </w:rPr>
                  </w:pPr>
                </w:p>
              </w:tc>
              <w:tc>
                <w:tcPr>
                  <w:tcW w:w="1313" w:type="pct"/>
                  <w:vAlign w:val="center"/>
                </w:tcPr>
                <w:p>
                  <w:pPr>
                    <w:adjustRightInd w:val="0"/>
                    <w:snapToGrid w:val="0"/>
                    <w:jc w:val="center"/>
                    <w:rPr>
                      <w:color w:val="auto"/>
                      <w:szCs w:val="21"/>
                    </w:rPr>
                  </w:pPr>
                  <w:r>
                    <w:rPr>
                      <w:color w:val="auto"/>
                      <w:szCs w:val="21"/>
                    </w:rPr>
                    <w:t>《恶臭污染物排放标准》（GB14554-93）表2标准限值</w:t>
                  </w:r>
                </w:p>
              </w:tc>
            </w:tr>
          </w:tbl>
          <w:p>
            <w:pPr>
              <w:autoSpaceDE w:val="0"/>
              <w:autoSpaceDN w:val="0"/>
              <w:adjustRightInd w:val="0"/>
              <w:snapToGrid w:val="0"/>
              <w:spacing w:line="360" w:lineRule="auto"/>
              <w:ind w:firstLine="482" w:firstLineChars="200"/>
              <w:jc w:val="left"/>
              <w:rPr>
                <w:b/>
                <w:color w:val="auto"/>
                <w:sz w:val="24"/>
                <w:szCs w:val="24"/>
              </w:rPr>
            </w:pPr>
            <w:r>
              <w:rPr>
                <w:b/>
                <w:color w:val="auto"/>
                <w:sz w:val="24"/>
                <w:szCs w:val="24"/>
              </w:rPr>
              <w:t>（4）监测要求</w:t>
            </w:r>
          </w:p>
          <w:p>
            <w:pPr>
              <w:autoSpaceDE w:val="0"/>
              <w:autoSpaceDN w:val="0"/>
              <w:adjustRightInd w:val="0"/>
              <w:snapToGrid w:val="0"/>
              <w:spacing w:line="360" w:lineRule="auto"/>
              <w:ind w:firstLine="480" w:firstLineChars="200"/>
              <w:rPr>
                <w:bCs/>
                <w:color w:val="auto"/>
                <w:sz w:val="24"/>
                <w:szCs w:val="24"/>
              </w:rPr>
            </w:pPr>
            <w:r>
              <w:rPr>
                <w:bCs/>
                <w:color w:val="auto"/>
                <w:sz w:val="24"/>
                <w:szCs w:val="24"/>
              </w:rPr>
              <w:t>建设单位应根据《排污许可证申请与核发技术规范</w:t>
            </w:r>
            <w:r>
              <w:rPr>
                <w:rFonts w:hint="eastAsia"/>
                <w:bCs/>
                <w:color w:val="auto"/>
                <w:sz w:val="24"/>
                <w:szCs w:val="24"/>
              </w:rPr>
              <w:t xml:space="preserve"> </w:t>
            </w:r>
            <w:r>
              <w:rPr>
                <w:bCs/>
                <w:color w:val="auto"/>
                <w:sz w:val="24"/>
                <w:szCs w:val="24"/>
              </w:rPr>
              <w:t>废弃资源加工工业》（HJ1034-2019）的要求开展自行监测。废气自行监测计划如下：</w:t>
            </w:r>
          </w:p>
          <w:p>
            <w:pPr>
              <w:autoSpaceDE w:val="0"/>
              <w:autoSpaceDN w:val="0"/>
              <w:adjustRightInd w:val="0"/>
              <w:snapToGrid w:val="0"/>
              <w:spacing w:line="276" w:lineRule="auto"/>
              <w:jc w:val="center"/>
              <w:rPr>
                <w:b/>
                <w:color w:val="auto"/>
                <w:sz w:val="24"/>
                <w:szCs w:val="24"/>
              </w:rPr>
            </w:pPr>
            <w:r>
              <w:rPr>
                <w:b/>
                <w:color w:val="auto"/>
                <w:sz w:val="24"/>
                <w:szCs w:val="24"/>
                <w:lang w:bidi="ar"/>
              </w:rPr>
              <w:t>表4-6  废气</w:t>
            </w:r>
            <w:r>
              <w:rPr>
                <w:b/>
                <w:color w:val="auto"/>
                <w:sz w:val="24"/>
                <w:szCs w:val="24"/>
              </w:rPr>
              <w:t>自行监测计划</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498"/>
              <w:gridCol w:w="1559"/>
              <w:gridCol w:w="1276"/>
              <w:gridCol w:w="2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97" w:type="pct"/>
                  <w:vAlign w:val="center"/>
                </w:tcPr>
                <w:p>
                  <w:pPr>
                    <w:autoSpaceDE w:val="0"/>
                    <w:autoSpaceDN w:val="0"/>
                    <w:adjustRightInd w:val="0"/>
                    <w:snapToGrid w:val="0"/>
                    <w:jc w:val="center"/>
                    <w:rPr>
                      <w:b/>
                      <w:bCs/>
                      <w:color w:val="auto"/>
                      <w:szCs w:val="21"/>
                    </w:rPr>
                  </w:pPr>
                  <w:bookmarkStart w:id="19" w:name="_Hlk195176371"/>
                  <w:r>
                    <w:rPr>
                      <w:b/>
                      <w:bCs/>
                      <w:color w:val="auto"/>
                      <w:szCs w:val="21"/>
                    </w:rPr>
                    <w:t>序号</w:t>
                  </w:r>
                </w:p>
              </w:tc>
              <w:tc>
                <w:tcPr>
                  <w:tcW w:w="931" w:type="pct"/>
                  <w:vAlign w:val="center"/>
                </w:tcPr>
                <w:p>
                  <w:pPr>
                    <w:autoSpaceDE w:val="0"/>
                    <w:autoSpaceDN w:val="0"/>
                    <w:adjustRightInd w:val="0"/>
                    <w:snapToGrid w:val="0"/>
                    <w:jc w:val="center"/>
                    <w:rPr>
                      <w:b/>
                      <w:bCs/>
                      <w:color w:val="auto"/>
                      <w:szCs w:val="21"/>
                    </w:rPr>
                  </w:pPr>
                  <w:r>
                    <w:rPr>
                      <w:b/>
                      <w:bCs/>
                      <w:color w:val="auto"/>
                      <w:szCs w:val="21"/>
                    </w:rPr>
                    <w:t>废气监测点位</w:t>
                  </w:r>
                </w:p>
              </w:tc>
              <w:tc>
                <w:tcPr>
                  <w:tcW w:w="969" w:type="pct"/>
                  <w:vAlign w:val="center"/>
                </w:tcPr>
                <w:p>
                  <w:pPr>
                    <w:autoSpaceDE w:val="0"/>
                    <w:autoSpaceDN w:val="0"/>
                    <w:adjustRightInd w:val="0"/>
                    <w:snapToGrid w:val="0"/>
                    <w:jc w:val="center"/>
                    <w:rPr>
                      <w:b/>
                      <w:bCs/>
                      <w:color w:val="auto"/>
                      <w:szCs w:val="21"/>
                    </w:rPr>
                  </w:pPr>
                  <w:r>
                    <w:rPr>
                      <w:b/>
                      <w:bCs/>
                      <w:color w:val="auto"/>
                      <w:szCs w:val="21"/>
                    </w:rPr>
                    <w:t>监测因子</w:t>
                  </w:r>
                </w:p>
              </w:tc>
              <w:tc>
                <w:tcPr>
                  <w:tcW w:w="793" w:type="pct"/>
                  <w:vAlign w:val="center"/>
                </w:tcPr>
                <w:p>
                  <w:pPr>
                    <w:autoSpaceDE w:val="0"/>
                    <w:autoSpaceDN w:val="0"/>
                    <w:adjustRightInd w:val="0"/>
                    <w:snapToGrid w:val="0"/>
                    <w:jc w:val="center"/>
                    <w:rPr>
                      <w:b/>
                      <w:bCs/>
                      <w:color w:val="auto"/>
                      <w:szCs w:val="21"/>
                    </w:rPr>
                  </w:pPr>
                  <w:r>
                    <w:rPr>
                      <w:b/>
                      <w:bCs/>
                      <w:color w:val="auto"/>
                      <w:szCs w:val="21"/>
                    </w:rPr>
                    <w:t>监测频次</w:t>
                  </w:r>
                </w:p>
              </w:tc>
              <w:tc>
                <w:tcPr>
                  <w:tcW w:w="1809" w:type="pct"/>
                  <w:vAlign w:val="center"/>
                </w:tcPr>
                <w:p>
                  <w:pPr>
                    <w:autoSpaceDE w:val="0"/>
                    <w:autoSpaceDN w:val="0"/>
                    <w:adjustRightInd w:val="0"/>
                    <w:snapToGrid w:val="0"/>
                    <w:jc w:val="center"/>
                    <w:rPr>
                      <w:b/>
                      <w:bCs/>
                      <w:color w:val="auto"/>
                      <w:szCs w:val="21"/>
                    </w:rPr>
                  </w:pPr>
                  <w:r>
                    <w:rPr>
                      <w:b/>
                      <w:bCs/>
                      <w:color w:val="auto"/>
                      <w:szCs w:val="21"/>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97" w:type="pct"/>
                  <w:vMerge w:val="restart"/>
                  <w:vAlign w:val="center"/>
                </w:tcPr>
                <w:p>
                  <w:pPr>
                    <w:autoSpaceDE w:val="0"/>
                    <w:autoSpaceDN w:val="0"/>
                    <w:adjustRightInd w:val="0"/>
                    <w:snapToGrid w:val="0"/>
                    <w:jc w:val="center"/>
                    <w:rPr>
                      <w:b/>
                      <w:color w:val="auto"/>
                      <w:szCs w:val="21"/>
                    </w:rPr>
                  </w:pPr>
                  <w:r>
                    <w:rPr>
                      <w:color w:val="auto"/>
                      <w:szCs w:val="21"/>
                    </w:rPr>
                    <w:t>1</w:t>
                  </w:r>
                </w:p>
              </w:tc>
              <w:tc>
                <w:tcPr>
                  <w:tcW w:w="931" w:type="pct"/>
                  <w:vMerge w:val="restart"/>
                  <w:vAlign w:val="center"/>
                </w:tcPr>
                <w:p>
                  <w:pPr>
                    <w:autoSpaceDE w:val="0"/>
                    <w:autoSpaceDN w:val="0"/>
                    <w:adjustRightInd w:val="0"/>
                    <w:snapToGrid w:val="0"/>
                    <w:jc w:val="center"/>
                    <w:rPr>
                      <w:b/>
                      <w:color w:val="auto"/>
                      <w:szCs w:val="21"/>
                    </w:rPr>
                  </w:pPr>
                  <w:r>
                    <w:rPr>
                      <w:rFonts w:hint="eastAsia"/>
                      <w:color w:val="auto"/>
                      <w:szCs w:val="21"/>
                    </w:rPr>
                    <w:t>熔融造粒</w:t>
                  </w:r>
                  <w:r>
                    <w:rPr>
                      <w:color w:val="auto"/>
                      <w:szCs w:val="21"/>
                    </w:rPr>
                    <w:t>废气排放口（DA001）</w:t>
                  </w:r>
                </w:p>
              </w:tc>
              <w:tc>
                <w:tcPr>
                  <w:tcW w:w="969" w:type="pct"/>
                  <w:vAlign w:val="center"/>
                </w:tcPr>
                <w:p>
                  <w:pPr>
                    <w:autoSpaceDE w:val="0"/>
                    <w:autoSpaceDN w:val="0"/>
                    <w:adjustRightInd w:val="0"/>
                    <w:snapToGrid w:val="0"/>
                    <w:jc w:val="center"/>
                    <w:rPr>
                      <w:b/>
                      <w:color w:val="auto"/>
                      <w:szCs w:val="21"/>
                    </w:rPr>
                  </w:pPr>
                  <w:r>
                    <w:rPr>
                      <w:color w:val="auto"/>
                      <w:szCs w:val="21"/>
                    </w:rPr>
                    <w:t>非甲烷总烃</w:t>
                  </w:r>
                </w:p>
              </w:tc>
              <w:tc>
                <w:tcPr>
                  <w:tcW w:w="793" w:type="pct"/>
                  <w:vAlign w:val="center"/>
                </w:tcPr>
                <w:p>
                  <w:pPr>
                    <w:autoSpaceDE w:val="0"/>
                    <w:autoSpaceDN w:val="0"/>
                    <w:adjustRightInd w:val="0"/>
                    <w:snapToGrid w:val="0"/>
                    <w:jc w:val="center"/>
                    <w:rPr>
                      <w:b/>
                      <w:color w:val="auto"/>
                      <w:szCs w:val="21"/>
                    </w:rPr>
                  </w:pPr>
                  <w:r>
                    <w:rPr>
                      <w:color w:val="auto"/>
                      <w:szCs w:val="21"/>
                    </w:rPr>
                    <w:t>1次/半年</w:t>
                  </w:r>
                </w:p>
              </w:tc>
              <w:tc>
                <w:tcPr>
                  <w:tcW w:w="1809" w:type="pct"/>
                  <w:vMerge w:val="restart"/>
                  <w:vAlign w:val="center"/>
                </w:tcPr>
                <w:p>
                  <w:pPr>
                    <w:autoSpaceDE w:val="0"/>
                    <w:autoSpaceDN w:val="0"/>
                    <w:adjustRightInd w:val="0"/>
                    <w:snapToGrid w:val="0"/>
                    <w:jc w:val="center"/>
                    <w:rPr>
                      <w:b/>
                      <w:color w:val="auto"/>
                      <w:szCs w:val="21"/>
                    </w:rPr>
                  </w:pPr>
                  <w:r>
                    <w:rPr>
                      <w:color w:val="auto"/>
                      <w:szCs w:val="21"/>
                    </w:rPr>
                    <w:t>《大气污染物综合排放标准》（GB16297-1996）表2中的</w:t>
                  </w:r>
                  <w:r>
                    <w:rPr>
                      <w:rFonts w:hint="eastAsia"/>
                      <w:color w:val="auto"/>
                      <w:szCs w:val="21"/>
                    </w:rPr>
                    <w:t>二级</w:t>
                  </w:r>
                  <w:r>
                    <w:rPr>
                      <w:color w:val="auto"/>
                      <w:szCs w:val="21"/>
                    </w:rPr>
                    <w:t>标准限值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97" w:type="pct"/>
                  <w:vMerge w:val="continue"/>
                  <w:vAlign w:val="center"/>
                </w:tcPr>
                <w:p>
                  <w:pPr>
                    <w:autoSpaceDE w:val="0"/>
                    <w:autoSpaceDN w:val="0"/>
                    <w:adjustRightInd w:val="0"/>
                    <w:snapToGrid w:val="0"/>
                    <w:jc w:val="center"/>
                    <w:rPr>
                      <w:color w:val="auto"/>
                      <w:szCs w:val="21"/>
                    </w:rPr>
                  </w:pPr>
                </w:p>
              </w:tc>
              <w:tc>
                <w:tcPr>
                  <w:tcW w:w="931" w:type="pct"/>
                  <w:vMerge w:val="continue"/>
                  <w:vAlign w:val="center"/>
                </w:tcPr>
                <w:p>
                  <w:pPr>
                    <w:autoSpaceDE w:val="0"/>
                    <w:autoSpaceDN w:val="0"/>
                    <w:adjustRightInd w:val="0"/>
                    <w:snapToGrid w:val="0"/>
                    <w:jc w:val="center"/>
                    <w:rPr>
                      <w:color w:val="auto"/>
                      <w:szCs w:val="21"/>
                    </w:rPr>
                  </w:pPr>
                </w:p>
              </w:tc>
              <w:tc>
                <w:tcPr>
                  <w:tcW w:w="969" w:type="pct"/>
                  <w:vAlign w:val="center"/>
                </w:tcPr>
                <w:p>
                  <w:pPr>
                    <w:autoSpaceDE w:val="0"/>
                    <w:autoSpaceDN w:val="0"/>
                    <w:adjustRightInd w:val="0"/>
                    <w:snapToGrid w:val="0"/>
                    <w:jc w:val="center"/>
                    <w:rPr>
                      <w:color w:val="auto"/>
                      <w:szCs w:val="21"/>
                    </w:rPr>
                  </w:pPr>
                  <w:r>
                    <w:rPr>
                      <w:rFonts w:hint="eastAsia"/>
                      <w:color w:val="auto"/>
                      <w:szCs w:val="21"/>
                    </w:rPr>
                    <w:t>颗粒物</w:t>
                  </w:r>
                </w:p>
              </w:tc>
              <w:tc>
                <w:tcPr>
                  <w:tcW w:w="793" w:type="pct"/>
                  <w:vAlign w:val="center"/>
                </w:tcPr>
                <w:p>
                  <w:pPr>
                    <w:autoSpaceDE w:val="0"/>
                    <w:autoSpaceDN w:val="0"/>
                    <w:adjustRightInd w:val="0"/>
                    <w:snapToGrid w:val="0"/>
                    <w:jc w:val="center"/>
                    <w:rPr>
                      <w:color w:val="auto"/>
                      <w:szCs w:val="21"/>
                    </w:rPr>
                  </w:pPr>
                  <w:r>
                    <w:rPr>
                      <w:color w:val="auto"/>
                      <w:szCs w:val="21"/>
                    </w:rPr>
                    <w:t>1次/半年</w:t>
                  </w:r>
                </w:p>
              </w:tc>
              <w:tc>
                <w:tcPr>
                  <w:tcW w:w="1809" w:type="pct"/>
                  <w:vMerge w:val="continue"/>
                  <w:vAlign w:val="center"/>
                </w:tcPr>
                <w:p>
                  <w:pPr>
                    <w:autoSpaceDE w:val="0"/>
                    <w:autoSpaceDN w:val="0"/>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497" w:type="pct"/>
                  <w:vMerge w:val="continue"/>
                  <w:vAlign w:val="center"/>
                </w:tcPr>
                <w:p>
                  <w:pPr>
                    <w:autoSpaceDE w:val="0"/>
                    <w:autoSpaceDN w:val="0"/>
                    <w:adjustRightInd w:val="0"/>
                    <w:snapToGrid w:val="0"/>
                    <w:jc w:val="center"/>
                    <w:rPr>
                      <w:color w:val="auto"/>
                      <w:szCs w:val="21"/>
                    </w:rPr>
                  </w:pPr>
                </w:p>
              </w:tc>
              <w:tc>
                <w:tcPr>
                  <w:tcW w:w="931" w:type="pct"/>
                  <w:vMerge w:val="continue"/>
                  <w:vAlign w:val="center"/>
                </w:tcPr>
                <w:p>
                  <w:pPr>
                    <w:autoSpaceDE w:val="0"/>
                    <w:autoSpaceDN w:val="0"/>
                    <w:adjustRightInd w:val="0"/>
                    <w:snapToGrid w:val="0"/>
                    <w:jc w:val="center"/>
                    <w:rPr>
                      <w:color w:val="auto"/>
                      <w:szCs w:val="21"/>
                    </w:rPr>
                  </w:pPr>
                </w:p>
              </w:tc>
              <w:tc>
                <w:tcPr>
                  <w:tcW w:w="969" w:type="pct"/>
                  <w:vAlign w:val="center"/>
                </w:tcPr>
                <w:p>
                  <w:pPr>
                    <w:autoSpaceDE w:val="0"/>
                    <w:autoSpaceDN w:val="0"/>
                    <w:adjustRightInd w:val="0"/>
                    <w:snapToGrid w:val="0"/>
                    <w:jc w:val="center"/>
                    <w:rPr>
                      <w:color w:val="auto"/>
                      <w:szCs w:val="21"/>
                    </w:rPr>
                  </w:pPr>
                  <w:r>
                    <w:rPr>
                      <w:color w:val="auto"/>
                      <w:szCs w:val="21"/>
                    </w:rPr>
                    <w:t>臭气浓度</w:t>
                  </w:r>
                </w:p>
              </w:tc>
              <w:tc>
                <w:tcPr>
                  <w:tcW w:w="793" w:type="pct"/>
                  <w:vAlign w:val="center"/>
                </w:tcPr>
                <w:p>
                  <w:pPr>
                    <w:autoSpaceDE w:val="0"/>
                    <w:autoSpaceDN w:val="0"/>
                    <w:adjustRightInd w:val="0"/>
                    <w:snapToGrid w:val="0"/>
                    <w:jc w:val="center"/>
                    <w:rPr>
                      <w:color w:val="auto"/>
                      <w:szCs w:val="21"/>
                    </w:rPr>
                  </w:pPr>
                  <w:r>
                    <w:rPr>
                      <w:color w:val="auto"/>
                      <w:szCs w:val="21"/>
                    </w:rPr>
                    <w:t>1次/半年</w:t>
                  </w:r>
                </w:p>
              </w:tc>
              <w:tc>
                <w:tcPr>
                  <w:tcW w:w="1809" w:type="pct"/>
                  <w:vAlign w:val="center"/>
                </w:tcPr>
                <w:p>
                  <w:pPr>
                    <w:autoSpaceDE w:val="0"/>
                    <w:autoSpaceDN w:val="0"/>
                    <w:adjustRightInd w:val="0"/>
                    <w:snapToGrid w:val="0"/>
                    <w:jc w:val="center"/>
                    <w:rPr>
                      <w:color w:val="auto"/>
                      <w:szCs w:val="21"/>
                    </w:rPr>
                  </w:pPr>
                  <w:r>
                    <w:rPr>
                      <w:color w:val="auto"/>
                      <w:szCs w:val="21"/>
                    </w:rPr>
                    <w:t>《恶臭污染物排放标准》（GB14554-93）表2标准限值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97" w:type="pct"/>
                  <w:vMerge w:val="restart"/>
                  <w:vAlign w:val="center"/>
                </w:tcPr>
                <w:p>
                  <w:pPr>
                    <w:autoSpaceDE w:val="0"/>
                    <w:autoSpaceDN w:val="0"/>
                    <w:adjustRightInd w:val="0"/>
                    <w:snapToGrid w:val="0"/>
                    <w:jc w:val="center"/>
                    <w:rPr>
                      <w:b/>
                      <w:color w:val="auto"/>
                      <w:szCs w:val="21"/>
                    </w:rPr>
                  </w:pPr>
                  <w:r>
                    <w:rPr>
                      <w:color w:val="auto"/>
                      <w:szCs w:val="21"/>
                    </w:rPr>
                    <w:t>2</w:t>
                  </w:r>
                </w:p>
              </w:tc>
              <w:tc>
                <w:tcPr>
                  <w:tcW w:w="931" w:type="pct"/>
                  <w:vMerge w:val="restart"/>
                  <w:vAlign w:val="center"/>
                </w:tcPr>
                <w:p>
                  <w:pPr>
                    <w:autoSpaceDE w:val="0"/>
                    <w:autoSpaceDN w:val="0"/>
                    <w:adjustRightInd w:val="0"/>
                    <w:snapToGrid w:val="0"/>
                    <w:jc w:val="center"/>
                    <w:rPr>
                      <w:b/>
                      <w:color w:val="auto"/>
                      <w:szCs w:val="21"/>
                    </w:rPr>
                  </w:pPr>
                  <w:r>
                    <w:rPr>
                      <w:color w:val="auto"/>
                      <w:szCs w:val="21"/>
                    </w:rPr>
                    <w:t>厂界</w:t>
                  </w:r>
                </w:p>
              </w:tc>
              <w:tc>
                <w:tcPr>
                  <w:tcW w:w="969" w:type="pct"/>
                  <w:vAlign w:val="center"/>
                </w:tcPr>
                <w:p>
                  <w:pPr>
                    <w:autoSpaceDE w:val="0"/>
                    <w:autoSpaceDN w:val="0"/>
                    <w:adjustRightInd w:val="0"/>
                    <w:snapToGrid w:val="0"/>
                    <w:jc w:val="center"/>
                    <w:rPr>
                      <w:b/>
                      <w:color w:val="auto"/>
                      <w:szCs w:val="21"/>
                    </w:rPr>
                  </w:pPr>
                  <w:r>
                    <w:rPr>
                      <w:color w:val="auto"/>
                      <w:szCs w:val="21"/>
                    </w:rPr>
                    <w:t>颗粒物、非甲烷总烃</w:t>
                  </w:r>
                </w:p>
              </w:tc>
              <w:tc>
                <w:tcPr>
                  <w:tcW w:w="793" w:type="pct"/>
                  <w:vMerge w:val="restart"/>
                  <w:vAlign w:val="center"/>
                </w:tcPr>
                <w:p>
                  <w:pPr>
                    <w:autoSpaceDE w:val="0"/>
                    <w:autoSpaceDN w:val="0"/>
                    <w:adjustRightInd w:val="0"/>
                    <w:snapToGrid w:val="0"/>
                    <w:jc w:val="center"/>
                    <w:rPr>
                      <w:b/>
                      <w:color w:val="auto"/>
                      <w:szCs w:val="21"/>
                    </w:rPr>
                  </w:pPr>
                  <w:r>
                    <w:rPr>
                      <w:color w:val="auto"/>
                      <w:szCs w:val="21"/>
                    </w:rPr>
                    <w:t>1次/年</w:t>
                  </w:r>
                </w:p>
              </w:tc>
              <w:tc>
                <w:tcPr>
                  <w:tcW w:w="1809" w:type="pct"/>
                  <w:vAlign w:val="center"/>
                </w:tcPr>
                <w:p>
                  <w:pPr>
                    <w:autoSpaceDE w:val="0"/>
                    <w:autoSpaceDN w:val="0"/>
                    <w:adjustRightInd w:val="0"/>
                    <w:snapToGrid w:val="0"/>
                    <w:jc w:val="center"/>
                    <w:rPr>
                      <w:b/>
                      <w:color w:val="auto"/>
                      <w:szCs w:val="21"/>
                    </w:rPr>
                  </w:pPr>
                  <w:r>
                    <w:rPr>
                      <w:color w:val="auto"/>
                      <w:szCs w:val="21"/>
                    </w:rPr>
                    <w:t>《大气污染物综合排放标准》（GB16297-1996）表2中的无组织排放监控浓度限值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97" w:type="pct"/>
                  <w:vMerge w:val="continue"/>
                  <w:vAlign w:val="center"/>
                </w:tcPr>
                <w:p>
                  <w:pPr>
                    <w:autoSpaceDE w:val="0"/>
                    <w:autoSpaceDN w:val="0"/>
                    <w:adjustRightInd w:val="0"/>
                    <w:snapToGrid w:val="0"/>
                    <w:jc w:val="center"/>
                    <w:rPr>
                      <w:color w:val="auto"/>
                      <w:szCs w:val="21"/>
                    </w:rPr>
                  </w:pPr>
                </w:p>
              </w:tc>
              <w:tc>
                <w:tcPr>
                  <w:tcW w:w="931" w:type="pct"/>
                  <w:vMerge w:val="continue"/>
                  <w:vAlign w:val="center"/>
                </w:tcPr>
                <w:p>
                  <w:pPr>
                    <w:autoSpaceDE w:val="0"/>
                    <w:autoSpaceDN w:val="0"/>
                    <w:adjustRightInd w:val="0"/>
                    <w:snapToGrid w:val="0"/>
                    <w:jc w:val="center"/>
                    <w:rPr>
                      <w:color w:val="auto"/>
                      <w:szCs w:val="21"/>
                    </w:rPr>
                  </w:pPr>
                </w:p>
              </w:tc>
              <w:tc>
                <w:tcPr>
                  <w:tcW w:w="969" w:type="pct"/>
                  <w:vAlign w:val="center"/>
                </w:tcPr>
                <w:p>
                  <w:pPr>
                    <w:autoSpaceDE w:val="0"/>
                    <w:autoSpaceDN w:val="0"/>
                    <w:adjustRightInd w:val="0"/>
                    <w:snapToGrid w:val="0"/>
                    <w:jc w:val="center"/>
                    <w:rPr>
                      <w:color w:val="auto"/>
                      <w:szCs w:val="21"/>
                    </w:rPr>
                  </w:pPr>
                  <w:r>
                    <w:rPr>
                      <w:color w:val="auto"/>
                      <w:szCs w:val="21"/>
                    </w:rPr>
                    <w:t>臭气浓度</w:t>
                  </w:r>
                </w:p>
              </w:tc>
              <w:tc>
                <w:tcPr>
                  <w:tcW w:w="793" w:type="pct"/>
                  <w:vMerge w:val="continue"/>
                  <w:vAlign w:val="center"/>
                </w:tcPr>
                <w:p>
                  <w:pPr>
                    <w:autoSpaceDE w:val="0"/>
                    <w:autoSpaceDN w:val="0"/>
                    <w:adjustRightInd w:val="0"/>
                    <w:snapToGrid w:val="0"/>
                    <w:jc w:val="center"/>
                    <w:rPr>
                      <w:color w:val="auto"/>
                      <w:szCs w:val="21"/>
                    </w:rPr>
                  </w:pPr>
                </w:p>
              </w:tc>
              <w:tc>
                <w:tcPr>
                  <w:tcW w:w="1809" w:type="pct"/>
                  <w:vAlign w:val="center"/>
                </w:tcPr>
                <w:p>
                  <w:pPr>
                    <w:autoSpaceDE w:val="0"/>
                    <w:autoSpaceDN w:val="0"/>
                    <w:adjustRightInd w:val="0"/>
                    <w:snapToGrid w:val="0"/>
                    <w:jc w:val="center"/>
                    <w:rPr>
                      <w:color w:val="auto"/>
                      <w:szCs w:val="21"/>
                    </w:rPr>
                  </w:pPr>
                  <w:r>
                    <w:rPr>
                      <w:color w:val="auto"/>
                      <w:szCs w:val="21"/>
                    </w:rPr>
                    <w:t>《恶臭污染物排放标准》（GB14554-93）表1中的二级（新改扩建）标准限值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97" w:type="pct"/>
                  <w:vAlign w:val="center"/>
                </w:tcPr>
                <w:p>
                  <w:pPr>
                    <w:autoSpaceDE w:val="0"/>
                    <w:autoSpaceDN w:val="0"/>
                    <w:adjustRightInd w:val="0"/>
                    <w:snapToGrid w:val="0"/>
                    <w:jc w:val="center"/>
                    <w:rPr>
                      <w:color w:val="auto"/>
                      <w:szCs w:val="21"/>
                    </w:rPr>
                  </w:pPr>
                  <w:r>
                    <w:rPr>
                      <w:color w:val="auto"/>
                      <w:szCs w:val="21"/>
                    </w:rPr>
                    <w:t>3</w:t>
                  </w:r>
                </w:p>
              </w:tc>
              <w:tc>
                <w:tcPr>
                  <w:tcW w:w="931" w:type="pct"/>
                  <w:vAlign w:val="center"/>
                </w:tcPr>
                <w:p>
                  <w:pPr>
                    <w:autoSpaceDE w:val="0"/>
                    <w:autoSpaceDN w:val="0"/>
                    <w:adjustRightInd w:val="0"/>
                    <w:snapToGrid w:val="0"/>
                    <w:jc w:val="center"/>
                    <w:rPr>
                      <w:color w:val="auto"/>
                      <w:szCs w:val="21"/>
                    </w:rPr>
                  </w:pPr>
                  <w:r>
                    <w:rPr>
                      <w:color w:val="auto"/>
                      <w:szCs w:val="21"/>
                    </w:rPr>
                    <w:t>厂区内</w:t>
                  </w:r>
                </w:p>
              </w:tc>
              <w:tc>
                <w:tcPr>
                  <w:tcW w:w="969" w:type="pct"/>
                  <w:vAlign w:val="center"/>
                </w:tcPr>
                <w:p>
                  <w:pPr>
                    <w:autoSpaceDE w:val="0"/>
                    <w:autoSpaceDN w:val="0"/>
                    <w:adjustRightInd w:val="0"/>
                    <w:snapToGrid w:val="0"/>
                    <w:jc w:val="center"/>
                    <w:rPr>
                      <w:color w:val="auto"/>
                      <w:szCs w:val="21"/>
                    </w:rPr>
                  </w:pPr>
                  <w:r>
                    <w:rPr>
                      <w:color w:val="auto"/>
                      <w:szCs w:val="21"/>
                    </w:rPr>
                    <w:t>非甲烷总烃</w:t>
                  </w:r>
                </w:p>
              </w:tc>
              <w:tc>
                <w:tcPr>
                  <w:tcW w:w="793" w:type="pct"/>
                  <w:vAlign w:val="center"/>
                </w:tcPr>
                <w:p>
                  <w:pPr>
                    <w:autoSpaceDE w:val="0"/>
                    <w:autoSpaceDN w:val="0"/>
                    <w:adjustRightInd w:val="0"/>
                    <w:snapToGrid w:val="0"/>
                    <w:jc w:val="center"/>
                    <w:rPr>
                      <w:color w:val="auto"/>
                      <w:szCs w:val="21"/>
                    </w:rPr>
                  </w:pPr>
                  <w:r>
                    <w:rPr>
                      <w:color w:val="auto"/>
                      <w:szCs w:val="21"/>
                    </w:rPr>
                    <w:t>1次/年</w:t>
                  </w:r>
                </w:p>
              </w:tc>
              <w:tc>
                <w:tcPr>
                  <w:tcW w:w="1809" w:type="pct"/>
                  <w:vAlign w:val="center"/>
                </w:tcPr>
                <w:p>
                  <w:pPr>
                    <w:autoSpaceDE w:val="0"/>
                    <w:autoSpaceDN w:val="0"/>
                    <w:adjustRightInd w:val="0"/>
                    <w:snapToGrid w:val="0"/>
                    <w:jc w:val="center"/>
                    <w:rPr>
                      <w:color w:val="auto"/>
                      <w:szCs w:val="21"/>
                    </w:rPr>
                  </w:pPr>
                  <w:r>
                    <w:rPr>
                      <w:bCs/>
                      <w:color w:val="auto"/>
                      <w:szCs w:val="21"/>
                    </w:rPr>
                    <w:t>《挥发性有机物无组织排放控制标准》（GB37822-2019）表A.1中排放限值</w:t>
                  </w:r>
                </w:p>
              </w:tc>
            </w:tr>
            <w:bookmarkEnd w:id="19"/>
          </w:tbl>
          <w:p>
            <w:pPr>
              <w:autoSpaceDE w:val="0"/>
              <w:autoSpaceDN w:val="0"/>
              <w:adjustRightInd w:val="0"/>
              <w:snapToGrid w:val="0"/>
              <w:spacing w:line="360" w:lineRule="auto"/>
              <w:ind w:firstLine="482" w:firstLineChars="200"/>
              <w:jc w:val="left"/>
              <w:rPr>
                <w:b/>
                <w:bCs/>
                <w:color w:val="auto"/>
                <w:sz w:val="24"/>
                <w:szCs w:val="24"/>
              </w:rPr>
            </w:pPr>
            <w:r>
              <w:rPr>
                <w:b/>
                <w:bCs/>
                <w:color w:val="auto"/>
                <w:sz w:val="24"/>
                <w:szCs w:val="24"/>
              </w:rPr>
              <w:t>（5）非正常排放</w:t>
            </w:r>
          </w:p>
          <w:p>
            <w:pPr>
              <w:autoSpaceDE w:val="0"/>
              <w:autoSpaceDN w:val="0"/>
              <w:adjustRightInd w:val="0"/>
              <w:snapToGrid w:val="0"/>
              <w:spacing w:line="360" w:lineRule="auto"/>
              <w:ind w:firstLine="480" w:firstLineChars="200"/>
              <w:rPr>
                <w:color w:val="auto"/>
                <w:sz w:val="24"/>
                <w:szCs w:val="24"/>
              </w:rPr>
            </w:pPr>
            <w:r>
              <w:rPr>
                <w:bCs/>
                <w:color w:val="auto"/>
                <w:sz w:val="24"/>
                <w:szCs w:val="24"/>
              </w:rPr>
              <w:t>本次评价</w:t>
            </w:r>
            <w:r>
              <w:rPr>
                <w:color w:val="auto"/>
                <w:sz w:val="24"/>
                <w:szCs w:val="24"/>
              </w:rPr>
              <w:t>非正常排放考虑假设在最不利情况下</w:t>
            </w:r>
            <w:r>
              <w:rPr>
                <w:rFonts w:ascii="宋体" w:hAnsi="宋体"/>
                <w:color w:val="auto"/>
                <w:sz w:val="24"/>
                <w:szCs w:val="24"/>
              </w:rPr>
              <w:t>“过滤棉+</w:t>
            </w:r>
            <w:r>
              <w:rPr>
                <w:rFonts w:hint="eastAsia" w:ascii="宋体" w:hAnsi="宋体"/>
                <w:color w:val="auto"/>
                <w:sz w:val="24"/>
                <w:szCs w:val="24"/>
                <w:lang w:eastAsia="zh-CN"/>
              </w:rPr>
              <w:t>三级活性炭</w:t>
            </w:r>
            <w:r>
              <w:rPr>
                <w:rFonts w:ascii="宋体" w:hAnsi="宋体"/>
                <w:color w:val="auto"/>
                <w:sz w:val="24"/>
                <w:szCs w:val="24"/>
              </w:rPr>
              <w:t>吸附装置”</w:t>
            </w:r>
            <w:r>
              <w:rPr>
                <w:color w:val="auto"/>
                <w:sz w:val="24"/>
                <w:szCs w:val="24"/>
              </w:rPr>
              <w:t>处理设施故障或失效，导致其处理效率降低，本项目废气处理措施为两级处理组合工艺，本次评价主要考虑废气处理设施综合处理效率降低，即当处理效率为0%时</w:t>
            </w:r>
            <w:r>
              <w:rPr>
                <w:bCs/>
                <w:color w:val="auto"/>
                <w:sz w:val="24"/>
                <w:szCs w:val="24"/>
              </w:rPr>
              <w:t>。一年发生次数约2</w:t>
            </w:r>
            <w:r>
              <w:rPr>
                <w:rFonts w:hint="eastAsia"/>
                <w:bCs/>
                <w:color w:val="auto"/>
                <w:sz w:val="24"/>
                <w:szCs w:val="24"/>
                <w:lang w:eastAsia="zh-CN"/>
              </w:rPr>
              <w:t>～</w:t>
            </w:r>
            <w:r>
              <w:rPr>
                <w:bCs/>
                <w:color w:val="auto"/>
                <w:sz w:val="24"/>
                <w:szCs w:val="24"/>
              </w:rPr>
              <w:t>3次，持续时间约1</w:t>
            </w:r>
            <w:r>
              <w:rPr>
                <w:rFonts w:hint="eastAsia"/>
                <w:bCs/>
                <w:color w:val="auto"/>
                <w:sz w:val="24"/>
                <w:szCs w:val="24"/>
                <w:lang w:eastAsia="zh-CN"/>
              </w:rPr>
              <w:t>～</w:t>
            </w:r>
            <w:r>
              <w:rPr>
                <w:bCs/>
                <w:color w:val="auto"/>
                <w:sz w:val="24"/>
                <w:szCs w:val="24"/>
              </w:rPr>
              <w:t>2h，非甲烷总烃非正常排放浓度为</w:t>
            </w:r>
            <w:r>
              <w:rPr>
                <w:rFonts w:hint="eastAsia"/>
                <w:color w:val="auto"/>
                <w:sz w:val="24"/>
                <w:szCs w:val="24"/>
                <w:lang w:val="en-US" w:eastAsia="zh-CN"/>
              </w:rPr>
              <w:t>174.4</w:t>
            </w:r>
            <w:r>
              <w:rPr>
                <w:color w:val="auto"/>
                <w:sz w:val="24"/>
                <w:szCs w:val="24"/>
              </w:rPr>
              <w:t>mg/m</w:t>
            </w:r>
            <w:r>
              <w:rPr>
                <w:color w:val="auto"/>
                <w:sz w:val="24"/>
                <w:szCs w:val="24"/>
                <w:vertAlign w:val="superscript"/>
              </w:rPr>
              <w:t>3</w:t>
            </w:r>
            <w:r>
              <w:rPr>
                <w:rFonts w:hint="eastAsia"/>
                <w:bCs/>
                <w:color w:val="auto"/>
                <w:sz w:val="24"/>
                <w:szCs w:val="24"/>
              </w:rPr>
              <w:t>、</w:t>
            </w:r>
            <w:r>
              <w:rPr>
                <w:bCs/>
                <w:color w:val="auto"/>
                <w:sz w:val="24"/>
                <w:szCs w:val="24"/>
              </w:rPr>
              <w:t>非正常排放</w:t>
            </w:r>
            <w:r>
              <w:rPr>
                <w:rFonts w:hint="eastAsia"/>
                <w:bCs/>
                <w:color w:val="auto"/>
                <w:sz w:val="24"/>
                <w:szCs w:val="24"/>
                <w:lang w:val="en-US" w:eastAsia="zh-CN"/>
              </w:rPr>
              <w:t>速率</w:t>
            </w:r>
            <w:r>
              <w:rPr>
                <w:bCs/>
                <w:color w:val="auto"/>
                <w:sz w:val="24"/>
                <w:szCs w:val="24"/>
              </w:rPr>
              <w:t>为</w:t>
            </w:r>
            <w:r>
              <w:rPr>
                <w:rFonts w:hint="eastAsia"/>
                <w:bCs/>
                <w:color w:val="auto"/>
                <w:sz w:val="24"/>
                <w:szCs w:val="24"/>
                <w:lang w:val="en-US" w:eastAsia="zh-CN"/>
              </w:rPr>
              <w:t>1.744</w:t>
            </w:r>
            <w:r>
              <w:rPr>
                <w:color w:val="auto"/>
                <w:sz w:val="24"/>
                <w:szCs w:val="24"/>
              </w:rPr>
              <w:t>kg/h</w:t>
            </w:r>
            <w:r>
              <w:rPr>
                <w:rFonts w:hint="eastAsia"/>
                <w:color w:val="auto"/>
                <w:sz w:val="24"/>
                <w:szCs w:val="24"/>
              </w:rPr>
              <w:t>，</w:t>
            </w:r>
            <w:r>
              <w:rPr>
                <w:rFonts w:hint="eastAsia"/>
                <w:bCs/>
                <w:color w:val="auto"/>
                <w:sz w:val="24"/>
                <w:szCs w:val="24"/>
              </w:rPr>
              <w:t>颗粒物</w:t>
            </w:r>
            <w:r>
              <w:rPr>
                <w:bCs/>
                <w:color w:val="auto"/>
                <w:sz w:val="24"/>
                <w:szCs w:val="24"/>
              </w:rPr>
              <w:t>非正常排放浓度为</w:t>
            </w:r>
            <w:r>
              <w:rPr>
                <w:rFonts w:hint="eastAsia"/>
                <w:color w:val="auto"/>
                <w:sz w:val="24"/>
                <w:szCs w:val="24"/>
                <w:lang w:val="en-US" w:eastAsia="zh-CN"/>
              </w:rPr>
              <w:t>25</w:t>
            </w:r>
            <w:r>
              <w:rPr>
                <w:color w:val="auto"/>
                <w:sz w:val="24"/>
                <w:szCs w:val="24"/>
              </w:rPr>
              <w:t>mg/m</w:t>
            </w:r>
            <w:r>
              <w:rPr>
                <w:color w:val="auto"/>
                <w:sz w:val="24"/>
                <w:szCs w:val="24"/>
                <w:vertAlign w:val="superscript"/>
              </w:rPr>
              <w:t>3</w:t>
            </w:r>
            <w:r>
              <w:rPr>
                <w:rFonts w:hint="eastAsia"/>
                <w:bCs/>
                <w:color w:val="auto"/>
                <w:sz w:val="24"/>
                <w:szCs w:val="24"/>
              </w:rPr>
              <w:t>、</w:t>
            </w:r>
            <w:r>
              <w:rPr>
                <w:bCs/>
                <w:color w:val="auto"/>
                <w:sz w:val="24"/>
                <w:szCs w:val="24"/>
              </w:rPr>
              <w:t>非正常排放</w:t>
            </w:r>
            <w:r>
              <w:rPr>
                <w:rFonts w:hint="eastAsia"/>
                <w:bCs/>
                <w:color w:val="auto"/>
                <w:sz w:val="24"/>
                <w:szCs w:val="24"/>
                <w:lang w:val="en-US" w:eastAsia="zh-CN"/>
              </w:rPr>
              <w:t>速率</w:t>
            </w:r>
            <w:r>
              <w:rPr>
                <w:bCs/>
                <w:color w:val="auto"/>
                <w:sz w:val="24"/>
                <w:szCs w:val="24"/>
              </w:rPr>
              <w:t>为</w:t>
            </w:r>
            <w:r>
              <w:rPr>
                <w:rFonts w:hint="eastAsia"/>
                <w:color w:val="auto"/>
                <w:sz w:val="24"/>
                <w:szCs w:val="24"/>
                <w:lang w:val="en-US" w:eastAsia="zh-CN"/>
              </w:rPr>
              <w:t>0.25</w:t>
            </w:r>
            <w:r>
              <w:rPr>
                <w:color w:val="auto"/>
                <w:sz w:val="24"/>
                <w:szCs w:val="24"/>
              </w:rPr>
              <w:t>kg/h。</w:t>
            </w:r>
            <w:r>
              <w:rPr>
                <w:bCs/>
                <w:color w:val="auto"/>
                <w:sz w:val="24"/>
                <w:szCs w:val="24"/>
              </w:rPr>
              <w:t>当发生非正常排放，应及时停止相关废气产污设备的运行，并维修废气处理设施，确保</w:t>
            </w:r>
            <w:r>
              <w:rPr>
                <w:rFonts w:ascii="宋体" w:hAnsi="宋体"/>
                <w:color w:val="auto"/>
                <w:sz w:val="24"/>
                <w:szCs w:val="24"/>
              </w:rPr>
              <w:t>“过滤棉+</w:t>
            </w:r>
            <w:r>
              <w:rPr>
                <w:rFonts w:hint="eastAsia" w:ascii="宋体" w:hAnsi="宋体"/>
                <w:color w:val="auto"/>
                <w:sz w:val="24"/>
                <w:szCs w:val="24"/>
                <w:lang w:eastAsia="zh-CN"/>
              </w:rPr>
              <w:t>三级活性炭</w:t>
            </w:r>
            <w:r>
              <w:rPr>
                <w:rFonts w:ascii="宋体" w:hAnsi="宋体"/>
                <w:color w:val="auto"/>
                <w:sz w:val="24"/>
                <w:szCs w:val="24"/>
              </w:rPr>
              <w:t>吸附装置”</w:t>
            </w:r>
            <w:r>
              <w:rPr>
                <w:bCs/>
                <w:color w:val="auto"/>
                <w:sz w:val="24"/>
                <w:szCs w:val="24"/>
              </w:rPr>
              <w:t>的处理效率满足设计值，有效削减非甲烷总烃排放量。</w:t>
            </w:r>
          </w:p>
          <w:p>
            <w:pPr>
              <w:autoSpaceDE w:val="0"/>
              <w:autoSpaceDN w:val="0"/>
              <w:adjustRightInd w:val="0"/>
              <w:snapToGrid w:val="0"/>
              <w:spacing w:line="360" w:lineRule="auto"/>
              <w:ind w:firstLine="482" w:firstLineChars="200"/>
              <w:jc w:val="left"/>
              <w:rPr>
                <w:b/>
                <w:bCs/>
                <w:color w:val="auto"/>
                <w:sz w:val="24"/>
                <w:szCs w:val="24"/>
              </w:rPr>
            </w:pPr>
            <w:r>
              <w:rPr>
                <w:b/>
                <w:bCs/>
                <w:color w:val="auto"/>
                <w:sz w:val="24"/>
                <w:szCs w:val="24"/>
              </w:rPr>
              <w:t>（6）达标排放及环境影响分析</w:t>
            </w:r>
          </w:p>
          <w:p>
            <w:pPr>
              <w:autoSpaceDE w:val="0"/>
              <w:autoSpaceDN w:val="0"/>
              <w:spacing w:line="360" w:lineRule="auto"/>
              <w:ind w:firstLine="480" w:firstLineChars="200"/>
              <w:rPr>
                <w:color w:val="auto"/>
                <w:sz w:val="24"/>
                <w:szCs w:val="24"/>
              </w:rPr>
            </w:pPr>
            <w:r>
              <w:rPr>
                <w:rFonts w:hint="eastAsia"/>
                <w:color w:val="auto"/>
                <w:sz w:val="24"/>
                <w:szCs w:val="24"/>
              </w:rPr>
              <w:t>1）有组织废气达标分析</w:t>
            </w:r>
          </w:p>
          <w:p>
            <w:pPr>
              <w:autoSpaceDE w:val="0"/>
              <w:autoSpaceDN w:val="0"/>
              <w:spacing w:line="360" w:lineRule="auto"/>
              <w:ind w:firstLine="480" w:firstLineChars="200"/>
              <w:rPr>
                <w:color w:val="auto"/>
                <w:sz w:val="24"/>
                <w:szCs w:val="24"/>
              </w:rPr>
            </w:pPr>
            <w:r>
              <w:rPr>
                <w:color w:val="auto"/>
                <w:sz w:val="24"/>
                <w:szCs w:val="24"/>
              </w:rPr>
              <w:t>运营期大气污染物的排放量不大，针对</w:t>
            </w:r>
            <w:r>
              <w:rPr>
                <w:rFonts w:hint="eastAsia"/>
                <w:bCs/>
                <w:color w:val="auto"/>
                <w:sz w:val="24"/>
                <w:szCs w:val="24"/>
              </w:rPr>
              <w:t>熔融挤出造粒工序</w:t>
            </w:r>
            <w:r>
              <w:rPr>
                <w:color w:val="auto"/>
                <w:sz w:val="24"/>
                <w:szCs w:val="24"/>
              </w:rPr>
              <w:t>产生的</w:t>
            </w:r>
            <w:r>
              <w:rPr>
                <w:bCs/>
                <w:color w:val="auto"/>
                <w:sz w:val="24"/>
                <w:szCs w:val="24"/>
              </w:rPr>
              <w:t>挥发性有机废气（</w:t>
            </w:r>
            <w:r>
              <w:rPr>
                <w:rFonts w:hint="eastAsia"/>
                <w:bCs/>
                <w:color w:val="auto"/>
                <w:sz w:val="24"/>
                <w:szCs w:val="24"/>
              </w:rPr>
              <w:t>主要以</w:t>
            </w:r>
            <w:r>
              <w:rPr>
                <w:bCs/>
                <w:color w:val="auto"/>
                <w:sz w:val="24"/>
                <w:szCs w:val="24"/>
              </w:rPr>
              <w:t>非甲烷总烃</w:t>
            </w:r>
            <w:r>
              <w:rPr>
                <w:rFonts w:hint="eastAsia"/>
                <w:bCs/>
                <w:color w:val="auto"/>
                <w:sz w:val="24"/>
                <w:szCs w:val="24"/>
              </w:rPr>
              <w:t>计</w:t>
            </w:r>
            <w:r>
              <w:rPr>
                <w:bCs/>
                <w:color w:val="auto"/>
                <w:sz w:val="24"/>
                <w:szCs w:val="24"/>
              </w:rPr>
              <w:t>），项目</w:t>
            </w:r>
            <w:r>
              <w:rPr>
                <w:color w:val="auto"/>
                <w:sz w:val="24"/>
                <w:szCs w:val="24"/>
              </w:rPr>
              <w:t>在</w:t>
            </w:r>
            <w:r>
              <w:rPr>
                <w:rFonts w:hint="eastAsia"/>
                <w:color w:val="auto"/>
                <w:sz w:val="24"/>
                <w:szCs w:val="24"/>
              </w:rPr>
              <w:t>热熔造粒机</w:t>
            </w:r>
            <w:r>
              <w:rPr>
                <w:bCs/>
                <w:color w:val="auto"/>
                <w:sz w:val="24"/>
                <w:szCs w:val="24"/>
              </w:rPr>
              <w:t>上方设置集气罩，有机废气经</w:t>
            </w:r>
            <w:r>
              <w:rPr>
                <w:color w:val="auto"/>
                <w:sz w:val="24"/>
                <w:szCs w:val="24"/>
              </w:rPr>
              <w:t>集气罩收集后引至</w:t>
            </w:r>
            <w:r>
              <w:rPr>
                <w:rFonts w:ascii="宋体" w:hAnsi="宋体"/>
                <w:color w:val="auto"/>
                <w:sz w:val="24"/>
                <w:szCs w:val="24"/>
              </w:rPr>
              <w:t>“过滤棉+</w:t>
            </w:r>
            <w:r>
              <w:rPr>
                <w:rFonts w:hint="eastAsia" w:ascii="宋体" w:hAnsi="宋体"/>
                <w:color w:val="auto"/>
                <w:sz w:val="24"/>
                <w:szCs w:val="24"/>
                <w:lang w:eastAsia="zh-CN"/>
              </w:rPr>
              <w:t>三级活性炭</w:t>
            </w:r>
            <w:r>
              <w:rPr>
                <w:rFonts w:ascii="宋体" w:hAnsi="宋体"/>
                <w:color w:val="auto"/>
                <w:sz w:val="24"/>
                <w:szCs w:val="24"/>
              </w:rPr>
              <w:t>吸附装置”</w:t>
            </w:r>
            <w:r>
              <w:rPr>
                <w:color w:val="auto"/>
                <w:sz w:val="24"/>
                <w:szCs w:val="24"/>
              </w:rPr>
              <w:t>处理，废气最终由1根</w:t>
            </w:r>
            <w:r>
              <w:rPr>
                <w:rFonts w:hint="eastAsia"/>
                <w:color w:val="auto"/>
                <w:sz w:val="24"/>
                <w:szCs w:val="24"/>
                <w:lang w:val="en-US" w:eastAsia="zh-CN"/>
              </w:rPr>
              <w:t>15</w:t>
            </w:r>
            <w:r>
              <w:rPr>
                <w:color w:val="auto"/>
                <w:sz w:val="24"/>
                <w:szCs w:val="24"/>
              </w:rPr>
              <w:t>m高的排气筒（DA001）排放</w:t>
            </w:r>
            <w:r>
              <w:rPr>
                <w:bCs/>
                <w:color w:val="auto"/>
                <w:sz w:val="24"/>
                <w:szCs w:val="24"/>
              </w:rPr>
              <w:t>。</w:t>
            </w:r>
            <w:r>
              <w:rPr>
                <w:color w:val="auto"/>
                <w:sz w:val="24"/>
                <w:szCs w:val="24"/>
              </w:rPr>
              <w:t>有机废气（以非甲烷总烃计）经处理后排放浓度为</w:t>
            </w:r>
            <w:r>
              <w:rPr>
                <w:rFonts w:hint="eastAsia"/>
                <w:color w:val="auto"/>
                <w:sz w:val="24"/>
                <w:szCs w:val="24"/>
                <w:lang w:val="en-US" w:eastAsia="zh-CN"/>
              </w:rPr>
              <w:t>18.3</w:t>
            </w:r>
            <w:r>
              <w:rPr>
                <w:color w:val="auto"/>
                <w:sz w:val="24"/>
                <w:szCs w:val="24"/>
              </w:rPr>
              <w:t>mg/m</w:t>
            </w:r>
            <w:r>
              <w:rPr>
                <w:color w:val="auto"/>
                <w:sz w:val="24"/>
                <w:szCs w:val="24"/>
                <w:vertAlign w:val="superscript"/>
              </w:rPr>
              <w:t>3</w:t>
            </w:r>
            <w:r>
              <w:rPr>
                <w:rFonts w:hint="eastAsia"/>
                <w:color w:val="auto"/>
                <w:sz w:val="24"/>
                <w:szCs w:val="24"/>
              </w:rPr>
              <w:t>、</w:t>
            </w:r>
            <w:r>
              <w:rPr>
                <w:color w:val="auto"/>
                <w:sz w:val="24"/>
                <w:szCs w:val="24"/>
              </w:rPr>
              <w:t>排放速率为</w:t>
            </w:r>
            <w:r>
              <w:rPr>
                <w:rFonts w:hint="eastAsia"/>
                <w:color w:val="auto"/>
                <w:sz w:val="24"/>
                <w:szCs w:val="24"/>
              </w:rPr>
              <w:t>0.</w:t>
            </w:r>
            <w:r>
              <w:rPr>
                <w:rFonts w:hint="eastAsia"/>
                <w:color w:val="auto"/>
                <w:sz w:val="24"/>
                <w:szCs w:val="24"/>
                <w:lang w:val="en-US" w:eastAsia="zh-CN"/>
              </w:rPr>
              <w:t>7848</w:t>
            </w:r>
            <w:r>
              <w:rPr>
                <w:color w:val="auto"/>
                <w:sz w:val="24"/>
                <w:szCs w:val="24"/>
              </w:rPr>
              <w:t>kg/h，</w:t>
            </w:r>
            <w:r>
              <w:rPr>
                <w:rFonts w:hint="eastAsia"/>
                <w:color w:val="auto"/>
                <w:sz w:val="24"/>
                <w:szCs w:val="24"/>
              </w:rPr>
              <w:t>有组织颗粒物</w:t>
            </w:r>
            <w:r>
              <w:rPr>
                <w:color w:val="auto"/>
                <w:sz w:val="24"/>
                <w:szCs w:val="24"/>
              </w:rPr>
              <w:t>排放浓度为</w:t>
            </w:r>
            <w:r>
              <w:rPr>
                <w:rFonts w:hint="eastAsia"/>
                <w:color w:val="auto"/>
                <w:sz w:val="24"/>
                <w:szCs w:val="24"/>
                <w:lang w:val="en-US" w:eastAsia="zh-CN"/>
              </w:rPr>
              <w:t>7.5</w:t>
            </w:r>
            <w:r>
              <w:rPr>
                <w:color w:val="auto"/>
                <w:sz w:val="24"/>
                <w:szCs w:val="24"/>
              </w:rPr>
              <w:t>mg/m</w:t>
            </w:r>
            <w:r>
              <w:rPr>
                <w:color w:val="auto"/>
                <w:sz w:val="24"/>
                <w:szCs w:val="24"/>
                <w:vertAlign w:val="superscript"/>
              </w:rPr>
              <w:t>3</w:t>
            </w:r>
            <w:r>
              <w:rPr>
                <w:rFonts w:hint="eastAsia"/>
                <w:color w:val="auto"/>
                <w:sz w:val="24"/>
                <w:szCs w:val="24"/>
              </w:rPr>
              <w:t>、</w:t>
            </w:r>
            <w:r>
              <w:rPr>
                <w:color w:val="auto"/>
                <w:sz w:val="24"/>
                <w:szCs w:val="24"/>
              </w:rPr>
              <w:t>排放速率为</w:t>
            </w:r>
            <w:r>
              <w:rPr>
                <w:rFonts w:hint="eastAsia"/>
                <w:color w:val="auto"/>
                <w:sz w:val="24"/>
                <w:szCs w:val="24"/>
                <w:lang w:val="en-US" w:eastAsia="zh-CN"/>
              </w:rPr>
              <w:t>0.075</w:t>
            </w:r>
            <w:r>
              <w:rPr>
                <w:color w:val="auto"/>
                <w:sz w:val="24"/>
                <w:szCs w:val="24"/>
              </w:rPr>
              <w:t>kg/h</w:t>
            </w:r>
            <w:r>
              <w:rPr>
                <w:rFonts w:hint="eastAsia"/>
                <w:color w:val="auto"/>
                <w:sz w:val="24"/>
                <w:szCs w:val="24"/>
              </w:rPr>
              <w:t>，</w:t>
            </w:r>
            <w:r>
              <w:rPr>
                <w:color w:val="auto"/>
                <w:sz w:val="24"/>
                <w:szCs w:val="24"/>
              </w:rPr>
              <w:t>非甲烷总烃</w:t>
            </w:r>
            <w:r>
              <w:rPr>
                <w:rFonts w:hint="eastAsia"/>
                <w:bCs/>
                <w:color w:val="auto"/>
                <w:sz w:val="24"/>
                <w:szCs w:val="24"/>
              </w:rPr>
              <w:t>、颗粒物</w:t>
            </w:r>
            <w:r>
              <w:rPr>
                <w:color w:val="auto"/>
                <w:sz w:val="24"/>
                <w:szCs w:val="24"/>
              </w:rPr>
              <w:t>有组织</w:t>
            </w:r>
            <w:r>
              <w:rPr>
                <w:bCs/>
                <w:color w:val="auto"/>
                <w:sz w:val="24"/>
                <w:szCs w:val="24"/>
              </w:rPr>
              <w:t>排放浓度</w:t>
            </w:r>
            <w:r>
              <w:rPr>
                <w:rFonts w:hint="eastAsia"/>
                <w:bCs/>
                <w:color w:val="auto"/>
                <w:sz w:val="24"/>
                <w:szCs w:val="24"/>
              </w:rPr>
              <w:t>及速率</w:t>
            </w:r>
            <w:r>
              <w:rPr>
                <w:rFonts w:hint="eastAsia"/>
                <w:color w:val="auto"/>
                <w:sz w:val="24"/>
                <w:szCs w:val="24"/>
              </w:rPr>
              <w:t>均</w:t>
            </w:r>
            <w:r>
              <w:rPr>
                <w:bCs/>
                <w:color w:val="auto"/>
                <w:sz w:val="24"/>
                <w:szCs w:val="24"/>
              </w:rPr>
              <w:t>满足</w:t>
            </w:r>
            <w:r>
              <w:rPr>
                <w:color w:val="auto"/>
                <w:sz w:val="24"/>
                <w:szCs w:val="24"/>
              </w:rPr>
              <w:t>《大气污染物综合排放标准》（GB16297-1996）表2中的</w:t>
            </w:r>
            <w:r>
              <w:rPr>
                <w:rFonts w:hint="eastAsia"/>
                <w:color w:val="auto"/>
                <w:sz w:val="24"/>
                <w:szCs w:val="24"/>
              </w:rPr>
              <w:t>二级</w:t>
            </w:r>
            <w:r>
              <w:rPr>
                <w:color w:val="auto"/>
                <w:sz w:val="24"/>
                <w:szCs w:val="24"/>
              </w:rPr>
              <w:t>标准限值（非甲烷总烃</w:t>
            </w:r>
            <w:r>
              <w:rPr>
                <w:rFonts w:hint="eastAsia"/>
                <w:color w:val="auto"/>
                <w:sz w:val="24"/>
                <w:szCs w:val="24"/>
              </w:rPr>
              <w:t>排放浓度</w:t>
            </w:r>
            <w:r>
              <w:rPr>
                <w:color w:val="auto"/>
                <w:sz w:val="24"/>
                <w:szCs w:val="24"/>
              </w:rPr>
              <w:t>≤1</w:t>
            </w:r>
            <w:r>
              <w:rPr>
                <w:rFonts w:hint="eastAsia"/>
                <w:color w:val="auto"/>
                <w:sz w:val="24"/>
                <w:szCs w:val="24"/>
              </w:rPr>
              <w:t>20</w:t>
            </w:r>
            <w:r>
              <w:rPr>
                <w:color w:val="auto"/>
                <w:sz w:val="24"/>
                <w:szCs w:val="24"/>
              </w:rPr>
              <w:t>mg/m</w:t>
            </w:r>
            <w:r>
              <w:rPr>
                <w:color w:val="auto"/>
                <w:sz w:val="24"/>
                <w:szCs w:val="24"/>
                <w:vertAlign w:val="superscript"/>
              </w:rPr>
              <w:t>3</w:t>
            </w:r>
            <w:r>
              <w:rPr>
                <w:rFonts w:hint="eastAsia"/>
                <w:color w:val="auto"/>
                <w:sz w:val="24"/>
                <w:szCs w:val="24"/>
              </w:rPr>
              <w:t>、排放速率</w:t>
            </w:r>
            <w:r>
              <w:rPr>
                <w:color w:val="auto"/>
                <w:sz w:val="24"/>
                <w:szCs w:val="24"/>
              </w:rPr>
              <w:t>≤</w:t>
            </w:r>
            <w:r>
              <w:rPr>
                <w:rFonts w:hint="eastAsia"/>
                <w:color w:val="auto"/>
                <w:kern w:val="0"/>
                <w:sz w:val="24"/>
                <w:szCs w:val="24"/>
              </w:rPr>
              <w:t>8.5</w:t>
            </w:r>
            <w:r>
              <w:rPr>
                <w:color w:val="auto"/>
                <w:kern w:val="0"/>
                <w:sz w:val="24"/>
                <w:szCs w:val="24"/>
              </w:rPr>
              <w:t>kg/h</w:t>
            </w:r>
            <w:r>
              <w:rPr>
                <w:rFonts w:hint="eastAsia"/>
                <w:color w:val="auto"/>
                <w:sz w:val="24"/>
                <w:szCs w:val="24"/>
              </w:rPr>
              <w:t>，颗粒物排放浓度</w:t>
            </w:r>
            <w:r>
              <w:rPr>
                <w:color w:val="auto"/>
                <w:sz w:val="24"/>
                <w:szCs w:val="24"/>
              </w:rPr>
              <w:t>≤1</w:t>
            </w:r>
            <w:r>
              <w:rPr>
                <w:rFonts w:hint="eastAsia"/>
                <w:color w:val="auto"/>
                <w:sz w:val="24"/>
                <w:szCs w:val="24"/>
              </w:rPr>
              <w:t>20</w:t>
            </w:r>
            <w:r>
              <w:rPr>
                <w:color w:val="auto"/>
                <w:sz w:val="24"/>
                <w:szCs w:val="24"/>
              </w:rPr>
              <w:t>mg/m</w:t>
            </w:r>
            <w:r>
              <w:rPr>
                <w:color w:val="auto"/>
                <w:sz w:val="24"/>
                <w:szCs w:val="24"/>
                <w:vertAlign w:val="superscript"/>
              </w:rPr>
              <w:t>3</w:t>
            </w:r>
            <w:r>
              <w:rPr>
                <w:rFonts w:hint="eastAsia"/>
                <w:color w:val="auto"/>
                <w:sz w:val="24"/>
                <w:szCs w:val="24"/>
              </w:rPr>
              <w:t>、排放速率</w:t>
            </w:r>
            <w:r>
              <w:rPr>
                <w:color w:val="auto"/>
                <w:sz w:val="24"/>
                <w:szCs w:val="24"/>
              </w:rPr>
              <w:t>≤</w:t>
            </w:r>
            <w:r>
              <w:rPr>
                <w:rFonts w:hint="eastAsia"/>
                <w:color w:val="auto"/>
                <w:kern w:val="0"/>
                <w:sz w:val="24"/>
                <w:szCs w:val="24"/>
              </w:rPr>
              <w:t>2.95</w:t>
            </w:r>
            <w:r>
              <w:rPr>
                <w:color w:val="auto"/>
                <w:kern w:val="0"/>
                <w:sz w:val="24"/>
                <w:szCs w:val="24"/>
              </w:rPr>
              <w:t>kg/h</w:t>
            </w:r>
            <w:r>
              <w:rPr>
                <w:rFonts w:hint="eastAsia"/>
                <w:color w:val="auto"/>
                <w:sz w:val="24"/>
                <w:szCs w:val="24"/>
              </w:rPr>
              <w:t>）</w:t>
            </w:r>
            <w:r>
              <w:rPr>
                <w:color w:val="auto"/>
                <w:sz w:val="24"/>
                <w:szCs w:val="24"/>
              </w:rPr>
              <w:t>要求，臭气浓度满足《恶臭污染物排放标准》（GB14554-93）表2中的标准限值</w:t>
            </w:r>
            <w:r>
              <w:rPr>
                <w:rFonts w:hint="eastAsia"/>
                <w:color w:val="auto"/>
                <w:sz w:val="24"/>
                <w:szCs w:val="24"/>
              </w:rPr>
              <w:t>（臭气浓度</w:t>
            </w:r>
            <w:r>
              <w:rPr>
                <w:color w:val="auto"/>
                <w:sz w:val="24"/>
                <w:szCs w:val="24"/>
              </w:rPr>
              <w:t>≤</w:t>
            </w:r>
            <w:r>
              <w:rPr>
                <w:rFonts w:hint="eastAsia"/>
                <w:color w:val="auto"/>
                <w:sz w:val="24"/>
                <w:szCs w:val="24"/>
              </w:rPr>
              <w:t>6</w:t>
            </w:r>
            <w:r>
              <w:rPr>
                <w:color w:val="auto"/>
                <w:sz w:val="24"/>
                <w:szCs w:val="24"/>
              </w:rPr>
              <w:t>000无量纲</w:t>
            </w:r>
            <w:r>
              <w:rPr>
                <w:rFonts w:hint="eastAsia"/>
                <w:color w:val="auto"/>
                <w:sz w:val="24"/>
                <w:szCs w:val="24"/>
              </w:rPr>
              <w:t>）</w:t>
            </w:r>
            <w:r>
              <w:rPr>
                <w:color w:val="auto"/>
                <w:sz w:val="24"/>
                <w:szCs w:val="24"/>
              </w:rPr>
              <w:t>。项目有组织废气可实现达标排放。</w:t>
            </w:r>
          </w:p>
          <w:p>
            <w:pPr>
              <w:autoSpaceDE w:val="0"/>
              <w:autoSpaceDN w:val="0"/>
              <w:spacing w:line="360" w:lineRule="auto"/>
              <w:ind w:firstLine="480" w:firstLineChars="200"/>
              <w:rPr>
                <w:color w:val="auto"/>
                <w:sz w:val="24"/>
                <w:szCs w:val="24"/>
                <w:lang w:bidi="ar"/>
              </w:rPr>
            </w:pPr>
            <w:r>
              <w:rPr>
                <w:rFonts w:hint="eastAsia"/>
                <w:color w:val="auto"/>
                <w:sz w:val="24"/>
                <w:szCs w:val="24"/>
                <w:lang w:bidi="ar"/>
              </w:rPr>
              <w:t>2）无组织废气达标分析</w:t>
            </w:r>
          </w:p>
          <w:p>
            <w:pPr>
              <w:autoSpaceDE w:val="0"/>
              <w:autoSpaceDN w:val="0"/>
              <w:spacing w:line="360" w:lineRule="auto"/>
              <w:ind w:firstLine="480" w:firstLineChars="200"/>
              <w:rPr>
                <w:rFonts w:hint="eastAsia" w:eastAsia="宋体"/>
                <w:color w:val="auto"/>
                <w:sz w:val="24"/>
                <w:szCs w:val="24"/>
                <w:lang w:val="en-US" w:eastAsia="zh-CN" w:bidi="ar"/>
              </w:rPr>
            </w:pPr>
            <w:r>
              <w:rPr>
                <w:color w:val="auto"/>
                <w:sz w:val="24"/>
                <w:szCs w:val="24"/>
                <w:lang w:bidi="ar"/>
              </w:rPr>
              <w:t>厂界无组织废气主要为非甲烷总烃、颗粒物、臭气浓度，</w:t>
            </w:r>
            <w:r>
              <w:rPr>
                <w:rFonts w:hint="eastAsia"/>
                <w:color w:val="auto"/>
                <w:sz w:val="24"/>
                <w:szCs w:val="24"/>
                <w:lang w:bidi="ar"/>
              </w:rPr>
              <w:t>为了解项目无组织废气排放情况，</w:t>
            </w:r>
            <w:r>
              <w:rPr>
                <w:color w:val="auto"/>
                <w:sz w:val="24"/>
                <w:szCs w:val="24"/>
              </w:rPr>
              <w:t>本次评价采用《环境影响评价技术导则 大气环境》</w:t>
            </w:r>
            <w:r>
              <w:rPr>
                <w:rFonts w:hint="eastAsia"/>
                <w:color w:val="auto"/>
                <w:sz w:val="24"/>
                <w:szCs w:val="24"/>
              </w:rPr>
              <w:t>（</w:t>
            </w:r>
            <w:r>
              <w:rPr>
                <w:color w:val="auto"/>
                <w:sz w:val="24"/>
                <w:szCs w:val="24"/>
              </w:rPr>
              <w:t>HJ2.2-2018</w:t>
            </w:r>
            <w:r>
              <w:rPr>
                <w:rFonts w:hint="eastAsia"/>
                <w:color w:val="auto"/>
                <w:sz w:val="24"/>
                <w:szCs w:val="24"/>
              </w:rPr>
              <w:t>）</w:t>
            </w:r>
            <w:r>
              <w:rPr>
                <w:color w:val="auto"/>
                <w:sz w:val="24"/>
                <w:szCs w:val="24"/>
              </w:rPr>
              <w:t>附录A推荐模型中的AERSCREEN模式</w:t>
            </w:r>
            <w:r>
              <w:rPr>
                <w:rFonts w:hint="eastAsia"/>
                <w:color w:val="auto"/>
                <w:sz w:val="24"/>
                <w:szCs w:val="24"/>
              </w:rPr>
              <w:t>估算项目厂界处的污染物最大落地浓度，估算结果如下：</w:t>
            </w:r>
            <w:r>
              <w:rPr>
                <w:rFonts w:hint="eastAsia"/>
                <w:color w:val="auto"/>
                <w:sz w:val="24"/>
                <w:szCs w:val="24"/>
                <w:lang w:val="en-US" w:eastAsia="zh-CN"/>
              </w:rPr>
              <w:t xml:space="preserve"> </w:t>
            </w:r>
          </w:p>
          <w:p>
            <w:pPr>
              <w:spacing w:line="276" w:lineRule="auto"/>
              <w:jc w:val="center"/>
              <w:rPr>
                <w:b/>
                <w:color w:val="auto"/>
                <w:sz w:val="24"/>
                <w:szCs w:val="24"/>
              </w:rPr>
            </w:pPr>
            <w:r>
              <w:rPr>
                <w:b/>
                <w:color w:val="auto"/>
                <w:sz w:val="24"/>
                <w:szCs w:val="24"/>
              </w:rPr>
              <w:t>表4-</w:t>
            </w:r>
            <w:r>
              <w:rPr>
                <w:rFonts w:hint="eastAsia"/>
                <w:b/>
                <w:color w:val="auto"/>
                <w:sz w:val="24"/>
                <w:szCs w:val="24"/>
              </w:rPr>
              <w:t>7</w:t>
            </w:r>
            <w:r>
              <w:rPr>
                <w:b/>
                <w:color w:val="auto"/>
                <w:sz w:val="24"/>
                <w:szCs w:val="24"/>
              </w:rPr>
              <w:t xml:space="preserve">  项目污染物厂界浓度预测及达标分析</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65"/>
              <w:gridCol w:w="3119"/>
              <w:gridCol w:w="2039"/>
              <w:gridCol w:w="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81" w:type="pct"/>
                  <w:vAlign w:val="center"/>
                </w:tcPr>
                <w:p>
                  <w:pPr>
                    <w:autoSpaceDE w:val="0"/>
                    <w:autoSpaceDN w:val="0"/>
                    <w:spacing w:line="240" w:lineRule="auto"/>
                    <w:jc w:val="center"/>
                    <w:rPr>
                      <w:b/>
                      <w:color w:val="auto"/>
                      <w:kern w:val="0"/>
                      <w:szCs w:val="21"/>
                    </w:rPr>
                  </w:pPr>
                  <w:r>
                    <w:rPr>
                      <w:rFonts w:hint="eastAsia"/>
                      <w:b/>
                      <w:color w:val="auto"/>
                      <w:kern w:val="0"/>
                      <w:szCs w:val="21"/>
                    </w:rPr>
                    <w:t>污染物名称</w:t>
                  </w:r>
                </w:p>
              </w:tc>
              <w:tc>
                <w:tcPr>
                  <w:tcW w:w="1939" w:type="pct"/>
                  <w:vAlign w:val="center"/>
                </w:tcPr>
                <w:p>
                  <w:pPr>
                    <w:autoSpaceDE w:val="0"/>
                    <w:autoSpaceDN w:val="0"/>
                    <w:spacing w:line="240" w:lineRule="auto"/>
                    <w:jc w:val="center"/>
                    <w:rPr>
                      <w:b/>
                      <w:color w:val="auto"/>
                      <w:kern w:val="0"/>
                      <w:szCs w:val="21"/>
                    </w:rPr>
                  </w:pPr>
                  <w:r>
                    <w:rPr>
                      <w:rFonts w:hint="eastAsia"/>
                      <w:b/>
                      <w:color w:val="auto"/>
                      <w:kern w:val="0"/>
                      <w:szCs w:val="21"/>
                    </w:rPr>
                    <w:t>最大落地</w:t>
                  </w:r>
                  <w:r>
                    <w:rPr>
                      <w:b/>
                      <w:color w:val="auto"/>
                      <w:kern w:val="0"/>
                      <w:szCs w:val="21"/>
                    </w:rPr>
                    <w:t>浓度</w:t>
                  </w:r>
                  <w:r>
                    <w:rPr>
                      <w:rFonts w:hint="eastAsia"/>
                      <w:b/>
                      <w:color w:val="auto"/>
                      <w:kern w:val="0"/>
                      <w:szCs w:val="21"/>
                    </w:rPr>
                    <w:t>（mg/m</w:t>
                  </w:r>
                  <w:r>
                    <w:rPr>
                      <w:rFonts w:hint="eastAsia"/>
                      <w:b/>
                      <w:color w:val="auto"/>
                      <w:kern w:val="0"/>
                      <w:szCs w:val="21"/>
                      <w:vertAlign w:val="superscript"/>
                    </w:rPr>
                    <w:t>3</w:t>
                  </w:r>
                  <w:r>
                    <w:rPr>
                      <w:rFonts w:hint="eastAsia"/>
                      <w:b/>
                      <w:color w:val="auto"/>
                      <w:kern w:val="0"/>
                      <w:szCs w:val="21"/>
                    </w:rPr>
                    <w:t>）</w:t>
                  </w:r>
                </w:p>
              </w:tc>
              <w:tc>
                <w:tcPr>
                  <w:tcW w:w="1280" w:type="pct"/>
                  <w:gridSpan w:val="2"/>
                  <w:vAlign w:val="center"/>
                </w:tcPr>
                <w:p>
                  <w:pPr>
                    <w:autoSpaceDE w:val="0"/>
                    <w:autoSpaceDN w:val="0"/>
                    <w:spacing w:line="240" w:lineRule="auto"/>
                    <w:jc w:val="center"/>
                    <w:rPr>
                      <w:b/>
                      <w:color w:val="auto"/>
                      <w:kern w:val="0"/>
                      <w:szCs w:val="21"/>
                    </w:rPr>
                  </w:pPr>
                  <w:r>
                    <w:rPr>
                      <w:rFonts w:hint="eastAsia"/>
                      <w:b/>
                      <w:color w:val="auto"/>
                      <w:kern w:val="0"/>
                      <w:szCs w:val="21"/>
                    </w:rPr>
                    <w:t>落地距离（m）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2" w:type="pct"/>
                <w:trHeight w:val="340" w:hRule="atLeast"/>
                <w:jc w:val="center"/>
              </w:trPr>
              <w:tc>
                <w:tcPr>
                  <w:tcW w:w="1781" w:type="pct"/>
                  <w:vAlign w:val="center"/>
                </w:tcPr>
                <w:p>
                  <w:pPr>
                    <w:autoSpaceDE w:val="0"/>
                    <w:autoSpaceDN w:val="0"/>
                    <w:spacing w:line="240" w:lineRule="auto"/>
                    <w:jc w:val="center"/>
                    <w:rPr>
                      <w:color w:val="auto"/>
                      <w:kern w:val="0"/>
                      <w:szCs w:val="21"/>
                    </w:rPr>
                  </w:pPr>
                  <w:r>
                    <w:rPr>
                      <w:bCs/>
                      <w:color w:val="auto"/>
                      <w:szCs w:val="21"/>
                    </w:rPr>
                    <w:t>非甲烷总烃</w:t>
                  </w:r>
                </w:p>
              </w:tc>
              <w:tc>
                <w:tcPr>
                  <w:tcW w:w="1939" w:type="pct"/>
                  <w:vAlign w:val="center"/>
                </w:tcPr>
                <w:p>
                  <w:pPr>
                    <w:autoSpaceDE w:val="0"/>
                    <w:autoSpaceDN w:val="0"/>
                    <w:spacing w:line="240" w:lineRule="auto"/>
                    <w:jc w:val="center"/>
                    <w:rPr>
                      <w:rFonts w:hint="default" w:eastAsia="宋体"/>
                      <w:color w:val="auto"/>
                      <w:kern w:val="0"/>
                      <w:szCs w:val="21"/>
                      <w:lang w:val="en-US" w:eastAsia="zh-CN"/>
                    </w:rPr>
                  </w:pPr>
                  <w:r>
                    <w:rPr>
                      <w:rFonts w:hint="eastAsia"/>
                      <w:color w:val="auto"/>
                      <w:kern w:val="0"/>
                      <w:szCs w:val="21"/>
                      <w:lang w:val="en-US" w:eastAsia="zh-CN"/>
                    </w:rPr>
                    <w:t>0.0511</w:t>
                  </w:r>
                </w:p>
              </w:tc>
              <w:tc>
                <w:tcPr>
                  <w:tcW w:w="1268" w:type="pct"/>
                  <w:vAlign w:val="center"/>
                </w:tcPr>
                <w:p>
                  <w:pPr>
                    <w:autoSpaceDE w:val="0"/>
                    <w:autoSpaceDN w:val="0"/>
                    <w:spacing w:line="240" w:lineRule="auto"/>
                    <w:jc w:val="center"/>
                    <w:rPr>
                      <w:rFonts w:hint="default" w:eastAsia="宋体"/>
                      <w:color w:val="auto"/>
                      <w:kern w:val="0"/>
                      <w:szCs w:val="21"/>
                      <w:lang w:val="en-US" w:eastAsia="zh-CN"/>
                    </w:rPr>
                  </w:pPr>
                  <w:r>
                    <w:rPr>
                      <w:rFonts w:hint="eastAsia"/>
                      <w:color w:val="auto"/>
                      <w:kern w:val="0"/>
                      <w:szCs w:val="21"/>
                      <w:lang w:val="en-US" w:eastAsia="zh-CN"/>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pct"/>
                <w:trHeight w:val="340" w:hRule="atLeast"/>
                <w:jc w:val="center"/>
              </w:trPr>
              <w:tc>
                <w:tcPr>
                  <w:tcW w:w="1781" w:type="pct"/>
                  <w:vAlign w:val="center"/>
                </w:tcPr>
                <w:p>
                  <w:pPr>
                    <w:autoSpaceDE w:val="0"/>
                    <w:autoSpaceDN w:val="0"/>
                    <w:spacing w:line="240" w:lineRule="auto"/>
                    <w:jc w:val="center"/>
                    <w:rPr>
                      <w:color w:val="auto"/>
                      <w:kern w:val="0"/>
                      <w:szCs w:val="21"/>
                    </w:rPr>
                  </w:pPr>
                  <w:r>
                    <w:rPr>
                      <w:bCs/>
                      <w:color w:val="auto"/>
                      <w:szCs w:val="21"/>
                    </w:rPr>
                    <w:t>TSP</w:t>
                  </w:r>
                </w:p>
              </w:tc>
              <w:tc>
                <w:tcPr>
                  <w:tcW w:w="1939" w:type="pct"/>
                  <w:vAlign w:val="center"/>
                </w:tcPr>
                <w:p>
                  <w:pPr>
                    <w:autoSpaceDE w:val="0"/>
                    <w:autoSpaceDN w:val="0"/>
                    <w:spacing w:line="240" w:lineRule="auto"/>
                    <w:jc w:val="center"/>
                    <w:rPr>
                      <w:rFonts w:hint="default" w:eastAsia="宋体"/>
                      <w:color w:val="auto"/>
                      <w:kern w:val="0"/>
                      <w:szCs w:val="21"/>
                      <w:lang w:val="en-US" w:eastAsia="zh-CN"/>
                    </w:rPr>
                  </w:pPr>
                  <w:r>
                    <w:rPr>
                      <w:rFonts w:hint="eastAsia"/>
                      <w:color w:val="auto"/>
                      <w:kern w:val="0"/>
                      <w:szCs w:val="21"/>
                      <w:lang w:val="en-US" w:eastAsia="zh-CN"/>
                    </w:rPr>
                    <w:t>0.007</w:t>
                  </w:r>
                </w:p>
              </w:tc>
              <w:tc>
                <w:tcPr>
                  <w:tcW w:w="1268" w:type="pct"/>
                  <w:vAlign w:val="center"/>
                </w:tcPr>
                <w:p>
                  <w:pPr>
                    <w:autoSpaceDE w:val="0"/>
                    <w:autoSpaceDN w:val="0"/>
                    <w:spacing w:line="240" w:lineRule="auto"/>
                    <w:jc w:val="center"/>
                    <w:rPr>
                      <w:rFonts w:hint="default" w:eastAsia="宋体"/>
                      <w:color w:val="auto"/>
                      <w:kern w:val="0"/>
                      <w:szCs w:val="21"/>
                      <w:lang w:val="en-US" w:eastAsia="zh-CN"/>
                    </w:rPr>
                  </w:pPr>
                  <w:r>
                    <w:rPr>
                      <w:rFonts w:hint="eastAsia"/>
                      <w:color w:val="auto"/>
                      <w:kern w:val="0"/>
                      <w:szCs w:val="21"/>
                      <w:lang w:val="en-US" w:eastAsia="zh-CN"/>
                    </w:rPr>
                    <w:t>37</w:t>
                  </w:r>
                </w:p>
              </w:tc>
            </w:tr>
          </w:tbl>
          <w:p>
            <w:pPr>
              <w:autoSpaceDE w:val="0"/>
              <w:autoSpaceDN w:val="0"/>
              <w:spacing w:line="360" w:lineRule="auto"/>
              <w:ind w:firstLine="480" w:firstLineChars="200"/>
              <w:rPr>
                <w:color w:val="auto"/>
                <w:sz w:val="24"/>
                <w:szCs w:val="24"/>
                <w:lang w:bidi="ar"/>
              </w:rPr>
            </w:pPr>
            <w:r>
              <w:rPr>
                <w:rFonts w:hint="eastAsia"/>
                <w:color w:val="auto"/>
                <w:sz w:val="24"/>
                <w:szCs w:val="24"/>
                <w:lang w:bidi="ar"/>
              </w:rPr>
              <w:t>根据估算结果，本项目无组织排放的</w:t>
            </w:r>
            <w:r>
              <w:rPr>
                <w:color w:val="auto"/>
                <w:sz w:val="24"/>
                <w:szCs w:val="24"/>
              </w:rPr>
              <w:t>非甲烷总烃</w:t>
            </w:r>
            <w:r>
              <w:rPr>
                <w:rFonts w:hint="eastAsia"/>
                <w:color w:val="auto"/>
                <w:kern w:val="0"/>
                <w:sz w:val="24"/>
                <w:szCs w:val="24"/>
              </w:rPr>
              <w:t>最大落地</w:t>
            </w:r>
            <w:r>
              <w:rPr>
                <w:color w:val="auto"/>
                <w:kern w:val="0"/>
                <w:sz w:val="24"/>
                <w:szCs w:val="24"/>
              </w:rPr>
              <w:t>浓度</w:t>
            </w:r>
            <w:r>
              <w:rPr>
                <w:rFonts w:hint="eastAsia"/>
                <w:color w:val="auto"/>
                <w:kern w:val="0"/>
                <w:sz w:val="24"/>
                <w:szCs w:val="24"/>
              </w:rPr>
              <w:t>为</w:t>
            </w:r>
            <w:r>
              <w:rPr>
                <w:rFonts w:hint="eastAsia"/>
                <w:color w:val="auto"/>
                <w:kern w:val="0"/>
                <w:sz w:val="24"/>
                <w:szCs w:val="24"/>
                <w:lang w:val="en-US" w:eastAsia="zh-CN"/>
              </w:rPr>
              <w:t>0.0511</w:t>
            </w:r>
            <w:r>
              <w:rPr>
                <w:rFonts w:hint="eastAsia"/>
                <w:color w:val="auto"/>
                <w:kern w:val="0"/>
                <w:sz w:val="24"/>
                <w:szCs w:val="24"/>
              </w:rPr>
              <w:t>mg/m</w:t>
            </w:r>
            <w:r>
              <w:rPr>
                <w:rFonts w:hint="eastAsia"/>
                <w:color w:val="auto"/>
                <w:kern w:val="0"/>
                <w:sz w:val="24"/>
                <w:szCs w:val="24"/>
                <w:vertAlign w:val="superscript"/>
              </w:rPr>
              <w:t>3</w:t>
            </w:r>
            <w:r>
              <w:rPr>
                <w:rFonts w:hint="eastAsia"/>
                <w:color w:val="auto"/>
                <w:kern w:val="0"/>
                <w:sz w:val="24"/>
                <w:szCs w:val="24"/>
              </w:rPr>
              <w:t>，出现距离是下风向</w:t>
            </w:r>
            <w:r>
              <w:rPr>
                <w:rFonts w:hint="eastAsia"/>
                <w:color w:val="auto"/>
                <w:kern w:val="0"/>
                <w:sz w:val="24"/>
                <w:szCs w:val="24"/>
                <w:lang w:val="en-US" w:eastAsia="zh-CN"/>
              </w:rPr>
              <w:t>135</w:t>
            </w:r>
            <w:r>
              <w:rPr>
                <w:rFonts w:hint="eastAsia"/>
                <w:color w:val="auto"/>
                <w:kern w:val="0"/>
                <w:sz w:val="24"/>
                <w:szCs w:val="24"/>
              </w:rPr>
              <w:t>m，无组织</w:t>
            </w:r>
            <w:r>
              <w:rPr>
                <w:color w:val="auto"/>
                <w:sz w:val="24"/>
                <w:szCs w:val="24"/>
              </w:rPr>
              <w:t>TSP</w:t>
            </w:r>
            <w:r>
              <w:rPr>
                <w:rFonts w:hint="eastAsia"/>
                <w:color w:val="auto"/>
                <w:kern w:val="0"/>
                <w:sz w:val="24"/>
                <w:szCs w:val="24"/>
              </w:rPr>
              <w:t>最大落地</w:t>
            </w:r>
            <w:r>
              <w:rPr>
                <w:color w:val="auto"/>
                <w:kern w:val="0"/>
                <w:sz w:val="24"/>
                <w:szCs w:val="24"/>
              </w:rPr>
              <w:t>浓度</w:t>
            </w:r>
            <w:r>
              <w:rPr>
                <w:rFonts w:hint="eastAsia"/>
                <w:color w:val="auto"/>
                <w:kern w:val="0"/>
                <w:sz w:val="24"/>
                <w:szCs w:val="24"/>
              </w:rPr>
              <w:t>为</w:t>
            </w:r>
            <w:r>
              <w:rPr>
                <w:rFonts w:hint="eastAsia"/>
                <w:color w:val="auto"/>
                <w:kern w:val="0"/>
                <w:sz w:val="24"/>
                <w:szCs w:val="24"/>
                <w:lang w:val="en-US" w:eastAsia="zh-CN"/>
              </w:rPr>
              <w:t>0.007</w:t>
            </w:r>
            <w:r>
              <w:rPr>
                <w:rFonts w:hint="eastAsia"/>
                <w:color w:val="auto"/>
                <w:kern w:val="0"/>
                <w:sz w:val="24"/>
                <w:szCs w:val="24"/>
              </w:rPr>
              <w:t>mg/m</w:t>
            </w:r>
            <w:r>
              <w:rPr>
                <w:rFonts w:hint="eastAsia"/>
                <w:color w:val="auto"/>
                <w:kern w:val="0"/>
                <w:sz w:val="24"/>
                <w:szCs w:val="24"/>
                <w:vertAlign w:val="superscript"/>
              </w:rPr>
              <w:t>3</w:t>
            </w:r>
            <w:r>
              <w:rPr>
                <w:rFonts w:hint="eastAsia"/>
                <w:color w:val="auto"/>
                <w:kern w:val="0"/>
                <w:sz w:val="24"/>
                <w:szCs w:val="24"/>
              </w:rPr>
              <w:t>，出现距离是下风向</w:t>
            </w:r>
            <w:r>
              <w:rPr>
                <w:rFonts w:hint="eastAsia"/>
                <w:color w:val="auto"/>
                <w:kern w:val="0"/>
                <w:sz w:val="24"/>
                <w:szCs w:val="24"/>
                <w:lang w:val="en-US" w:eastAsia="zh-CN"/>
              </w:rPr>
              <w:t>135</w:t>
            </w:r>
            <w:r>
              <w:rPr>
                <w:rFonts w:hint="eastAsia"/>
                <w:color w:val="auto"/>
                <w:kern w:val="0"/>
                <w:sz w:val="24"/>
                <w:szCs w:val="24"/>
              </w:rPr>
              <w:t>m，</w:t>
            </w:r>
            <w:r>
              <w:rPr>
                <w:color w:val="auto"/>
                <w:sz w:val="24"/>
                <w:szCs w:val="24"/>
              </w:rPr>
              <w:t>厂界无组织非甲烷总烃、颗粒物可满足《大气污染物综合排放标准》（GB16297-1996）表2中的无组织排放监控浓度限值（非甲烷总烃≤4mg/m</w:t>
            </w:r>
            <w:r>
              <w:rPr>
                <w:color w:val="auto"/>
                <w:sz w:val="24"/>
                <w:szCs w:val="24"/>
                <w:vertAlign w:val="superscript"/>
              </w:rPr>
              <w:t>3</w:t>
            </w:r>
            <w:r>
              <w:rPr>
                <w:color w:val="auto"/>
                <w:sz w:val="24"/>
                <w:szCs w:val="24"/>
              </w:rPr>
              <w:t>、颗粒物≤1mg/m</w:t>
            </w:r>
            <w:r>
              <w:rPr>
                <w:color w:val="auto"/>
                <w:sz w:val="24"/>
                <w:szCs w:val="24"/>
                <w:vertAlign w:val="superscript"/>
              </w:rPr>
              <w:t>3</w:t>
            </w:r>
            <w:r>
              <w:rPr>
                <w:color w:val="auto"/>
                <w:sz w:val="24"/>
                <w:szCs w:val="24"/>
              </w:rPr>
              <w:t>）要求</w:t>
            </w:r>
            <w:r>
              <w:rPr>
                <w:rFonts w:hint="eastAsia"/>
                <w:color w:val="auto"/>
                <w:sz w:val="24"/>
                <w:szCs w:val="24"/>
              </w:rPr>
              <w:t>，厂区内的</w:t>
            </w:r>
            <w:r>
              <w:rPr>
                <w:bCs/>
                <w:color w:val="auto"/>
                <w:sz w:val="24"/>
                <w:szCs w:val="24"/>
              </w:rPr>
              <w:t>非甲烷总烃</w:t>
            </w:r>
            <w:r>
              <w:rPr>
                <w:rFonts w:hint="eastAsia"/>
                <w:bCs/>
                <w:color w:val="auto"/>
                <w:sz w:val="24"/>
                <w:szCs w:val="24"/>
              </w:rPr>
              <w:t>浓度满足</w:t>
            </w:r>
            <w:r>
              <w:rPr>
                <w:bCs/>
                <w:color w:val="auto"/>
                <w:sz w:val="24"/>
                <w:szCs w:val="24"/>
              </w:rPr>
              <w:t>《挥发性有机物无组织排放控制标准》（GB37822-2019）表A.1中排放限值</w:t>
            </w:r>
            <w:r>
              <w:rPr>
                <w:rFonts w:hint="eastAsia"/>
                <w:bCs/>
                <w:color w:val="auto"/>
                <w:sz w:val="24"/>
                <w:szCs w:val="24"/>
              </w:rPr>
              <w:t>（非甲烷总烃</w:t>
            </w:r>
            <w:r>
              <w:rPr>
                <w:color w:val="auto"/>
                <w:sz w:val="24"/>
                <w:szCs w:val="24"/>
              </w:rPr>
              <w:t>监控点处1h平均浓度值≤</w:t>
            </w:r>
            <w:r>
              <w:rPr>
                <w:rFonts w:hint="eastAsia"/>
                <w:color w:val="auto"/>
                <w:sz w:val="24"/>
                <w:szCs w:val="24"/>
              </w:rPr>
              <w:t>10</w:t>
            </w:r>
            <w:r>
              <w:rPr>
                <w:color w:val="auto"/>
                <w:sz w:val="24"/>
                <w:szCs w:val="24"/>
              </w:rPr>
              <w:t>mg/m</w:t>
            </w:r>
            <w:r>
              <w:rPr>
                <w:color w:val="auto"/>
                <w:sz w:val="24"/>
                <w:szCs w:val="24"/>
                <w:vertAlign w:val="superscript"/>
              </w:rPr>
              <w:t>3</w:t>
            </w:r>
            <w:r>
              <w:rPr>
                <w:rFonts w:hint="eastAsia"/>
                <w:color w:val="auto"/>
                <w:sz w:val="24"/>
                <w:szCs w:val="24"/>
              </w:rPr>
              <w:t>、</w:t>
            </w:r>
            <w:r>
              <w:rPr>
                <w:color w:val="auto"/>
                <w:sz w:val="24"/>
                <w:szCs w:val="24"/>
              </w:rPr>
              <w:t>任意一次浓度值≤</w:t>
            </w:r>
            <w:r>
              <w:rPr>
                <w:rFonts w:hint="eastAsia"/>
                <w:color w:val="auto"/>
                <w:sz w:val="24"/>
                <w:szCs w:val="24"/>
              </w:rPr>
              <w:t>30</w:t>
            </w:r>
            <w:r>
              <w:rPr>
                <w:color w:val="auto"/>
                <w:sz w:val="24"/>
                <w:szCs w:val="24"/>
              </w:rPr>
              <w:t>mg/m</w:t>
            </w:r>
            <w:r>
              <w:rPr>
                <w:color w:val="auto"/>
                <w:sz w:val="24"/>
                <w:szCs w:val="24"/>
                <w:vertAlign w:val="superscript"/>
              </w:rPr>
              <w:t>3</w:t>
            </w:r>
            <w:r>
              <w:rPr>
                <w:rFonts w:hint="eastAsia"/>
                <w:color w:val="auto"/>
                <w:sz w:val="24"/>
                <w:szCs w:val="24"/>
              </w:rPr>
              <w:t>）</w:t>
            </w:r>
            <w:r>
              <w:rPr>
                <w:color w:val="auto"/>
                <w:sz w:val="24"/>
                <w:szCs w:val="24"/>
              </w:rPr>
              <w:t>。</w:t>
            </w:r>
          </w:p>
          <w:p>
            <w:pPr>
              <w:autoSpaceDE w:val="0"/>
              <w:autoSpaceDN w:val="0"/>
              <w:spacing w:line="360" w:lineRule="auto"/>
              <w:ind w:firstLine="480" w:firstLineChars="200"/>
              <w:rPr>
                <w:color w:val="auto"/>
                <w:sz w:val="24"/>
                <w:szCs w:val="24"/>
              </w:rPr>
            </w:pPr>
            <w:r>
              <w:rPr>
                <w:rFonts w:hint="eastAsia"/>
                <w:color w:val="auto"/>
                <w:sz w:val="24"/>
                <w:szCs w:val="24"/>
              </w:rPr>
              <w:t>无组织臭气浓度主要来源于原料堆放及运输环节，经类比《华宁万鑫再生资源有限公司年处理废旧塑料30000t建设项目竣工</w:t>
            </w:r>
            <w:r>
              <w:rPr>
                <w:color w:val="auto"/>
                <w:sz w:val="24"/>
                <w:szCs w:val="24"/>
              </w:rPr>
              <w:t>环境保护验收监测报告</w:t>
            </w:r>
            <w:r>
              <w:rPr>
                <w:rFonts w:hint="eastAsia"/>
                <w:color w:val="auto"/>
                <w:sz w:val="24"/>
                <w:szCs w:val="24"/>
              </w:rPr>
              <w:t>表（2023年10月）》，该项目生产工艺主要为废塑料清洗、纸浆脱水、沉渣清洗等进行废塑料、纸浆回收，生产工艺与本项目类似，无组织臭气浓度产生环节与本项目一致。根据</w:t>
            </w:r>
            <w:r>
              <w:rPr>
                <w:color w:val="auto"/>
                <w:sz w:val="24"/>
                <w:szCs w:val="24"/>
              </w:rPr>
              <w:t>该项目于</w:t>
            </w:r>
            <w:r>
              <w:rPr>
                <w:rFonts w:hint="eastAsia"/>
                <w:color w:val="auto"/>
                <w:sz w:val="24"/>
                <w:szCs w:val="24"/>
              </w:rPr>
              <w:t>2022年6月2日</w:t>
            </w:r>
            <w:r>
              <w:rPr>
                <w:rFonts w:hint="eastAsia"/>
                <w:color w:val="auto"/>
                <w:sz w:val="24"/>
                <w:szCs w:val="24"/>
                <w:lang w:val="en-US" w:eastAsia="zh-CN"/>
              </w:rPr>
              <w:t>-</w:t>
            </w:r>
            <w:r>
              <w:rPr>
                <w:rFonts w:hint="eastAsia"/>
                <w:color w:val="auto"/>
                <w:sz w:val="24"/>
                <w:szCs w:val="24"/>
              </w:rPr>
              <w:t>6</w:t>
            </w:r>
            <w:r>
              <w:rPr>
                <w:color w:val="auto"/>
                <w:sz w:val="24"/>
                <w:szCs w:val="24"/>
              </w:rPr>
              <w:t>月</w:t>
            </w:r>
            <w:r>
              <w:rPr>
                <w:rFonts w:hint="eastAsia"/>
                <w:color w:val="auto"/>
                <w:sz w:val="24"/>
                <w:szCs w:val="24"/>
              </w:rPr>
              <w:t>3</w:t>
            </w:r>
            <w:r>
              <w:rPr>
                <w:color w:val="auto"/>
                <w:sz w:val="24"/>
                <w:szCs w:val="24"/>
              </w:rPr>
              <w:t>日的验收监测结果，厂界无组织</w:t>
            </w:r>
            <w:r>
              <w:rPr>
                <w:rFonts w:hint="eastAsia"/>
                <w:color w:val="auto"/>
                <w:sz w:val="24"/>
                <w:szCs w:val="24"/>
              </w:rPr>
              <w:t>臭气浓度</w:t>
            </w:r>
            <w:r>
              <w:rPr>
                <w:color w:val="auto"/>
                <w:sz w:val="24"/>
                <w:szCs w:val="24"/>
              </w:rPr>
              <w:t>满足《恶臭污染物排放标准》（GB14554-93）表1中的二级（新改扩建）标准限值</w:t>
            </w:r>
            <w:r>
              <w:rPr>
                <w:rFonts w:hint="eastAsia"/>
                <w:color w:val="auto"/>
                <w:sz w:val="24"/>
                <w:szCs w:val="24"/>
              </w:rPr>
              <w:t>。</w:t>
            </w:r>
            <w:r>
              <w:rPr>
                <w:color w:val="auto"/>
                <w:sz w:val="24"/>
                <w:szCs w:val="24"/>
              </w:rPr>
              <w:t>监测数据具体如下。</w:t>
            </w:r>
          </w:p>
          <w:p>
            <w:pPr>
              <w:autoSpaceDE w:val="0"/>
              <w:autoSpaceDN w:val="0"/>
              <w:spacing w:line="276" w:lineRule="auto"/>
              <w:jc w:val="center"/>
              <w:rPr>
                <w:b/>
                <w:bCs/>
                <w:color w:val="auto"/>
                <w:sz w:val="24"/>
                <w:szCs w:val="24"/>
              </w:rPr>
            </w:pPr>
            <w:r>
              <w:rPr>
                <w:b/>
                <w:bCs/>
                <w:color w:val="auto"/>
                <w:sz w:val="24"/>
                <w:szCs w:val="24"/>
              </w:rPr>
              <w:t>表4-</w:t>
            </w:r>
            <w:r>
              <w:rPr>
                <w:rFonts w:hint="eastAsia"/>
                <w:b/>
                <w:bCs/>
                <w:color w:val="auto"/>
                <w:sz w:val="24"/>
                <w:szCs w:val="24"/>
              </w:rPr>
              <w:t>8</w:t>
            </w:r>
            <w:r>
              <w:rPr>
                <w:b/>
                <w:bCs/>
                <w:color w:val="auto"/>
                <w:sz w:val="24"/>
                <w:szCs w:val="24"/>
              </w:rPr>
              <w:t xml:space="preserve"> </w:t>
            </w:r>
            <w:r>
              <w:rPr>
                <w:rFonts w:hint="eastAsia"/>
                <w:b/>
                <w:bCs/>
                <w:color w:val="auto"/>
                <w:sz w:val="24"/>
                <w:szCs w:val="24"/>
              </w:rPr>
              <w:t>类比项目</w:t>
            </w:r>
            <w:r>
              <w:rPr>
                <w:b/>
                <w:bCs/>
                <w:color w:val="auto"/>
                <w:sz w:val="24"/>
                <w:szCs w:val="24"/>
              </w:rPr>
              <w:t>厂界无组织</w:t>
            </w:r>
            <w:r>
              <w:rPr>
                <w:rFonts w:hint="eastAsia"/>
                <w:b/>
                <w:bCs/>
                <w:color w:val="auto"/>
                <w:sz w:val="24"/>
                <w:szCs w:val="24"/>
              </w:rPr>
              <w:t>臭气浓度</w:t>
            </w:r>
            <w:r>
              <w:rPr>
                <w:b/>
                <w:bCs/>
                <w:color w:val="auto"/>
                <w:sz w:val="24"/>
                <w:szCs w:val="24"/>
              </w:rPr>
              <w:t>监测结果</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7"/>
              <w:gridCol w:w="1396"/>
              <w:gridCol w:w="1470"/>
              <w:gridCol w:w="2332"/>
              <w:gridCol w:w="873"/>
              <w:gridCol w:w="8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blHeader/>
                <w:jc w:val="center"/>
              </w:trPr>
              <w:tc>
                <w:tcPr>
                  <w:tcW w:w="682" w:type="pct"/>
                  <w:vMerge w:val="restart"/>
                  <w:vAlign w:val="center"/>
                </w:tcPr>
                <w:p>
                  <w:pPr>
                    <w:pStyle w:val="72"/>
                    <w:rPr>
                      <w:rFonts w:cs="Times New Roman"/>
                      <w:b/>
                      <w:bCs/>
                      <w:color w:val="auto"/>
                      <w:szCs w:val="21"/>
                    </w:rPr>
                  </w:pPr>
                  <w:r>
                    <w:rPr>
                      <w:rFonts w:cs="Times New Roman"/>
                      <w:b/>
                      <w:bCs/>
                      <w:color w:val="auto"/>
                      <w:szCs w:val="21"/>
                    </w:rPr>
                    <w:t>监测点位</w:t>
                  </w:r>
                </w:p>
              </w:tc>
              <w:tc>
                <w:tcPr>
                  <w:tcW w:w="868" w:type="pct"/>
                  <w:vMerge w:val="restart"/>
                  <w:vAlign w:val="center"/>
                </w:tcPr>
                <w:p>
                  <w:pPr>
                    <w:pStyle w:val="72"/>
                    <w:rPr>
                      <w:rFonts w:cs="Times New Roman"/>
                      <w:b/>
                      <w:bCs/>
                      <w:color w:val="auto"/>
                      <w:szCs w:val="21"/>
                    </w:rPr>
                  </w:pPr>
                  <w:r>
                    <w:rPr>
                      <w:rFonts w:cs="Times New Roman"/>
                      <w:b/>
                      <w:bCs/>
                      <w:color w:val="auto"/>
                      <w:szCs w:val="21"/>
                    </w:rPr>
                    <w:t>监测日期</w:t>
                  </w:r>
                </w:p>
              </w:tc>
              <w:tc>
                <w:tcPr>
                  <w:tcW w:w="914" w:type="pct"/>
                  <w:vMerge w:val="restart"/>
                  <w:vAlign w:val="center"/>
                </w:tcPr>
                <w:p>
                  <w:pPr>
                    <w:widowControl/>
                    <w:jc w:val="center"/>
                    <w:textAlignment w:val="center"/>
                    <w:rPr>
                      <w:b/>
                      <w:bCs/>
                      <w:color w:val="auto"/>
                      <w:kern w:val="0"/>
                      <w:szCs w:val="21"/>
                      <w:lang w:bidi="ar"/>
                    </w:rPr>
                  </w:pPr>
                  <w:r>
                    <w:rPr>
                      <w:b/>
                      <w:bCs/>
                      <w:color w:val="auto"/>
                      <w:szCs w:val="21"/>
                    </w:rPr>
                    <w:t>采样次数</w:t>
                  </w:r>
                </w:p>
              </w:tc>
              <w:tc>
                <w:tcPr>
                  <w:tcW w:w="1450" w:type="pct"/>
                  <w:vAlign w:val="center"/>
                </w:tcPr>
                <w:p>
                  <w:pPr>
                    <w:jc w:val="center"/>
                    <w:textAlignment w:val="center"/>
                    <w:rPr>
                      <w:b/>
                      <w:bCs/>
                      <w:color w:val="auto"/>
                      <w:kern w:val="0"/>
                      <w:szCs w:val="21"/>
                      <w:lang w:bidi="ar"/>
                    </w:rPr>
                  </w:pPr>
                  <w:r>
                    <w:rPr>
                      <w:b/>
                      <w:bCs/>
                      <w:color w:val="auto"/>
                      <w:kern w:val="0"/>
                      <w:szCs w:val="21"/>
                      <w:lang w:bidi="ar"/>
                    </w:rPr>
                    <w:t>检测项目</w:t>
                  </w:r>
                </w:p>
              </w:tc>
              <w:tc>
                <w:tcPr>
                  <w:tcW w:w="543" w:type="pct"/>
                  <w:vMerge w:val="restart"/>
                  <w:vAlign w:val="center"/>
                </w:tcPr>
                <w:p>
                  <w:pPr>
                    <w:jc w:val="center"/>
                    <w:textAlignment w:val="center"/>
                    <w:rPr>
                      <w:b/>
                      <w:bCs/>
                      <w:color w:val="auto"/>
                      <w:kern w:val="0"/>
                      <w:szCs w:val="21"/>
                      <w:lang w:bidi="ar"/>
                    </w:rPr>
                  </w:pPr>
                  <w:r>
                    <w:rPr>
                      <w:rFonts w:hint="eastAsia"/>
                      <w:b/>
                      <w:bCs/>
                      <w:color w:val="auto"/>
                      <w:kern w:val="0"/>
                      <w:szCs w:val="21"/>
                      <w:lang w:bidi="ar"/>
                    </w:rPr>
                    <w:t>标准限值（无量纲）</w:t>
                  </w:r>
                </w:p>
              </w:tc>
              <w:tc>
                <w:tcPr>
                  <w:tcW w:w="543" w:type="pct"/>
                  <w:vMerge w:val="restart"/>
                  <w:vAlign w:val="center"/>
                </w:tcPr>
                <w:p>
                  <w:pPr>
                    <w:jc w:val="center"/>
                    <w:textAlignment w:val="center"/>
                    <w:rPr>
                      <w:b/>
                      <w:bCs/>
                      <w:color w:val="auto"/>
                      <w:kern w:val="0"/>
                      <w:szCs w:val="21"/>
                      <w:lang w:bidi="ar"/>
                    </w:rPr>
                  </w:pPr>
                  <w:r>
                    <w:rPr>
                      <w:rFonts w:hint="eastAsia"/>
                      <w:b/>
                      <w:bCs/>
                      <w:color w:val="auto"/>
                      <w:kern w:val="0"/>
                      <w:szCs w:val="21"/>
                      <w:lang w:bidi="ar"/>
                    </w:rPr>
                    <w:t>是否达标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682" w:type="pct"/>
                  <w:vMerge w:val="continue"/>
                  <w:vAlign w:val="center"/>
                </w:tcPr>
                <w:p>
                  <w:pPr>
                    <w:pStyle w:val="72"/>
                    <w:rPr>
                      <w:rFonts w:cs="Times New Roman"/>
                      <w:b/>
                      <w:bCs/>
                      <w:color w:val="auto"/>
                      <w:szCs w:val="21"/>
                    </w:rPr>
                  </w:pPr>
                </w:p>
              </w:tc>
              <w:tc>
                <w:tcPr>
                  <w:tcW w:w="868" w:type="pct"/>
                  <w:vMerge w:val="continue"/>
                  <w:vAlign w:val="center"/>
                </w:tcPr>
                <w:p>
                  <w:pPr>
                    <w:pStyle w:val="72"/>
                    <w:rPr>
                      <w:rFonts w:cs="Times New Roman"/>
                      <w:b/>
                      <w:bCs/>
                      <w:color w:val="auto"/>
                      <w:szCs w:val="21"/>
                    </w:rPr>
                  </w:pPr>
                </w:p>
              </w:tc>
              <w:tc>
                <w:tcPr>
                  <w:tcW w:w="914" w:type="pct"/>
                  <w:vMerge w:val="continue"/>
                  <w:vAlign w:val="center"/>
                </w:tcPr>
                <w:p>
                  <w:pPr>
                    <w:widowControl/>
                    <w:jc w:val="center"/>
                    <w:textAlignment w:val="center"/>
                    <w:rPr>
                      <w:b/>
                      <w:bCs/>
                      <w:color w:val="auto"/>
                      <w:kern w:val="0"/>
                      <w:szCs w:val="21"/>
                      <w:lang w:bidi="ar"/>
                    </w:rPr>
                  </w:pPr>
                </w:p>
              </w:tc>
              <w:tc>
                <w:tcPr>
                  <w:tcW w:w="1450" w:type="pct"/>
                  <w:vAlign w:val="center"/>
                </w:tcPr>
                <w:p>
                  <w:pPr>
                    <w:widowControl/>
                    <w:jc w:val="center"/>
                    <w:textAlignment w:val="center"/>
                    <w:rPr>
                      <w:b/>
                      <w:bCs/>
                      <w:color w:val="auto"/>
                      <w:kern w:val="0"/>
                      <w:szCs w:val="21"/>
                      <w:lang w:bidi="ar"/>
                    </w:rPr>
                  </w:pPr>
                  <w:r>
                    <w:rPr>
                      <w:rFonts w:hint="eastAsia"/>
                      <w:b/>
                      <w:bCs/>
                      <w:color w:val="auto"/>
                      <w:kern w:val="0"/>
                      <w:szCs w:val="21"/>
                      <w:lang w:bidi="ar"/>
                    </w:rPr>
                    <w:t>臭气浓度（无量纲）</w:t>
                  </w:r>
                </w:p>
              </w:tc>
              <w:tc>
                <w:tcPr>
                  <w:tcW w:w="543" w:type="pct"/>
                  <w:vMerge w:val="continue"/>
                  <w:vAlign w:val="center"/>
                </w:tcPr>
                <w:p>
                  <w:pPr>
                    <w:widowControl/>
                    <w:jc w:val="center"/>
                    <w:textAlignment w:val="center"/>
                    <w:rPr>
                      <w:b/>
                      <w:bCs/>
                      <w:color w:val="auto"/>
                      <w:kern w:val="0"/>
                      <w:szCs w:val="21"/>
                      <w:lang w:bidi="ar"/>
                    </w:rPr>
                  </w:pPr>
                </w:p>
              </w:tc>
              <w:tc>
                <w:tcPr>
                  <w:tcW w:w="543" w:type="pct"/>
                  <w:vMerge w:val="continue"/>
                  <w:vAlign w:val="center"/>
                </w:tcPr>
                <w:p>
                  <w:pPr>
                    <w:widowControl/>
                    <w:jc w:val="center"/>
                    <w:textAlignment w:val="center"/>
                    <w:rPr>
                      <w:b/>
                      <w:bCs/>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pct"/>
                  <w:vMerge w:val="restart"/>
                  <w:vAlign w:val="center"/>
                </w:tcPr>
                <w:p>
                  <w:pPr>
                    <w:pStyle w:val="72"/>
                    <w:rPr>
                      <w:rFonts w:cs="Times New Roman"/>
                      <w:color w:val="auto"/>
                      <w:szCs w:val="21"/>
                    </w:rPr>
                  </w:pPr>
                  <w:r>
                    <w:rPr>
                      <w:rFonts w:cs="Times New Roman"/>
                      <w:color w:val="auto"/>
                      <w:szCs w:val="21"/>
                    </w:rPr>
                    <w:t>厂界上风向</w:t>
                  </w:r>
                </w:p>
              </w:tc>
              <w:tc>
                <w:tcPr>
                  <w:tcW w:w="868" w:type="pct"/>
                  <w:vMerge w:val="restart"/>
                  <w:vAlign w:val="center"/>
                </w:tcPr>
                <w:p>
                  <w:pPr>
                    <w:pStyle w:val="72"/>
                    <w:rPr>
                      <w:rFonts w:cs="Times New Roman"/>
                      <w:color w:val="auto"/>
                      <w:szCs w:val="21"/>
                    </w:rPr>
                  </w:pPr>
                  <w:r>
                    <w:rPr>
                      <w:rFonts w:hint="eastAsia" w:cs="Times New Roman"/>
                      <w:color w:val="auto"/>
                      <w:szCs w:val="21"/>
                    </w:rPr>
                    <w:t>2022.06.02</w:t>
                  </w:r>
                </w:p>
              </w:tc>
              <w:tc>
                <w:tcPr>
                  <w:tcW w:w="914" w:type="pct"/>
                  <w:vAlign w:val="center"/>
                </w:tcPr>
                <w:p>
                  <w:pPr>
                    <w:widowControl/>
                    <w:jc w:val="center"/>
                    <w:textAlignment w:val="center"/>
                    <w:rPr>
                      <w:color w:val="auto"/>
                      <w:kern w:val="0"/>
                      <w:szCs w:val="21"/>
                      <w:lang w:bidi="ar"/>
                    </w:rPr>
                  </w:pPr>
                  <w:r>
                    <w:rPr>
                      <w:color w:val="auto"/>
                      <w:kern w:val="0"/>
                      <w:szCs w:val="21"/>
                      <w:lang w:bidi="ar"/>
                    </w:rPr>
                    <w:t>第一次</w:t>
                  </w:r>
                </w:p>
              </w:tc>
              <w:tc>
                <w:tcPr>
                  <w:tcW w:w="1450" w:type="pct"/>
                  <w:vAlign w:val="center"/>
                </w:tcPr>
                <w:p>
                  <w:pPr>
                    <w:widowControl/>
                    <w:jc w:val="center"/>
                    <w:textAlignment w:val="center"/>
                    <w:rPr>
                      <w:color w:val="auto"/>
                      <w:kern w:val="0"/>
                      <w:szCs w:val="21"/>
                      <w:lang w:bidi="ar"/>
                    </w:rPr>
                  </w:pPr>
                  <w:r>
                    <w:rPr>
                      <w:rFonts w:hint="eastAsia"/>
                      <w:color w:val="auto"/>
                      <w:kern w:val="0"/>
                      <w:szCs w:val="21"/>
                      <w:lang w:bidi="ar"/>
                    </w:rPr>
                    <w:t>&lt;10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20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pct"/>
                  <w:vMerge w:val="continue"/>
                  <w:vAlign w:val="center"/>
                </w:tcPr>
                <w:p>
                  <w:pPr>
                    <w:pStyle w:val="72"/>
                    <w:rPr>
                      <w:rFonts w:cs="Times New Roman"/>
                      <w:color w:val="auto"/>
                      <w:szCs w:val="21"/>
                    </w:rPr>
                  </w:pPr>
                </w:p>
              </w:tc>
              <w:tc>
                <w:tcPr>
                  <w:tcW w:w="868" w:type="pct"/>
                  <w:vMerge w:val="continue"/>
                  <w:vAlign w:val="center"/>
                </w:tcPr>
                <w:p>
                  <w:pPr>
                    <w:pStyle w:val="72"/>
                    <w:rPr>
                      <w:rFonts w:cs="Times New Roman"/>
                      <w:color w:val="auto"/>
                      <w:szCs w:val="21"/>
                    </w:rPr>
                  </w:pPr>
                </w:p>
              </w:tc>
              <w:tc>
                <w:tcPr>
                  <w:tcW w:w="914" w:type="pct"/>
                  <w:vAlign w:val="center"/>
                </w:tcPr>
                <w:p>
                  <w:pPr>
                    <w:widowControl/>
                    <w:jc w:val="center"/>
                    <w:textAlignment w:val="center"/>
                    <w:rPr>
                      <w:color w:val="auto"/>
                      <w:kern w:val="0"/>
                      <w:szCs w:val="21"/>
                      <w:lang w:bidi="ar"/>
                    </w:rPr>
                  </w:pPr>
                  <w:r>
                    <w:rPr>
                      <w:color w:val="auto"/>
                      <w:kern w:val="0"/>
                      <w:szCs w:val="21"/>
                      <w:lang w:bidi="ar"/>
                    </w:rPr>
                    <w:t>第二次</w:t>
                  </w:r>
                </w:p>
              </w:tc>
              <w:tc>
                <w:tcPr>
                  <w:tcW w:w="1450" w:type="pct"/>
                  <w:vAlign w:val="center"/>
                </w:tcPr>
                <w:p>
                  <w:pPr>
                    <w:widowControl/>
                    <w:jc w:val="center"/>
                    <w:textAlignment w:val="center"/>
                    <w:rPr>
                      <w:color w:val="auto"/>
                      <w:kern w:val="0"/>
                      <w:szCs w:val="21"/>
                      <w:lang w:bidi="ar"/>
                    </w:rPr>
                  </w:pPr>
                  <w:r>
                    <w:rPr>
                      <w:rFonts w:hint="eastAsia"/>
                      <w:color w:val="auto"/>
                      <w:kern w:val="0"/>
                      <w:szCs w:val="21"/>
                      <w:lang w:bidi="ar"/>
                    </w:rPr>
                    <w:t>&lt;10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20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682" w:type="pct"/>
                  <w:vMerge w:val="continue"/>
                  <w:vAlign w:val="center"/>
                </w:tcPr>
                <w:p>
                  <w:pPr>
                    <w:pStyle w:val="72"/>
                    <w:rPr>
                      <w:rFonts w:cs="Times New Roman"/>
                      <w:color w:val="auto"/>
                      <w:szCs w:val="21"/>
                    </w:rPr>
                  </w:pPr>
                </w:p>
              </w:tc>
              <w:tc>
                <w:tcPr>
                  <w:tcW w:w="868" w:type="pct"/>
                  <w:vMerge w:val="continue"/>
                  <w:vAlign w:val="center"/>
                </w:tcPr>
                <w:p>
                  <w:pPr>
                    <w:pStyle w:val="72"/>
                    <w:rPr>
                      <w:rFonts w:cs="Times New Roman"/>
                      <w:color w:val="auto"/>
                      <w:szCs w:val="21"/>
                    </w:rPr>
                  </w:pPr>
                </w:p>
              </w:tc>
              <w:tc>
                <w:tcPr>
                  <w:tcW w:w="914" w:type="pct"/>
                  <w:vAlign w:val="center"/>
                </w:tcPr>
                <w:p>
                  <w:pPr>
                    <w:widowControl/>
                    <w:jc w:val="center"/>
                    <w:textAlignment w:val="center"/>
                    <w:rPr>
                      <w:color w:val="auto"/>
                      <w:kern w:val="0"/>
                      <w:szCs w:val="21"/>
                      <w:lang w:bidi="ar"/>
                    </w:rPr>
                  </w:pPr>
                  <w:r>
                    <w:rPr>
                      <w:color w:val="auto"/>
                      <w:kern w:val="0"/>
                      <w:szCs w:val="21"/>
                      <w:lang w:bidi="ar"/>
                    </w:rPr>
                    <w:t>第三次</w:t>
                  </w:r>
                </w:p>
              </w:tc>
              <w:tc>
                <w:tcPr>
                  <w:tcW w:w="1450" w:type="pct"/>
                  <w:vAlign w:val="center"/>
                </w:tcPr>
                <w:p>
                  <w:pPr>
                    <w:widowControl/>
                    <w:jc w:val="center"/>
                    <w:textAlignment w:val="center"/>
                    <w:rPr>
                      <w:color w:val="auto"/>
                      <w:kern w:val="0"/>
                      <w:szCs w:val="21"/>
                      <w:lang w:bidi="ar"/>
                    </w:rPr>
                  </w:pPr>
                  <w:r>
                    <w:rPr>
                      <w:rFonts w:hint="eastAsia"/>
                      <w:color w:val="auto"/>
                      <w:kern w:val="0"/>
                      <w:szCs w:val="21"/>
                      <w:lang w:bidi="ar"/>
                    </w:rPr>
                    <w:t>&lt;10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20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682" w:type="pct"/>
                  <w:vMerge w:val="restart"/>
                  <w:vAlign w:val="center"/>
                </w:tcPr>
                <w:p>
                  <w:pPr>
                    <w:pStyle w:val="72"/>
                    <w:rPr>
                      <w:rFonts w:cs="Times New Roman"/>
                      <w:color w:val="auto"/>
                      <w:szCs w:val="21"/>
                    </w:rPr>
                  </w:pPr>
                  <w:r>
                    <w:rPr>
                      <w:rFonts w:cs="Times New Roman"/>
                      <w:color w:val="auto"/>
                      <w:szCs w:val="21"/>
                    </w:rPr>
                    <w:t>厂界下风向1#</w:t>
                  </w:r>
                </w:p>
              </w:tc>
              <w:tc>
                <w:tcPr>
                  <w:tcW w:w="868" w:type="pct"/>
                  <w:vMerge w:val="continue"/>
                  <w:vAlign w:val="center"/>
                </w:tcPr>
                <w:p>
                  <w:pPr>
                    <w:pStyle w:val="72"/>
                    <w:rPr>
                      <w:rFonts w:cs="Times New Roman"/>
                      <w:color w:val="auto"/>
                      <w:szCs w:val="21"/>
                    </w:rPr>
                  </w:pPr>
                </w:p>
              </w:tc>
              <w:tc>
                <w:tcPr>
                  <w:tcW w:w="914" w:type="pct"/>
                  <w:vAlign w:val="center"/>
                </w:tcPr>
                <w:p>
                  <w:pPr>
                    <w:widowControl/>
                    <w:jc w:val="center"/>
                    <w:textAlignment w:val="center"/>
                    <w:rPr>
                      <w:color w:val="auto"/>
                      <w:kern w:val="0"/>
                      <w:szCs w:val="21"/>
                      <w:lang w:bidi="ar"/>
                    </w:rPr>
                  </w:pPr>
                  <w:r>
                    <w:rPr>
                      <w:color w:val="auto"/>
                      <w:kern w:val="0"/>
                      <w:szCs w:val="21"/>
                      <w:lang w:bidi="ar"/>
                    </w:rPr>
                    <w:t>第一次</w:t>
                  </w:r>
                </w:p>
              </w:tc>
              <w:tc>
                <w:tcPr>
                  <w:tcW w:w="1450" w:type="pct"/>
                  <w:vAlign w:val="center"/>
                </w:tcPr>
                <w:p>
                  <w:pPr>
                    <w:widowControl/>
                    <w:jc w:val="center"/>
                    <w:textAlignment w:val="center"/>
                    <w:rPr>
                      <w:color w:val="auto"/>
                      <w:kern w:val="0"/>
                      <w:szCs w:val="21"/>
                      <w:lang w:bidi="ar"/>
                    </w:rPr>
                  </w:pPr>
                  <w:r>
                    <w:rPr>
                      <w:rFonts w:hint="eastAsia"/>
                      <w:color w:val="auto"/>
                      <w:kern w:val="0"/>
                      <w:szCs w:val="21"/>
                      <w:lang w:bidi="ar"/>
                    </w:rPr>
                    <w:t>15</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20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pct"/>
                  <w:vMerge w:val="continue"/>
                  <w:vAlign w:val="center"/>
                </w:tcPr>
                <w:p>
                  <w:pPr>
                    <w:pStyle w:val="72"/>
                    <w:rPr>
                      <w:rFonts w:cs="Times New Roman"/>
                      <w:color w:val="auto"/>
                      <w:szCs w:val="21"/>
                    </w:rPr>
                  </w:pPr>
                </w:p>
              </w:tc>
              <w:tc>
                <w:tcPr>
                  <w:tcW w:w="868" w:type="pct"/>
                  <w:vMerge w:val="continue"/>
                  <w:vAlign w:val="center"/>
                </w:tcPr>
                <w:p>
                  <w:pPr>
                    <w:pStyle w:val="72"/>
                    <w:rPr>
                      <w:rFonts w:cs="Times New Roman"/>
                      <w:color w:val="auto"/>
                      <w:szCs w:val="21"/>
                    </w:rPr>
                  </w:pPr>
                </w:p>
              </w:tc>
              <w:tc>
                <w:tcPr>
                  <w:tcW w:w="914" w:type="pct"/>
                  <w:vAlign w:val="center"/>
                </w:tcPr>
                <w:p>
                  <w:pPr>
                    <w:widowControl/>
                    <w:jc w:val="center"/>
                    <w:textAlignment w:val="center"/>
                    <w:rPr>
                      <w:color w:val="auto"/>
                      <w:kern w:val="0"/>
                      <w:szCs w:val="21"/>
                      <w:lang w:bidi="ar"/>
                    </w:rPr>
                  </w:pPr>
                  <w:r>
                    <w:rPr>
                      <w:color w:val="auto"/>
                      <w:kern w:val="0"/>
                      <w:szCs w:val="21"/>
                      <w:lang w:bidi="ar"/>
                    </w:rPr>
                    <w:t>第二次</w:t>
                  </w:r>
                </w:p>
              </w:tc>
              <w:tc>
                <w:tcPr>
                  <w:tcW w:w="1450" w:type="pct"/>
                  <w:vAlign w:val="center"/>
                </w:tcPr>
                <w:p>
                  <w:pPr>
                    <w:widowControl/>
                    <w:jc w:val="center"/>
                    <w:textAlignment w:val="center"/>
                    <w:rPr>
                      <w:color w:val="auto"/>
                      <w:kern w:val="0"/>
                      <w:szCs w:val="21"/>
                      <w:lang w:bidi="ar"/>
                    </w:rPr>
                  </w:pPr>
                  <w:r>
                    <w:rPr>
                      <w:rFonts w:hint="eastAsia"/>
                      <w:color w:val="auto"/>
                      <w:kern w:val="0"/>
                      <w:szCs w:val="21"/>
                      <w:lang w:bidi="ar"/>
                    </w:rPr>
                    <w:t>&lt;10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20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pct"/>
                  <w:vMerge w:val="continue"/>
                  <w:vAlign w:val="center"/>
                </w:tcPr>
                <w:p>
                  <w:pPr>
                    <w:pStyle w:val="72"/>
                    <w:rPr>
                      <w:rFonts w:cs="Times New Roman"/>
                      <w:color w:val="auto"/>
                      <w:szCs w:val="21"/>
                    </w:rPr>
                  </w:pPr>
                </w:p>
              </w:tc>
              <w:tc>
                <w:tcPr>
                  <w:tcW w:w="868" w:type="pct"/>
                  <w:vMerge w:val="continue"/>
                  <w:vAlign w:val="center"/>
                </w:tcPr>
                <w:p>
                  <w:pPr>
                    <w:pStyle w:val="72"/>
                    <w:rPr>
                      <w:rFonts w:cs="Times New Roman"/>
                      <w:color w:val="auto"/>
                      <w:szCs w:val="21"/>
                    </w:rPr>
                  </w:pPr>
                </w:p>
              </w:tc>
              <w:tc>
                <w:tcPr>
                  <w:tcW w:w="914" w:type="pct"/>
                  <w:vAlign w:val="center"/>
                </w:tcPr>
                <w:p>
                  <w:pPr>
                    <w:widowControl/>
                    <w:jc w:val="center"/>
                    <w:textAlignment w:val="center"/>
                    <w:rPr>
                      <w:color w:val="auto"/>
                      <w:kern w:val="0"/>
                      <w:szCs w:val="21"/>
                      <w:lang w:bidi="ar"/>
                    </w:rPr>
                  </w:pPr>
                  <w:r>
                    <w:rPr>
                      <w:color w:val="auto"/>
                      <w:kern w:val="0"/>
                      <w:szCs w:val="21"/>
                      <w:lang w:bidi="ar"/>
                    </w:rPr>
                    <w:t>第三次</w:t>
                  </w:r>
                </w:p>
              </w:tc>
              <w:tc>
                <w:tcPr>
                  <w:tcW w:w="1450" w:type="pct"/>
                  <w:vAlign w:val="center"/>
                </w:tcPr>
                <w:p>
                  <w:pPr>
                    <w:widowControl/>
                    <w:jc w:val="center"/>
                    <w:textAlignment w:val="center"/>
                    <w:rPr>
                      <w:color w:val="auto"/>
                      <w:kern w:val="0"/>
                      <w:szCs w:val="21"/>
                      <w:lang w:bidi="ar"/>
                    </w:rPr>
                  </w:pPr>
                  <w:r>
                    <w:rPr>
                      <w:rFonts w:hint="eastAsia"/>
                      <w:color w:val="auto"/>
                      <w:kern w:val="0"/>
                      <w:szCs w:val="21"/>
                      <w:lang w:bidi="ar"/>
                    </w:rPr>
                    <w:t>&lt;10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20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pct"/>
                  <w:vMerge w:val="restart"/>
                  <w:vAlign w:val="center"/>
                </w:tcPr>
                <w:p>
                  <w:pPr>
                    <w:pStyle w:val="72"/>
                    <w:rPr>
                      <w:rFonts w:cs="Times New Roman"/>
                      <w:color w:val="auto"/>
                      <w:szCs w:val="21"/>
                    </w:rPr>
                  </w:pPr>
                  <w:r>
                    <w:rPr>
                      <w:rFonts w:cs="Times New Roman"/>
                      <w:color w:val="auto"/>
                      <w:szCs w:val="21"/>
                    </w:rPr>
                    <w:t>厂界下风向2#</w:t>
                  </w:r>
                </w:p>
              </w:tc>
              <w:tc>
                <w:tcPr>
                  <w:tcW w:w="868" w:type="pct"/>
                  <w:vMerge w:val="continue"/>
                  <w:vAlign w:val="center"/>
                </w:tcPr>
                <w:p>
                  <w:pPr>
                    <w:pStyle w:val="72"/>
                    <w:rPr>
                      <w:rFonts w:cs="Times New Roman"/>
                      <w:color w:val="auto"/>
                      <w:szCs w:val="21"/>
                    </w:rPr>
                  </w:pPr>
                </w:p>
              </w:tc>
              <w:tc>
                <w:tcPr>
                  <w:tcW w:w="914" w:type="pct"/>
                  <w:vAlign w:val="center"/>
                </w:tcPr>
                <w:p>
                  <w:pPr>
                    <w:widowControl/>
                    <w:jc w:val="center"/>
                    <w:textAlignment w:val="center"/>
                    <w:rPr>
                      <w:color w:val="auto"/>
                      <w:kern w:val="0"/>
                      <w:szCs w:val="21"/>
                      <w:lang w:bidi="ar"/>
                    </w:rPr>
                  </w:pPr>
                  <w:r>
                    <w:rPr>
                      <w:color w:val="auto"/>
                      <w:kern w:val="0"/>
                      <w:szCs w:val="21"/>
                      <w:lang w:bidi="ar"/>
                    </w:rPr>
                    <w:t>第一次</w:t>
                  </w:r>
                </w:p>
              </w:tc>
              <w:tc>
                <w:tcPr>
                  <w:tcW w:w="1450" w:type="pct"/>
                  <w:vAlign w:val="center"/>
                </w:tcPr>
                <w:p>
                  <w:pPr>
                    <w:widowControl/>
                    <w:jc w:val="center"/>
                    <w:textAlignment w:val="center"/>
                    <w:rPr>
                      <w:color w:val="auto"/>
                      <w:kern w:val="0"/>
                      <w:szCs w:val="21"/>
                      <w:lang w:bidi="ar"/>
                    </w:rPr>
                  </w:pPr>
                  <w:r>
                    <w:rPr>
                      <w:rFonts w:hint="eastAsia"/>
                      <w:color w:val="auto"/>
                      <w:kern w:val="0"/>
                      <w:szCs w:val="21"/>
                      <w:lang w:bidi="ar"/>
                    </w:rPr>
                    <w:t>&lt;10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20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pct"/>
                  <w:vMerge w:val="continue"/>
                  <w:vAlign w:val="center"/>
                </w:tcPr>
                <w:p>
                  <w:pPr>
                    <w:pStyle w:val="72"/>
                    <w:rPr>
                      <w:rFonts w:cs="Times New Roman"/>
                      <w:color w:val="auto"/>
                      <w:szCs w:val="21"/>
                    </w:rPr>
                  </w:pPr>
                </w:p>
              </w:tc>
              <w:tc>
                <w:tcPr>
                  <w:tcW w:w="868" w:type="pct"/>
                  <w:vMerge w:val="continue"/>
                  <w:vAlign w:val="center"/>
                </w:tcPr>
                <w:p>
                  <w:pPr>
                    <w:pStyle w:val="72"/>
                    <w:rPr>
                      <w:rFonts w:cs="Times New Roman"/>
                      <w:color w:val="auto"/>
                      <w:szCs w:val="21"/>
                    </w:rPr>
                  </w:pPr>
                </w:p>
              </w:tc>
              <w:tc>
                <w:tcPr>
                  <w:tcW w:w="914" w:type="pct"/>
                  <w:vAlign w:val="center"/>
                </w:tcPr>
                <w:p>
                  <w:pPr>
                    <w:widowControl/>
                    <w:jc w:val="center"/>
                    <w:textAlignment w:val="center"/>
                    <w:rPr>
                      <w:color w:val="auto"/>
                      <w:kern w:val="0"/>
                      <w:szCs w:val="21"/>
                      <w:lang w:bidi="ar"/>
                    </w:rPr>
                  </w:pPr>
                  <w:r>
                    <w:rPr>
                      <w:color w:val="auto"/>
                      <w:kern w:val="0"/>
                      <w:szCs w:val="21"/>
                      <w:lang w:bidi="ar"/>
                    </w:rPr>
                    <w:t>第二次</w:t>
                  </w:r>
                </w:p>
              </w:tc>
              <w:tc>
                <w:tcPr>
                  <w:tcW w:w="1450" w:type="pct"/>
                  <w:vAlign w:val="center"/>
                </w:tcPr>
                <w:p>
                  <w:pPr>
                    <w:widowControl/>
                    <w:jc w:val="center"/>
                    <w:textAlignment w:val="center"/>
                    <w:rPr>
                      <w:color w:val="auto"/>
                      <w:kern w:val="0"/>
                      <w:szCs w:val="21"/>
                      <w:lang w:bidi="ar"/>
                    </w:rPr>
                  </w:pPr>
                  <w:r>
                    <w:rPr>
                      <w:rFonts w:hint="eastAsia"/>
                      <w:color w:val="auto"/>
                      <w:kern w:val="0"/>
                      <w:szCs w:val="21"/>
                      <w:lang w:bidi="ar"/>
                    </w:rPr>
                    <w:t>&lt;10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20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pct"/>
                  <w:vMerge w:val="continue"/>
                  <w:vAlign w:val="center"/>
                </w:tcPr>
                <w:p>
                  <w:pPr>
                    <w:pStyle w:val="72"/>
                    <w:rPr>
                      <w:rFonts w:cs="Times New Roman"/>
                      <w:color w:val="auto"/>
                      <w:szCs w:val="21"/>
                    </w:rPr>
                  </w:pPr>
                </w:p>
              </w:tc>
              <w:tc>
                <w:tcPr>
                  <w:tcW w:w="868" w:type="pct"/>
                  <w:vMerge w:val="continue"/>
                  <w:vAlign w:val="center"/>
                </w:tcPr>
                <w:p>
                  <w:pPr>
                    <w:pStyle w:val="72"/>
                    <w:rPr>
                      <w:rFonts w:cs="Times New Roman"/>
                      <w:color w:val="auto"/>
                      <w:szCs w:val="21"/>
                    </w:rPr>
                  </w:pPr>
                </w:p>
              </w:tc>
              <w:tc>
                <w:tcPr>
                  <w:tcW w:w="914" w:type="pct"/>
                  <w:vAlign w:val="center"/>
                </w:tcPr>
                <w:p>
                  <w:pPr>
                    <w:widowControl/>
                    <w:jc w:val="center"/>
                    <w:textAlignment w:val="center"/>
                    <w:rPr>
                      <w:color w:val="auto"/>
                      <w:kern w:val="0"/>
                      <w:szCs w:val="21"/>
                      <w:lang w:bidi="ar"/>
                    </w:rPr>
                  </w:pPr>
                  <w:r>
                    <w:rPr>
                      <w:color w:val="auto"/>
                      <w:kern w:val="0"/>
                      <w:szCs w:val="21"/>
                      <w:lang w:bidi="ar"/>
                    </w:rPr>
                    <w:t>第三次</w:t>
                  </w:r>
                </w:p>
              </w:tc>
              <w:tc>
                <w:tcPr>
                  <w:tcW w:w="1450" w:type="pct"/>
                  <w:vAlign w:val="center"/>
                </w:tcPr>
                <w:p>
                  <w:pPr>
                    <w:widowControl/>
                    <w:jc w:val="center"/>
                    <w:textAlignment w:val="center"/>
                    <w:rPr>
                      <w:color w:val="auto"/>
                      <w:kern w:val="0"/>
                      <w:szCs w:val="21"/>
                      <w:lang w:bidi="ar"/>
                    </w:rPr>
                  </w:pPr>
                  <w:r>
                    <w:rPr>
                      <w:rFonts w:hint="eastAsia"/>
                      <w:color w:val="auto"/>
                      <w:kern w:val="0"/>
                      <w:szCs w:val="21"/>
                      <w:lang w:bidi="ar"/>
                    </w:rPr>
                    <w:t>&lt;10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20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pct"/>
                  <w:vMerge w:val="restart"/>
                  <w:vAlign w:val="center"/>
                </w:tcPr>
                <w:p>
                  <w:pPr>
                    <w:pStyle w:val="72"/>
                    <w:rPr>
                      <w:rFonts w:cs="Times New Roman"/>
                      <w:color w:val="auto"/>
                      <w:szCs w:val="21"/>
                    </w:rPr>
                  </w:pPr>
                  <w:r>
                    <w:rPr>
                      <w:rFonts w:cs="Times New Roman"/>
                      <w:color w:val="auto"/>
                      <w:szCs w:val="21"/>
                    </w:rPr>
                    <w:t>厂界下风向3#</w:t>
                  </w:r>
                </w:p>
              </w:tc>
              <w:tc>
                <w:tcPr>
                  <w:tcW w:w="868" w:type="pct"/>
                  <w:vMerge w:val="continue"/>
                  <w:vAlign w:val="center"/>
                </w:tcPr>
                <w:p>
                  <w:pPr>
                    <w:pStyle w:val="72"/>
                    <w:rPr>
                      <w:rFonts w:cs="Times New Roman"/>
                      <w:color w:val="auto"/>
                      <w:szCs w:val="21"/>
                    </w:rPr>
                  </w:pPr>
                </w:p>
              </w:tc>
              <w:tc>
                <w:tcPr>
                  <w:tcW w:w="914" w:type="pct"/>
                  <w:vAlign w:val="center"/>
                </w:tcPr>
                <w:p>
                  <w:pPr>
                    <w:widowControl/>
                    <w:jc w:val="center"/>
                    <w:textAlignment w:val="center"/>
                    <w:rPr>
                      <w:color w:val="auto"/>
                      <w:kern w:val="0"/>
                      <w:szCs w:val="21"/>
                      <w:lang w:bidi="ar"/>
                    </w:rPr>
                  </w:pPr>
                  <w:r>
                    <w:rPr>
                      <w:color w:val="auto"/>
                      <w:kern w:val="0"/>
                      <w:szCs w:val="21"/>
                      <w:lang w:bidi="ar"/>
                    </w:rPr>
                    <w:t>第一次</w:t>
                  </w:r>
                </w:p>
              </w:tc>
              <w:tc>
                <w:tcPr>
                  <w:tcW w:w="1450" w:type="pct"/>
                  <w:vAlign w:val="center"/>
                </w:tcPr>
                <w:p>
                  <w:pPr>
                    <w:widowControl/>
                    <w:jc w:val="center"/>
                    <w:textAlignment w:val="center"/>
                    <w:rPr>
                      <w:color w:val="auto"/>
                      <w:kern w:val="0"/>
                      <w:szCs w:val="21"/>
                      <w:lang w:bidi="ar"/>
                    </w:rPr>
                  </w:pPr>
                  <w:r>
                    <w:rPr>
                      <w:rFonts w:hint="eastAsia"/>
                      <w:color w:val="auto"/>
                      <w:kern w:val="0"/>
                      <w:szCs w:val="21"/>
                      <w:lang w:bidi="ar"/>
                    </w:rPr>
                    <w:t>&lt;10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20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pct"/>
                  <w:vMerge w:val="continue"/>
                  <w:vAlign w:val="center"/>
                </w:tcPr>
                <w:p>
                  <w:pPr>
                    <w:pStyle w:val="72"/>
                    <w:rPr>
                      <w:rFonts w:cs="Times New Roman"/>
                      <w:color w:val="auto"/>
                      <w:szCs w:val="21"/>
                    </w:rPr>
                  </w:pPr>
                </w:p>
              </w:tc>
              <w:tc>
                <w:tcPr>
                  <w:tcW w:w="868" w:type="pct"/>
                  <w:vMerge w:val="continue"/>
                  <w:vAlign w:val="center"/>
                </w:tcPr>
                <w:p>
                  <w:pPr>
                    <w:pStyle w:val="72"/>
                    <w:rPr>
                      <w:rFonts w:cs="Times New Roman"/>
                      <w:color w:val="auto"/>
                      <w:szCs w:val="21"/>
                    </w:rPr>
                  </w:pPr>
                </w:p>
              </w:tc>
              <w:tc>
                <w:tcPr>
                  <w:tcW w:w="914" w:type="pct"/>
                  <w:vAlign w:val="center"/>
                </w:tcPr>
                <w:p>
                  <w:pPr>
                    <w:widowControl/>
                    <w:jc w:val="center"/>
                    <w:textAlignment w:val="center"/>
                    <w:rPr>
                      <w:color w:val="auto"/>
                      <w:kern w:val="0"/>
                      <w:szCs w:val="21"/>
                      <w:lang w:bidi="ar"/>
                    </w:rPr>
                  </w:pPr>
                  <w:r>
                    <w:rPr>
                      <w:color w:val="auto"/>
                      <w:kern w:val="0"/>
                      <w:szCs w:val="21"/>
                      <w:lang w:bidi="ar"/>
                    </w:rPr>
                    <w:t>第二次</w:t>
                  </w:r>
                </w:p>
              </w:tc>
              <w:tc>
                <w:tcPr>
                  <w:tcW w:w="1450" w:type="pct"/>
                  <w:vAlign w:val="center"/>
                </w:tcPr>
                <w:p>
                  <w:pPr>
                    <w:widowControl/>
                    <w:jc w:val="center"/>
                    <w:textAlignment w:val="center"/>
                    <w:rPr>
                      <w:color w:val="auto"/>
                      <w:kern w:val="0"/>
                      <w:szCs w:val="21"/>
                      <w:lang w:bidi="ar"/>
                    </w:rPr>
                  </w:pPr>
                  <w:r>
                    <w:rPr>
                      <w:rFonts w:hint="eastAsia"/>
                      <w:color w:val="auto"/>
                      <w:kern w:val="0"/>
                      <w:szCs w:val="21"/>
                      <w:lang w:bidi="ar"/>
                    </w:rPr>
                    <w:t>&lt;10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20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pct"/>
                  <w:vMerge w:val="continue"/>
                  <w:vAlign w:val="center"/>
                </w:tcPr>
                <w:p>
                  <w:pPr>
                    <w:pStyle w:val="72"/>
                    <w:rPr>
                      <w:rFonts w:cs="Times New Roman"/>
                      <w:color w:val="auto"/>
                      <w:szCs w:val="21"/>
                    </w:rPr>
                  </w:pPr>
                </w:p>
              </w:tc>
              <w:tc>
                <w:tcPr>
                  <w:tcW w:w="868" w:type="pct"/>
                  <w:vMerge w:val="continue"/>
                  <w:vAlign w:val="center"/>
                </w:tcPr>
                <w:p>
                  <w:pPr>
                    <w:pStyle w:val="72"/>
                    <w:rPr>
                      <w:rFonts w:cs="Times New Roman"/>
                      <w:color w:val="auto"/>
                      <w:szCs w:val="21"/>
                    </w:rPr>
                  </w:pPr>
                </w:p>
              </w:tc>
              <w:tc>
                <w:tcPr>
                  <w:tcW w:w="914" w:type="pct"/>
                  <w:vAlign w:val="center"/>
                </w:tcPr>
                <w:p>
                  <w:pPr>
                    <w:widowControl/>
                    <w:jc w:val="center"/>
                    <w:textAlignment w:val="center"/>
                    <w:rPr>
                      <w:color w:val="auto"/>
                      <w:kern w:val="0"/>
                      <w:szCs w:val="21"/>
                      <w:lang w:bidi="ar"/>
                    </w:rPr>
                  </w:pPr>
                  <w:r>
                    <w:rPr>
                      <w:color w:val="auto"/>
                      <w:kern w:val="0"/>
                      <w:szCs w:val="21"/>
                      <w:lang w:bidi="ar"/>
                    </w:rPr>
                    <w:t>第三次</w:t>
                  </w:r>
                </w:p>
              </w:tc>
              <w:tc>
                <w:tcPr>
                  <w:tcW w:w="1450" w:type="pct"/>
                  <w:vAlign w:val="center"/>
                </w:tcPr>
                <w:p>
                  <w:pPr>
                    <w:widowControl/>
                    <w:jc w:val="center"/>
                    <w:textAlignment w:val="center"/>
                    <w:rPr>
                      <w:color w:val="auto"/>
                      <w:kern w:val="0"/>
                      <w:szCs w:val="21"/>
                      <w:lang w:bidi="ar"/>
                    </w:rPr>
                  </w:pPr>
                  <w:r>
                    <w:rPr>
                      <w:rFonts w:hint="eastAsia"/>
                      <w:color w:val="auto"/>
                      <w:kern w:val="0"/>
                      <w:szCs w:val="21"/>
                      <w:lang w:bidi="ar"/>
                    </w:rPr>
                    <w:t>&lt;10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20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pct"/>
                  <w:vMerge w:val="restart"/>
                  <w:vAlign w:val="center"/>
                </w:tcPr>
                <w:p>
                  <w:pPr>
                    <w:pStyle w:val="72"/>
                    <w:rPr>
                      <w:rFonts w:cs="Times New Roman"/>
                      <w:color w:val="auto"/>
                      <w:szCs w:val="21"/>
                    </w:rPr>
                  </w:pPr>
                  <w:r>
                    <w:rPr>
                      <w:rFonts w:cs="Times New Roman"/>
                      <w:color w:val="auto"/>
                      <w:szCs w:val="21"/>
                    </w:rPr>
                    <w:t>厂界上风向</w:t>
                  </w:r>
                </w:p>
              </w:tc>
              <w:tc>
                <w:tcPr>
                  <w:tcW w:w="868" w:type="pct"/>
                  <w:vMerge w:val="restart"/>
                  <w:vAlign w:val="center"/>
                </w:tcPr>
                <w:p>
                  <w:pPr>
                    <w:pStyle w:val="72"/>
                    <w:rPr>
                      <w:rFonts w:cs="Times New Roman"/>
                      <w:color w:val="auto"/>
                      <w:szCs w:val="21"/>
                    </w:rPr>
                  </w:pPr>
                  <w:r>
                    <w:rPr>
                      <w:rFonts w:hint="eastAsia" w:cs="Times New Roman"/>
                      <w:color w:val="auto"/>
                      <w:szCs w:val="21"/>
                    </w:rPr>
                    <w:t>2022.06.03</w:t>
                  </w:r>
                </w:p>
              </w:tc>
              <w:tc>
                <w:tcPr>
                  <w:tcW w:w="914" w:type="pct"/>
                  <w:vAlign w:val="center"/>
                </w:tcPr>
                <w:p>
                  <w:pPr>
                    <w:widowControl/>
                    <w:jc w:val="center"/>
                    <w:textAlignment w:val="center"/>
                    <w:rPr>
                      <w:color w:val="auto"/>
                      <w:kern w:val="0"/>
                      <w:szCs w:val="21"/>
                      <w:lang w:bidi="ar"/>
                    </w:rPr>
                  </w:pPr>
                  <w:r>
                    <w:rPr>
                      <w:color w:val="auto"/>
                      <w:kern w:val="0"/>
                      <w:szCs w:val="21"/>
                      <w:lang w:bidi="ar"/>
                    </w:rPr>
                    <w:t>第一次</w:t>
                  </w:r>
                </w:p>
              </w:tc>
              <w:tc>
                <w:tcPr>
                  <w:tcW w:w="1450" w:type="pct"/>
                  <w:vAlign w:val="center"/>
                </w:tcPr>
                <w:p>
                  <w:pPr>
                    <w:widowControl/>
                    <w:jc w:val="center"/>
                    <w:textAlignment w:val="center"/>
                    <w:rPr>
                      <w:color w:val="auto"/>
                      <w:kern w:val="0"/>
                      <w:szCs w:val="21"/>
                      <w:lang w:bidi="ar"/>
                    </w:rPr>
                  </w:pPr>
                  <w:r>
                    <w:rPr>
                      <w:rFonts w:hint="eastAsia"/>
                      <w:color w:val="auto"/>
                      <w:kern w:val="0"/>
                      <w:szCs w:val="21"/>
                      <w:lang w:bidi="ar"/>
                    </w:rPr>
                    <w:t>&lt;10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20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pct"/>
                  <w:vMerge w:val="continue"/>
                  <w:vAlign w:val="center"/>
                </w:tcPr>
                <w:p>
                  <w:pPr>
                    <w:pStyle w:val="72"/>
                    <w:rPr>
                      <w:rFonts w:cs="Times New Roman"/>
                      <w:color w:val="auto"/>
                      <w:szCs w:val="21"/>
                    </w:rPr>
                  </w:pPr>
                </w:p>
              </w:tc>
              <w:tc>
                <w:tcPr>
                  <w:tcW w:w="868" w:type="pct"/>
                  <w:vMerge w:val="continue"/>
                  <w:vAlign w:val="center"/>
                </w:tcPr>
                <w:p>
                  <w:pPr>
                    <w:pStyle w:val="72"/>
                    <w:rPr>
                      <w:rFonts w:cs="Times New Roman"/>
                      <w:color w:val="auto"/>
                      <w:szCs w:val="21"/>
                    </w:rPr>
                  </w:pPr>
                </w:p>
              </w:tc>
              <w:tc>
                <w:tcPr>
                  <w:tcW w:w="914" w:type="pct"/>
                  <w:vAlign w:val="center"/>
                </w:tcPr>
                <w:p>
                  <w:pPr>
                    <w:widowControl/>
                    <w:jc w:val="center"/>
                    <w:textAlignment w:val="center"/>
                    <w:rPr>
                      <w:color w:val="auto"/>
                      <w:kern w:val="0"/>
                      <w:szCs w:val="21"/>
                      <w:lang w:bidi="ar"/>
                    </w:rPr>
                  </w:pPr>
                  <w:r>
                    <w:rPr>
                      <w:color w:val="auto"/>
                      <w:kern w:val="0"/>
                      <w:szCs w:val="21"/>
                      <w:lang w:bidi="ar"/>
                    </w:rPr>
                    <w:t>第二次</w:t>
                  </w:r>
                </w:p>
              </w:tc>
              <w:tc>
                <w:tcPr>
                  <w:tcW w:w="1450" w:type="pct"/>
                  <w:vAlign w:val="center"/>
                </w:tcPr>
                <w:p>
                  <w:pPr>
                    <w:widowControl/>
                    <w:jc w:val="center"/>
                    <w:textAlignment w:val="center"/>
                    <w:rPr>
                      <w:color w:val="auto"/>
                      <w:kern w:val="0"/>
                      <w:szCs w:val="21"/>
                      <w:lang w:bidi="ar"/>
                    </w:rPr>
                  </w:pPr>
                  <w:r>
                    <w:rPr>
                      <w:rFonts w:hint="eastAsia"/>
                      <w:color w:val="auto"/>
                      <w:kern w:val="0"/>
                      <w:szCs w:val="21"/>
                      <w:lang w:bidi="ar"/>
                    </w:rPr>
                    <w:t>&lt;10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20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pct"/>
                  <w:vMerge w:val="continue"/>
                  <w:vAlign w:val="center"/>
                </w:tcPr>
                <w:p>
                  <w:pPr>
                    <w:pStyle w:val="72"/>
                    <w:rPr>
                      <w:rFonts w:cs="Times New Roman"/>
                      <w:color w:val="auto"/>
                      <w:szCs w:val="21"/>
                    </w:rPr>
                  </w:pPr>
                </w:p>
              </w:tc>
              <w:tc>
                <w:tcPr>
                  <w:tcW w:w="868" w:type="pct"/>
                  <w:vMerge w:val="continue"/>
                  <w:vAlign w:val="center"/>
                </w:tcPr>
                <w:p>
                  <w:pPr>
                    <w:pStyle w:val="72"/>
                    <w:rPr>
                      <w:rFonts w:cs="Times New Roman"/>
                      <w:color w:val="auto"/>
                      <w:szCs w:val="21"/>
                    </w:rPr>
                  </w:pPr>
                </w:p>
              </w:tc>
              <w:tc>
                <w:tcPr>
                  <w:tcW w:w="914" w:type="pct"/>
                  <w:vAlign w:val="center"/>
                </w:tcPr>
                <w:p>
                  <w:pPr>
                    <w:widowControl/>
                    <w:jc w:val="center"/>
                    <w:textAlignment w:val="center"/>
                    <w:rPr>
                      <w:color w:val="auto"/>
                      <w:kern w:val="0"/>
                      <w:szCs w:val="21"/>
                      <w:lang w:bidi="ar"/>
                    </w:rPr>
                  </w:pPr>
                  <w:r>
                    <w:rPr>
                      <w:color w:val="auto"/>
                      <w:kern w:val="0"/>
                      <w:szCs w:val="21"/>
                      <w:lang w:bidi="ar"/>
                    </w:rPr>
                    <w:t>第三次</w:t>
                  </w:r>
                </w:p>
              </w:tc>
              <w:tc>
                <w:tcPr>
                  <w:tcW w:w="1450" w:type="pct"/>
                  <w:vAlign w:val="center"/>
                </w:tcPr>
                <w:p>
                  <w:pPr>
                    <w:widowControl/>
                    <w:jc w:val="center"/>
                    <w:textAlignment w:val="center"/>
                    <w:rPr>
                      <w:color w:val="auto"/>
                      <w:kern w:val="0"/>
                      <w:szCs w:val="21"/>
                      <w:lang w:bidi="ar"/>
                    </w:rPr>
                  </w:pPr>
                  <w:r>
                    <w:rPr>
                      <w:rFonts w:hint="eastAsia"/>
                      <w:color w:val="auto"/>
                      <w:kern w:val="0"/>
                      <w:szCs w:val="21"/>
                      <w:lang w:bidi="ar"/>
                    </w:rPr>
                    <w:t>&lt;10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20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pct"/>
                  <w:vMerge w:val="restart"/>
                  <w:vAlign w:val="center"/>
                </w:tcPr>
                <w:p>
                  <w:pPr>
                    <w:pStyle w:val="72"/>
                    <w:rPr>
                      <w:rFonts w:cs="Times New Roman"/>
                      <w:color w:val="auto"/>
                      <w:szCs w:val="21"/>
                    </w:rPr>
                  </w:pPr>
                  <w:r>
                    <w:rPr>
                      <w:rFonts w:cs="Times New Roman"/>
                      <w:color w:val="auto"/>
                      <w:szCs w:val="21"/>
                    </w:rPr>
                    <w:t>厂界下风向1#</w:t>
                  </w:r>
                </w:p>
              </w:tc>
              <w:tc>
                <w:tcPr>
                  <w:tcW w:w="868" w:type="pct"/>
                  <w:vMerge w:val="continue"/>
                  <w:vAlign w:val="center"/>
                </w:tcPr>
                <w:p>
                  <w:pPr>
                    <w:pStyle w:val="72"/>
                    <w:rPr>
                      <w:rFonts w:cs="Times New Roman"/>
                      <w:color w:val="auto"/>
                      <w:szCs w:val="21"/>
                    </w:rPr>
                  </w:pPr>
                </w:p>
              </w:tc>
              <w:tc>
                <w:tcPr>
                  <w:tcW w:w="914" w:type="pct"/>
                  <w:vAlign w:val="center"/>
                </w:tcPr>
                <w:p>
                  <w:pPr>
                    <w:widowControl/>
                    <w:jc w:val="center"/>
                    <w:textAlignment w:val="center"/>
                    <w:rPr>
                      <w:color w:val="auto"/>
                      <w:kern w:val="0"/>
                      <w:szCs w:val="21"/>
                      <w:lang w:bidi="ar"/>
                    </w:rPr>
                  </w:pPr>
                  <w:r>
                    <w:rPr>
                      <w:color w:val="auto"/>
                      <w:kern w:val="0"/>
                      <w:szCs w:val="21"/>
                      <w:lang w:bidi="ar"/>
                    </w:rPr>
                    <w:t>第一次</w:t>
                  </w:r>
                </w:p>
              </w:tc>
              <w:tc>
                <w:tcPr>
                  <w:tcW w:w="1450" w:type="pct"/>
                  <w:vAlign w:val="center"/>
                </w:tcPr>
                <w:p>
                  <w:pPr>
                    <w:widowControl/>
                    <w:jc w:val="center"/>
                    <w:textAlignment w:val="center"/>
                    <w:rPr>
                      <w:color w:val="auto"/>
                      <w:kern w:val="0"/>
                      <w:szCs w:val="21"/>
                      <w:lang w:bidi="ar"/>
                    </w:rPr>
                  </w:pPr>
                  <w:r>
                    <w:rPr>
                      <w:rFonts w:hint="eastAsia"/>
                      <w:color w:val="auto"/>
                      <w:kern w:val="0"/>
                      <w:szCs w:val="21"/>
                      <w:lang w:bidi="ar"/>
                    </w:rPr>
                    <w:t>&lt;10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20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pct"/>
                  <w:vMerge w:val="continue"/>
                  <w:vAlign w:val="center"/>
                </w:tcPr>
                <w:p>
                  <w:pPr>
                    <w:pStyle w:val="72"/>
                    <w:rPr>
                      <w:rFonts w:cs="Times New Roman"/>
                      <w:color w:val="auto"/>
                      <w:szCs w:val="21"/>
                    </w:rPr>
                  </w:pPr>
                </w:p>
              </w:tc>
              <w:tc>
                <w:tcPr>
                  <w:tcW w:w="868" w:type="pct"/>
                  <w:vMerge w:val="continue"/>
                  <w:vAlign w:val="center"/>
                </w:tcPr>
                <w:p>
                  <w:pPr>
                    <w:pStyle w:val="72"/>
                    <w:rPr>
                      <w:rFonts w:cs="Times New Roman"/>
                      <w:color w:val="auto"/>
                      <w:szCs w:val="21"/>
                    </w:rPr>
                  </w:pPr>
                </w:p>
              </w:tc>
              <w:tc>
                <w:tcPr>
                  <w:tcW w:w="914" w:type="pct"/>
                  <w:vAlign w:val="center"/>
                </w:tcPr>
                <w:p>
                  <w:pPr>
                    <w:widowControl/>
                    <w:jc w:val="center"/>
                    <w:textAlignment w:val="center"/>
                    <w:rPr>
                      <w:color w:val="auto"/>
                      <w:kern w:val="0"/>
                      <w:szCs w:val="21"/>
                      <w:lang w:bidi="ar"/>
                    </w:rPr>
                  </w:pPr>
                  <w:r>
                    <w:rPr>
                      <w:color w:val="auto"/>
                      <w:kern w:val="0"/>
                      <w:szCs w:val="21"/>
                      <w:lang w:bidi="ar"/>
                    </w:rPr>
                    <w:t>第二次</w:t>
                  </w:r>
                </w:p>
              </w:tc>
              <w:tc>
                <w:tcPr>
                  <w:tcW w:w="1450" w:type="pct"/>
                  <w:vAlign w:val="center"/>
                </w:tcPr>
                <w:p>
                  <w:pPr>
                    <w:widowControl/>
                    <w:jc w:val="center"/>
                    <w:textAlignment w:val="center"/>
                    <w:rPr>
                      <w:color w:val="auto"/>
                      <w:kern w:val="0"/>
                      <w:szCs w:val="21"/>
                      <w:lang w:bidi="ar"/>
                    </w:rPr>
                  </w:pPr>
                  <w:r>
                    <w:rPr>
                      <w:rFonts w:hint="eastAsia"/>
                      <w:color w:val="auto"/>
                      <w:kern w:val="0"/>
                      <w:szCs w:val="21"/>
                      <w:lang w:bidi="ar"/>
                    </w:rPr>
                    <w:t>&lt;10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20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pct"/>
                  <w:vMerge w:val="continue"/>
                  <w:vAlign w:val="center"/>
                </w:tcPr>
                <w:p>
                  <w:pPr>
                    <w:pStyle w:val="72"/>
                    <w:rPr>
                      <w:rFonts w:cs="Times New Roman"/>
                      <w:color w:val="auto"/>
                      <w:szCs w:val="21"/>
                    </w:rPr>
                  </w:pPr>
                </w:p>
              </w:tc>
              <w:tc>
                <w:tcPr>
                  <w:tcW w:w="868" w:type="pct"/>
                  <w:vMerge w:val="continue"/>
                  <w:vAlign w:val="center"/>
                </w:tcPr>
                <w:p>
                  <w:pPr>
                    <w:pStyle w:val="72"/>
                    <w:rPr>
                      <w:rFonts w:cs="Times New Roman"/>
                      <w:color w:val="auto"/>
                      <w:szCs w:val="21"/>
                    </w:rPr>
                  </w:pPr>
                </w:p>
              </w:tc>
              <w:tc>
                <w:tcPr>
                  <w:tcW w:w="914" w:type="pct"/>
                  <w:vAlign w:val="center"/>
                </w:tcPr>
                <w:p>
                  <w:pPr>
                    <w:widowControl/>
                    <w:jc w:val="center"/>
                    <w:textAlignment w:val="center"/>
                    <w:rPr>
                      <w:color w:val="auto"/>
                      <w:kern w:val="0"/>
                      <w:szCs w:val="21"/>
                      <w:lang w:bidi="ar"/>
                    </w:rPr>
                  </w:pPr>
                  <w:r>
                    <w:rPr>
                      <w:color w:val="auto"/>
                      <w:kern w:val="0"/>
                      <w:szCs w:val="21"/>
                      <w:lang w:bidi="ar"/>
                    </w:rPr>
                    <w:t>第三次</w:t>
                  </w:r>
                </w:p>
              </w:tc>
              <w:tc>
                <w:tcPr>
                  <w:tcW w:w="1450" w:type="pct"/>
                  <w:vAlign w:val="center"/>
                </w:tcPr>
                <w:p>
                  <w:pPr>
                    <w:widowControl/>
                    <w:jc w:val="center"/>
                    <w:textAlignment w:val="center"/>
                    <w:rPr>
                      <w:color w:val="auto"/>
                      <w:kern w:val="0"/>
                      <w:szCs w:val="21"/>
                      <w:lang w:bidi="ar"/>
                    </w:rPr>
                  </w:pPr>
                  <w:r>
                    <w:rPr>
                      <w:rFonts w:hint="eastAsia"/>
                      <w:color w:val="auto"/>
                      <w:kern w:val="0"/>
                      <w:szCs w:val="21"/>
                      <w:lang w:bidi="ar"/>
                    </w:rPr>
                    <w:t>&lt;10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20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pct"/>
                  <w:vMerge w:val="restart"/>
                  <w:vAlign w:val="center"/>
                </w:tcPr>
                <w:p>
                  <w:pPr>
                    <w:pStyle w:val="72"/>
                    <w:rPr>
                      <w:rFonts w:cs="Times New Roman"/>
                      <w:color w:val="auto"/>
                      <w:szCs w:val="21"/>
                    </w:rPr>
                  </w:pPr>
                  <w:r>
                    <w:rPr>
                      <w:rFonts w:cs="Times New Roman"/>
                      <w:color w:val="auto"/>
                      <w:szCs w:val="21"/>
                    </w:rPr>
                    <w:t>厂界下风向2#</w:t>
                  </w:r>
                </w:p>
              </w:tc>
              <w:tc>
                <w:tcPr>
                  <w:tcW w:w="868" w:type="pct"/>
                  <w:vMerge w:val="continue"/>
                  <w:vAlign w:val="center"/>
                </w:tcPr>
                <w:p>
                  <w:pPr>
                    <w:pStyle w:val="72"/>
                    <w:rPr>
                      <w:rFonts w:cs="Times New Roman"/>
                      <w:color w:val="auto"/>
                      <w:szCs w:val="21"/>
                    </w:rPr>
                  </w:pPr>
                </w:p>
              </w:tc>
              <w:tc>
                <w:tcPr>
                  <w:tcW w:w="914" w:type="pct"/>
                  <w:vAlign w:val="center"/>
                </w:tcPr>
                <w:p>
                  <w:pPr>
                    <w:widowControl/>
                    <w:jc w:val="center"/>
                    <w:textAlignment w:val="center"/>
                    <w:rPr>
                      <w:color w:val="auto"/>
                      <w:kern w:val="0"/>
                      <w:szCs w:val="21"/>
                      <w:lang w:bidi="ar"/>
                    </w:rPr>
                  </w:pPr>
                  <w:r>
                    <w:rPr>
                      <w:color w:val="auto"/>
                      <w:kern w:val="0"/>
                      <w:szCs w:val="21"/>
                      <w:lang w:bidi="ar"/>
                    </w:rPr>
                    <w:t>第一次</w:t>
                  </w:r>
                </w:p>
              </w:tc>
              <w:tc>
                <w:tcPr>
                  <w:tcW w:w="1450" w:type="pct"/>
                  <w:vAlign w:val="center"/>
                </w:tcPr>
                <w:p>
                  <w:pPr>
                    <w:widowControl/>
                    <w:jc w:val="center"/>
                    <w:textAlignment w:val="center"/>
                    <w:rPr>
                      <w:color w:val="auto"/>
                      <w:kern w:val="0"/>
                      <w:szCs w:val="21"/>
                      <w:lang w:bidi="ar"/>
                    </w:rPr>
                  </w:pPr>
                  <w:r>
                    <w:rPr>
                      <w:rFonts w:hint="eastAsia"/>
                      <w:color w:val="auto"/>
                      <w:kern w:val="0"/>
                      <w:szCs w:val="21"/>
                      <w:lang w:bidi="ar"/>
                    </w:rPr>
                    <w:t>&lt;10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20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pct"/>
                  <w:vMerge w:val="continue"/>
                  <w:vAlign w:val="center"/>
                </w:tcPr>
                <w:p>
                  <w:pPr>
                    <w:pStyle w:val="72"/>
                    <w:rPr>
                      <w:rFonts w:cs="Times New Roman"/>
                      <w:color w:val="auto"/>
                      <w:szCs w:val="21"/>
                    </w:rPr>
                  </w:pPr>
                </w:p>
              </w:tc>
              <w:tc>
                <w:tcPr>
                  <w:tcW w:w="868" w:type="pct"/>
                  <w:vMerge w:val="continue"/>
                  <w:vAlign w:val="center"/>
                </w:tcPr>
                <w:p>
                  <w:pPr>
                    <w:pStyle w:val="72"/>
                    <w:rPr>
                      <w:rFonts w:cs="Times New Roman"/>
                      <w:color w:val="auto"/>
                      <w:szCs w:val="21"/>
                    </w:rPr>
                  </w:pPr>
                </w:p>
              </w:tc>
              <w:tc>
                <w:tcPr>
                  <w:tcW w:w="914" w:type="pct"/>
                  <w:vAlign w:val="center"/>
                </w:tcPr>
                <w:p>
                  <w:pPr>
                    <w:widowControl/>
                    <w:jc w:val="center"/>
                    <w:textAlignment w:val="center"/>
                    <w:rPr>
                      <w:color w:val="auto"/>
                      <w:kern w:val="0"/>
                      <w:szCs w:val="21"/>
                      <w:lang w:bidi="ar"/>
                    </w:rPr>
                  </w:pPr>
                  <w:r>
                    <w:rPr>
                      <w:color w:val="auto"/>
                      <w:kern w:val="0"/>
                      <w:szCs w:val="21"/>
                      <w:lang w:bidi="ar"/>
                    </w:rPr>
                    <w:t>第二次</w:t>
                  </w:r>
                </w:p>
              </w:tc>
              <w:tc>
                <w:tcPr>
                  <w:tcW w:w="1450" w:type="pct"/>
                  <w:vAlign w:val="center"/>
                </w:tcPr>
                <w:p>
                  <w:pPr>
                    <w:widowControl/>
                    <w:jc w:val="center"/>
                    <w:textAlignment w:val="center"/>
                    <w:rPr>
                      <w:color w:val="auto"/>
                      <w:kern w:val="0"/>
                      <w:szCs w:val="21"/>
                      <w:lang w:bidi="ar"/>
                    </w:rPr>
                  </w:pPr>
                  <w:r>
                    <w:rPr>
                      <w:rFonts w:hint="eastAsia"/>
                      <w:color w:val="auto"/>
                      <w:kern w:val="0"/>
                      <w:szCs w:val="21"/>
                      <w:lang w:bidi="ar"/>
                    </w:rPr>
                    <w:t>&lt;10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20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pct"/>
                  <w:vMerge w:val="continue"/>
                  <w:vAlign w:val="center"/>
                </w:tcPr>
                <w:p>
                  <w:pPr>
                    <w:pStyle w:val="72"/>
                    <w:rPr>
                      <w:rFonts w:cs="Times New Roman"/>
                      <w:color w:val="auto"/>
                      <w:szCs w:val="21"/>
                    </w:rPr>
                  </w:pPr>
                </w:p>
              </w:tc>
              <w:tc>
                <w:tcPr>
                  <w:tcW w:w="868" w:type="pct"/>
                  <w:vMerge w:val="continue"/>
                  <w:vAlign w:val="center"/>
                </w:tcPr>
                <w:p>
                  <w:pPr>
                    <w:pStyle w:val="72"/>
                    <w:rPr>
                      <w:rFonts w:cs="Times New Roman"/>
                      <w:color w:val="auto"/>
                      <w:szCs w:val="21"/>
                    </w:rPr>
                  </w:pPr>
                </w:p>
              </w:tc>
              <w:tc>
                <w:tcPr>
                  <w:tcW w:w="914" w:type="pct"/>
                  <w:vAlign w:val="center"/>
                </w:tcPr>
                <w:p>
                  <w:pPr>
                    <w:widowControl/>
                    <w:jc w:val="center"/>
                    <w:textAlignment w:val="center"/>
                    <w:rPr>
                      <w:color w:val="auto"/>
                      <w:kern w:val="0"/>
                      <w:szCs w:val="21"/>
                      <w:lang w:bidi="ar"/>
                    </w:rPr>
                  </w:pPr>
                  <w:r>
                    <w:rPr>
                      <w:color w:val="auto"/>
                      <w:kern w:val="0"/>
                      <w:szCs w:val="21"/>
                      <w:lang w:bidi="ar"/>
                    </w:rPr>
                    <w:t>第三次</w:t>
                  </w:r>
                </w:p>
              </w:tc>
              <w:tc>
                <w:tcPr>
                  <w:tcW w:w="1450" w:type="pct"/>
                  <w:vAlign w:val="center"/>
                </w:tcPr>
                <w:p>
                  <w:pPr>
                    <w:widowControl/>
                    <w:jc w:val="center"/>
                    <w:textAlignment w:val="center"/>
                    <w:rPr>
                      <w:color w:val="auto"/>
                      <w:kern w:val="0"/>
                      <w:szCs w:val="21"/>
                      <w:lang w:bidi="ar"/>
                    </w:rPr>
                  </w:pPr>
                  <w:r>
                    <w:rPr>
                      <w:rFonts w:hint="eastAsia"/>
                      <w:color w:val="auto"/>
                      <w:kern w:val="0"/>
                      <w:szCs w:val="21"/>
                      <w:lang w:bidi="ar"/>
                    </w:rPr>
                    <w:t>&lt;10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20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pct"/>
                  <w:vMerge w:val="restart"/>
                  <w:vAlign w:val="center"/>
                </w:tcPr>
                <w:p>
                  <w:pPr>
                    <w:pStyle w:val="72"/>
                    <w:rPr>
                      <w:rFonts w:cs="Times New Roman"/>
                      <w:color w:val="auto"/>
                      <w:szCs w:val="21"/>
                    </w:rPr>
                  </w:pPr>
                  <w:r>
                    <w:rPr>
                      <w:rFonts w:cs="Times New Roman"/>
                      <w:color w:val="auto"/>
                      <w:szCs w:val="21"/>
                    </w:rPr>
                    <w:t>厂界下风向3#</w:t>
                  </w:r>
                </w:p>
              </w:tc>
              <w:tc>
                <w:tcPr>
                  <w:tcW w:w="868" w:type="pct"/>
                  <w:vMerge w:val="continue"/>
                  <w:vAlign w:val="center"/>
                </w:tcPr>
                <w:p>
                  <w:pPr>
                    <w:pStyle w:val="72"/>
                    <w:rPr>
                      <w:rFonts w:cs="Times New Roman"/>
                      <w:color w:val="auto"/>
                      <w:szCs w:val="21"/>
                    </w:rPr>
                  </w:pPr>
                </w:p>
              </w:tc>
              <w:tc>
                <w:tcPr>
                  <w:tcW w:w="914" w:type="pct"/>
                  <w:vAlign w:val="center"/>
                </w:tcPr>
                <w:p>
                  <w:pPr>
                    <w:widowControl/>
                    <w:jc w:val="center"/>
                    <w:textAlignment w:val="center"/>
                    <w:rPr>
                      <w:color w:val="auto"/>
                      <w:kern w:val="0"/>
                      <w:szCs w:val="21"/>
                      <w:lang w:bidi="ar"/>
                    </w:rPr>
                  </w:pPr>
                  <w:r>
                    <w:rPr>
                      <w:color w:val="auto"/>
                      <w:kern w:val="0"/>
                      <w:szCs w:val="21"/>
                      <w:lang w:bidi="ar"/>
                    </w:rPr>
                    <w:t>第一次</w:t>
                  </w:r>
                </w:p>
              </w:tc>
              <w:tc>
                <w:tcPr>
                  <w:tcW w:w="1450" w:type="pct"/>
                  <w:vAlign w:val="center"/>
                </w:tcPr>
                <w:p>
                  <w:pPr>
                    <w:widowControl/>
                    <w:jc w:val="center"/>
                    <w:textAlignment w:val="center"/>
                    <w:rPr>
                      <w:color w:val="auto"/>
                      <w:kern w:val="0"/>
                      <w:szCs w:val="21"/>
                      <w:lang w:bidi="ar"/>
                    </w:rPr>
                  </w:pPr>
                  <w:r>
                    <w:rPr>
                      <w:rFonts w:hint="eastAsia"/>
                      <w:color w:val="auto"/>
                      <w:kern w:val="0"/>
                      <w:szCs w:val="21"/>
                      <w:lang w:bidi="ar"/>
                    </w:rPr>
                    <w:t>&lt;10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20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pct"/>
                  <w:vMerge w:val="continue"/>
                  <w:vAlign w:val="center"/>
                </w:tcPr>
                <w:p>
                  <w:pPr>
                    <w:pStyle w:val="72"/>
                    <w:rPr>
                      <w:rFonts w:cs="Times New Roman"/>
                      <w:color w:val="auto"/>
                      <w:szCs w:val="21"/>
                    </w:rPr>
                  </w:pPr>
                </w:p>
              </w:tc>
              <w:tc>
                <w:tcPr>
                  <w:tcW w:w="868" w:type="pct"/>
                  <w:vMerge w:val="continue"/>
                  <w:vAlign w:val="center"/>
                </w:tcPr>
                <w:p>
                  <w:pPr>
                    <w:pStyle w:val="72"/>
                    <w:rPr>
                      <w:rFonts w:cs="Times New Roman"/>
                      <w:color w:val="auto"/>
                      <w:szCs w:val="21"/>
                    </w:rPr>
                  </w:pPr>
                </w:p>
              </w:tc>
              <w:tc>
                <w:tcPr>
                  <w:tcW w:w="914" w:type="pct"/>
                  <w:vAlign w:val="center"/>
                </w:tcPr>
                <w:p>
                  <w:pPr>
                    <w:widowControl/>
                    <w:jc w:val="center"/>
                    <w:textAlignment w:val="center"/>
                    <w:rPr>
                      <w:color w:val="auto"/>
                      <w:kern w:val="0"/>
                      <w:szCs w:val="21"/>
                      <w:lang w:bidi="ar"/>
                    </w:rPr>
                  </w:pPr>
                  <w:r>
                    <w:rPr>
                      <w:color w:val="auto"/>
                      <w:kern w:val="0"/>
                      <w:szCs w:val="21"/>
                      <w:lang w:bidi="ar"/>
                    </w:rPr>
                    <w:t>第二次</w:t>
                  </w:r>
                </w:p>
              </w:tc>
              <w:tc>
                <w:tcPr>
                  <w:tcW w:w="1450" w:type="pct"/>
                  <w:vAlign w:val="center"/>
                </w:tcPr>
                <w:p>
                  <w:pPr>
                    <w:widowControl/>
                    <w:jc w:val="center"/>
                    <w:textAlignment w:val="center"/>
                    <w:rPr>
                      <w:color w:val="auto"/>
                      <w:kern w:val="0"/>
                      <w:szCs w:val="21"/>
                      <w:lang w:bidi="ar"/>
                    </w:rPr>
                  </w:pPr>
                  <w:r>
                    <w:rPr>
                      <w:rFonts w:hint="eastAsia"/>
                      <w:color w:val="auto"/>
                      <w:kern w:val="0"/>
                      <w:szCs w:val="21"/>
                      <w:lang w:bidi="ar"/>
                    </w:rPr>
                    <w:t>&lt;10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20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pct"/>
                  <w:vMerge w:val="continue"/>
                  <w:vAlign w:val="center"/>
                </w:tcPr>
                <w:p>
                  <w:pPr>
                    <w:pStyle w:val="72"/>
                    <w:rPr>
                      <w:rFonts w:cs="Times New Roman"/>
                      <w:color w:val="auto"/>
                      <w:szCs w:val="21"/>
                    </w:rPr>
                  </w:pPr>
                </w:p>
              </w:tc>
              <w:tc>
                <w:tcPr>
                  <w:tcW w:w="868" w:type="pct"/>
                  <w:vMerge w:val="continue"/>
                  <w:vAlign w:val="center"/>
                </w:tcPr>
                <w:p>
                  <w:pPr>
                    <w:pStyle w:val="72"/>
                    <w:rPr>
                      <w:rFonts w:cs="Times New Roman"/>
                      <w:color w:val="auto"/>
                      <w:szCs w:val="21"/>
                    </w:rPr>
                  </w:pPr>
                </w:p>
              </w:tc>
              <w:tc>
                <w:tcPr>
                  <w:tcW w:w="914" w:type="pct"/>
                  <w:vAlign w:val="center"/>
                </w:tcPr>
                <w:p>
                  <w:pPr>
                    <w:widowControl/>
                    <w:jc w:val="center"/>
                    <w:textAlignment w:val="center"/>
                    <w:rPr>
                      <w:color w:val="auto"/>
                      <w:kern w:val="0"/>
                      <w:szCs w:val="21"/>
                      <w:lang w:bidi="ar"/>
                    </w:rPr>
                  </w:pPr>
                  <w:r>
                    <w:rPr>
                      <w:color w:val="auto"/>
                      <w:kern w:val="0"/>
                      <w:szCs w:val="21"/>
                      <w:lang w:bidi="ar"/>
                    </w:rPr>
                    <w:t>第三次</w:t>
                  </w:r>
                </w:p>
              </w:tc>
              <w:tc>
                <w:tcPr>
                  <w:tcW w:w="1450" w:type="pct"/>
                  <w:vAlign w:val="center"/>
                </w:tcPr>
                <w:p>
                  <w:pPr>
                    <w:widowControl/>
                    <w:jc w:val="center"/>
                    <w:textAlignment w:val="center"/>
                    <w:rPr>
                      <w:color w:val="auto"/>
                      <w:szCs w:val="21"/>
                    </w:rPr>
                  </w:pPr>
                  <w:r>
                    <w:rPr>
                      <w:rFonts w:hint="eastAsia"/>
                      <w:color w:val="auto"/>
                      <w:kern w:val="0"/>
                      <w:szCs w:val="21"/>
                      <w:lang w:bidi="ar"/>
                    </w:rPr>
                    <w:t>&lt;10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20</w:t>
                  </w:r>
                </w:p>
              </w:tc>
              <w:tc>
                <w:tcPr>
                  <w:tcW w:w="543" w:type="pct"/>
                  <w:vAlign w:val="center"/>
                </w:tcPr>
                <w:p>
                  <w:pPr>
                    <w:widowControl/>
                    <w:jc w:val="center"/>
                    <w:textAlignment w:val="center"/>
                    <w:rPr>
                      <w:color w:val="auto"/>
                      <w:kern w:val="0"/>
                      <w:szCs w:val="21"/>
                      <w:lang w:bidi="ar"/>
                    </w:rPr>
                  </w:pPr>
                  <w:r>
                    <w:rPr>
                      <w:rFonts w:hint="eastAsia"/>
                      <w:color w:val="auto"/>
                      <w:kern w:val="0"/>
                      <w:szCs w:val="21"/>
                      <w:lang w:bidi="ar"/>
                    </w:rPr>
                    <w:t>达标</w:t>
                  </w:r>
                </w:p>
              </w:tc>
            </w:tr>
          </w:tbl>
          <w:p>
            <w:pPr>
              <w:autoSpaceDE w:val="0"/>
              <w:autoSpaceDN w:val="0"/>
              <w:spacing w:line="360" w:lineRule="auto"/>
              <w:ind w:firstLine="480" w:firstLineChars="200"/>
              <w:rPr>
                <w:color w:val="auto"/>
                <w:sz w:val="24"/>
                <w:szCs w:val="24"/>
              </w:rPr>
            </w:pPr>
            <w:r>
              <w:rPr>
                <w:color w:val="auto"/>
                <w:sz w:val="24"/>
                <w:szCs w:val="24"/>
              </w:rPr>
              <w:t>综上分析，本项目有组织废气和无组织废气均可实现达标排放。</w:t>
            </w:r>
          </w:p>
          <w:p>
            <w:pPr>
              <w:autoSpaceDE w:val="0"/>
              <w:autoSpaceDN w:val="0"/>
              <w:spacing w:line="360" w:lineRule="auto"/>
              <w:ind w:firstLine="480" w:firstLineChars="200"/>
              <w:rPr>
                <w:color w:val="auto"/>
                <w:sz w:val="24"/>
                <w:szCs w:val="24"/>
              </w:rPr>
            </w:pPr>
            <w:r>
              <w:rPr>
                <w:color w:val="auto"/>
                <w:sz w:val="24"/>
                <w:szCs w:val="24"/>
              </w:rPr>
              <w:t>项目所在区域属于环境空气质量达标区。项目厂界外500m范围内无自然保护区、风景名胜区、居住区、文化区和农村地区中人群较集中的区域等大气环境保护目标，项目与周边环境相容性较强，由于废气经采取有效的治理措施后排放源强较小，均满足达标排放要求，总体对环境影响不大。</w:t>
            </w:r>
          </w:p>
          <w:p>
            <w:pPr>
              <w:spacing w:line="360" w:lineRule="auto"/>
              <w:ind w:firstLine="480" w:firstLineChars="200"/>
              <w:rPr>
                <w:color w:val="auto"/>
                <w:kern w:val="0"/>
                <w:sz w:val="24"/>
                <w:szCs w:val="24"/>
              </w:rPr>
            </w:pPr>
            <w:r>
              <w:rPr>
                <w:color w:val="auto"/>
                <w:kern w:val="0"/>
                <w:sz w:val="24"/>
                <w:szCs w:val="24"/>
              </w:rPr>
              <w:t>为了进一步降低生产废气排放对周围环境空气的影响，本次评价提出以下建议措施：</w:t>
            </w:r>
          </w:p>
          <w:p>
            <w:pPr>
              <w:spacing w:line="360" w:lineRule="auto"/>
              <w:ind w:firstLine="480" w:firstLineChars="200"/>
              <w:rPr>
                <w:color w:val="auto"/>
                <w:kern w:val="0"/>
                <w:sz w:val="24"/>
                <w:szCs w:val="24"/>
              </w:rPr>
            </w:pPr>
            <w:r>
              <w:rPr>
                <w:rFonts w:hint="eastAsia" w:ascii="宋体" w:hAnsi="宋体" w:cs="Cambria Math"/>
                <w:color w:val="auto"/>
                <w:sz w:val="24"/>
                <w:szCs w:val="24"/>
              </w:rPr>
              <w:t>①</w:t>
            </w:r>
            <w:r>
              <w:rPr>
                <w:color w:val="auto"/>
                <w:kern w:val="0"/>
                <w:sz w:val="24"/>
                <w:szCs w:val="24"/>
              </w:rPr>
              <w:t>加强管理，明确岗位责任制，定期检查、维修、保养设备及构件，确保各种工艺、电气、设备的正常运转。</w:t>
            </w:r>
          </w:p>
          <w:p>
            <w:pPr>
              <w:spacing w:line="360" w:lineRule="auto"/>
              <w:ind w:firstLine="480" w:firstLineChars="200"/>
              <w:rPr>
                <w:color w:val="auto"/>
                <w:sz w:val="24"/>
                <w:szCs w:val="24"/>
              </w:rPr>
            </w:pPr>
            <w:r>
              <w:rPr>
                <w:rFonts w:hint="eastAsia" w:ascii="宋体" w:hAnsi="宋体" w:cs="Cambria Math"/>
                <w:color w:val="auto"/>
                <w:sz w:val="24"/>
                <w:szCs w:val="24"/>
              </w:rPr>
              <w:t>②</w:t>
            </w:r>
            <w:r>
              <w:rPr>
                <w:color w:val="auto"/>
                <w:kern w:val="0"/>
                <w:sz w:val="24"/>
                <w:szCs w:val="24"/>
              </w:rPr>
              <w:t>定期对</w:t>
            </w:r>
            <w:r>
              <w:rPr>
                <w:rFonts w:ascii="宋体" w:hAnsi="宋体"/>
                <w:color w:val="auto"/>
                <w:sz w:val="24"/>
                <w:szCs w:val="24"/>
              </w:rPr>
              <w:t>“过滤棉+</w:t>
            </w:r>
            <w:r>
              <w:rPr>
                <w:rFonts w:hint="eastAsia" w:ascii="宋体" w:hAnsi="宋体"/>
                <w:color w:val="auto"/>
                <w:sz w:val="24"/>
                <w:szCs w:val="24"/>
                <w:lang w:eastAsia="zh-CN"/>
              </w:rPr>
              <w:t>三级活性炭</w:t>
            </w:r>
            <w:r>
              <w:rPr>
                <w:rFonts w:ascii="宋体" w:hAnsi="宋体"/>
                <w:color w:val="auto"/>
                <w:sz w:val="24"/>
                <w:szCs w:val="24"/>
              </w:rPr>
              <w:t>吸附装置”</w:t>
            </w:r>
            <w:r>
              <w:rPr>
                <w:color w:val="auto"/>
                <w:kern w:val="0"/>
                <w:sz w:val="24"/>
                <w:szCs w:val="24"/>
              </w:rPr>
              <w:t>进行检查，如若发现故障情况应及时终止相关产污设备运行并维修环保设备，待</w:t>
            </w:r>
            <w:r>
              <w:rPr>
                <w:rFonts w:ascii="宋体" w:hAnsi="宋体"/>
                <w:color w:val="auto"/>
                <w:sz w:val="24"/>
                <w:szCs w:val="24"/>
              </w:rPr>
              <w:t>“过滤棉+</w:t>
            </w:r>
            <w:r>
              <w:rPr>
                <w:rFonts w:hint="eastAsia" w:ascii="宋体" w:hAnsi="宋体"/>
                <w:color w:val="auto"/>
                <w:sz w:val="24"/>
                <w:szCs w:val="24"/>
                <w:lang w:eastAsia="zh-CN"/>
              </w:rPr>
              <w:t>三级活性炭</w:t>
            </w:r>
            <w:r>
              <w:rPr>
                <w:rFonts w:ascii="宋体" w:hAnsi="宋体"/>
                <w:color w:val="auto"/>
                <w:sz w:val="24"/>
                <w:szCs w:val="24"/>
              </w:rPr>
              <w:t>吸附装置”</w:t>
            </w:r>
            <w:r>
              <w:rPr>
                <w:color w:val="auto"/>
                <w:sz w:val="24"/>
                <w:szCs w:val="24"/>
              </w:rPr>
              <w:t>可</w:t>
            </w:r>
            <w:r>
              <w:rPr>
                <w:color w:val="auto"/>
                <w:kern w:val="0"/>
                <w:sz w:val="24"/>
                <w:szCs w:val="24"/>
              </w:rPr>
              <w:t>正常投入使用时方可生产，</w:t>
            </w:r>
            <w:r>
              <w:rPr>
                <w:color w:val="auto"/>
                <w:sz w:val="24"/>
                <w:szCs w:val="24"/>
              </w:rPr>
              <w:t>避免非正常排放废气对环境的影响。</w:t>
            </w:r>
          </w:p>
          <w:p>
            <w:pPr>
              <w:spacing w:line="360" w:lineRule="auto"/>
              <w:ind w:firstLine="480" w:firstLineChars="200"/>
              <w:rPr>
                <w:color w:val="auto"/>
                <w:sz w:val="24"/>
                <w:szCs w:val="24"/>
              </w:rPr>
            </w:pPr>
            <w:r>
              <w:rPr>
                <w:rFonts w:hint="eastAsia" w:ascii="宋体" w:hAnsi="宋体"/>
                <w:color w:val="auto"/>
                <w:sz w:val="24"/>
                <w:szCs w:val="24"/>
              </w:rPr>
              <w:t>③原料堆放区喷洒除臭剂。</w:t>
            </w:r>
          </w:p>
          <w:p>
            <w:pPr>
              <w:widowControl/>
              <w:spacing w:line="360" w:lineRule="auto"/>
              <w:ind w:firstLine="482" w:firstLineChars="200"/>
              <w:rPr>
                <w:color w:val="auto"/>
                <w:kern w:val="0"/>
                <w:sz w:val="24"/>
                <w:szCs w:val="24"/>
              </w:rPr>
            </w:pPr>
            <w:r>
              <w:rPr>
                <w:b/>
                <w:color w:val="auto"/>
                <w:sz w:val="24"/>
                <w:szCs w:val="24"/>
              </w:rPr>
              <w:t>2、废水</w:t>
            </w:r>
          </w:p>
          <w:p>
            <w:pPr>
              <w:widowControl/>
              <w:adjustRightInd w:val="0"/>
              <w:snapToGrid w:val="0"/>
              <w:spacing w:line="360" w:lineRule="auto"/>
              <w:ind w:firstLine="482" w:firstLineChars="200"/>
              <w:rPr>
                <w:b/>
                <w:bCs/>
                <w:color w:val="auto"/>
                <w:sz w:val="24"/>
                <w:szCs w:val="24"/>
              </w:rPr>
            </w:pPr>
            <w:r>
              <w:rPr>
                <w:b/>
                <w:bCs/>
                <w:color w:val="auto"/>
                <w:sz w:val="24"/>
                <w:szCs w:val="24"/>
              </w:rPr>
              <w:t>（1）废水产生及处置方式</w:t>
            </w:r>
          </w:p>
          <w:p>
            <w:pPr>
              <w:adjustRightInd w:val="0"/>
              <w:snapToGrid w:val="0"/>
              <w:spacing w:line="360" w:lineRule="auto"/>
              <w:ind w:firstLine="482" w:firstLineChars="200"/>
              <w:rPr>
                <w:b/>
                <w:color w:val="auto"/>
                <w:sz w:val="24"/>
                <w:szCs w:val="24"/>
              </w:rPr>
            </w:pPr>
            <w:r>
              <w:rPr>
                <w:b/>
                <w:color w:val="auto"/>
                <w:sz w:val="24"/>
                <w:szCs w:val="24"/>
              </w:rPr>
              <w:t>1）生产废水</w:t>
            </w:r>
          </w:p>
          <w:p>
            <w:pPr>
              <w:adjustRightInd w:val="0"/>
              <w:snapToGrid w:val="0"/>
              <w:spacing w:line="360" w:lineRule="auto"/>
              <w:ind w:firstLine="480" w:firstLineChars="200"/>
              <w:rPr>
                <w:bCs/>
                <w:color w:val="auto"/>
                <w:sz w:val="24"/>
                <w:szCs w:val="24"/>
              </w:rPr>
            </w:pPr>
            <w:r>
              <w:rPr>
                <w:rFonts w:hint="eastAsia"/>
                <w:bCs/>
                <w:color w:val="auto"/>
                <w:kern w:val="0"/>
                <w:sz w:val="24"/>
                <w:szCs w:val="24"/>
                <w:lang w:val="en-US" w:eastAsia="zh-CN"/>
              </w:rPr>
              <w:t>项目原料为东晟纸业清洗干净后的干料，本项目不清洗，运营期</w:t>
            </w:r>
            <w:r>
              <w:rPr>
                <w:bCs/>
                <w:color w:val="auto"/>
                <w:kern w:val="0"/>
                <w:sz w:val="24"/>
                <w:szCs w:val="24"/>
              </w:rPr>
              <w:t>项目</w:t>
            </w:r>
            <w:r>
              <w:rPr>
                <w:rFonts w:hint="eastAsia"/>
                <w:bCs/>
                <w:color w:val="auto"/>
                <w:kern w:val="0"/>
                <w:sz w:val="24"/>
                <w:szCs w:val="24"/>
              </w:rPr>
              <w:t>用水主要为设备冷却用水</w:t>
            </w:r>
            <w:r>
              <w:rPr>
                <w:rFonts w:hint="eastAsia"/>
                <w:bCs/>
                <w:color w:val="auto"/>
                <w:kern w:val="0"/>
                <w:sz w:val="24"/>
                <w:szCs w:val="24"/>
                <w:lang w:eastAsia="zh-CN"/>
              </w:rPr>
              <w:t>、电捕焦油器洗涤用水</w:t>
            </w:r>
            <w:r>
              <w:rPr>
                <w:rFonts w:hint="eastAsia"/>
                <w:bCs/>
                <w:color w:val="auto"/>
                <w:kern w:val="0"/>
                <w:sz w:val="24"/>
                <w:szCs w:val="24"/>
              </w:rPr>
              <w:t>及生活用水，</w:t>
            </w:r>
          </w:p>
          <w:p>
            <w:pPr>
              <w:adjustRightInd w:val="0"/>
              <w:snapToGrid w:val="0"/>
              <w:spacing w:line="360" w:lineRule="auto"/>
              <w:ind w:firstLine="482" w:firstLineChars="200"/>
              <w:rPr>
                <w:b/>
                <w:color w:val="auto"/>
                <w:kern w:val="0"/>
                <w:sz w:val="24"/>
                <w:szCs w:val="24"/>
              </w:rPr>
            </w:pPr>
            <w:r>
              <w:rPr>
                <w:rFonts w:hint="eastAsia"/>
                <w:b/>
                <w:bCs/>
                <w:color w:val="auto"/>
                <w:sz w:val="24"/>
                <w:szCs w:val="24"/>
                <w:lang w:val="en-US" w:eastAsia="zh-CN"/>
              </w:rPr>
              <w:t>①</w:t>
            </w:r>
            <w:r>
              <w:rPr>
                <w:rFonts w:hint="eastAsia"/>
                <w:b/>
                <w:color w:val="auto"/>
                <w:kern w:val="0"/>
                <w:sz w:val="24"/>
                <w:szCs w:val="24"/>
                <w:lang w:val="en-US" w:eastAsia="zh-CN"/>
              </w:rPr>
              <w:t>循环</w:t>
            </w:r>
            <w:r>
              <w:rPr>
                <w:rFonts w:hint="eastAsia"/>
                <w:b/>
                <w:color w:val="auto"/>
                <w:kern w:val="0"/>
                <w:sz w:val="24"/>
                <w:szCs w:val="24"/>
              </w:rPr>
              <w:t>冷却水</w:t>
            </w:r>
          </w:p>
          <w:p>
            <w:pPr>
              <w:adjustRightInd w:val="0"/>
              <w:snapToGrid w:val="0"/>
              <w:spacing w:line="360" w:lineRule="auto"/>
              <w:ind w:firstLine="480" w:firstLineChars="200"/>
              <w:rPr>
                <w:color w:val="auto"/>
                <w:sz w:val="24"/>
                <w:szCs w:val="24"/>
                <w:shd w:val="clear" w:color="auto" w:fill="FFFFFF"/>
              </w:rPr>
            </w:pPr>
            <w:r>
              <w:rPr>
                <w:bCs/>
                <w:color w:val="auto"/>
                <w:kern w:val="0"/>
                <w:sz w:val="24"/>
                <w:szCs w:val="24"/>
              </w:rPr>
              <w:t>本项目</w:t>
            </w:r>
            <w:r>
              <w:rPr>
                <w:rFonts w:hint="eastAsia"/>
                <w:bCs/>
                <w:color w:val="auto"/>
                <w:kern w:val="0"/>
                <w:sz w:val="24"/>
                <w:szCs w:val="24"/>
              </w:rPr>
              <w:t>冷却水主要为</w:t>
            </w:r>
            <w:r>
              <w:rPr>
                <w:rFonts w:hint="eastAsia"/>
                <w:bCs/>
                <w:color w:val="auto"/>
                <w:sz w:val="24"/>
                <w:szCs w:val="24"/>
              </w:rPr>
              <w:t>热熔造粒机设备冷却水，</w:t>
            </w:r>
            <w:r>
              <w:rPr>
                <w:bCs/>
                <w:color w:val="auto"/>
                <w:kern w:val="0"/>
                <w:sz w:val="24"/>
                <w:szCs w:val="24"/>
              </w:rPr>
              <w:t>冷却水循环使用，不外排。</w:t>
            </w:r>
            <w:r>
              <w:rPr>
                <w:color w:val="auto"/>
                <w:sz w:val="24"/>
                <w:szCs w:val="24"/>
              </w:rPr>
              <w:t>冷却循环水量为</w:t>
            </w:r>
            <w:r>
              <w:rPr>
                <w:rFonts w:hint="eastAsia"/>
                <w:color w:val="auto"/>
                <w:sz w:val="24"/>
                <w:szCs w:val="24"/>
              </w:rPr>
              <w:t>1</w:t>
            </w:r>
            <w:r>
              <w:rPr>
                <w:color w:val="auto"/>
                <w:sz w:val="24"/>
                <w:szCs w:val="24"/>
              </w:rPr>
              <w:t>m</w:t>
            </w:r>
            <w:r>
              <w:rPr>
                <w:color w:val="auto"/>
                <w:sz w:val="24"/>
                <w:szCs w:val="24"/>
                <w:vertAlign w:val="superscript"/>
              </w:rPr>
              <w:t>3</w:t>
            </w:r>
            <w:r>
              <w:rPr>
                <w:color w:val="auto"/>
                <w:sz w:val="24"/>
                <w:szCs w:val="24"/>
              </w:rPr>
              <w:t>/h，全天运行</w:t>
            </w:r>
            <w:r>
              <w:rPr>
                <w:rFonts w:hint="eastAsia"/>
                <w:color w:val="auto"/>
                <w:sz w:val="24"/>
                <w:szCs w:val="24"/>
                <w:lang w:val="en-US" w:eastAsia="zh-CN"/>
              </w:rPr>
              <w:t>24</w:t>
            </w:r>
            <w:r>
              <w:rPr>
                <w:color w:val="auto"/>
                <w:sz w:val="24"/>
                <w:szCs w:val="24"/>
              </w:rPr>
              <w:t>h，循环水量</w:t>
            </w:r>
            <w:r>
              <w:rPr>
                <w:rFonts w:hint="eastAsia"/>
                <w:color w:val="auto"/>
                <w:sz w:val="24"/>
                <w:szCs w:val="24"/>
                <w:lang w:val="en-US" w:eastAsia="zh-CN"/>
              </w:rPr>
              <w:t>10</w:t>
            </w:r>
            <w:r>
              <w:rPr>
                <w:color w:val="auto"/>
                <w:sz w:val="24"/>
                <w:szCs w:val="24"/>
              </w:rPr>
              <w:t>m</w:t>
            </w:r>
            <w:r>
              <w:rPr>
                <w:color w:val="auto"/>
                <w:sz w:val="24"/>
                <w:szCs w:val="24"/>
                <w:vertAlign w:val="superscript"/>
              </w:rPr>
              <w:t>3</w:t>
            </w:r>
            <w:r>
              <w:rPr>
                <w:color w:val="auto"/>
                <w:sz w:val="24"/>
                <w:szCs w:val="24"/>
              </w:rPr>
              <w:t>/d。</w:t>
            </w:r>
            <w:r>
              <w:rPr>
                <w:color w:val="auto"/>
                <w:sz w:val="24"/>
                <w:szCs w:val="24"/>
                <w:shd w:val="clear" w:color="auto" w:fill="FFFFFF"/>
              </w:rPr>
              <w:t>考虑用水损耗，需补充新鲜水。</w:t>
            </w:r>
            <w:r>
              <w:rPr>
                <w:rFonts w:hint="eastAsia"/>
                <w:color w:val="auto"/>
                <w:sz w:val="24"/>
                <w:szCs w:val="24"/>
                <w:shd w:val="clear" w:color="auto" w:fill="FFFFFF"/>
                <w:lang w:val="en-US" w:eastAsia="zh-CN"/>
              </w:rPr>
              <w:t>该部分水量</w:t>
            </w:r>
            <w:r>
              <w:rPr>
                <w:color w:val="auto"/>
                <w:sz w:val="24"/>
                <w:szCs w:val="24"/>
                <w:shd w:val="clear" w:color="auto" w:fill="FFFFFF"/>
              </w:rPr>
              <w:t>参照《工业循环冷却水处理设计规范》（GB50050-2017）中的蒸发损失水量公式进行计算。</w:t>
            </w:r>
          </w:p>
          <w:p>
            <w:pPr>
              <w:adjustRightInd w:val="0"/>
              <w:snapToGrid w:val="0"/>
              <w:spacing w:line="360" w:lineRule="auto"/>
              <w:jc w:val="center"/>
              <w:rPr>
                <w:color w:val="auto"/>
                <w:sz w:val="24"/>
                <w:szCs w:val="24"/>
                <w:shd w:val="clear" w:color="auto" w:fill="FFFFFF"/>
              </w:rPr>
            </w:pPr>
            <w:r>
              <w:rPr>
                <w:color w:val="auto"/>
                <w:sz w:val="24"/>
                <w:szCs w:val="24"/>
                <w:shd w:val="clear" w:color="auto" w:fill="FFFFFF"/>
              </w:rPr>
              <w:t>Q</w:t>
            </w:r>
            <w:r>
              <w:rPr>
                <w:color w:val="auto"/>
                <w:sz w:val="24"/>
                <w:szCs w:val="24"/>
                <w:shd w:val="clear" w:color="auto" w:fill="FFFFFF"/>
                <w:vertAlign w:val="subscript"/>
              </w:rPr>
              <w:t>e</w:t>
            </w:r>
            <w:r>
              <w:rPr>
                <w:color w:val="auto"/>
                <w:sz w:val="24"/>
                <w:szCs w:val="24"/>
                <w:shd w:val="clear" w:color="auto" w:fill="FFFFFF"/>
              </w:rPr>
              <w:t>=k·Δt·Q</w:t>
            </w:r>
            <w:r>
              <w:rPr>
                <w:color w:val="auto"/>
                <w:sz w:val="24"/>
                <w:szCs w:val="24"/>
                <w:shd w:val="clear" w:color="auto" w:fill="FFFFFF"/>
                <w:vertAlign w:val="subscript"/>
              </w:rPr>
              <w:t>r</w:t>
            </w:r>
          </w:p>
          <w:p>
            <w:pPr>
              <w:adjustRightInd w:val="0"/>
              <w:snapToGrid w:val="0"/>
              <w:spacing w:line="360" w:lineRule="auto"/>
              <w:ind w:firstLine="480" w:firstLineChars="200"/>
              <w:rPr>
                <w:color w:val="auto"/>
                <w:sz w:val="24"/>
                <w:szCs w:val="24"/>
                <w:shd w:val="clear" w:color="auto" w:fill="FFFFFF"/>
              </w:rPr>
            </w:pPr>
            <w:r>
              <w:rPr>
                <w:color w:val="auto"/>
                <w:sz w:val="24"/>
                <w:szCs w:val="24"/>
                <w:shd w:val="clear" w:color="auto" w:fill="FFFFFF"/>
              </w:rPr>
              <w:t>式中：Q</w:t>
            </w:r>
            <w:r>
              <w:rPr>
                <w:color w:val="auto"/>
                <w:sz w:val="24"/>
                <w:szCs w:val="24"/>
                <w:shd w:val="clear" w:color="auto" w:fill="FFFFFF"/>
                <w:vertAlign w:val="subscript"/>
              </w:rPr>
              <w:t>e</w:t>
            </w:r>
            <w:r>
              <w:rPr>
                <w:color w:val="auto"/>
                <w:spacing w:val="-22"/>
                <w:sz w:val="24"/>
                <w:szCs w:val="24"/>
                <w:shd w:val="clear" w:color="auto" w:fill="FFFFFF"/>
              </w:rPr>
              <w:t>——</w:t>
            </w:r>
            <w:r>
              <w:rPr>
                <w:color w:val="auto"/>
                <w:sz w:val="24"/>
                <w:szCs w:val="24"/>
                <w:shd w:val="clear" w:color="auto" w:fill="FFFFFF"/>
              </w:rPr>
              <w:t>蒸发损失水量，m</w:t>
            </w:r>
            <w:r>
              <w:rPr>
                <w:color w:val="auto"/>
                <w:sz w:val="24"/>
                <w:szCs w:val="24"/>
                <w:shd w:val="clear" w:color="auto" w:fill="FFFFFF"/>
                <w:vertAlign w:val="superscript"/>
              </w:rPr>
              <w:t>3</w:t>
            </w:r>
            <w:r>
              <w:rPr>
                <w:color w:val="auto"/>
                <w:sz w:val="24"/>
                <w:szCs w:val="24"/>
                <w:shd w:val="clear" w:color="auto" w:fill="FFFFFF"/>
              </w:rPr>
              <w:t>/h；</w:t>
            </w:r>
          </w:p>
          <w:p>
            <w:pPr>
              <w:adjustRightInd w:val="0"/>
              <w:snapToGrid w:val="0"/>
              <w:spacing w:line="360" w:lineRule="auto"/>
              <w:ind w:firstLine="1200" w:firstLineChars="500"/>
              <w:rPr>
                <w:color w:val="auto"/>
                <w:sz w:val="24"/>
                <w:szCs w:val="24"/>
                <w:shd w:val="clear" w:color="auto" w:fill="FFFFFF"/>
              </w:rPr>
            </w:pPr>
            <w:r>
              <w:rPr>
                <w:color w:val="auto"/>
                <w:sz w:val="24"/>
                <w:szCs w:val="24"/>
                <w:shd w:val="clear" w:color="auto" w:fill="FFFFFF"/>
              </w:rPr>
              <w:t>k</w:t>
            </w:r>
            <w:r>
              <w:rPr>
                <w:color w:val="auto"/>
                <w:spacing w:val="-20"/>
                <w:sz w:val="24"/>
                <w:szCs w:val="24"/>
                <w:shd w:val="clear" w:color="auto" w:fill="FFFFFF"/>
              </w:rPr>
              <w:t>——</w:t>
            </w:r>
            <w:r>
              <w:rPr>
                <w:color w:val="auto"/>
                <w:sz w:val="24"/>
                <w:szCs w:val="24"/>
                <w:shd w:val="clear" w:color="auto" w:fill="FFFFFF"/>
              </w:rPr>
              <w:t>蒸发损失系数，1/℃，根据查表取0.0014；</w:t>
            </w:r>
          </w:p>
          <w:p>
            <w:pPr>
              <w:adjustRightInd w:val="0"/>
              <w:snapToGrid w:val="0"/>
              <w:spacing w:line="360" w:lineRule="auto"/>
              <w:ind w:firstLine="1200" w:firstLineChars="500"/>
              <w:rPr>
                <w:color w:val="auto"/>
                <w:sz w:val="24"/>
                <w:szCs w:val="24"/>
                <w:shd w:val="clear" w:color="auto" w:fill="FFFFFF"/>
              </w:rPr>
            </w:pPr>
            <w:r>
              <w:rPr>
                <w:color w:val="auto"/>
                <w:sz w:val="24"/>
                <w:szCs w:val="24"/>
                <w:shd w:val="clear" w:color="auto" w:fill="FFFFFF"/>
              </w:rPr>
              <w:t>Δt</w:t>
            </w:r>
            <w:r>
              <w:rPr>
                <w:color w:val="auto"/>
                <w:spacing w:val="-20"/>
                <w:sz w:val="24"/>
                <w:szCs w:val="24"/>
                <w:shd w:val="clear" w:color="auto" w:fill="FFFFFF"/>
              </w:rPr>
              <w:t>——</w:t>
            </w:r>
            <w:r>
              <w:rPr>
                <w:color w:val="auto"/>
                <w:sz w:val="24"/>
                <w:szCs w:val="24"/>
                <w:shd w:val="clear" w:color="auto" w:fill="FFFFFF"/>
              </w:rPr>
              <w:t>冷却塔进、出水的温度差，℃（设计进塔、出塔温差为</w:t>
            </w:r>
            <w:r>
              <w:rPr>
                <w:rFonts w:hint="eastAsia"/>
                <w:color w:val="auto"/>
                <w:sz w:val="24"/>
                <w:szCs w:val="24"/>
                <w:shd w:val="clear" w:color="auto" w:fill="FFFFFF"/>
              </w:rPr>
              <w:t>5</w:t>
            </w:r>
            <w:r>
              <w:rPr>
                <w:color w:val="auto"/>
                <w:sz w:val="24"/>
                <w:szCs w:val="24"/>
                <w:shd w:val="clear" w:color="auto" w:fill="FFFFFF"/>
              </w:rPr>
              <w:t>℃）；</w:t>
            </w:r>
          </w:p>
          <w:p>
            <w:pPr>
              <w:adjustRightInd w:val="0"/>
              <w:snapToGrid w:val="0"/>
              <w:spacing w:line="360" w:lineRule="auto"/>
              <w:ind w:firstLine="1200" w:firstLineChars="500"/>
              <w:rPr>
                <w:color w:val="auto"/>
                <w:sz w:val="24"/>
                <w:szCs w:val="24"/>
                <w:shd w:val="clear" w:color="auto" w:fill="FFFFFF"/>
              </w:rPr>
            </w:pPr>
            <w:r>
              <w:rPr>
                <w:color w:val="auto"/>
                <w:sz w:val="24"/>
                <w:szCs w:val="24"/>
                <w:shd w:val="clear" w:color="auto" w:fill="FFFFFF"/>
              </w:rPr>
              <w:t>Q</w:t>
            </w:r>
            <w:r>
              <w:rPr>
                <w:color w:val="auto"/>
                <w:sz w:val="24"/>
                <w:szCs w:val="24"/>
                <w:shd w:val="clear" w:color="auto" w:fill="FFFFFF"/>
                <w:vertAlign w:val="subscript"/>
              </w:rPr>
              <w:t>r</w:t>
            </w:r>
            <w:r>
              <w:rPr>
                <w:color w:val="auto"/>
                <w:spacing w:val="-20"/>
                <w:sz w:val="24"/>
                <w:szCs w:val="24"/>
                <w:shd w:val="clear" w:color="auto" w:fill="FFFFFF"/>
              </w:rPr>
              <w:t>——</w:t>
            </w:r>
            <w:r>
              <w:rPr>
                <w:color w:val="auto"/>
                <w:sz w:val="24"/>
                <w:szCs w:val="24"/>
                <w:shd w:val="clear" w:color="auto" w:fill="FFFFFF"/>
              </w:rPr>
              <w:t>循环冷却水量，m</w:t>
            </w:r>
            <w:r>
              <w:rPr>
                <w:color w:val="auto"/>
                <w:sz w:val="24"/>
                <w:szCs w:val="24"/>
                <w:shd w:val="clear" w:color="auto" w:fill="FFFFFF"/>
                <w:vertAlign w:val="superscript"/>
              </w:rPr>
              <w:t>3</w:t>
            </w:r>
            <w:r>
              <w:rPr>
                <w:color w:val="auto"/>
                <w:sz w:val="24"/>
                <w:szCs w:val="24"/>
                <w:shd w:val="clear" w:color="auto" w:fill="FFFFFF"/>
              </w:rPr>
              <w:t>/h。（取</w:t>
            </w:r>
            <w:r>
              <w:rPr>
                <w:rFonts w:hint="eastAsia"/>
                <w:bCs/>
                <w:color w:val="auto"/>
                <w:kern w:val="0"/>
                <w:sz w:val="24"/>
                <w:szCs w:val="24"/>
              </w:rPr>
              <w:t>1</w:t>
            </w:r>
            <w:r>
              <w:rPr>
                <w:color w:val="auto"/>
                <w:kern w:val="0"/>
                <w:sz w:val="24"/>
                <w:szCs w:val="24"/>
              </w:rPr>
              <w:t>m</w:t>
            </w:r>
            <w:r>
              <w:rPr>
                <w:color w:val="auto"/>
                <w:kern w:val="0"/>
                <w:sz w:val="24"/>
                <w:szCs w:val="24"/>
                <w:vertAlign w:val="superscript"/>
              </w:rPr>
              <w:t>3</w:t>
            </w:r>
            <w:r>
              <w:rPr>
                <w:color w:val="auto"/>
                <w:kern w:val="0"/>
                <w:sz w:val="24"/>
                <w:szCs w:val="24"/>
              </w:rPr>
              <w:t>/h</w:t>
            </w:r>
            <w:r>
              <w:rPr>
                <w:color w:val="auto"/>
                <w:sz w:val="24"/>
                <w:szCs w:val="24"/>
                <w:shd w:val="clear" w:color="auto" w:fill="FFFFFF"/>
              </w:rPr>
              <w:t>）</w:t>
            </w:r>
          </w:p>
          <w:p>
            <w:pPr>
              <w:adjustRightInd w:val="0"/>
              <w:snapToGrid w:val="0"/>
              <w:spacing w:line="360" w:lineRule="auto"/>
              <w:ind w:firstLine="480" w:firstLineChars="200"/>
              <w:rPr>
                <w:color w:val="auto"/>
                <w:sz w:val="24"/>
                <w:szCs w:val="24"/>
                <w:shd w:val="clear" w:color="auto" w:fill="FFFFFF"/>
              </w:rPr>
            </w:pPr>
            <w:r>
              <w:rPr>
                <w:color w:val="auto"/>
                <w:sz w:val="24"/>
                <w:szCs w:val="24"/>
                <w:shd w:val="clear" w:color="auto" w:fill="FFFFFF"/>
              </w:rPr>
              <w:t>经计算得蒸发损失水量为</w:t>
            </w:r>
            <w:r>
              <w:rPr>
                <w:rFonts w:hint="eastAsia"/>
                <w:color w:val="auto"/>
                <w:sz w:val="24"/>
                <w:szCs w:val="24"/>
                <w:shd w:val="clear" w:color="auto" w:fill="FFFFFF"/>
              </w:rPr>
              <w:t>0.0</w:t>
            </w:r>
            <w:r>
              <w:rPr>
                <w:rFonts w:hint="eastAsia"/>
                <w:color w:val="auto"/>
                <w:sz w:val="24"/>
                <w:szCs w:val="24"/>
                <w:shd w:val="clear" w:color="auto" w:fill="FFFFFF"/>
                <w:lang w:val="en-US" w:eastAsia="zh-CN"/>
              </w:rPr>
              <w:t>07</w:t>
            </w:r>
            <w:r>
              <w:rPr>
                <w:color w:val="auto"/>
                <w:sz w:val="24"/>
                <w:szCs w:val="24"/>
                <w:shd w:val="clear" w:color="auto" w:fill="FFFFFF"/>
              </w:rPr>
              <w:t>m</w:t>
            </w:r>
            <w:r>
              <w:rPr>
                <w:color w:val="auto"/>
                <w:sz w:val="24"/>
                <w:szCs w:val="24"/>
                <w:shd w:val="clear" w:color="auto" w:fill="FFFFFF"/>
                <w:vertAlign w:val="superscript"/>
              </w:rPr>
              <w:t>3</w:t>
            </w:r>
            <w:r>
              <w:rPr>
                <w:color w:val="auto"/>
                <w:sz w:val="24"/>
                <w:szCs w:val="24"/>
                <w:shd w:val="clear" w:color="auto" w:fill="FFFFFF"/>
              </w:rPr>
              <w:t>/h（</w:t>
            </w:r>
            <w:r>
              <w:rPr>
                <w:rFonts w:hint="eastAsia"/>
                <w:color w:val="auto"/>
                <w:sz w:val="24"/>
                <w:szCs w:val="24"/>
                <w:shd w:val="clear" w:color="auto" w:fill="FFFFFF"/>
                <w:lang w:val="en-US" w:eastAsia="zh-CN"/>
              </w:rPr>
              <w:t>0.168</w:t>
            </w:r>
            <w:r>
              <w:rPr>
                <w:color w:val="auto"/>
                <w:sz w:val="24"/>
                <w:szCs w:val="24"/>
                <w:shd w:val="clear" w:color="auto" w:fill="FFFFFF"/>
              </w:rPr>
              <w:t>m</w:t>
            </w:r>
            <w:r>
              <w:rPr>
                <w:color w:val="auto"/>
                <w:sz w:val="24"/>
                <w:szCs w:val="24"/>
                <w:shd w:val="clear" w:color="auto" w:fill="FFFFFF"/>
                <w:vertAlign w:val="superscript"/>
              </w:rPr>
              <w:t>3</w:t>
            </w:r>
            <w:r>
              <w:rPr>
                <w:color w:val="auto"/>
                <w:sz w:val="24"/>
                <w:szCs w:val="24"/>
                <w:shd w:val="clear" w:color="auto" w:fill="FFFFFF"/>
              </w:rPr>
              <w:t>/d）</w:t>
            </w:r>
            <w:r>
              <w:rPr>
                <w:rFonts w:hint="eastAsia"/>
                <w:color w:val="auto"/>
                <w:sz w:val="24"/>
                <w:szCs w:val="24"/>
                <w:shd w:val="clear" w:color="auto" w:fill="FFFFFF"/>
              </w:rPr>
              <w:t>、</w:t>
            </w:r>
            <w:r>
              <w:rPr>
                <w:rFonts w:hint="eastAsia"/>
                <w:color w:val="auto"/>
                <w:sz w:val="24"/>
                <w:szCs w:val="24"/>
                <w:shd w:val="clear" w:color="auto" w:fill="FFFFFF"/>
                <w:lang w:val="en-US" w:eastAsia="zh-CN"/>
              </w:rPr>
              <w:t>50.4</w:t>
            </w:r>
            <w:r>
              <w:rPr>
                <w:color w:val="auto"/>
                <w:sz w:val="24"/>
                <w:szCs w:val="24"/>
                <w:shd w:val="clear" w:color="auto" w:fill="FFFFFF"/>
              </w:rPr>
              <w:t>m</w:t>
            </w:r>
            <w:r>
              <w:rPr>
                <w:color w:val="auto"/>
                <w:sz w:val="24"/>
                <w:szCs w:val="24"/>
                <w:shd w:val="clear" w:color="auto" w:fill="FFFFFF"/>
                <w:vertAlign w:val="superscript"/>
              </w:rPr>
              <w:t>3</w:t>
            </w:r>
            <w:r>
              <w:rPr>
                <w:color w:val="auto"/>
                <w:sz w:val="24"/>
                <w:szCs w:val="24"/>
                <w:shd w:val="clear" w:color="auto" w:fill="FFFFFF"/>
              </w:rPr>
              <w:t>/a，则需补充新鲜水</w:t>
            </w:r>
            <w:r>
              <w:rPr>
                <w:rFonts w:hint="eastAsia"/>
                <w:color w:val="auto"/>
                <w:sz w:val="24"/>
                <w:szCs w:val="24"/>
                <w:shd w:val="clear" w:color="auto" w:fill="FFFFFF"/>
                <w:lang w:val="en-US" w:eastAsia="zh-CN"/>
              </w:rPr>
              <w:t>0.168</w:t>
            </w:r>
            <w:r>
              <w:rPr>
                <w:color w:val="auto"/>
                <w:sz w:val="24"/>
                <w:szCs w:val="24"/>
                <w:shd w:val="clear" w:color="auto" w:fill="FFFFFF"/>
              </w:rPr>
              <w:t>m</w:t>
            </w:r>
            <w:r>
              <w:rPr>
                <w:color w:val="auto"/>
                <w:sz w:val="24"/>
                <w:szCs w:val="24"/>
                <w:shd w:val="clear" w:color="auto" w:fill="FFFFFF"/>
                <w:vertAlign w:val="superscript"/>
              </w:rPr>
              <w:t>3</w:t>
            </w:r>
            <w:r>
              <w:rPr>
                <w:color w:val="auto"/>
                <w:sz w:val="24"/>
                <w:szCs w:val="24"/>
                <w:shd w:val="clear" w:color="auto" w:fill="FFFFFF"/>
              </w:rPr>
              <w:t>/d。</w:t>
            </w:r>
            <w:r>
              <w:rPr>
                <w:color w:val="auto"/>
                <w:sz w:val="24"/>
                <w:szCs w:val="24"/>
              </w:rPr>
              <w:t>冷却水循环使用，仅需要定期补充蒸发损失的水量，通过新鲜水补充稀释即可</w:t>
            </w:r>
            <w:r>
              <w:rPr>
                <w:color w:val="auto"/>
                <w:sz w:val="24"/>
                <w:szCs w:val="24"/>
                <w:shd w:val="clear" w:color="auto" w:fill="FFFFFF"/>
              </w:rPr>
              <w:t>。</w:t>
            </w:r>
          </w:p>
          <w:p>
            <w:pPr>
              <w:adjustRightInd w:val="0"/>
              <w:snapToGrid w:val="0"/>
              <w:spacing w:line="360" w:lineRule="auto"/>
              <w:ind w:firstLine="482" w:firstLineChars="200"/>
              <w:rPr>
                <w:rFonts w:hint="eastAsia"/>
                <w:b/>
                <w:bCs/>
                <w:color w:val="auto"/>
                <w:sz w:val="24"/>
                <w:szCs w:val="24"/>
                <w:lang w:eastAsia="zh-CN"/>
              </w:rPr>
            </w:pPr>
            <w:r>
              <w:rPr>
                <w:rFonts w:hint="eastAsia"/>
                <w:b/>
                <w:bCs/>
                <w:color w:val="auto"/>
                <w:sz w:val="24"/>
                <w:szCs w:val="24"/>
                <w:lang w:val="en-US" w:eastAsia="zh-CN"/>
              </w:rPr>
              <w:t>②</w:t>
            </w:r>
            <w:r>
              <w:rPr>
                <w:rFonts w:hint="eastAsia"/>
                <w:b/>
                <w:bCs/>
                <w:color w:val="auto"/>
                <w:sz w:val="24"/>
                <w:szCs w:val="24"/>
                <w:lang w:eastAsia="zh-CN"/>
              </w:rPr>
              <w:t>电捕焦油器洗涤用水</w:t>
            </w:r>
          </w:p>
          <w:p>
            <w:pPr>
              <w:adjustRightInd w:val="0"/>
              <w:snapToGrid w:val="0"/>
              <w:spacing w:line="360" w:lineRule="auto"/>
              <w:ind w:firstLine="480" w:firstLineChars="200"/>
              <w:rPr>
                <w:rFonts w:hint="eastAsia"/>
                <w:b w:val="0"/>
                <w:bCs w:val="0"/>
                <w:color w:val="auto"/>
                <w:sz w:val="24"/>
                <w:szCs w:val="24"/>
                <w:lang w:eastAsia="zh-CN"/>
              </w:rPr>
            </w:pPr>
            <w:r>
              <w:rPr>
                <w:rFonts w:hint="eastAsia"/>
                <w:b w:val="0"/>
                <w:bCs w:val="0"/>
                <w:color w:val="auto"/>
                <w:sz w:val="24"/>
                <w:szCs w:val="24"/>
                <w:lang w:eastAsia="zh-CN"/>
              </w:rPr>
              <w:t>经咨询设备厂家，为保证电捕焦油器的去除效率，需要用水对其进行冲洗，冲洗频率为1次/1个月，每次10分钟，一次用水量为2m</w:t>
            </w:r>
            <w:r>
              <w:rPr>
                <w:rFonts w:hint="eastAsia"/>
                <w:b w:val="0"/>
                <w:bCs w:val="0"/>
                <w:color w:val="auto"/>
                <w:sz w:val="24"/>
                <w:szCs w:val="24"/>
                <w:vertAlign w:val="superscript"/>
                <w:lang w:eastAsia="zh-CN"/>
              </w:rPr>
              <w:t>3</w:t>
            </w:r>
            <w:r>
              <w:rPr>
                <w:rFonts w:hint="eastAsia"/>
                <w:b w:val="0"/>
                <w:bCs w:val="0"/>
                <w:color w:val="auto"/>
                <w:sz w:val="24"/>
                <w:szCs w:val="24"/>
                <w:lang w:eastAsia="zh-CN"/>
              </w:rPr>
              <w:t>，1个月换一次，项目每年生产时间为12个月，即电捕焦油器用水量为0.08m</w:t>
            </w:r>
            <w:r>
              <w:rPr>
                <w:rFonts w:hint="eastAsia"/>
                <w:b w:val="0"/>
                <w:bCs w:val="0"/>
                <w:color w:val="auto"/>
                <w:sz w:val="24"/>
                <w:szCs w:val="24"/>
                <w:vertAlign w:val="superscript"/>
                <w:lang w:eastAsia="zh-CN"/>
              </w:rPr>
              <w:t>3</w:t>
            </w:r>
            <w:r>
              <w:rPr>
                <w:rFonts w:hint="eastAsia"/>
                <w:b w:val="0"/>
                <w:bCs w:val="0"/>
                <w:color w:val="auto"/>
                <w:sz w:val="24"/>
                <w:szCs w:val="24"/>
                <w:lang w:eastAsia="zh-CN"/>
              </w:rPr>
              <w:t>/d，24m</w:t>
            </w:r>
            <w:r>
              <w:rPr>
                <w:rFonts w:hint="eastAsia"/>
                <w:b w:val="0"/>
                <w:bCs w:val="0"/>
                <w:color w:val="auto"/>
                <w:sz w:val="24"/>
                <w:szCs w:val="24"/>
                <w:vertAlign w:val="superscript"/>
                <w:lang w:eastAsia="zh-CN"/>
              </w:rPr>
              <w:t>3</w:t>
            </w:r>
            <w:r>
              <w:rPr>
                <w:rFonts w:hint="eastAsia"/>
                <w:b w:val="0"/>
                <w:bCs w:val="0"/>
                <w:color w:val="auto"/>
                <w:sz w:val="24"/>
                <w:szCs w:val="24"/>
                <w:lang w:eastAsia="zh-CN"/>
              </w:rPr>
              <w:t>/a。电捕焦油器冲洗液产生量按经验系数80%计算，则冲洗液产生量为0.064m3/d，19.2m3/a。</w:t>
            </w:r>
          </w:p>
          <w:p>
            <w:pPr>
              <w:widowControl/>
              <w:adjustRightInd w:val="0"/>
              <w:snapToGrid w:val="0"/>
              <w:spacing w:line="360" w:lineRule="auto"/>
              <w:ind w:firstLine="480" w:firstLineChars="200"/>
              <w:rPr>
                <w:bCs/>
                <w:color w:val="auto"/>
                <w:sz w:val="24"/>
                <w:szCs w:val="24"/>
              </w:rPr>
            </w:pPr>
            <w:r>
              <w:rPr>
                <w:rFonts w:hint="eastAsia"/>
                <w:b w:val="0"/>
                <w:bCs w:val="0"/>
                <w:color w:val="auto"/>
                <w:sz w:val="24"/>
                <w:szCs w:val="24"/>
                <w:lang w:eastAsia="zh-CN"/>
              </w:rPr>
              <w:t>电捕焦油器冲洗液属于危险废物，根据《国家危险废物名录》（2025年版），废物类别HW49其他废物（环境治理），废物代码772-006-49：采用物理、化学、物理化学或生物方法处理毒性或感染性危险废物过程产生的废水处理污泥、残渣（液）。电捕焦油器冲洗液收集暂存于危险废物贮存库，委托有资质单位定期清运处置。</w:t>
            </w:r>
          </w:p>
          <w:p>
            <w:pPr>
              <w:widowControl/>
              <w:adjustRightInd w:val="0"/>
              <w:snapToGrid w:val="0"/>
              <w:spacing w:line="360" w:lineRule="auto"/>
              <w:ind w:firstLine="482" w:firstLineChars="200"/>
              <w:rPr>
                <w:b/>
                <w:color w:val="auto"/>
                <w:sz w:val="24"/>
                <w:szCs w:val="24"/>
              </w:rPr>
            </w:pPr>
            <w:r>
              <w:rPr>
                <w:rFonts w:hint="eastAsia"/>
                <w:b/>
                <w:color w:val="auto"/>
                <w:sz w:val="24"/>
                <w:szCs w:val="24"/>
                <w:lang w:val="en-US" w:eastAsia="zh-CN"/>
              </w:rPr>
              <w:t>③</w:t>
            </w:r>
            <w:r>
              <w:rPr>
                <w:b/>
                <w:color w:val="auto"/>
                <w:sz w:val="24"/>
                <w:szCs w:val="24"/>
              </w:rPr>
              <w:t>生活污水</w:t>
            </w:r>
          </w:p>
          <w:p>
            <w:pPr>
              <w:adjustRightInd w:val="0"/>
              <w:snapToGrid w:val="0"/>
              <w:spacing w:line="360" w:lineRule="auto"/>
              <w:ind w:firstLine="480" w:firstLineChars="200"/>
              <w:rPr>
                <w:color w:val="auto"/>
                <w:sz w:val="24"/>
                <w:szCs w:val="24"/>
              </w:rPr>
            </w:pPr>
            <w:r>
              <w:rPr>
                <w:color w:val="auto"/>
                <w:sz w:val="24"/>
                <w:szCs w:val="24"/>
              </w:rPr>
              <w:t>根据水平衡分析，</w:t>
            </w:r>
            <w:r>
              <w:rPr>
                <w:bCs/>
                <w:color w:val="auto"/>
                <w:sz w:val="24"/>
                <w:szCs w:val="24"/>
              </w:rPr>
              <w:t>员工生活废水产生量为</w:t>
            </w:r>
            <w:r>
              <w:rPr>
                <w:rFonts w:hint="eastAsia"/>
                <w:bCs/>
                <w:color w:val="auto"/>
                <w:sz w:val="24"/>
                <w:szCs w:val="24"/>
                <w:lang w:val="en-US" w:eastAsia="zh-CN"/>
              </w:rPr>
              <w:t>0.3</w:t>
            </w:r>
            <w:r>
              <w:rPr>
                <w:color w:val="auto"/>
                <w:sz w:val="24"/>
                <w:szCs w:val="24"/>
              </w:rPr>
              <w:t>m</w:t>
            </w:r>
            <w:r>
              <w:rPr>
                <w:color w:val="auto"/>
                <w:sz w:val="24"/>
                <w:szCs w:val="24"/>
                <w:vertAlign w:val="superscript"/>
              </w:rPr>
              <w:t>3</w:t>
            </w:r>
            <w:r>
              <w:rPr>
                <w:color w:val="auto"/>
                <w:sz w:val="24"/>
                <w:szCs w:val="24"/>
              </w:rPr>
              <w:t>/d、</w:t>
            </w:r>
            <w:r>
              <w:rPr>
                <w:rFonts w:hint="eastAsia"/>
                <w:color w:val="auto"/>
                <w:sz w:val="24"/>
                <w:szCs w:val="24"/>
                <w:lang w:val="en-US" w:eastAsia="zh-CN"/>
              </w:rPr>
              <w:t>90</w:t>
            </w:r>
            <w:r>
              <w:rPr>
                <w:bCs/>
                <w:color w:val="auto"/>
                <w:sz w:val="24"/>
                <w:szCs w:val="24"/>
              </w:rPr>
              <w:t>m</w:t>
            </w:r>
            <w:r>
              <w:rPr>
                <w:bCs/>
                <w:color w:val="auto"/>
                <w:sz w:val="24"/>
                <w:szCs w:val="24"/>
                <w:vertAlign w:val="superscript"/>
              </w:rPr>
              <w:t>3</w:t>
            </w:r>
            <w:r>
              <w:rPr>
                <w:bCs/>
                <w:color w:val="auto"/>
                <w:sz w:val="24"/>
                <w:szCs w:val="24"/>
              </w:rPr>
              <w:t>/a</w:t>
            </w:r>
            <w:r>
              <w:rPr>
                <w:rFonts w:hint="eastAsia"/>
                <w:bCs/>
                <w:color w:val="auto"/>
                <w:sz w:val="24"/>
                <w:szCs w:val="24"/>
              </w:rPr>
              <w:t>。</w:t>
            </w:r>
            <w:r>
              <w:rPr>
                <w:color w:val="auto"/>
                <w:kern w:val="0"/>
                <w:sz w:val="24"/>
                <w:szCs w:val="24"/>
              </w:rPr>
              <w:t>项目区</w:t>
            </w:r>
            <w:r>
              <w:rPr>
                <w:rFonts w:hint="eastAsia"/>
                <w:color w:val="auto"/>
                <w:kern w:val="0"/>
                <w:sz w:val="24"/>
                <w:szCs w:val="24"/>
              </w:rPr>
              <w:t>内均不设食堂和宿舍</w:t>
            </w:r>
            <w:r>
              <w:rPr>
                <w:color w:val="auto"/>
                <w:kern w:val="0"/>
                <w:sz w:val="24"/>
                <w:szCs w:val="24"/>
              </w:rPr>
              <w:t>，</w:t>
            </w:r>
            <w:r>
              <w:rPr>
                <w:rFonts w:hint="eastAsia"/>
                <w:color w:val="auto"/>
                <w:kern w:val="0"/>
                <w:sz w:val="24"/>
                <w:szCs w:val="24"/>
              </w:rPr>
              <w:t>运营期</w:t>
            </w:r>
            <w:r>
              <w:rPr>
                <w:color w:val="auto"/>
                <w:sz w:val="24"/>
                <w:szCs w:val="24"/>
              </w:rPr>
              <w:t>依托使用</w:t>
            </w:r>
            <w:r>
              <w:rPr>
                <w:rFonts w:hint="eastAsia"/>
                <w:color w:val="auto"/>
                <w:sz w:val="24"/>
                <w:szCs w:val="24"/>
                <w:lang w:eastAsia="zh-CN"/>
              </w:rPr>
              <w:t>云南宝塑塑料管业有限公司</w:t>
            </w:r>
            <w:r>
              <w:rPr>
                <w:rFonts w:hint="eastAsia"/>
                <w:color w:val="auto"/>
                <w:sz w:val="24"/>
                <w:szCs w:val="24"/>
              </w:rPr>
              <w:t>已建设的</w:t>
            </w:r>
            <w:r>
              <w:rPr>
                <w:color w:val="auto"/>
                <w:kern w:val="0"/>
                <w:sz w:val="24"/>
                <w:szCs w:val="24"/>
              </w:rPr>
              <w:t>卫生间，</w:t>
            </w:r>
            <w:r>
              <w:rPr>
                <w:rFonts w:hint="eastAsia"/>
                <w:color w:val="auto"/>
                <w:sz w:val="24"/>
                <w:szCs w:val="24"/>
              </w:rPr>
              <w:t>员工洗手</w:t>
            </w:r>
            <w:r>
              <w:rPr>
                <w:color w:val="auto"/>
                <w:sz w:val="24"/>
                <w:szCs w:val="24"/>
              </w:rPr>
              <w:t>、冲厕废水等</w:t>
            </w:r>
            <w:r>
              <w:rPr>
                <w:rFonts w:hint="eastAsia"/>
                <w:color w:val="auto"/>
                <w:sz w:val="24"/>
                <w:szCs w:val="24"/>
              </w:rPr>
              <w:t>生活污水依托</w:t>
            </w:r>
            <w:r>
              <w:rPr>
                <w:rFonts w:hint="eastAsia"/>
                <w:color w:val="auto"/>
                <w:sz w:val="24"/>
                <w:szCs w:val="24"/>
                <w:lang w:eastAsia="zh-CN"/>
              </w:rPr>
              <w:t>云南宝塑塑料管业有限公司</w:t>
            </w:r>
            <w:r>
              <w:rPr>
                <w:rFonts w:hint="eastAsia"/>
                <w:color w:val="auto"/>
                <w:sz w:val="24"/>
                <w:szCs w:val="24"/>
              </w:rPr>
              <w:t>的化粪池</w:t>
            </w:r>
            <w:r>
              <w:rPr>
                <w:rFonts w:hint="eastAsia"/>
                <w:color w:val="auto"/>
                <w:sz w:val="24"/>
                <w:szCs w:val="24"/>
                <w:lang w:eastAsia="zh-CN"/>
              </w:rPr>
              <w:t>，</w:t>
            </w:r>
            <w:r>
              <w:rPr>
                <w:rFonts w:hint="eastAsia"/>
                <w:color w:val="auto"/>
                <w:sz w:val="24"/>
                <w:szCs w:val="24"/>
                <w:lang w:val="en-US" w:eastAsia="zh-CN"/>
              </w:rPr>
              <w:t>化粪池污水委托宜良县汇金环境卫生服务部定期清掏</w:t>
            </w:r>
            <w:r>
              <w:rPr>
                <w:rFonts w:hint="eastAsia"/>
                <w:color w:val="auto"/>
                <w:sz w:val="24"/>
                <w:szCs w:val="24"/>
              </w:rPr>
              <w:t>。</w:t>
            </w:r>
          </w:p>
          <w:p>
            <w:pPr>
              <w:spacing w:line="360" w:lineRule="auto"/>
              <w:ind w:firstLine="480" w:firstLineChars="200"/>
              <w:rPr>
                <w:color w:val="auto"/>
                <w:sz w:val="24"/>
                <w:szCs w:val="24"/>
              </w:rPr>
            </w:pPr>
            <w:r>
              <w:rPr>
                <w:color w:val="auto"/>
                <w:sz w:val="24"/>
                <w:szCs w:val="24"/>
              </w:rPr>
              <w:t>根据《排放源统计调查产排污核算方法和系数手册》中“生活污染源产排系数手册”中表1-1（六区）及综合相关经验系数中生活污水水质结果，生活污水中各污染物产生浓度为：COD</w:t>
            </w:r>
            <w:r>
              <w:rPr>
                <w:color w:val="auto"/>
                <w:sz w:val="24"/>
                <w:szCs w:val="24"/>
                <w:vertAlign w:val="subscript"/>
              </w:rPr>
              <w:t xml:space="preserve">Cr </w:t>
            </w:r>
            <w:r>
              <w:rPr>
                <w:color w:val="auto"/>
                <w:sz w:val="24"/>
                <w:szCs w:val="24"/>
              </w:rPr>
              <w:t>450mg/L、BOD</w:t>
            </w:r>
            <w:r>
              <w:rPr>
                <w:color w:val="auto"/>
                <w:sz w:val="24"/>
                <w:szCs w:val="24"/>
                <w:vertAlign w:val="subscript"/>
              </w:rPr>
              <w:t>5</w:t>
            </w:r>
            <w:r>
              <w:rPr>
                <w:color w:val="auto"/>
                <w:sz w:val="24"/>
                <w:szCs w:val="24"/>
              </w:rPr>
              <w:t>160mg/L、悬浮物220mg/L、氨氮37.7mg/L、总磷8mg/L。</w:t>
            </w:r>
          </w:p>
          <w:p>
            <w:pPr>
              <w:adjustRightInd w:val="0"/>
              <w:snapToGrid w:val="0"/>
              <w:spacing w:line="360" w:lineRule="auto"/>
              <w:ind w:firstLine="482" w:firstLineChars="200"/>
              <w:rPr>
                <w:b/>
                <w:bCs/>
                <w:color w:val="auto"/>
                <w:sz w:val="24"/>
                <w:szCs w:val="24"/>
              </w:rPr>
            </w:pPr>
            <w:r>
              <w:rPr>
                <w:rFonts w:hint="eastAsia"/>
                <w:b/>
                <w:bCs/>
                <w:color w:val="auto"/>
                <w:sz w:val="24"/>
                <w:szCs w:val="24"/>
                <w:lang w:val="en-US" w:eastAsia="zh-CN"/>
              </w:rPr>
              <w:t>④</w:t>
            </w:r>
            <w:r>
              <w:rPr>
                <w:rFonts w:hint="eastAsia"/>
                <w:b/>
                <w:bCs/>
                <w:color w:val="auto"/>
                <w:sz w:val="24"/>
                <w:szCs w:val="24"/>
              </w:rPr>
              <w:t>小结</w:t>
            </w:r>
          </w:p>
          <w:p>
            <w:pPr>
              <w:adjustRightInd w:val="0"/>
              <w:snapToGrid w:val="0"/>
              <w:spacing w:line="360" w:lineRule="auto"/>
              <w:ind w:firstLine="480" w:firstLineChars="200"/>
              <w:rPr>
                <w:color w:val="auto"/>
                <w:sz w:val="24"/>
                <w:szCs w:val="24"/>
              </w:rPr>
            </w:pPr>
            <w:r>
              <w:rPr>
                <w:rFonts w:hint="eastAsia"/>
                <w:color w:val="auto"/>
                <w:sz w:val="24"/>
                <w:szCs w:val="24"/>
              </w:rPr>
              <w:t>废水产生情况如下：</w:t>
            </w:r>
          </w:p>
          <w:p>
            <w:pPr>
              <w:adjustRightInd w:val="0"/>
              <w:snapToGrid w:val="0"/>
              <w:spacing w:line="276" w:lineRule="auto"/>
              <w:ind w:firstLine="482" w:firstLineChars="200"/>
              <w:jc w:val="center"/>
              <w:rPr>
                <w:b/>
                <w:color w:val="auto"/>
                <w:kern w:val="0"/>
                <w:sz w:val="24"/>
                <w:szCs w:val="24"/>
              </w:rPr>
            </w:pPr>
            <w:r>
              <w:rPr>
                <w:b/>
                <w:color w:val="auto"/>
                <w:kern w:val="0"/>
                <w:sz w:val="24"/>
                <w:szCs w:val="24"/>
              </w:rPr>
              <w:t>表</w:t>
            </w:r>
            <w:r>
              <w:rPr>
                <w:rFonts w:hint="eastAsia"/>
                <w:b/>
                <w:color w:val="auto"/>
                <w:kern w:val="0"/>
                <w:sz w:val="24"/>
                <w:szCs w:val="24"/>
              </w:rPr>
              <w:t>4-9</w:t>
            </w:r>
            <w:r>
              <w:rPr>
                <w:b/>
                <w:color w:val="auto"/>
                <w:kern w:val="0"/>
                <w:sz w:val="24"/>
                <w:szCs w:val="24"/>
              </w:rPr>
              <w:t xml:space="preserve">  项目</w:t>
            </w:r>
            <w:r>
              <w:rPr>
                <w:rFonts w:hint="eastAsia"/>
                <w:b/>
                <w:color w:val="auto"/>
                <w:kern w:val="0"/>
                <w:sz w:val="24"/>
                <w:szCs w:val="24"/>
              </w:rPr>
              <w:t>废水产生</w:t>
            </w:r>
            <w:r>
              <w:rPr>
                <w:b/>
                <w:color w:val="auto"/>
                <w:kern w:val="0"/>
                <w:sz w:val="24"/>
                <w:szCs w:val="24"/>
              </w:rPr>
              <w:t>情况一览表</w:t>
            </w:r>
          </w:p>
          <w:tbl>
            <w:tblPr>
              <w:tblStyle w:val="23"/>
              <w:tblW w:w="4995"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108"/>
              <w:gridCol w:w="1298"/>
              <w:gridCol w:w="1210"/>
              <w:gridCol w:w="1123"/>
              <w:gridCol w:w="972"/>
              <w:gridCol w:w="231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690" w:type="pct"/>
                  <w:vMerge w:val="restart"/>
                  <w:tcBorders>
                    <w:top w:val="single" w:color="auto" w:sz="6" w:space="0"/>
                    <w:left w:val="single" w:color="auto" w:sz="6" w:space="0"/>
                    <w:right w:val="single" w:color="auto" w:sz="6" w:space="0"/>
                  </w:tcBorders>
                  <w:noWrap w:val="0"/>
                  <w:vAlign w:val="center"/>
                </w:tcPr>
                <w:p>
                  <w:pPr>
                    <w:jc w:val="center"/>
                    <w:rPr>
                      <w:rFonts w:hint="default" w:ascii="Times New Roman" w:hAnsi="Times New Roman" w:cs="Times New Roman"/>
                      <w:bCs/>
                      <w:color w:val="auto"/>
                      <w:sz w:val="21"/>
                      <w:szCs w:val="21"/>
                      <w:highlight w:val="none"/>
                    </w:rPr>
                  </w:pPr>
                  <w:r>
                    <w:rPr>
                      <w:rFonts w:hint="default" w:ascii="Times New Roman" w:hAnsi="Times New Roman" w:cs="Times New Roman"/>
                      <w:b/>
                      <w:bCs w:val="0"/>
                      <w:color w:val="auto"/>
                      <w:sz w:val="21"/>
                      <w:szCs w:val="21"/>
                      <w:highlight w:val="none"/>
                    </w:rPr>
                    <w:t>用水单元</w:t>
                  </w:r>
                </w:p>
              </w:tc>
              <w:tc>
                <w:tcPr>
                  <w:tcW w:w="1561" w:type="pct"/>
                  <w:gridSpan w:val="2"/>
                  <w:tcBorders>
                    <w:top w:val="single" w:color="auto" w:sz="6" w:space="0"/>
                    <w:left w:val="nil"/>
                    <w:bottom w:val="single" w:color="auto" w:sz="6" w:space="0"/>
                    <w:right w:val="single" w:color="auto" w:sz="4" w:space="0"/>
                  </w:tcBorders>
                  <w:noWrap w:val="0"/>
                  <w:vAlign w:val="center"/>
                </w:tcPr>
                <w:p>
                  <w:pPr>
                    <w:jc w:val="center"/>
                    <w:rPr>
                      <w:rFonts w:hint="default" w:ascii="Times New Roman" w:hAnsi="Times New Roman" w:cs="Times New Roman"/>
                      <w:b/>
                      <w:bCs w:val="0"/>
                      <w:color w:val="auto"/>
                      <w:sz w:val="21"/>
                      <w:szCs w:val="21"/>
                      <w:highlight w:val="none"/>
                    </w:rPr>
                  </w:pPr>
                  <w:r>
                    <w:rPr>
                      <w:rFonts w:hint="default" w:ascii="Times New Roman" w:hAnsi="Times New Roman" w:cs="Times New Roman"/>
                      <w:b/>
                      <w:bCs w:val="0"/>
                      <w:color w:val="auto"/>
                      <w:sz w:val="21"/>
                      <w:szCs w:val="21"/>
                      <w:highlight w:val="none"/>
                    </w:rPr>
                    <w:t>用水量</w:t>
                  </w:r>
                </w:p>
              </w:tc>
              <w:tc>
                <w:tcPr>
                  <w:tcW w:w="1304" w:type="pct"/>
                  <w:gridSpan w:val="2"/>
                  <w:tcBorders>
                    <w:top w:val="single" w:color="auto" w:sz="6" w:space="0"/>
                    <w:left w:val="single" w:color="auto" w:sz="4" w:space="0"/>
                    <w:bottom w:val="single" w:color="auto" w:sz="6" w:space="0"/>
                    <w:right w:val="single" w:color="auto" w:sz="6" w:space="0"/>
                  </w:tcBorders>
                  <w:noWrap w:val="0"/>
                  <w:vAlign w:val="center"/>
                </w:tcPr>
                <w:p>
                  <w:pPr>
                    <w:jc w:val="center"/>
                    <w:rPr>
                      <w:rFonts w:hint="default" w:ascii="Times New Roman" w:hAnsi="Times New Roman" w:cs="Times New Roman"/>
                      <w:b/>
                      <w:bCs w:val="0"/>
                      <w:color w:val="auto"/>
                      <w:sz w:val="21"/>
                      <w:szCs w:val="21"/>
                      <w:highlight w:val="none"/>
                    </w:rPr>
                  </w:pPr>
                  <w:r>
                    <w:rPr>
                      <w:rFonts w:hint="default" w:ascii="Times New Roman" w:hAnsi="Times New Roman" w:cs="Times New Roman"/>
                      <w:b/>
                      <w:bCs w:val="0"/>
                      <w:color w:val="auto"/>
                      <w:sz w:val="21"/>
                      <w:szCs w:val="21"/>
                      <w:highlight w:val="none"/>
                    </w:rPr>
                    <w:t>废水产生量</w:t>
                  </w:r>
                </w:p>
              </w:tc>
              <w:tc>
                <w:tcPr>
                  <w:tcW w:w="1443" w:type="pct"/>
                  <w:vMerge w:val="restart"/>
                  <w:tcBorders>
                    <w:top w:val="single" w:color="auto" w:sz="6" w:space="0"/>
                    <w:left w:val="nil"/>
                    <w:right w:val="single" w:color="auto" w:sz="6" w:space="0"/>
                  </w:tcBorders>
                  <w:noWrap w:val="0"/>
                  <w:vAlign w:val="center"/>
                </w:tcPr>
                <w:p>
                  <w:pPr>
                    <w:jc w:val="center"/>
                    <w:rPr>
                      <w:rFonts w:hint="default" w:ascii="Times New Roman" w:hAnsi="Times New Roman" w:cs="Times New Roman"/>
                      <w:bCs/>
                      <w:color w:val="auto"/>
                      <w:sz w:val="21"/>
                      <w:szCs w:val="21"/>
                      <w:highlight w:val="none"/>
                    </w:rPr>
                  </w:pPr>
                  <w:r>
                    <w:rPr>
                      <w:rFonts w:hint="default" w:ascii="Times New Roman" w:hAnsi="Times New Roman" w:cs="Times New Roman"/>
                      <w:b/>
                      <w:bCs w:val="0"/>
                      <w:color w:val="auto"/>
                      <w:sz w:val="21"/>
                      <w:szCs w:val="21"/>
                      <w:highlight w:val="none"/>
                    </w:rPr>
                    <w:t>废水去向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690" w:type="pct"/>
                  <w:vMerge w:val="continue"/>
                  <w:tcBorders>
                    <w:left w:val="single" w:color="auto" w:sz="6" w:space="0"/>
                    <w:bottom w:val="single" w:color="auto" w:sz="6" w:space="0"/>
                    <w:right w:val="single" w:color="auto" w:sz="6" w:space="0"/>
                  </w:tcBorders>
                  <w:noWrap w:val="0"/>
                  <w:vAlign w:val="center"/>
                </w:tcPr>
                <w:p>
                  <w:pPr>
                    <w:widowControl/>
                    <w:jc w:val="left"/>
                    <w:rPr>
                      <w:rFonts w:hint="default" w:ascii="Times New Roman" w:hAnsi="Times New Roman" w:cs="Times New Roman"/>
                      <w:bCs/>
                      <w:color w:val="auto"/>
                      <w:sz w:val="21"/>
                      <w:szCs w:val="21"/>
                      <w:highlight w:val="none"/>
                    </w:rPr>
                  </w:pPr>
                </w:p>
              </w:tc>
              <w:tc>
                <w:tcPr>
                  <w:tcW w:w="808" w:type="pct"/>
                  <w:tcBorders>
                    <w:top w:val="single" w:color="auto" w:sz="6" w:space="0"/>
                    <w:left w:val="nil"/>
                    <w:bottom w:val="single" w:color="auto" w:sz="6" w:space="0"/>
                    <w:right w:val="single" w:color="auto" w:sz="6" w:space="0"/>
                  </w:tcBorders>
                  <w:noWrap w:val="0"/>
                  <w:vAlign w:val="center"/>
                </w:tcPr>
                <w:p>
                  <w:pPr>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m</w:t>
                  </w:r>
                  <w:r>
                    <w:rPr>
                      <w:rFonts w:hint="default" w:ascii="Times New Roman" w:hAnsi="Times New Roman" w:cs="Times New Roman"/>
                      <w:bCs/>
                      <w:color w:val="auto"/>
                      <w:sz w:val="21"/>
                      <w:szCs w:val="21"/>
                      <w:highlight w:val="none"/>
                      <w:vertAlign w:val="superscript"/>
                      <w:lang w:val="en-US" w:eastAsia="zh-CN"/>
                    </w:rPr>
                    <w:t>3</w:t>
                  </w:r>
                  <w:r>
                    <w:rPr>
                      <w:rFonts w:hint="default" w:ascii="Times New Roman" w:hAnsi="Times New Roman" w:cs="Times New Roman"/>
                      <w:bCs/>
                      <w:color w:val="auto"/>
                      <w:sz w:val="21"/>
                      <w:szCs w:val="21"/>
                      <w:highlight w:val="none"/>
                    </w:rPr>
                    <w:t>/d</w:t>
                  </w:r>
                </w:p>
              </w:tc>
              <w:tc>
                <w:tcPr>
                  <w:tcW w:w="753" w:type="pct"/>
                  <w:tcBorders>
                    <w:top w:val="single" w:color="auto" w:sz="6" w:space="0"/>
                    <w:left w:val="nil"/>
                    <w:bottom w:val="single" w:color="auto" w:sz="6" w:space="0"/>
                    <w:right w:val="single" w:color="auto" w:sz="4" w:space="0"/>
                  </w:tcBorders>
                  <w:noWrap w:val="0"/>
                  <w:vAlign w:val="center"/>
                </w:tcPr>
                <w:p>
                  <w:pPr>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m</w:t>
                  </w:r>
                  <w:r>
                    <w:rPr>
                      <w:rFonts w:hint="default" w:ascii="Times New Roman" w:hAnsi="Times New Roman" w:cs="Times New Roman"/>
                      <w:bCs/>
                      <w:color w:val="auto"/>
                      <w:sz w:val="21"/>
                      <w:szCs w:val="21"/>
                      <w:highlight w:val="none"/>
                      <w:vertAlign w:val="superscript"/>
                      <w:lang w:val="en-US" w:eastAsia="zh-CN"/>
                    </w:rPr>
                    <w:t>3</w:t>
                  </w:r>
                  <w:r>
                    <w:rPr>
                      <w:rFonts w:hint="default" w:ascii="Times New Roman" w:hAnsi="Times New Roman" w:cs="Times New Roman"/>
                      <w:bCs/>
                      <w:color w:val="auto"/>
                      <w:sz w:val="21"/>
                      <w:szCs w:val="21"/>
                      <w:highlight w:val="none"/>
                    </w:rPr>
                    <w:t>/a</w:t>
                  </w:r>
                </w:p>
              </w:tc>
              <w:tc>
                <w:tcPr>
                  <w:tcW w:w="699" w:type="pct"/>
                  <w:tcBorders>
                    <w:top w:val="single" w:color="auto" w:sz="6" w:space="0"/>
                    <w:left w:val="single" w:color="auto" w:sz="4" w:space="0"/>
                    <w:bottom w:val="single" w:color="auto" w:sz="6" w:space="0"/>
                    <w:right w:val="single" w:color="auto" w:sz="6" w:space="0"/>
                  </w:tcBorders>
                  <w:noWrap w:val="0"/>
                  <w:vAlign w:val="center"/>
                </w:tcPr>
                <w:p>
                  <w:pPr>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m</w:t>
                  </w:r>
                  <w:r>
                    <w:rPr>
                      <w:rFonts w:hint="default" w:ascii="Times New Roman" w:hAnsi="Times New Roman" w:cs="Times New Roman"/>
                      <w:bCs/>
                      <w:color w:val="auto"/>
                      <w:sz w:val="21"/>
                      <w:szCs w:val="21"/>
                      <w:highlight w:val="none"/>
                      <w:vertAlign w:val="superscript"/>
                      <w:lang w:val="en-US" w:eastAsia="zh-CN"/>
                    </w:rPr>
                    <w:t>3</w:t>
                  </w:r>
                  <w:r>
                    <w:rPr>
                      <w:rFonts w:hint="default" w:ascii="Times New Roman" w:hAnsi="Times New Roman" w:cs="Times New Roman"/>
                      <w:bCs/>
                      <w:color w:val="auto"/>
                      <w:sz w:val="21"/>
                      <w:szCs w:val="21"/>
                      <w:highlight w:val="none"/>
                    </w:rPr>
                    <w:t>/d</w:t>
                  </w:r>
                </w:p>
              </w:tc>
              <w:tc>
                <w:tcPr>
                  <w:tcW w:w="605" w:type="pct"/>
                  <w:tcBorders>
                    <w:top w:val="single" w:color="auto" w:sz="6" w:space="0"/>
                    <w:left w:val="nil"/>
                    <w:bottom w:val="single" w:color="auto" w:sz="6" w:space="0"/>
                    <w:right w:val="single" w:color="auto" w:sz="6" w:space="0"/>
                  </w:tcBorders>
                  <w:noWrap w:val="0"/>
                  <w:vAlign w:val="center"/>
                </w:tcPr>
                <w:p>
                  <w:pPr>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m</w:t>
                  </w:r>
                  <w:r>
                    <w:rPr>
                      <w:rFonts w:hint="default" w:ascii="Times New Roman" w:hAnsi="Times New Roman" w:cs="Times New Roman"/>
                      <w:bCs/>
                      <w:color w:val="auto"/>
                      <w:sz w:val="21"/>
                      <w:szCs w:val="21"/>
                      <w:highlight w:val="none"/>
                      <w:vertAlign w:val="superscript"/>
                      <w:lang w:val="en-US" w:eastAsia="zh-CN"/>
                    </w:rPr>
                    <w:t>3</w:t>
                  </w:r>
                  <w:r>
                    <w:rPr>
                      <w:rFonts w:hint="default" w:ascii="Times New Roman" w:hAnsi="Times New Roman" w:cs="Times New Roman"/>
                      <w:bCs/>
                      <w:color w:val="auto"/>
                      <w:sz w:val="21"/>
                      <w:szCs w:val="21"/>
                      <w:highlight w:val="none"/>
                    </w:rPr>
                    <w:t>/a</w:t>
                  </w:r>
                </w:p>
              </w:tc>
              <w:tc>
                <w:tcPr>
                  <w:tcW w:w="1443" w:type="pct"/>
                  <w:vMerge w:val="continue"/>
                  <w:tcBorders>
                    <w:left w:val="nil"/>
                    <w:bottom w:val="single" w:color="auto" w:sz="6" w:space="0"/>
                    <w:right w:val="single" w:color="auto" w:sz="6" w:space="0"/>
                  </w:tcBorders>
                  <w:noWrap w:val="0"/>
                  <w:vAlign w:val="center"/>
                </w:tcPr>
                <w:p>
                  <w:pPr>
                    <w:jc w:val="center"/>
                    <w:rPr>
                      <w:rFonts w:hint="default" w:ascii="Times New Roman" w:hAnsi="Times New Roman" w:cs="Times New Roman"/>
                      <w:bCs/>
                      <w:color w:val="auto"/>
                      <w:sz w:val="21"/>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690" w:type="pct"/>
                  <w:tcBorders>
                    <w:top w:val="single" w:color="auto" w:sz="6" w:space="0"/>
                    <w:left w:val="single" w:color="auto" w:sz="6" w:space="0"/>
                    <w:right w:val="single" w:color="auto" w:sz="6" w:space="0"/>
                  </w:tcBorders>
                  <w:noWrap w:val="0"/>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生活用水</w:t>
                  </w:r>
                </w:p>
              </w:tc>
              <w:tc>
                <w:tcPr>
                  <w:tcW w:w="808" w:type="pct"/>
                  <w:tcBorders>
                    <w:top w:val="single" w:color="auto" w:sz="6" w:space="0"/>
                    <w:left w:val="nil"/>
                    <w:bottom w:val="single" w:color="auto" w:sz="6" w:space="0"/>
                    <w:right w:val="single" w:color="auto" w:sz="6" w:space="0"/>
                  </w:tcBorders>
                  <w:noWrap w:val="0"/>
                  <w:vAlign w:val="center"/>
                </w:tcPr>
                <w:p>
                  <w:pPr>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0.3</w:t>
                  </w:r>
                </w:p>
              </w:tc>
              <w:tc>
                <w:tcPr>
                  <w:tcW w:w="753" w:type="pct"/>
                  <w:tcBorders>
                    <w:top w:val="single" w:color="auto" w:sz="6" w:space="0"/>
                    <w:left w:val="nil"/>
                    <w:bottom w:val="single" w:color="auto" w:sz="6" w:space="0"/>
                    <w:right w:val="single" w:color="auto" w:sz="4" w:space="0"/>
                  </w:tcBorders>
                  <w:noWrap w:val="0"/>
                  <w:vAlign w:val="center"/>
                </w:tcPr>
                <w:p>
                  <w:pPr>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90</w:t>
                  </w:r>
                </w:p>
              </w:tc>
              <w:tc>
                <w:tcPr>
                  <w:tcW w:w="699" w:type="pct"/>
                  <w:tcBorders>
                    <w:top w:val="single" w:color="auto" w:sz="6" w:space="0"/>
                    <w:left w:val="single" w:color="auto" w:sz="4" w:space="0"/>
                    <w:bottom w:val="single" w:color="auto" w:sz="6" w:space="0"/>
                    <w:right w:val="single" w:color="auto" w:sz="6" w:space="0"/>
                  </w:tcBorders>
                  <w:noWrap w:val="0"/>
                  <w:vAlign w:val="center"/>
                </w:tcPr>
                <w:p>
                  <w:pPr>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0.24</w:t>
                  </w:r>
                </w:p>
              </w:tc>
              <w:tc>
                <w:tcPr>
                  <w:tcW w:w="605" w:type="pct"/>
                  <w:tcBorders>
                    <w:top w:val="single" w:color="auto" w:sz="6" w:space="0"/>
                    <w:left w:val="nil"/>
                    <w:bottom w:val="single" w:color="auto" w:sz="6" w:space="0"/>
                    <w:right w:val="single" w:color="auto" w:sz="6" w:space="0"/>
                  </w:tcBorders>
                  <w:noWrap w:val="0"/>
                  <w:vAlign w:val="center"/>
                </w:tcPr>
                <w:p>
                  <w:pPr>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72</w:t>
                  </w:r>
                </w:p>
              </w:tc>
              <w:tc>
                <w:tcPr>
                  <w:tcW w:w="1443" w:type="pct"/>
                  <w:tcBorders>
                    <w:top w:val="single" w:color="auto" w:sz="6" w:space="0"/>
                    <w:left w:val="nil"/>
                    <w:right w:val="single" w:color="auto" w:sz="6" w:space="0"/>
                  </w:tcBorders>
                  <w:noWrap w:val="0"/>
                  <w:vAlign w:val="center"/>
                </w:tcPr>
                <w:p>
                  <w:pPr>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val="en-US" w:eastAsia="zh-CN"/>
                    </w:rPr>
                    <w:t>经化粪池处理后</w:t>
                  </w:r>
                  <w:r>
                    <w:rPr>
                      <w:rFonts w:hint="eastAsia" w:ascii="Times New Roman" w:hAnsi="Times New Roman" w:cs="Times New Roman"/>
                      <w:color w:val="auto"/>
                      <w:kern w:val="0"/>
                      <w:sz w:val="21"/>
                      <w:szCs w:val="21"/>
                      <w:highlight w:val="none"/>
                      <w:lang w:val="en-US" w:eastAsia="zh-CN"/>
                    </w:rPr>
                    <w:t>委托定期清掏</w:t>
                  </w:r>
                  <w:r>
                    <w:rPr>
                      <w:rFonts w:hint="default" w:ascii="Times New Roman" w:hAnsi="Times New Roman" w:cs="Times New Roman"/>
                      <w:color w:val="auto"/>
                      <w:kern w:val="0"/>
                      <w:sz w:val="21"/>
                      <w:szCs w:val="21"/>
                      <w:highlight w:val="none"/>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690" w:type="pct"/>
                  <w:tcBorders>
                    <w:left w:val="single" w:color="auto" w:sz="6" w:space="0"/>
                    <w:right w:val="single" w:color="auto" w:sz="6" w:space="0"/>
                  </w:tcBorders>
                  <w:noWrap w:val="0"/>
                  <w:vAlign w:val="center"/>
                </w:tcPr>
                <w:p>
                  <w:pPr>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循环冷却</w:t>
                  </w:r>
                </w:p>
                <w:p>
                  <w:pPr>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用水</w:t>
                  </w:r>
                </w:p>
              </w:tc>
              <w:tc>
                <w:tcPr>
                  <w:tcW w:w="808" w:type="pct"/>
                  <w:tcBorders>
                    <w:top w:val="single" w:color="auto" w:sz="6" w:space="0"/>
                    <w:left w:val="nil"/>
                    <w:bottom w:val="single" w:color="auto" w:sz="6" w:space="0"/>
                    <w:right w:val="single" w:color="auto" w:sz="6" w:space="0"/>
                  </w:tcBorders>
                  <w:noWrap w:val="0"/>
                  <w:vAlign w:val="center"/>
                </w:tcPr>
                <w:p>
                  <w:pPr>
                    <w:jc w:val="center"/>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0.168（循环水量1m</w:t>
                  </w:r>
                  <w:r>
                    <w:rPr>
                      <w:rFonts w:hint="eastAsia" w:cs="Times New Roman"/>
                      <w:color w:val="auto"/>
                      <w:kern w:val="0"/>
                      <w:sz w:val="21"/>
                      <w:szCs w:val="21"/>
                      <w:highlight w:val="none"/>
                      <w:vertAlign w:val="superscript"/>
                      <w:lang w:val="en-US" w:eastAsia="zh-CN"/>
                    </w:rPr>
                    <w:t>3</w:t>
                  </w:r>
                  <w:r>
                    <w:rPr>
                      <w:rFonts w:hint="eastAsia" w:cs="Times New Roman"/>
                      <w:color w:val="auto"/>
                      <w:kern w:val="0"/>
                      <w:sz w:val="21"/>
                      <w:szCs w:val="21"/>
                      <w:highlight w:val="none"/>
                      <w:lang w:val="en-US" w:eastAsia="zh-CN"/>
                    </w:rPr>
                    <w:t>/d）</w:t>
                  </w:r>
                </w:p>
              </w:tc>
              <w:tc>
                <w:tcPr>
                  <w:tcW w:w="753" w:type="pct"/>
                  <w:tcBorders>
                    <w:top w:val="single" w:color="auto" w:sz="6" w:space="0"/>
                    <w:left w:val="nil"/>
                    <w:bottom w:val="single" w:color="auto" w:sz="6" w:space="0"/>
                    <w:right w:val="single" w:color="auto" w:sz="4" w:space="0"/>
                  </w:tcBorders>
                  <w:noWrap w:val="0"/>
                  <w:vAlign w:val="center"/>
                </w:tcPr>
                <w:p>
                  <w:pPr>
                    <w:jc w:val="center"/>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50.4（循环水量1m</w:t>
                  </w:r>
                  <w:r>
                    <w:rPr>
                      <w:rFonts w:hint="eastAsia" w:cs="Times New Roman"/>
                      <w:color w:val="auto"/>
                      <w:kern w:val="0"/>
                      <w:sz w:val="21"/>
                      <w:szCs w:val="21"/>
                      <w:highlight w:val="none"/>
                      <w:vertAlign w:val="superscript"/>
                      <w:lang w:val="en-US" w:eastAsia="zh-CN"/>
                    </w:rPr>
                    <w:t>3</w:t>
                  </w:r>
                  <w:r>
                    <w:rPr>
                      <w:rFonts w:hint="eastAsia" w:cs="Times New Roman"/>
                      <w:color w:val="auto"/>
                      <w:kern w:val="0"/>
                      <w:sz w:val="21"/>
                      <w:szCs w:val="21"/>
                      <w:highlight w:val="none"/>
                      <w:lang w:val="en-US" w:eastAsia="zh-CN"/>
                    </w:rPr>
                    <w:t>/d）</w:t>
                  </w:r>
                </w:p>
              </w:tc>
              <w:tc>
                <w:tcPr>
                  <w:tcW w:w="699" w:type="pct"/>
                  <w:tcBorders>
                    <w:top w:val="single" w:color="auto" w:sz="6" w:space="0"/>
                    <w:left w:val="single" w:color="auto" w:sz="4" w:space="0"/>
                    <w:bottom w:val="single" w:color="auto" w:sz="6" w:space="0"/>
                    <w:right w:val="single" w:color="auto" w:sz="6" w:space="0"/>
                  </w:tcBorders>
                  <w:noWrap w:val="0"/>
                  <w:vAlign w:val="center"/>
                </w:tcPr>
                <w:p>
                  <w:pPr>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0</w:t>
                  </w:r>
                </w:p>
              </w:tc>
              <w:tc>
                <w:tcPr>
                  <w:tcW w:w="605" w:type="pct"/>
                  <w:tcBorders>
                    <w:top w:val="single" w:color="auto" w:sz="6" w:space="0"/>
                    <w:left w:val="nil"/>
                    <w:bottom w:val="single" w:color="auto" w:sz="6" w:space="0"/>
                    <w:right w:val="single" w:color="auto" w:sz="6" w:space="0"/>
                  </w:tcBorders>
                  <w:noWrap w:val="0"/>
                  <w:vAlign w:val="center"/>
                </w:tcPr>
                <w:p>
                  <w:pPr>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0</w:t>
                  </w:r>
                </w:p>
              </w:tc>
              <w:tc>
                <w:tcPr>
                  <w:tcW w:w="1443" w:type="pct"/>
                  <w:tcBorders>
                    <w:left w:val="nil"/>
                    <w:right w:val="single" w:color="auto" w:sz="6" w:space="0"/>
                  </w:tcBorders>
                  <w:noWrap w:val="0"/>
                  <w:vAlign w:val="center"/>
                </w:tcPr>
                <w:p>
                  <w:pPr>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冷却水经循环水池收集后循环使用，不外排。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690" w:type="pct"/>
                  <w:tcBorders>
                    <w:left w:val="single" w:color="auto" w:sz="6" w:space="0"/>
                    <w:right w:val="single" w:color="auto" w:sz="6" w:space="0"/>
                  </w:tcBorders>
                  <w:noWrap w:val="0"/>
                  <w:vAlign w:val="center"/>
                </w:tcPr>
                <w:p>
                  <w:pPr>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电捕焦油器洗涤用水</w:t>
                  </w:r>
                </w:p>
              </w:tc>
              <w:tc>
                <w:tcPr>
                  <w:tcW w:w="808" w:type="pct"/>
                  <w:tcBorders>
                    <w:top w:val="single" w:color="auto" w:sz="6" w:space="0"/>
                    <w:left w:val="nil"/>
                    <w:bottom w:val="single" w:color="auto" w:sz="6" w:space="0"/>
                    <w:right w:val="single" w:color="auto" w:sz="6" w:space="0"/>
                  </w:tcBorders>
                  <w:noWrap w:val="0"/>
                  <w:vAlign w:val="center"/>
                </w:tcPr>
                <w:p>
                  <w:pPr>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0.08</w:t>
                  </w:r>
                </w:p>
              </w:tc>
              <w:tc>
                <w:tcPr>
                  <w:tcW w:w="753" w:type="pct"/>
                  <w:tcBorders>
                    <w:top w:val="single" w:color="auto" w:sz="6" w:space="0"/>
                    <w:left w:val="nil"/>
                    <w:bottom w:val="single" w:color="auto" w:sz="6" w:space="0"/>
                    <w:right w:val="single" w:color="auto" w:sz="4" w:space="0"/>
                  </w:tcBorders>
                  <w:noWrap w:val="0"/>
                  <w:vAlign w:val="center"/>
                </w:tcPr>
                <w:p>
                  <w:pPr>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24</w:t>
                  </w:r>
                </w:p>
              </w:tc>
              <w:tc>
                <w:tcPr>
                  <w:tcW w:w="699" w:type="pct"/>
                  <w:tcBorders>
                    <w:top w:val="single" w:color="auto" w:sz="6" w:space="0"/>
                    <w:left w:val="single" w:color="auto" w:sz="4" w:space="0"/>
                    <w:bottom w:val="single" w:color="auto" w:sz="6" w:space="0"/>
                    <w:right w:val="single" w:color="auto" w:sz="6" w:space="0"/>
                  </w:tcBorders>
                  <w:noWrap w:val="0"/>
                  <w:vAlign w:val="center"/>
                </w:tcPr>
                <w:p>
                  <w:pPr>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0.064</w:t>
                  </w:r>
                </w:p>
              </w:tc>
              <w:tc>
                <w:tcPr>
                  <w:tcW w:w="605" w:type="pct"/>
                  <w:tcBorders>
                    <w:top w:val="single" w:color="auto" w:sz="6" w:space="0"/>
                    <w:left w:val="nil"/>
                    <w:bottom w:val="single" w:color="auto" w:sz="6" w:space="0"/>
                    <w:right w:val="single" w:color="auto" w:sz="6" w:space="0"/>
                  </w:tcBorders>
                  <w:noWrap w:val="0"/>
                  <w:vAlign w:val="center"/>
                </w:tcPr>
                <w:p>
                  <w:pPr>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19.2</w:t>
                  </w:r>
                </w:p>
              </w:tc>
              <w:tc>
                <w:tcPr>
                  <w:tcW w:w="1443" w:type="pct"/>
                  <w:tcBorders>
                    <w:left w:val="nil"/>
                    <w:right w:val="single" w:color="auto" w:sz="6" w:space="0"/>
                  </w:tcBorders>
                  <w:noWrap w:val="0"/>
                  <w:vAlign w:val="center"/>
                </w:tcPr>
                <w:p>
                  <w:pPr>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电捕焦油器冲洗</w:t>
                  </w:r>
                  <w:r>
                    <w:rPr>
                      <w:rFonts w:hint="eastAsia" w:ascii="Times New Roman" w:hAnsi="Times New Roman" w:cs="Times New Roman"/>
                      <w:color w:val="auto"/>
                      <w:kern w:val="0"/>
                      <w:sz w:val="21"/>
                      <w:szCs w:val="21"/>
                      <w:highlight w:val="none"/>
                      <w:lang w:val="en-US" w:eastAsia="zh-CN"/>
                    </w:rPr>
                    <w:t>废水</w:t>
                  </w:r>
                  <w:r>
                    <w:rPr>
                      <w:rFonts w:hint="default" w:ascii="Times New Roman" w:hAnsi="Times New Roman" w:cs="Times New Roman"/>
                      <w:color w:val="auto"/>
                      <w:kern w:val="0"/>
                      <w:sz w:val="21"/>
                      <w:szCs w:val="21"/>
                      <w:highlight w:val="none"/>
                      <w:lang w:val="en-US" w:eastAsia="zh-CN"/>
                    </w:rPr>
                    <w:t>收集暂存于危险废物贮存库，委托有资质单位定期清运处置。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690" w:type="pct"/>
                  <w:tcBorders>
                    <w:top w:val="single" w:color="auto" w:sz="6" w:space="0"/>
                    <w:left w:val="single" w:color="auto" w:sz="6" w:space="0"/>
                    <w:bottom w:val="single" w:color="auto" w:sz="6" w:space="0"/>
                    <w:right w:val="single" w:color="auto" w:sz="6" w:space="0"/>
                  </w:tcBorders>
                  <w:noWrap w:val="0"/>
                  <w:vAlign w:val="center"/>
                </w:tcPr>
                <w:p>
                  <w:pPr>
                    <w:jc w:val="center"/>
                    <w:rPr>
                      <w:rFonts w:hint="default" w:ascii="Times New Roman" w:hAnsi="Times New Roman" w:cs="Times New Roman"/>
                      <w:b/>
                      <w:bCs w:val="0"/>
                      <w:color w:val="auto"/>
                      <w:kern w:val="0"/>
                      <w:sz w:val="21"/>
                      <w:szCs w:val="21"/>
                      <w:highlight w:val="none"/>
                    </w:rPr>
                  </w:pPr>
                  <w:r>
                    <w:rPr>
                      <w:rFonts w:hint="default" w:ascii="Times New Roman" w:hAnsi="Times New Roman" w:cs="Times New Roman"/>
                      <w:b/>
                      <w:bCs w:val="0"/>
                      <w:color w:val="auto"/>
                      <w:kern w:val="0"/>
                      <w:sz w:val="21"/>
                      <w:szCs w:val="21"/>
                      <w:highlight w:val="none"/>
                    </w:rPr>
                    <w:t>合计</w:t>
                  </w:r>
                </w:p>
              </w:tc>
              <w:tc>
                <w:tcPr>
                  <w:tcW w:w="808" w:type="pct"/>
                  <w:tcBorders>
                    <w:top w:val="single" w:color="auto" w:sz="6" w:space="0"/>
                    <w:left w:val="nil"/>
                    <w:bottom w:val="single" w:color="auto" w:sz="6" w:space="0"/>
                    <w:right w:val="single" w:color="auto" w:sz="6"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val="0"/>
                      <w:color w:val="auto"/>
                      <w:sz w:val="21"/>
                      <w:szCs w:val="21"/>
                      <w:highlight w:val="none"/>
                      <w:lang w:val="en-US" w:eastAsia="zh-CN"/>
                    </w:rPr>
                  </w:pPr>
                  <w:r>
                    <w:rPr>
                      <w:rFonts w:hint="eastAsia" w:cs="Times New Roman"/>
                      <w:b/>
                      <w:bCs w:val="0"/>
                      <w:color w:val="auto"/>
                      <w:sz w:val="21"/>
                      <w:szCs w:val="21"/>
                      <w:highlight w:val="none"/>
                      <w:lang w:val="en-US" w:eastAsia="zh-CN"/>
                    </w:rPr>
                    <w:t>0.548</w:t>
                  </w:r>
                </w:p>
              </w:tc>
              <w:tc>
                <w:tcPr>
                  <w:tcW w:w="753" w:type="pct"/>
                  <w:tcBorders>
                    <w:top w:val="single" w:color="auto" w:sz="6" w:space="0"/>
                    <w:left w:val="nil"/>
                    <w:bottom w:val="single" w:color="auto" w:sz="6"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val="0"/>
                      <w:color w:val="auto"/>
                      <w:sz w:val="21"/>
                      <w:szCs w:val="21"/>
                      <w:highlight w:val="none"/>
                      <w:lang w:val="en-US" w:eastAsia="zh-CN"/>
                    </w:rPr>
                  </w:pPr>
                  <w:r>
                    <w:rPr>
                      <w:rFonts w:hint="eastAsia" w:cs="Times New Roman"/>
                      <w:b/>
                      <w:bCs w:val="0"/>
                      <w:color w:val="auto"/>
                      <w:sz w:val="21"/>
                      <w:szCs w:val="21"/>
                      <w:highlight w:val="none"/>
                      <w:lang w:val="en-US" w:eastAsia="zh-CN"/>
                    </w:rPr>
                    <w:t>164.4</w:t>
                  </w:r>
                </w:p>
              </w:tc>
              <w:tc>
                <w:tcPr>
                  <w:tcW w:w="699" w:type="pct"/>
                  <w:tcBorders>
                    <w:top w:val="single" w:color="auto" w:sz="6" w:space="0"/>
                    <w:left w:val="single" w:color="auto" w:sz="4" w:space="0"/>
                    <w:bottom w:val="single" w:color="auto" w:sz="6" w:space="0"/>
                    <w:right w:val="single" w:color="auto" w:sz="6"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val="0"/>
                      <w:color w:val="auto"/>
                      <w:kern w:val="0"/>
                      <w:sz w:val="21"/>
                      <w:szCs w:val="21"/>
                      <w:highlight w:val="none"/>
                      <w:lang w:val="en-US" w:eastAsia="zh-CN"/>
                    </w:rPr>
                  </w:pPr>
                  <w:r>
                    <w:rPr>
                      <w:rFonts w:hint="eastAsia" w:cs="Times New Roman"/>
                      <w:b/>
                      <w:bCs w:val="0"/>
                      <w:color w:val="auto"/>
                      <w:kern w:val="0"/>
                      <w:sz w:val="21"/>
                      <w:szCs w:val="21"/>
                      <w:highlight w:val="none"/>
                      <w:lang w:val="en-US" w:eastAsia="zh-CN"/>
                    </w:rPr>
                    <w:t>0.304</w:t>
                  </w:r>
                </w:p>
              </w:tc>
              <w:tc>
                <w:tcPr>
                  <w:tcW w:w="605" w:type="pct"/>
                  <w:tcBorders>
                    <w:top w:val="single" w:color="auto" w:sz="6" w:space="0"/>
                    <w:left w:val="nil"/>
                    <w:bottom w:val="single" w:color="auto" w:sz="6" w:space="0"/>
                    <w:right w:val="single" w:color="auto" w:sz="6"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val="0"/>
                      <w:color w:val="auto"/>
                      <w:sz w:val="21"/>
                      <w:szCs w:val="21"/>
                      <w:highlight w:val="none"/>
                      <w:lang w:val="en-US" w:eastAsia="zh-CN"/>
                    </w:rPr>
                  </w:pPr>
                  <w:r>
                    <w:rPr>
                      <w:rFonts w:hint="eastAsia" w:cs="Times New Roman"/>
                      <w:b/>
                      <w:bCs w:val="0"/>
                      <w:color w:val="auto"/>
                      <w:sz w:val="21"/>
                      <w:szCs w:val="21"/>
                      <w:highlight w:val="none"/>
                      <w:lang w:val="en-US" w:eastAsia="zh-CN"/>
                    </w:rPr>
                    <w:t>91.2</w:t>
                  </w:r>
                </w:p>
              </w:tc>
              <w:tc>
                <w:tcPr>
                  <w:tcW w:w="1443" w:type="pct"/>
                  <w:tcBorders>
                    <w:top w:val="single" w:color="auto" w:sz="6" w:space="0"/>
                    <w:left w:val="nil"/>
                    <w:bottom w:val="single" w:color="auto" w:sz="6" w:space="0"/>
                    <w:right w:val="single" w:color="auto" w:sz="6" w:space="0"/>
                  </w:tcBorders>
                  <w:noWrap w:val="0"/>
                  <w:vAlign w:val="center"/>
                </w:tcPr>
                <w:p>
                  <w:pPr>
                    <w:jc w:val="center"/>
                    <w:rPr>
                      <w:rFonts w:hint="eastAsia" w:ascii="Times New Roman" w:hAnsi="Times New Roman" w:eastAsia="宋体" w:cs="Times New Roman"/>
                      <w:b/>
                      <w:bCs w:val="0"/>
                      <w:color w:val="auto"/>
                      <w:sz w:val="21"/>
                      <w:szCs w:val="21"/>
                      <w:highlight w:val="none"/>
                      <w:lang w:val="en-US" w:eastAsia="zh-CN"/>
                    </w:rPr>
                  </w:pPr>
                  <w:r>
                    <w:rPr>
                      <w:rFonts w:hint="eastAsia" w:ascii="Times New Roman" w:hAnsi="Times New Roman" w:cs="Times New Roman"/>
                      <w:b/>
                      <w:bCs w:val="0"/>
                      <w:color w:val="auto"/>
                      <w:sz w:val="21"/>
                      <w:szCs w:val="21"/>
                      <w:highlight w:val="none"/>
                      <w:lang w:val="en-US" w:eastAsia="zh-CN"/>
                    </w:rPr>
                    <w:t>/</w:t>
                  </w:r>
                </w:p>
              </w:tc>
            </w:tr>
          </w:tbl>
          <w:p>
            <w:pPr>
              <w:adjustRightInd w:val="0"/>
              <w:snapToGrid w:val="0"/>
              <w:spacing w:line="360" w:lineRule="auto"/>
              <w:ind w:firstLine="482" w:firstLineChars="200"/>
              <w:rPr>
                <w:b/>
                <w:bCs/>
                <w:color w:val="auto"/>
                <w:sz w:val="24"/>
                <w:szCs w:val="24"/>
              </w:rPr>
            </w:pPr>
            <w:r>
              <w:rPr>
                <w:b/>
                <w:bCs/>
                <w:color w:val="auto"/>
                <w:sz w:val="24"/>
                <w:szCs w:val="24"/>
              </w:rPr>
              <w:t>（2）废水处理设施可行性分析</w:t>
            </w:r>
          </w:p>
          <w:p>
            <w:pPr>
              <w:widowControl/>
              <w:spacing w:line="360" w:lineRule="auto"/>
              <w:ind w:firstLine="480" w:firstLineChars="200"/>
              <w:rPr>
                <w:rFonts w:ascii="Cambria Math" w:hAnsi="Cambria Math" w:cs="Cambria Math"/>
                <w:color w:val="auto"/>
                <w:kern w:val="0"/>
                <w:sz w:val="24"/>
                <w:szCs w:val="24"/>
              </w:rPr>
            </w:pPr>
            <w:r>
              <w:rPr>
                <w:rFonts w:hint="eastAsia" w:ascii="宋体" w:hAnsi="宋体"/>
                <w:bCs/>
                <w:color w:val="auto"/>
                <w:sz w:val="24"/>
                <w:szCs w:val="24"/>
              </w:rPr>
              <w:t>①</w:t>
            </w:r>
            <w:r>
              <w:rPr>
                <w:rFonts w:hint="eastAsia"/>
                <w:bCs/>
                <w:color w:val="auto"/>
                <w:sz w:val="24"/>
                <w:szCs w:val="24"/>
              </w:rPr>
              <w:t>冷却水池</w:t>
            </w:r>
          </w:p>
          <w:p>
            <w:pPr>
              <w:widowControl/>
              <w:spacing w:line="360" w:lineRule="auto"/>
              <w:ind w:firstLine="480" w:firstLineChars="200"/>
              <w:rPr>
                <w:rFonts w:ascii="Cambria Math" w:hAnsi="Cambria Math" w:cs="Cambria Math"/>
                <w:color w:val="auto"/>
                <w:kern w:val="0"/>
                <w:sz w:val="24"/>
                <w:szCs w:val="24"/>
              </w:rPr>
            </w:pPr>
            <w:r>
              <w:rPr>
                <w:rFonts w:hint="eastAsia"/>
                <w:bCs/>
                <w:color w:val="auto"/>
                <w:sz w:val="24"/>
                <w:szCs w:val="24"/>
              </w:rPr>
              <w:t>1</w:t>
            </w:r>
            <w:r>
              <w:rPr>
                <w:bCs/>
                <w:color w:val="auto"/>
                <w:sz w:val="24"/>
                <w:szCs w:val="24"/>
              </w:rPr>
              <w:t>个，容积为</w:t>
            </w:r>
            <w:r>
              <w:rPr>
                <w:rFonts w:hint="eastAsia"/>
                <w:bCs/>
                <w:color w:val="auto"/>
                <w:sz w:val="24"/>
                <w:szCs w:val="24"/>
                <w:lang w:val="en-US" w:eastAsia="zh-CN"/>
              </w:rPr>
              <w:t>5</w:t>
            </w:r>
            <w:r>
              <w:rPr>
                <w:color w:val="auto"/>
                <w:sz w:val="24"/>
                <w:szCs w:val="24"/>
              </w:rPr>
              <w:t>m</w:t>
            </w:r>
            <w:r>
              <w:rPr>
                <w:color w:val="auto"/>
                <w:sz w:val="24"/>
                <w:szCs w:val="24"/>
                <w:vertAlign w:val="superscript"/>
              </w:rPr>
              <w:t>3</w:t>
            </w:r>
            <w:r>
              <w:rPr>
                <w:bCs/>
                <w:color w:val="auto"/>
                <w:sz w:val="24"/>
                <w:szCs w:val="24"/>
              </w:rPr>
              <w:t>，位于</w:t>
            </w:r>
            <w:r>
              <w:rPr>
                <w:rFonts w:hint="eastAsia"/>
                <w:bCs/>
                <w:color w:val="auto"/>
                <w:sz w:val="24"/>
                <w:szCs w:val="24"/>
              </w:rPr>
              <w:t>生产</w:t>
            </w:r>
            <w:r>
              <w:rPr>
                <w:bCs/>
                <w:color w:val="auto"/>
                <w:sz w:val="24"/>
                <w:szCs w:val="24"/>
              </w:rPr>
              <w:t>车间</w:t>
            </w:r>
            <w:r>
              <w:rPr>
                <w:rFonts w:hint="eastAsia"/>
                <w:bCs/>
                <w:color w:val="auto"/>
                <w:sz w:val="24"/>
                <w:szCs w:val="24"/>
              </w:rPr>
              <w:t>东侧，用于热熔造粒冷却水收集及循环使用，</w:t>
            </w:r>
            <w:r>
              <w:rPr>
                <w:color w:val="auto"/>
                <w:sz w:val="24"/>
                <w:szCs w:val="24"/>
              </w:rPr>
              <w:t>循环水量</w:t>
            </w:r>
            <w:r>
              <w:rPr>
                <w:rFonts w:hint="eastAsia"/>
                <w:color w:val="auto"/>
                <w:sz w:val="24"/>
                <w:szCs w:val="24"/>
                <w:lang w:val="en-US" w:eastAsia="zh-CN"/>
              </w:rPr>
              <w:t>5</w:t>
            </w:r>
            <w:r>
              <w:rPr>
                <w:color w:val="auto"/>
                <w:sz w:val="24"/>
                <w:szCs w:val="24"/>
              </w:rPr>
              <w:t>m</w:t>
            </w:r>
            <w:r>
              <w:rPr>
                <w:color w:val="auto"/>
                <w:sz w:val="24"/>
                <w:szCs w:val="24"/>
                <w:vertAlign w:val="superscript"/>
              </w:rPr>
              <w:t>3</w:t>
            </w:r>
            <w:r>
              <w:rPr>
                <w:color w:val="auto"/>
                <w:sz w:val="24"/>
                <w:szCs w:val="24"/>
              </w:rPr>
              <w:t>/d</w:t>
            </w:r>
            <w:r>
              <w:rPr>
                <w:rFonts w:hint="eastAsia"/>
                <w:color w:val="auto"/>
                <w:sz w:val="24"/>
                <w:szCs w:val="24"/>
              </w:rPr>
              <w:t>，</w:t>
            </w:r>
            <w:r>
              <w:rPr>
                <w:rFonts w:hint="eastAsia"/>
                <w:bCs/>
                <w:color w:val="auto"/>
                <w:sz w:val="24"/>
                <w:szCs w:val="24"/>
              </w:rPr>
              <w:t>冷却水池容积满足生产需求。</w:t>
            </w:r>
          </w:p>
          <w:p>
            <w:pPr>
              <w:widowControl/>
              <w:spacing w:line="360" w:lineRule="auto"/>
              <w:ind w:firstLine="482" w:firstLineChars="200"/>
              <w:rPr>
                <w:color w:val="auto"/>
                <w:kern w:val="0"/>
                <w:sz w:val="24"/>
                <w:szCs w:val="24"/>
              </w:rPr>
            </w:pPr>
            <w:r>
              <w:rPr>
                <w:rFonts w:hint="eastAsia"/>
                <w:b/>
                <w:bCs/>
                <w:color w:val="auto"/>
                <w:kern w:val="0"/>
                <w:sz w:val="24"/>
                <w:szCs w:val="24"/>
                <w:lang w:val="en-US" w:eastAsia="zh-CN"/>
              </w:rPr>
              <w:t>②</w:t>
            </w:r>
            <w:r>
              <w:rPr>
                <w:rFonts w:hint="eastAsia"/>
                <w:color w:val="auto"/>
                <w:kern w:val="0"/>
                <w:sz w:val="24"/>
                <w:szCs w:val="24"/>
              </w:rPr>
              <w:t>生活废水处理设施依托可行性</w:t>
            </w:r>
          </w:p>
          <w:p>
            <w:pPr>
              <w:widowControl/>
              <w:spacing w:line="360" w:lineRule="auto"/>
              <w:ind w:firstLine="480" w:firstLineChars="200"/>
              <w:rPr>
                <w:rFonts w:ascii="Cambria Math" w:hAnsi="Cambria Math" w:cs="Cambria Math"/>
                <w:color w:val="auto"/>
                <w:kern w:val="0"/>
                <w:sz w:val="24"/>
                <w:szCs w:val="24"/>
              </w:rPr>
            </w:pPr>
            <w:r>
              <w:rPr>
                <w:rFonts w:hint="eastAsia"/>
                <w:color w:val="auto"/>
                <w:kern w:val="0"/>
                <w:sz w:val="24"/>
                <w:szCs w:val="24"/>
              </w:rPr>
              <w:t>本项目运营期</w:t>
            </w:r>
            <w:r>
              <w:rPr>
                <w:color w:val="auto"/>
                <w:sz w:val="24"/>
                <w:szCs w:val="24"/>
              </w:rPr>
              <w:t>依托使用</w:t>
            </w:r>
            <w:r>
              <w:rPr>
                <w:rFonts w:hint="eastAsia"/>
                <w:color w:val="auto"/>
                <w:sz w:val="24"/>
                <w:szCs w:val="24"/>
                <w:lang w:eastAsia="zh-CN"/>
              </w:rPr>
              <w:t>云南宝塑塑料管业有限公司</w:t>
            </w:r>
            <w:r>
              <w:rPr>
                <w:rFonts w:hint="eastAsia"/>
                <w:color w:val="auto"/>
                <w:sz w:val="24"/>
                <w:szCs w:val="24"/>
              </w:rPr>
              <w:t>已建设的</w:t>
            </w:r>
            <w:r>
              <w:rPr>
                <w:color w:val="auto"/>
                <w:kern w:val="0"/>
                <w:sz w:val="24"/>
                <w:szCs w:val="24"/>
              </w:rPr>
              <w:t>卫生间，</w:t>
            </w:r>
            <w:r>
              <w:rPr>
                <w:rFonts w:hint="eastAsia"/>
                <w:color w:val="auto"/>
                <w:sz w:val="24"/>
                <w:szCs w:val="24"/>
              </w:rPr>
              <w:t>员工洗手</w:t>
            </w:r>
            <w:r>
              <w:rPr>
                <w:color w:val="auto"/>
                <w:sz w:val="24"/>
                <w:szCs w:val="24"/>
              </w:rPr>
              <w:t>、冲厕废水等</w:t>
            </w:r>
            <w:r>
              <w:rPr>
                <w:rFonts w:hint="eastAsia"/>
                <w:color w:val="auto"/>
                <w:sz w:val="24"/>
                <w:szCs w:val="24"/>
              </w:rPr>
              <w:t>生活污水依托</w:t>
            </w:r>
            <w:r>
              <w:rPr>
                <w:rFonts w:hint="eastAsia"/>
                <w:color w:val="auto"/>
                <w:sz w:val="24"/>
                <w:szCs w:val="24"/>
                <w:lang w:eastAsia="zh-CN"/>
              </w:rPr>
              <w:t>云南宝塑塑料管业有限公司</w:t>
            </w:r>
            <w:r>
              <w:rPr>
                <w:rFonts w:hint="eastAsia"/>
                <w:color w:val="auto"/>
                <w:sz w:val="24"/>
                <w:szCs w:val="24"/>
              </w:rPr>
              <w:t>的化粪池、污水处理站处理后回用于绿化、场地浇洒等。</w:t>
            </w:r>
            <w:r>
              <w:rPr>
                <w:rFonts w:hint="eastAsia"/>
                <w:color w:val="auto"/>
                <w:sz w:val="24"/>
                <w:szCs w:val="24"/>
                <w:lang w:eastAsia="zh-CN"/>
              </w:rPr>
              <w:t>云南宝塑塑料管业有限公司</w:t>
            </w:r>
            <w:r>
              <w:rPr>
                <w:rFonts w:hint="eastAsia"/>
                <w:color w:val="auto"/>
                <w:sz w:val="24"/>
                <w:szCs w:val="24"/>
              </w:rPr>
              <w:t>已建设</w:t>
            </w:r>
            <w:r>
              <w:rPr>
                <w:bCs/>
                <w:color w:val="auto"/>
                <w:sz w:val="24"/>
                <w:szCs w:val="24"/>
              </w:rPr>
              <w:t>1个容积为</w:t>
            </w:r>
            <w:r>
              <w:rPr>
                <w:rFonts w:hint="eastAsia"/>
                <w:bCs/>
                <w:color w:val="auto"/>
                <w:sz w:val="24"/>
                <w:szCs w:val="24"/>
                <w:lang w:val="en-US" w:eastAsia="zh-CN"/>
              </w:rPr>
              <w:t>8</w:t>
            </w:r>
            <w:r>
              <w:rPr>
                <w:bCs/>
                <w:color w:val="auto"/>
                <w:sz w:val="24"/>
                <w:szCs w:val="24"/>
              </w:rPr>
              <w:t>m</w:t>
            </w:r>
            <w:r>
              <w:rPr>
                <w:bCs/>
                <w:color w:val="auto"/>
                <w:sz w:val="24"/>
                <w:szCs w:val="24"/>
                <w:vertAlign w:val="superscript"/>
              </w:rPr>
              <w:t>3</w:t>
            </w:r>
            <w:r>
              <w:rPr>
                <w:rFonts w:hint="eastAsia"/>
                <w:bCs/>
                <w:color w:val="auto"/>
                <w:sz w:val="24"/>
                <w:szCs w:val="24"/>
              </w:rPr>
              <w:t>的</w:t>
            </w:r>
            <w:r>
              <w:rPr>
                <w:bCs/>
                <w:color w:val="auto"/>
                <w:sz w:val="24"/>
                <w:szCs w:val="24"/>
              </w:rPr>
              <w:t>化粪池</w:t>
            </w:r>
            <w:r>
              <w:rPr>
                <w:rFonts w:hint="eastAsia"/>
                <w:color w:val="auto"/>
                <w:sz w:val="24"/>
                <w:szCs w:val="24"/>
              </w:rPr>
              <w:t>。项目产生的生活污水为</w:t>
            </w:r>
            <w:r>
              <w:rPr>
                <w:rFonts w:hint="eastAsia"/>
                <w:color w:val="auto"/>
                <w:sz w:val="24"/>
                <w:szCs w:val="24"/>
                <w:lang w:val="en-US" w:eastAsia="zh-CN"/>
              </w:rPr>
              <w:t>0.34</w:t>
            </w:r>
            <w:r>
              <w:rPr>
                <w:rFonts w:hint="eastAsia"/>
                <w:color w:val="auto"/>
                <w:sz w:val="24"/>
                <w:szCs w:val="24"/>
              </w:rPr>
              <w:t>m</w:t>
            </w:r>
            <w:r>
              <w:rPr>
                <w:rFonts w:hint="eastAsia"/>
                <w:color w:val="auto"/>
                <w:sz w:val="24"/>
                <w:szCs w:val="24"/>
                <w:vertAlign w:val="superscript"/>
              </w:rPr>
              <w:t>3</w:t>
            </w:r>
            <w:r>
              <w:rPr>
                <w:rFonts w:hint="eastAsia"/>
                <w:color w:val="auto"/>
                <w:sz w:val="24"/>
                <w:szCs w:val="24"/>
              </w:rPr>
              <w:t>/d，化粪池有足够的余量容纳项目产生的生活污水，</w:t>
            </w:r>
          </w:p>
          <w:p>
            <w:pPr>
              <w:spacing w:line="360" w:lineRule="auto"/>
              <w:ind w:firstLine="480" w:firstLineChars="200"/>
              <w:rPr>
                <w:rFonts w:hint="eastAsia"/>
                <w:color w:val="auto"/>
                <w:sz w:val="24"/>
                <w:szCs w:val="24"/>
                <w:lang w:eastAsia="zh-CN"/>
              </w:rPr>
            </w:pPr>
            <w:r>
              <w:rPr>
                <w:rFonts w:hint="default" w:ascii="Times New Roman" w:hAnsi="Times New Roman" w:eastAsia="宋体" w:cs="Times New Roman"/>
                <w:bCs/>
                <w:color w:val="auto"/>
                <w:sz w:val="24"/>
                <w:szCs w:val="24"/>
                <w:highlight w:val="none"/>
              </w:rPr>
              <w:t>根据《建筑给水排水设计规范》（GB50015-2021）中规定：化粪池的容积应满足污水在池内停留时间12h</w:t>
            </w:r>
            <w:r>
              <w:rPr>
                <w:rFonts w:hint="eastAsia" w:cs="Times New Roman"/>
                <w:bCs/>
                <w:color w:val="auto"/>
                <w:sz w:val="24"/>
                <w:szCs w:val="24"/>
                <w:highlight w:val="none"/>
                <w:lang w:eastAsia="zh-CN"/>
              </w:rPr>
              <w:t>—</w:t>
            </w:r>
            <w:r>
              <w:rPr>
                <w:rFonts w:hint="default" w:ascii="Times New Roman" w:hAnsi="Times New Roman" w:eastAsia="宋体" w:cs="Times New Roman"/>
                <w:bCs/>
                <w:color w:val="auto"/>
                <w:sz w:val="24"/>
                <w:szCs w:val="24"/>
                <w:highlight w:val="none"/>
              </w:rPr>
              <w:t>24h要求。</w:t>
            </w:r>
            <w:r>
              <w:rPr>
                <w:rFonts w:hint="default" w:ascii="Times New Roman" w:hAnsi="Times New Roman" w:eastAsia="宋体" w:cs="Times New Roman"/>
                <w:bCs/>
                <w:color w:val="auto"/>
                <w:sz w:val="24"/>
                <w:szCs w:val="24"/>
                <w:highlight w:val="none"/>
                <w:lang w:val="en-US" w:eastAsia="zh-CN"/>
              </w:rPr>
              <w:t>项目设有</w:t>
            </w:r>
            <w:r>
              <w:rPr>
                <w:rFonts w:hint="default" w:ascii="Times New Roman" w:hAnsi="Times New Roman" w:eastAsia="宋体" w:cs="Times New Roman"/>
                <w:bCs/>
                <w:color w:val="auto"/>
                <w:sz w:val="24"/>
                <w:szCs w:val="24"/>
                <w:highlight w:val="none"/>
              </w:rPr>
              <w:t>容积约</w:t>
            </w:r>
            <w:r>
              <w:rPr>
                <w:rFonts w:hint="eastAsia" w:cs="Times New Roman"/>
                <w:bCs/>
                <w:color w:val="auto"/>
                <w:sz w:val="24"/>
                <w:szCs w:val="24"/>
                <w:highlight w:val="none"/>
                <w:lang w:val="en-US" w:eastAsia="zh-CN"/>
              </w:rPr>
              <w:t>4</w:t>
            </w:r>
            <w:r>
              <w:rPr>
                <w:rFonts w:hint="default" w:ascii="Times New Roman" w:hAnsi="Times New Roman" w:eastAsia="宋体" w:cs="Times New Roman"/>
                <w:bCs/>
                <w:color w:val="auto"/>
                <w:sz w:val="24"/>
                <w:szCs w:val="24"/>
                <w:highlight w:val="none"/>
              </w:rPr>
              <w:t>m</w:t>
            </w:r>
            <w:r>
              <w:rPr>
                <w:rFonts w:hint="eastAsia" w:ascii="Times New Roman" w:hAnsi="Times New Roman" w:eastAsia="宋体" w:cs="Times New Roman"/>
                <w:bCs/>
                <w:color w:val="auto"/>
                <w:sz w:val="24"/>
                <w:szCs w:val="24"/>
                <w:highlight w:val="none"/>
                <w:vertAlign w:val="superscript"/>
                <w:lang w:val="en-US" w:eastAsia="zh-CN"/>
              </w:rPr>
              <w:t>3</w:t>
            </w:r>
            <w:r>
              <w:rPr>
                <w:rFonts w:hint="default" w:ascii="Times New Roman" w:hAnsi="Times New Roman" w:eastAsia="宋体" w:cs="Times New Roman"/>
                <w:bCs/>
                <w:color w:val="auto"/>
                <w:sz w:val="24"/>
                <w:szCs w:val="24"/>
                <w:highlight w:val="none"/>
              </w:rPr>
              <w:t>的化粪池，保证污水在池内停留时间24h以上，可满足污水在池内停留时间12h</w:t>
            </w:r>
            <w:r>
              <w:rPr>
                <w:rFonts w:hint="eastAsia" w:cs="Times New Roman"/>
                <w:bCs/>
                <w:color w:val="auto"/>
                <w:sz w:val="24"/>
                <w:szCs w:val="24"/>
                <w:highlight w:val="none"/>
                <w:lang w:eastAsia="zh-CN"/>
              </w:rPr>
              <w:t>—</w:t>
            </w:r>
            <w:r>
              <w:rPr>
                <w:rFonts w:hint="default" w:ascii="Times New Roman" w:hAnsi="Times New Roman" w:eastAsia="宋体" w:cs="Times New Roman"/>
                <w:bCs/>
                <w:color w:val="auto"/>
                <w:sz w:val="24"/>
                <w:szCs w:val="24"/>
                <w:highlight w:val="none"/>
              </w:rPr>
              <w:t>24h要求</w:t>
            </w:r>
            <w:r>
              <w:rPr>
                <w:rFonts w:hint="eastAsia" w:ascii="Times New Roman" w:hAnsi="Times New Roman" w:eastAsia="宋体" w:cs="Times New Roman"/>
                <w:bCs/>
                <w:color w:val="auto"/>
                <w:sz w:val="24"/>
                <w:szCs w:val="24"/>
                <w:highlight w:val="none"/>
                <w:lang w:eastAsia="zh-CN"/>
              </w:rPr>
              <w:t>，</w:t>
            </w:r>
            <w:r>
              <w:rPr>
                <w:rFonts w:hint="default" w:ascii="Times New Roman" w:hAnsi="Times New Roman" w:cs="Times New Roman"/>
                <w:bCs/>
                <w:color w:val="auto"/>
                <w:sz w:val="24"/>
                <w:szCs w:val="24"/>
                <w:highlight w:val="none"/>
              </w:rPr>
              <w:t>也可满足</w:t>
            </w:r>
            <w:r>
              <w:rPr>
                <w:rFonts w:hint="default" w:ascii="Times New Roman" w:hAnsi="Times New Roman" w:eastAsia="宋体" w:cs="Times New Roman"/>
                <w:color w:val="auto"/>
                <w:sz w:val="24"/>
                <w:szCs w:val="24"/>
                <w:highlight w:val="none"/>
              </w:rPr>
              <w:t>专人</w:t>
            </w:r>
            <w:r>
              <w:rPr>
                <w:rFonts w:hint="default" w:ascii="Times New Roman" w:hAnsi="Times New Roman" w:cs="Times New Roman"/>
                <w:bCs/>
                <w:color w:val="auto"/>
                <w:sz w:val="24"/>
                <w:szCs w:val="24"/>
                <w:highlight w:val="none"/>
                <w:lang w:val="en-US" w:eastAsia="zh-CN"/>
              </w:rPr>
              <w:t>未清掏处置时</w:t>
            </w:r>
            <w:r>
              <w:rPr>
                <w:rFonts w:hint="eastAsia" w:cs="Times New Roman"/>
                <w:bCs/>
                <w:color w:val="auto"/>
                <w:sz w:val="24"/>
                <w:szCs w:val="24"/>
                <w:highlight w:val="none"/>
                <w:lang w:val="en-US" w:eastAsia="zh-CN"/>
              </w:rPr>
              <w:t>11</w:t>
            </w:r>
            <w:r>
              <w:rPr>
                <w:rFonts w:hint="default" w:ascii="Times New Roman" w:hAnsi="Times New Roman" w:cs="Times New Roman"/>
                <w:bCs/>
                <w:color w:val="auto"/>
                <w:sz w:val="24"/>
                <w:szCs w:val="24"/>
                <w:highlight w:val="none"/>
              </w:rPr>
              <w:t>天生活污水的暂存需求</w:t>
            </w:r>
            <w:r>
              <w:rPr>
                <w:rFonts w:hint="default" w:ascii="Times New Roman" w:hAnsi="Times New Roman" w:cs="Times New Roman"/>
                <w:bCs/>
                <w:color w:val="auto"/>
                <w:sz w:val="24"/>
                <w:szCs w:val="24"/>
                <w:highlight w:val="none"/>
                <w:lang w:val="en-US" w:eastAsia="zh-CN"/>
              </w:rPr>
              <w:t>。</w:t>
            </w:r>
          </w:p>
          <w:p>
            <w:pPr>
              <w:spacing w:line="360" w:lineRule="auto"/>
              <w:ind w:firstLine="480" w:firstLineChars="200"/>
              <w:rPr>
                <w:color w:val="auto"/>
                <w:sz w:val="24"/>
                <w:szCs w:val="24"/>
              </w:rPr>
            </w:pPr>
            <w:r>
              <w:rPr>
                <w:rFonts w:hint="eastAsia"/>
                <w:color w:val="auto"/>
                <w:sz w:val="24"/>
                <w:szCs w:val="24"/>
              </w:rPr>
              <w:t>本项目</w:t>
            </w:r>
            <w:r>
              <w:rPr>
                <w:rFonts w:hint="eastAsia"/>
                <w:color w:val="auto"/>
                <w:sz w:val="24"/>
                <w:szCs w:val="24"/>
                <w:lang w:val="en-US" w:eastAsia="zh-CN"/>
              </w:rPr>
              <w:t>化粪池</w:t>
            </w:r>
            <w:r>
              <w:rPr>
                <w:rFonts w:hint="eastAsia"/>
                <w:color w:val="auto"/>
                <w:sz w:val="24"/>
                <w:szCs w:val="24"/>
              </w:rPr>
              <w:t>依托</w:t>
            </w:r>
            <w:r>
              <w:rPr>
                <w:rFonts w:hint="eastAsia"/>
                <w:color w:val="auto"/>
                <w:sz w:val="24"/>
                <w:szCs w:val="24"/>
                <w:lang w:val="en-US" w:eastAsia="zh-CN"/>
              </w:rPr>
              <w:t>现有</w:t>
            </w:r>
            <w:r>
              <w:rPr>
                <w:color w:val="auto"/>
                <w:sz w:val="24"/>
                <w:szCs w:val="24"/>
              </w:rPr>
              <w:t>是可行的</w:t>
            </w:r>
            <w:r>
              <w:rPr>
                <w:rFonts w:hint="eastAsia"/>
                <w:color w:val="auto"/>
                <w:sz w:val="24"/>
                <w:szCs w:val="24"/>
              </w:rPr>
              <w:t>。</w:t>
            </w:r>
          </w:p>
          <w:p>
            <w:pPr>
              <w:autoSpaceDE w:val="0"/>
              <w:autoSpaceDN w:val="0"/>
              <w:adjustRightInd w:val="0"/>
              <w:snapToGrid w:val="0"/>
              <w:spacing w:line="360" w:lineRule="auto"/>
              <w:ind w:firstLine="482" w:firstLineChars="200"/>
              <w:rPr>
                <w:b/>
                <w:color w:val="auto"/>
                <w:sz w:val="24"/>
                <w:szCs w:val="24"/>
              </w:rPr>
            </w:pPr>
            <w:r>
              <w:rPr>
                <w:b/>
                <w:color w:val="auto"/>
                <w:sz w:val="24"/>
                <w:szCs w:val="24"/>
              </w:rPr>
              <w:t>（</w:t>
            </w:r>
            <w:r>
              <w:rPr>
                <w:rFonts w:hint="eastAsia"/>
                <w:b/>
                <w:color w:val="auto"/>
                <w:sz w:val="24"/>
                <w:szCs w:val="24"/>
                <w:lang w:val="en-US" w:eastAsia="zh-CN"/>
              </w:rPr>
              <w:t>3</w:t>
            </w:r>
            <w:r>
              <w:rPr>
                <w:b/>
                <w:color w:val="auto"/>
                <w:sz w:val="24"/>
                <w:szCs w:val="24"/>
              </w:rPr>
              <w:t>）监测要求</w:t>
            </w:r>
          </w:p>
          <w:p>
            <w:pPr>
              <w:autoSpaceDE w:val="0"/>
              <w:autoSpaceDN w:val="0"/>
              <w:adjustRightInd w:val="0"/>
              <w:snapToGrid w:val="0"/>
              <w:spacing w:line="360" w:lineRule="auto"/>
              <w:ind w:firstLine="480" w:firstLineChars="200"/>
              <w:rPr>
                <w:bCs/>
                <w:color w:val="auto"/>
                <w:sz w:val="24"/>
                <w:szCs w:val="24"/>
              </w:rPr>
            </w:pPr>
            <w:r>
              <w:rPr>
                <w:bCs/>
                <w:color w:val="auto"/>
                <w:sz w:val="24"/>
                <w:szCs w:val="24"/>
              </w:rPr>
              <w:t>本项目</w:t>
            </w:r>
            <w:r>
              <w:rPr>
                <w:rFonts w:hint="eastAsia"/>
                <w:bCs/>
                <w:color w:val="auto"/>
                <w:sz w:val="24"/>
                <w:szCs w:val="24"/>
                <w:lang w:val="en-US" w:eastAsia="zh-CN"/>
              </w:rPr>
              <w:t>循环冷却水循环使用，不外排；生活污水</w:t>
            </w:r>
            <w:r>
              <w:rPr>
                <w:rFonts w:hint="eastAsia"/>
                <w:bCs/>
                <w:color w:val="auto"/>
                <w:sz w:val="24"/>
                <w:szCs w:val="24"/>
              </w:rPr>
              <w:t>经</w:t>
            </w:r>
            <w:r>
              <w:rPr>
                <w:rFonts w:hint="eastAsia"/>
                <w:bCs/>
                <w:color w:val="auto"/>
                <w:sz w:val="24"/>
                <w:szCs w:val="24"/>
                <w:lang w:val="en-US" w:eastAsia="zh-CN"/>
              </w:rPr>
              <w:t>化粪池处理后委托</w:t>
            </w:r>
            <w:r>
              <w:rPr>
                <w:rFonts w:hint="eastAsia"/>
                <w:color w:val="auto"/>
                <w:sz w:val="24"/>
                <w:szCs w:val="24"/>
                <w:lang w:val="en-US" w:eastAsia="zh-CN"/>
              </w:rPr>
              <w:t>宜良县汇金环境卫生服务部</w:t>
            </w:r>
            <w:r>
              <w:rPr>
                <w:rFonts w:hint="eastAsia"/>
                <w:bCs/>
                <w:color w:val="auto"/>
                <w:sz w:val="24"/>
                <w:szCs w:val="24"/>
                <w:lang w:val="en-US" w:eastAsia="zh-CN"/>
              </w:rPr>
              <w:t>定期清掏清运</w:t>
            </w:r>
            <w:r>
              <w:rPr>
                <w:rFonts w:hint="eastAsia"/>
                <w:bCs/>
                <w:color w:val="auto"/>
                <w:sz w:val="24"/>
                <w:szCs w:val="24"/>
              </w:rPr>
              <w:t>；</w:t>
            </w:r>
            <w:r>
              <w:rPr>
                <w:rFonts w:hint="eastAsia"/>
                <w:color w:val="auto"/>
                <w:sz w:val="24"/>
                <w:szCs w:val="24"/>
              </w:rPr>
              <w:t>因此，</w:t>
            </w:r>
            <w:r>
              <w:rPr>
                <w:color w:val="auto"/>
                <w:kern w:val="1"/>
                <w:sz w:val="24"/>
                <w:szCs w:val="24"/>
              </w:rPr>
              <w:t>无废水</w:t>
            </w:r>
            <w:r>
              <w:rPr>
                <w:bCs/>
                <w:color w:val="auto"/>
                <w:sz w:val="24"/>
                <w:szCs w:val="24"/>
              </w:rPr>
              <w:t>自行监测要求。</w:t>
            </w:r>
          </w:p>
          <w:p>
            <w:pPr>
              <w:adjustRightInd w:val="0"/>
              <w:snapToGrid w:val="0"/>
              <w:spacing w:line="360" w:lineRule="auto"/>
              <w:ind w:firstLine="482" w:firstLineChars="200"/>
              <w:rPr>
                <w:color w:val="auto"/>
                <w:sz w:val="24"/>
                <w:szCs w:val="24"/>
              </w:rPr>
            </w:pPr>
            <w:r>
              <w:rPr>
                <w:b/>
                <w:bCs/>
                <w:color w:val="auto"/>
                <w:kern w:val="0"/>
                <w:sz w:val="24"/>
                <w:szCs w:val="24"/>
              </w:rPr>
              <w:t>（</w:t>
            </w:r>
            <w:r>
              <w:rPr>
                <w:rFonts w:hint="eastAsia"/>
                <w:b/>
                <w:bCs/>
                <w:color w:val="auto"/>
                <w:kern w:val="0"/>
                <w:sz w:val="24"/>
                <w:szCs w:val="24"/>
                <w:lang w:val="en-US" w:eastAsia="zh-CN"/>
              </w:rPr>
              <w:t>4</w:t>
            </w:r>
            <w:r>
              <w:rPr>
                <w:b/>
                <w:bCs/>
                <w:color w:val="auto"/>
                <w:kern w:val="0"/>
                <w:sz w:val="24"/>
                <w:szCs w:val="24"/>
              </w:rPr>
              <w:t>）水环境影响分析</w:t>
            </w:r>
          </w:p>
          <w:p>
            <w:pPr>
              <w:adjustRightInd w:val="0"/>
              <w:snapToGrid w:val="0"/>
              <w:spacing w:line="360" w:lineRule="auto"/>
              <w:ind w:firstLine="480" w:firstLineChars="200"/>
              <w:rPr>
                <w:color w:val="auto"/>
                <w:kern w:val="0"/>
                <w:sz w:val="24"/>
                <w:szCs w:val="24"/>
              </w:rPr>
            </w:pPr>
            <w:r>
              <w:rPr>
                <w:color w:val="auto"/>
                <w:kern w:val="0"/>
                <w:sz w:val="24"/>
                <w:szCs w:val="24"/>
              </w:rPr>
              <w:t>项目位于</w:t>
            </w:r>
            <w:r>
              <w:rPr>
                <w:rFonts w:hint="eastAsia"/>
                <w:color w:val="auto"/>
                <w:sz w:val="24"/>
                <w:szCs w:val="24"/>
              </w:rPr>
              <w:t>云南省昆明市宜良产业园区云南宝塑塑料管业有限公司厂房内</w:t>
            </w:r>
            <w:r>
              <w:rPr>
                <w:color w:val="auto"/>
                <w:sz w:val="24"/>
                <w:szCs w:val="24"/>
              </w:rPr>
              <w:t>，</w:t>
            </w:r>
            <w:r>
              <w:rPr>
                <w:color w:val="auto"/>
                <w:kern w:val="0"/>
                <w:sz w:val="24"/>
                <w:szCs w:val="24"/>
              </w:rPr>
              <w:t>本项目所处区域的南盘江河段上游为柴石滩控制断面，下游为狗街断面，根据地表水环境质量现状调查，狗街断面水质类别为Ⅲ类、柴石滩断面水质类别为Ⅱ类，均满足</w:t>
            </w:r>
            <w:r>
              <w:rPr>
                <w:color w:val="auto"/>
                <w:sz w:val="24"/>
                <w:szCs w:val="24"/>
              </w:rPr>
              <w:t>《地表水环境质量标准》（GB3838-2002）</w:t>
            </w:r>
            <w:r>
              <w:rPr>
                <w:rFonts w:eastAsia="仿宋"/>
                <w:color w:val="auto"/>
                <w:sz w:val="24"/>
                <w:szCs w:val="24"/>
              </w:rPr>
              <w:t>Ⅲ</w:t>
            </w:r>
            <w:r>
              <w:rPr>
                <w:color w:val="auto"/>
                <w:sz w:val="24"/>
                <w:szCs w:val="24"/>
              </w:rPr>
              <w:t>类水质目标要求</w:t>
            </w:r>
            <w:r>
              <w:rPr>
                <w:color w:val="auto"/>
                <w:kern w:val="0"/>
                <w:sz w:val="24"/>
                <w:szCs w:val="24"/>
              </w:rPr>
              <w:t>。</w:t>
            </w:r>
          </w:p>
          <w:p>
            <w:pPr>
              <w:adjustRightInd w:val="0"/>
              <w:snapToGrid w:val="0"/>
              <w:spacing w:line="360" w:lineRule="auto"/>
              <w:ind w:firstLine="480" w:firstLineChars="200"/>
              <w:rPr>
                <w:color w:val="auto"/>
                <w:kern w:val="0"/>
                <w:sz w:val="24"/>
                <w:szCs w:val="24"/>
              </w:rPr>
            </w:pPr>
            <w:r>
              <w:rPr>
                <w:color w:val="auto"/>
                <w:kern w:val="0"/>
                <w:sz w:val="24"/>
                <w:szCs w:val="24"/>
              </w:rPr>
              <w:t>根据以上分析，</w:t>
            </w:r>
            <w:r>
              <w:rPr>
                <w:bCs/>
                <w:color w:val="auto"/>
                <w:sz w:val="24"/>
                <w:szCs w:val="24"/>
              </w:rPr>
              <w:t>本项目</w:t>
            </w:r>
            <w:r>
              <w:rPr>
                <w:rFonts w:hint="eastAsia"/>
                <w:color w:val="auto"/>
                <w:kern w:val="0"/>
                <w:sz w:val="24"/>
                <w:szCs w:val="24"/>
              </w:rPr>
              <w:t>运营期</w:t>
            </w:r>
            <w:r>
              <w:rPr>
                <w:rFonts w:hint="eastAsia"/>
                <w:bCs/>
                <w:color w:val="auto"/>
                <w:sz w:val="24"/>
                <w:szCs w:val="24"/>
              </w:rPr>
              <w:t>生产废水循环使用</w:t>
            </w:r>
            <w:r>
              <w:rPr>
                <w:rFonts w:hint="eastAsia"/>
                <w:color w:val="auto"/>
                <w:kern w:val="0"/>
                <w:sz w:val="24"/>
                <w:szCs w:val="24"/>
                <w:lang w:eastAsia="zh-CN"/>
              </w:rPr>
              <w:t>，</w:t>
            </w:r>
            <w:r>
              <w:rPr>
                <w:rFonts w:hint="eastAsia"/>
                <w:bCs/>
                <w:color w:val="auto"/>
                <w:sz w:val="24"/>
                <w:szCs w:val="24"/>
                <w:lang w:val="en-US" w:eastAsia="zh-CN"/>
              </w:rPr>
              <w:t>生活污水</w:t>
            </w:r>
            <w:r>
              <w:rPr>
                <w:rFonts w:hint="eastAsia"/>
                <w:bCs/>
                <w:color w:val="auto"/>
                <w:sz w:val="24"/>
                <w:szCs w:val="24"/>
              </w:rPr>
              <w:t>经</w:t>
            </w:r>
            <w:r>
              <w:rPr>
                <w:rFonts w:hint="eastAsia"/>
                <w:bCs/>
                <w:color w:val="auto"/>
                <w:sz w:val="24"/>
                <w:szCs w:val="24"/>
                <w:lang w:val="en-US" w:eastAsia="zh-CN"/>
              </w:rPr>
              <w:t>化粪池处理后委托清运单位定期清掏清运，</w:t>
            </w:r>
            <w:r>
              <w:rPr>
                <w:color w:val="auto"/>
                <w:kern w:val="0"/>
                <w:sz w:val="24"/>
                <w:szCs w:val="24"/>
              </w:rPr>
              <w:t>废水</w:t>
            </w:r>
            <w:r>
              <w:rPr>
                <w:rFonts w:hint="eastAsia"/>
                <w:color w:val="auto"/>
                <w:kern w:val="0"/>
                <w:sz w:val="24"/>
                <w:szCs w:val="24"/>
              </w:rPr>
              <w:t>均不外排</w:t>
            </w:r>
            <w:r>
              <w:rPr>
                <w:color w:val="auto"/>
                <w:kern w:val="0"/>
                <w:sz w:val="24"/>
                <w:szCs w:val="24"/>
              </w:rPr>
              <w:t>，不会改变项目周边南盘江等地表水水环境功能，对周边地表水体影响较小。综上，项目运行不会对周边水环境产生影响。</w:t>
            </w:r>
          </w:p>
          <w:p>
            <w:pPr>
              <w:autoSpaceDE w:val="0"/>
              <w:autoSpaceDN w:val="0"/>
              <w:adjustRightInd w:val="0"/>
              <w:snapToGrid w:val="0"/>
              <w:spacing w:line="360" w:lineRule="auto"/>
              <w:ind w:firstLine="482" w:firstLineChars="200"/>
              <w:rPr>
                <w:b/>
                <w:bCs/>
                <w:color w:val="auto"/>
                <w:sz w:val="24"/>
                <w:szCs w:val="24"/>
              </w:rPr>
            </w:pPr>
            <w:r>
              <w:rPr>
                <w:b/>
                <w:bCs/>
                <w:color w:val="auto"/>
                <w:sz w:val="24"/>
                <w:szCs w:val="24"/>
              </w:rPr>
              <w:t>3、噪声</w:t>
            </w:r>
          </w:p>
          <w:p>
            <w:pPr>
              <w:adjustRightInd w:val="0"/>
              <w:snapToGrid w:val="0"/>
              <w:spacing w:line="360" w:lineRule="auto"/>
              <w:ind w:firstLine="482" w:firstLineChars="200"/>
              <w:rPr>
                <w:b/>
                <w:bCs/>
                <w:color w:val="auto"/>
                <w:sz w:val="24"/>
                <w:szCs w:val="24"/>
              </w:rPr>
            </w:pPr>
            <w:r>
              <w:rPr>
                <w:b/>
                <w:bCs/>
                <w:color w:val="auto"/>
                <w:sz w:val="24"/>
                <w:szCs w:val="24"/>
              </w:rPr>
              <w:t>（1）噪声源强分析</w:t>
            </w:r>
          </w:p>
          <w:p>
            <w:pPr>
              <w:pStyle w:val="20"/>
              <w:widowControl w:val="0"/>
              <w:adjustRightInd w:val="0"/>
              <w:snapToGrid w:val="0"/>
              <w:spacing w:before="0" w:beforeAutospacing="0" w:after="0" w:afterAutospacing="0" w:line="360" w:lineRule="auto"/>
              <w:ind w:firstLine="480" w:firstLineChars="200"/>
              <w:jc w:val="both"/>
              <w:rPr>
                <w:rFonts w:ascii="Times New Roman" w:hAnsi="Times New Roman"/>
                <w:bCs/>
                <w:color w:val="auto"/>
                <w:sz w:val="24"/>
                <w:szCs w:val="24"/>
              </w:rPr>
            </w:pPr>
            <w:r>
              <w:rPr>
                <w:rFonts w:hint="eastAsia" w:ascii="Times New Roman" w:hAnsi="Times New Roman"/>
                <w:bCs/>
                <w:color w:val="auto"/>
                <w:sz w:val="24"/>
                <w:szCs w:val="24"/>
              </w:rPr>
              <w:t>项目运营期间，装载机等运输车辆产生的噪声值在75～90dB（A）之间，属于间歇性噪声，会对周围环境造成一定影响。因车辆在项目区内为低速行驶状态，通过加强管理、禁止鸣笛等措施后，交通噪声对周围环境的影响是可以接受的。</w:t>
            </w:r>
          </w:p>
          <w:p>
            <w:pPr>
              <w:pStyle w:val="20"/>
              <w:widowControl w:val="0"/>
              <w:adjustRightInd w:val="0"/>
              <w:snapToGrid w:val="0"/>
              <w:spacing w:before="0" w:beforeAutospacing="0" w:after="0" w:afterAutospacing="0" w:line="360" w:lineRule="auto"/>
              <w:ind w:firstLine="480" w:firstLineChars="200"/>
              <w:jc w:val="both"/>
              <w:rPr>
                <w:rFonts w:ascii="Times New Roman" w:hAnsi="Times New Roman"/>
                <w:color w:val="auto"/>
                <w:sz w:val="21"/>
                <w:szCs w:val="21"/>
              </w:rPr>
            </w:pPr>
            <w:r>
              <w:rPr>
                <w:rFonts w:ascii="Times New Roman" w:hAnsi="Times New Roman"/>
                <w:bCs/>
                <w:color w:val="auto"/>
                <w:sz w:val="24"/>
                <w:szCs w:val="24"/>
              </w:rPr>
              <w:t>本项目的噪声主要来源于生产车间的各类设备运行时产生的噪声，</w:t>
            </w:r>
            <w:r>
              <w:rPr>
                <w:rFonts w:ascii="Times New Roman" w:hAnsi="Times New Roman"/>
                <w:color w:val="auto"/>
                <w:sz w:val="24"/>
                <w:szCs w:val="24"/>
              </w:rPr>
              <w:t>其噪声值约为</w:t>
            </w:r>
            <w:r>
              <w:rPr>
                <w:rFonts w:hint="eastAsia" w:ascii="Times New Roman" w:hAnsi="Times New Roman"/>
                <w:color w:val="auto"/>
                <w:sz w:val="24"/>
                <w:szCs w:val="24"/>
              </w:rPr>
              <w:t>7</w:t>
            </w:r>
            <w:r>
              <w:rPr>
                <w:rFonts w:ascii="Times New Roman" w:hAnsi="Times New Roman"/>
                <w:color w:val="auto"/>
                <w:sz w:val="24"/>
                <w:szCs w:val="24"/>
              </w:rPr>
              <w:t>0~90dB之间，为连续型噪声源。</w:t>
            </w:r>
            <w:r>
              <w:rPr>
                <w:rFonts w:hint="eastAsia" w:ascii="Times New Roman" w:hAnsi="Times New Roman"/>
                <w:color w:val="auto"/>
                <w:sz w:val="24"/>
                <w:szCs w:val="24"/>
              </w:rPr>
              <w:t>项目优先选用低噪声设备，通过合理布置设备、设备设置减振装置，加强对生产设备的管理和维护等措施减小噪声对周围环境的影响。项目噪声源源强调查清单如下表所示：</w:t>
            </w: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pStyle w:val="20"/>
              <w:widowControl w:val="0"/>
              <w:adjustRightInd w:val="0"/>
              <w:snapToGrid w:val="0"/>
              <w:spacing w:before="0" w:beforeAutospacing="0" w:after="0" w:afterAutospacing="0" w:line="360" w:lineRule="auto"/>
              <w:jc w:val="both"/>
              <w:rPr>
                <w:rFonts w:ascii="Times New Roman" w:hAnsi="Times New Roman"/>
                <w:color w:val="auto"/>
                <w:sz w:val="21"/>
                <w:szCs w:val="21"/>
              </w:rPr>
            </w:pPr>
          </w:p>
        </w:tc>
      </w:tr>
    </w:tbl>
    <w:p>
      <w:pPr>
        <w:adjustRightInd w:val="0"/>
        <w:snapToGrid w:val="0"/>
        <w:jc w:val="center"/>
        <w:rPr>
          <w:bCs/>
          <w:color w:val="auto"/>
          <w:szCs w:val="21"/>
        </w:rPr>
        <w:sectPr>
          <w:pgSz w:w="11907" w:h="16840"/>
          <w:pgMar w:top="1701" w:right="1531" w:bottom="2127" w:left="1531" w:header="851" w:footer="851" w:gutter="0"/>
          <w:cols w:space="720" w:num="1"/>
          <w:docGrid w:linePitch="312" w:charSpace="0"/>
        </w:sectPr>
      </w:pPr>
    </w:p>
    <w:tbl>
      <w:tblPr>
        <w:tblStyle w:val="23"/>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50"/>
        <w:gridCol w:w="1259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10" w:hRule="atLeast"/>
          <w:jc w:val="center"/>
        </w:trPr>
        <w:tc>
          <w:tcPr>
            <w:tcW w:w="209" w:type="pct"/>
            <w:tcMar>
              <w:left w:w="28" w:type="dxa"/>
              <w:right w:w="28" w:type="dxa"/>
            </w:tcMar>
            <w:vAlign w:val="center"/>
          </w:tcPr>
          <w:p>
            <w:pPr>
              <w:adjustRightInd w:val="0"/>
              <w:snapToGrid w:val="0"/>
              <w:jc w:val="center"/>
              <w:rPr>
                <w:bCs/>
                <w:color w:val="auto"/>
                <w:szCs w:val="21"/>
              </w:rPr>
            </w:pPr>
            <w:r>
              <w:rPr>
                <w:bCs/>
                <w:color w:val="auto"/>
                <w:szCs w:val="21"/>
              </w:rPr>
              <w:t>运营</w:t>
            </w:r>
          </w:p>
          <w:p>
            <w:pPr>
              <w:adjustRightInd w:val="0"/>
              <w:snapToGrid w:val="0"/>
              <w:jc w:val="center"/>
              <w:rPr>
                <w:bCs/>
                <w:color w:val="auto"/>
                <w:szCs w:val="21"/>
              </w:rPr>
            </w:pPr>
            <w:r>
              <w:rPr>
                <w:bCs/>
                <w:color w:val="auto"/>
                <w:szCs w:val="21"/>
              </w:rPr>
              <w:t>期环</w:t>
            </w:r>
          </w:p>
          <w:p>
            <w:pPr>
              <w:adjustRightInd w:val="0"/>
              <w:snapToGrid w:val="0"/>
              <w:jc w:val="center"/>
              <w:rPr>
                <w:bCs/>
                <w:color w:val="auto"/>
                <w:szCs w:val="21"/>
              </w:rPr>
            </w:pPr>
            <w:r>
              <w:rPr>
                <w:bCs/>
                <w:color w:val="auto"/>
                <w:szCs w:val="21"/>
              </w:rPr>
              <w:t>境影</w:t>
            </w:r>
          </w:p>
          <w:p>
            <w:pPr>
              <w:adjustRightInd w:val="0"/>
              <w:snapToGrid w:val="0"/>
              <w:jc w:val="center"/>
              <w:rPr>
                <w:bCs/>
                <w:color w:val="auto"/>
                <w:szCs w:val="21"/>
              </w:rPr>
            </w:pPr>
            <w:r>
              <w:rPr>
                <w:bCs/>
                <w:color w:val="auto"/>
                <w:szCs w:val="21"/>
              </w:rPr>
              <w:t>响和</w:t>
            </w:r>
          </w:p>
          <w:p>
            <w:pPr>
              <w:adjustRightInd w:val="0"/>
              <w:snapToGrid w:val="0"/>
              <w:jc w:val="center"/>
              <w:rPr>
                <w:bCs/>
                <w:color w:val="auto"/>
                <w:szCs w:val="21"/>
              </w:rPr>
            </w:pPr>
            <w:r>
              <w:rPr>
                <w:bCs/>
                <w:color w:val="auto"/>
                <w:szCs w:val="21"/>
              </w:rPr>
              <w:t>保护</w:t>
            </w:r>
          </w:p>
          <w:p>
            <w:pPr>
              <w:adjustRightInd w:val="0"/>
              <w:snapToGrid w:val="0"/>
              <w:jc w:val="center"/>
              <w:rPr>
                <w:bCs/>
                <w:color w:val="auto"/>
                <w:szCs w:val="21"/>
              </w:rPr>
            </w:pPr>
            <w:r>
              <w:rPr>
                <w:rFonts w:hint="eastAsia" w:cs="宋体"/>
                <w:color w:val="auto"/>
                <w:szCs w:val="21"/>
              </w:rPr>
              <w:t>措施</w:t>
            </w:r>
          </w:p>
        </w:tc>
        <w:tc>
          <w:tcPr>
            <w:tcW w:w="4791" w:type="pct"/>
            <w:vAlign w:val="center"/>
          </w:tcPr>
          <w:p>
            <w:pPr>
              <w:autoSpaceDE w:val="0"/>
              <w:autoSpaceDN w:val="0"/>
              <w:adjustRightInd w:val="0"/>
              <w:snapToGrid w:val="0"/>
              <w:spacing w:line="276" w:lineRule="auto"/>
              <w:jc w:val="center"/>
              <w:rPr>
                <w:b/>
                <w:color w:val="auto"/>
                <w:sz w:val="24"/>
                <w:szCs w:val="24"/>
              </w:rPr>
            </w:pPr>
            <w:r>
              <w:rPr>
                <w:b/>
                <w:color w:val="auto"/>
                <w:sz w:val="24"/>
                <w:szCs w:val="24"/>
              </w:rPr>
              <w:t>表4-</w:t>
            </w:r>
            <w:r>
              <w:rPr>
                <w:rFonts w:hint="eastAsia"/>
                <w:b/>
                <w:color w:val="auto"/>
                <w:sz w:val="24"/>
                <w:szCs w:val="24"/>
              </w:rPr>
              <w:t>1</w:t>
            </w:r>
            <w:r>
              <w:rPr>
                <w:rFonts w:hint="eastAsia"/>
                <w:b/>
                <w:color w:val="auto"/>
                <w:sz w:val="24"/>
                <w:szCs w:val="24"/>
                <w:lang w:val="en-US" w:eastAsia="zh-CN"/>
              </w:rPr>
              <w:t>0</w:t>
            </w:r>
            <w:r>
              <w:rPr>
                <w:b/>
                <w:color w:val="auto"/>
                <w:sz w:val="24"/>
                <w:szCs w:val="24"/>
              </w:rPr>
              <w:t xml:space="preserve">  项目噪声源强调查清单（室内声源）</w:t>
            </w:r>
          </w:p>
          <w:tbl>
            <w:tblPr>
              <w:tblStyle w:val="23"/>
              <w:tblW w:w="498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9"/>
              <w:gridCol w:w="936"/>
              <w:gridCol w:w="803"/>
              <w:gridCol w:w="397"/>
              <w:gridCol w:w="737"/>
              <w:gridCol w:w="1686"/>
              <w:gridCol w:w="681"/>
              <w:gridCol w:w="664"/>
              <w:gridCol w:w="546"/>
              <w:gridCol w:w="920"/>
              <w:gridCol w:w="887"/>
              <w:gridCol w:w="1044"/>
              <w:gridCol w:w="784"/>
              <w:gridCol w:w="841"/>
              <w:gridCol w:w="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199" w:type="pct"/>
                  <w:vMerge w:val="restart"/>
                  <w:vAlign w:val="center"/>
                </w:tcPr>
                <w:p>
                  <w:pPr>
                    <w:widowControl/>
                    <w:jc w:val="center"/>
                    <w:rPr>
                      <w:b/>
                      <w:bCs/>
                      <w:color w:val="auto"/>
                      <w:kern w:val="0"/>
                      <w:sz w:val="18"/>
                      <w:szCs w:val="18"/>
                    </w:rPr>
                  </w:pPr>
                  <w:r>
                    <w:rPr>
                      <w:b/>
                      <w:bCs/>
                      <w:color w:val="auto"/>
                      <w:kern w:val="0"/>
                      <w:sz w:val="18"/>
                      <w:szCs w:val="18"/>
                    </w:rPr>
                    <w:t>序号</w:t>
                  </w:r>
                </w:p>
              </w:tc>
              <w:tc>
                <w:tcPr>
                  <w:tcW w:w="378" w:type="pct"/>
                  <w:vMerge w:val="restart"/>
                  <w:vAlign w:val="center"/>
                </w:tcPr>
                <w:p>
                  <w:pPr>
                    <w:widowControl/>
                    <w:jc w:val="center"/>
                    <w:rPr>
                      <w:b/>
                      <w:bCs/>
                      <w:color w:val="auto"/>
                      <w:kern w:val="0"/>
                      <w:sz w:val="18"/>
                      <w:szCs w:val="18"/>
                    </w:rPr>
                  </w:pPr>
                  <w:r>
                    <w:rPr>
                      <w:b/>
                      <w:bCs/>
                      <w:color w:val="auto"/>
                      <w:kern w:val="0"/>
                      <w:sz w:val="18"/>
                      <w:szCs w:val="18"/>
                    </w:rPr>
                    <w:t>建筑物名称</w:t>
                  </w:r>
                </w:p>
              </w:tc>
              <w:tc>
                <w:tcPr>
                  <w:tcW w:w="326" w:type="pct"/>
                  <w:vMerge w:val="restart"/>
                  <w:vAlign w:val="center"/>
                </w:tcPr>
                <w:p>
                  <w:pPr>
                    <w:widowControl/>
                    <w:jc w:val="center"/>
                    <w:rPr>
                      <w:b/>
                      <w:bCs/>
                      <w:color w:val="auto"/>
                      <w:kern w:val="0"/>
                      <w:sz w:val="18"/>
                      <w:szCs w:val="18"/>
                    </w:rPr>
                  </w:pPr>
                  <w:r>
                    <w:rPr>
                      <w:b/>
                      <w:bCs/>
                      <w:color w:val="auto"/>
                      <w:kern w:val="0"/>
                      <w:sz w:val="18"/>
                      <w:szCs w:val="18"/>
                    </w:rPr>
                    <w:t>声源名称</w:t>
                  </w:r>
                </w:p>
              </w:tc>
              <w:tc>
                <w:tcPr>
                  <w:tcW w:w="159" w:type="pct"/>
                  <w:vMerge w:val="restart"/>
                  <w:vAlign w:val="center"/>
                </w:tcPr>
                <w:p>
                  <w:pPr>
                    <w:widowControl/>
                    <w:jc w:val="center"/>
                    <w:rPr>
                      <w:b/>
                      <w:bCs/>
                      <w:color w:val="auto"/>
                      <w:kern w:val="0"/>
                      <w:sz w:val="18"/>
                      <w:szCs w:val="18"/>
                    </w:rPr>
                  </w:pPr>
                  <w:r>
                    <w:rPr>
                      <w:b/>
                      <w:bCs/>
                      <w:color w:val="auto"/>
                      <w:kern w:val="0"/>
                      <w:sz w:val="18"/>
                      <w:szCs w:val="18"/>
                    </w:rPr>
                    <w:t>型号</w:t>
                  </w:r>
                </w:p>
              </w:tc>
              <w:tc>
                <w:tcPr>
                  <w:tcW w:w="299" w:type="pct"/>
                  <w:vMerge w:val="restart"/>
                  <w:vAlign w:val="center"/>
                </w:tcPr>
                <w:p>
                  <w:pPr>
                    <w:widowControl/>
                    <w:jc w:val="center"/>
                    <w:rPr>
                      <w:b/>
                      <w:bCs/>
                      <w:color w:val="auto"/>
                      <w:kern w:val="0"/>
                      <w:sz w:val="18"/>
                      <w:szCs w:val="18"/>
                    </w:rPr>
                  </w:pPr>
                  <w:r>
                    <w:rPr>
                      <w:b/>
                      <w:bCs/>
                      <w:color w:val="auto"/>
                      <w:kern w:val="0"/>
                      <w:sz w:val="18"/>
                      <w:szCs w:val="18"/>
                    </w:rPr>
                    <w:t>声功率级/dB(A)</w:t>
                  </w:r>
                </w:p>
              </w:tc>
              <w:tc>
                <w:tcPr>
                  <w:tcW w:w="684" w:type="pct"/>
                  <w:vMerge w:val="restart"/>
                  <w:vAlign w:val="center"/>
                </w:tcPr>
                <w:p>
                  <w:pPr>
                    <w:widowControl/>
                    <w:jc w:val="center"/>
                    <w:rPr>
                      <w:b/>
                      <w:bCs/>
                      <w:color w:val="auto"/>
                      <w:kern w:val="0"/>
                      <w:sz w:val="18"/>
                      <w:szCs w:val="18"/>
                    </w:rPr>
                  </w:pPr>
                  <w:r>
                    <w:rPr>
                      <w:b/>
                      <w:bCs/>
                      <w:color w:val="auto"/>
                      <w:kern w:val="0"/>
                      <w:sz w:val="18"/>
                      <w:szCs w:val="18"/>
                    </w:rPr>
                    <w:t>声源控制措施</w:t>
                  </w:r>
                </w:p>
              </w:tc>
              <w:tc>
                <w:tcPr>
                  <w:tcW w:w="767" w:type="pct"/>
                  <w:gridSpan w:val="3"/>
                  <w:vAlign w:val="center"/>
                </w:tcPr>
                <w:p>
                  <w:pPr>
                    <w:widowControl/>
                    <w:jc w:val="center"/>
                    <w:rPr>
                      <w:b/>
                      <w:bCs/>
                      <w:color w:val="auto"/>
                      <w:kern w:val="0"/>
                      <w:sz w:val="18"/>
                      <w:szCs w:val="18"/>
                    </w:rPr>
                  </w:pPr>
                  <w:r>
                    <w:rPr>
                      <w:b/>
                      <w:bCs/>
                      <w:color w:val="auto"/>
                      <w:kern w:val="0"/>
                      <w:sz w:val="18"/>
                      <w:szCs w:val="18"/>
                    </w:rPr>
                    <w:t>空间相对位置/m</w:t>
                  </w:r>
                </w:p>
              </w:tc>
              <w:tc>
                <w:tcPr>
                  <w:tcW w:w="373" w:type="pct"/>
                  <w:vMerge w:val="restart"/>
                  <w:vAlign w:val="center"/>
                </w:tcPr>
                <w:p>
                  <w:pPr>
                    <w:jc w:val="center"/>
                    <w:rPr>
                      <w:b/>
                      <w:bCs/>
                      <w:color w:val="auto"/>
                      <w:kern w:val="0"/>
                      <w:sz w:val="18"/>
                      <w:szCs w:val="18"/>
                    </w:rPr>
                  </w:pPr>
                  <w:r>
                    <w:rPr>
                      <w:b/>
                      <w:bCs/>
                      <w:color w:val="auto"/>
                      <w:kern w:val="0"/>
                      <w:sz w:val="18"/>
                      <w:szCs w:val="18"/>
                    </w:rPr>
                    <w:t>距室内边界距离/m</w:t>
                  </w:r>
                </w:p>
              </w:tc>
              <w:tc>
                <w:tcPr>
                  <w:tcW w:w="360" w:type="pct"/>
                  <w:vMerge w:val="restart"/>
                  <w:vAlign w:val="center"/>
                </w:tcPr>
                <w:p>
                  <w:pPr>
                    <w:jc w:val="center"/>
                    <w:rPr>
                      <w:b/>
                      <w:bCs/>
                      <w:color w:val="auto"/>
                      <w:kern w:val="0"/>
                      <w:sz w:val="18"/>
                      <w:szCs w:val="18"/>
                    </w:rPr>
                  </w:pPr>
                  <w:r>
                    <w:rPr>
                      <w:b/>
                      <w:bCs/>
                      <w:color w:val="auto"/>
                      <w:kern w:val="0"/>
                      <w:sz w:val="18"/>
                      <w:szCs w:val="18"/>
                    </w:rPr>
                    <w:t>室内边界声级/dB(A)</w:t>
                  </w:r>
                </w:p>
              </w:tc>
              <w:tc>
                <w:tcPr>
                  <w:tcW w:w="421" w:type="pct"/>
                  <w:vMerge w:val="restart"/>
                  <w:vAlign w:val="center"/>
                </w:tcPr>
                <w:p>
                  <w:pPr>
                    <w:widowControl/>
                    <w:jc w:val="center"/>
                    <w:rPr>
                      <w:b/>
                      <w:bCs/>
                      <w:color w:val="auto"/>
                      <w:kern w:val="0"/>
                      <w:sz w:val="18"/>
                      <w:szCs w:val="18"/>
                    </w:rPr>
                  </w:pPr>
                  <w:r>
                    <w:rPr>
                      <w:b/>
                      <w:bCs/>
                      <w:color w:val="auto"/>
                      <w:kern w:val="0"/>
                      <w:sz w:val="18"/>
                      <w:szCs w:val="18"/>
                    </w:rPr>
                    <w:t>运行时段</w:t>
                  </w:r>
                </w:p>
              </w:tc>
              <w:tc>
                <w:tcPr>
                  <w:tcW w:w="318" w:type="pct"/>
                  <w:vMerge w:val="restart"/>
                  <w:vAlign w:val="center"/>
                </w:tcPr>
                <w:p>
                  <w:pPr>
                    <w:widowControl/>
                    <w:jc w:val="center"/>
                    <w:rPr>
                      <w:b/>
                      <w:bCs/>
                      <w:color w:val="auto"/>
                      <w:kern w:val="0"/>
                      <w:sz w:val="18"/>
                      <w:szCs w:val="18"/>
                    </w:rPr>
                  </w:pPr>
                  <w:r>
                    <w:rPr>
                      <w:b/>
                      <w:bCs/>
                      <w:color w:val="auto"/>
                      <w:kern w:val="0"/>
                      <w:sz w:val="18"/>
                      <w:szCs w:val="18"/>
                    </w:rPr>
                    <w:t>建筑物插入损失/dB(A)</w:t>
                  </w:r>
                </w:p>
              </w:tc>
              <w:tc>
                <w:tcPr>
                  <w:tcW w:w="710" w:type="pct"/>
                  <w:gridSpan w:val="2"/>
                  <w:vAlign w:val="center"/>
                </w:tcPr>
                <w:p>
                  <w:pPr>
                    <w:widowControl/>
                    <w:jc w:val="center"/>
                    <w:rPr>
                      <w:b/>
                      <w:bCs/>
                      <w:color w:val="auto"/>
                      <w:kern w:val="0"/>
                      <w:sz w:val="18"/>
                      <w:szCs w:val="18"/>
                    </w:rPr>
                  </w:pPr>
                  <w:r>
                    <w:rPr>
                      <w:b/>
                      <w:bCs/>
                      <w:color w:val="auto"/>
                      <w:kern w:val="0"/>
                      <w:sz w:val="18"/>
                      <w:szCs w:val="18"/>
                    </w:rPr>
                    <w:t>建筑物外噪声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8" w:hRule="atLeast"/>
              </w:trPr>
              <w:tc>
                <w:tcPr>
                  <w:tcW w:w="199" w:type="pct"/>
                  <w:vMerge w:val="continue"/>
                  <w:vAlign w:val="center"/>
                </w:tcPr>
                <w:p>
                  <w:pPr>
                    <w:widowControl/>
                    <w:jc w:val="center"/>
                    <w:rPr>
                      <w:b/>
                      <w:bCs/>
                      <w:color w:val="auto"/>
                      <w:kern w:val="0"/>
                      <w:sz w:val="18"/>
                      <w:szCs w:val="18"/>
                    </w:rPr>
                  </w:pPr>
                </w:p>
              </w:tc>
              <w:tc>
                <w:tcPr>
                  <w:tcW w:w="378" w:type="pct"/>
                  <w:vMerge w:val="continue"/>
                  <w:vAlign w:val="center"/>
                </w:tcPr>
                <w:p>
                  <w:pPr>
                    <w:widowControl/>
                    <w:jc w:val="center"/>
                    <w:rPr>
                      <w:b/>
                      <w:bCs/>
                      <w:color w:val="auto"/>
                      <w:kern w:val="0"/>
                      <w:sz w:val="18"/>
                      <w:szCs w:val="18"/>
                    </w:rPr>
                  </w:pPr>
                </w:p>
              </w:tc>
              <w:tc>
                <w:tcPr>
                  <w:tcW w:w="326" w:type="pct"/>
                  <w:vMerge w:val="continue"/>
                  <w:vAlign w:val="center"/>
                </w:tcPr>
                <w:p>
                  <w:pPr>
                    <w:widowControl/>
                    <w:jc w:val="center"/>
                    <w:rPr>
                      <w:b/>
                      <w:bCs/>
                      <w:color w:val="auto"/>
                      <w:kern w:val="0"/>
                      <w:sz w:val="18"/>
                      <w:szCs w:val="18"/>
                    </w:rPr>
                  </w:pPr>
                </w:p>
              </w:tc>
              <w:tc>
                <w:tcPr>
                  <w:tcW w:w="159" w:type="pct"/>
                  <w:vMerge w:val="continue"/>
                  <w:vAlign w:val="center"/>
                </w:tcPr>
                <w:p>
                  <w:pPr>
                    <w:widowControl/>
                    <w:jc w:val="center"/>
                    <w:rPr>
                      <w:b/>
                      <w:bCs/>
                      <w:color w:val="auto"/>
                      <w:kern w:val="0"/>
                      <w:sz w:val="18"/>
                      <w:szCs w:val="18"/>
                    </w:rPr>
                  </w:pPr>
                </w:p>
              </w:tc>
              <w:tc>
                <w:tcPr>
                  <w:tcW w:w="299" w:type="pct"/>
                  <w:vMerge w:val="continue"/>
                  <w:vAlign w:val="center"/>
                </w:tcPr>
                <w:p>
                  <w:pPr>
                    <w:widowControl/>
                    <w:jc w:val="center"/>
                    <w:rPr>
                      <w:b/>
                      <w:bCs/>
                      <w:color w:val="auto"/>
                      <w:kern w:val="0"/>
                      <w:sz w:val="18"/>
                      <w:szCs w:val="18"/>
                    </w:rPr>
                  </w:pPr>
                </w:p>
              </w:tc>
              <w:tc>
                <w:tcPr>
                  <w:tcW w:w="684" w:type="pct"/>
                  <w:vMerge w:val="continue"/>
                  <w:vAlign w:val="center"/>
                </w:tcPr>
                <w:p>
                  <w:pPr>
                    <w:widowControl/>
                    <w:jc w:val="center"/>
                    <w:rPr>
                      <w:b/>
                      <w:bCs/>
                      <w:color w:val="auto"/>
                      <w:kern w:val="0"/>
                      <w:sz w:val="18"/>
                      <w:szCs w:val="18"/>
                    </w:rPr>
                  </w:pPr>
                </w:p>
              </w:tc>
              <w:tc>
                <w:tcPr>
                  <w:tcW w:w="275" w:type="pct"/>
                  <w:vAlign w:val="center"/>
                </w:tcPr>
                <w:p>
                  <w:pPr>
                    <w:widowControl/>
                    <w:jc w:val="center"/>
                    <w:rPr>
                      <w:b/>
                      <w:bCs/>
                      <w:color w:val="auto"/>
                      <w:kern w:val="0"/>
                      <w:sz w:val="18"/>
                      <w:szCs w:val="18"/>
                    </w:rPr>
                  </w:pPr>
                  <w:r>
                    <w:rPr>
                      <w:b/>
                      <w:bCs/>
                      <w:color w:val="auto"/>
                      <w:kern w:val="0"/>
                      <w:sz w:val="18"/>
                      <w:szCs w:val="18"/>
                    </w:rPr>
                    <w:t>X</w:t>
                  </w:r>
                </w:p>
              </w:tc>
              <w:tc>
                <w:tcPr>
                  <w:tcW w:w="270" w:type="pct"/>
                  <w:vAlign w:val="center"/>
                </w:tcPr>
                <w:p>
                  <w:pPr>
                    <w:widowControl/>
                    <w:jc w:val="center"/>
                    <w:rPr>
                      <w:b/>
                      <w:bCs/>
                      <w:color w:val="auto"/>
                      <w:kern w:val="0"/>
                      <w:sz w:val="18"/>
                      <w:szCs w:val="18"/>
                    </w:rPr>
                  </w:pPr>
                  <w:r>
                    <w:rPr>
                      <w:b/>
                      <w:bCs/>
                      <w:color w:val="auto"/>
                      <w:kern w:val="0"/>
                      <w:sz w:val="18"/>
                      <w:szCs w:val="18"/>
                    </w:rPr>
                    <w:t>Y</w:t>
                  </w:r>
                </w:p>
              </w:tc>
              <w:tc>
                <w:tcPr>
                  <w:tcW w:w="222" w:type="pct"/>
                  <w:vAlign w:val="center"/>
                </w:tcPr>
                <w:p>
                  <w:pPr>
                    <w:widowControl/>
                    <w:jc w:val="center"/>
                    <w:rPr>
                      <w:b/>
                      <w:bCs/>
                      <w:color w:val="auto"/>
                      <w:kern w:val="0"/>
                      <w:sz w:val="18"/>
                      <w:szCs w:val="18"/>
                    </w:rPr>
                  </w:pPr>
                  <w:r>
                    <w:rPr>
                      <w:b/>
                      <w:bCs/>
                      <w:color w:val="auto"/>
                      <w:kern w:val="0"/>
                      <w:sz w:val="18"/>
                      <w:szCs w:val="18"/>
                    </w:rPr>
                    <w:t>Z</w:t>
                  </w:r>
                </w:p>
              </w:tc>
              <w:tc>
                <w:tcPr>
                  <w:tcW w:w="373" w:type="pct"/>
                  <w:vMerge w:val="continue"/>
                  <w:vAlign w:val="center"/>
                </w:tcPr>
                <w:p>
                  <w:pPr>
                    <w:widowControl/>
                    <w:jc w:val="center"/>
                    <w:rPr>
                      <w:b/>
                      <w:bCs/>
                      <w:color w:val="auto"/>
                      <w:kern w:val="0"/>
                      <w:sz w:val="18"/>
                      <w:szCs w:val="18"/>
                    </w:rPr>
                  </w:pPr>
                </w:p>
              </w:tc>
              <w:tc>
                <w:tcPr>
                  <w:tcW w:w="360" w:type="pct"/>
                  <w:vMerge w:val="continue"/>
                  <w:vAlign w:val="center"/>
                </w:tcPr>
                <w:p>
                  <w:pPr>
                    <w:widowControl/>
                    <w:jc w:val="center"/>
                    <w:rPr>
                      <w:b/>
                      <w:bCs/>
                      <w:color w:val="auto"/>
                      <w:kern w:val="0"/>
                      <w:sz w:val="18"/>
                      <w:szCs w:val="18"/>
                    </w:rPr>
                  </w:pPr>
                </w:p>
              </w:tc>
              <w:tc>
                <w:tcPr>
                  <w:tcW w:w="421" w:type="pct"/>
                  <w:vMerge w:val="continue"/>
                  <w:vAlign w:val="center"/>
                </w:tcPr>
                <w:p>
                  <w:pPr>
                    <w:widowControl/>
                    <w:jc w:val="center"/>
                    <w:rPr>
                      <w:b/>
                      <w:bCs/>
                      <w:color w:val="auto"/>
                      <w:kern w:val="0"/>
                      <w:sz w:val="18"/>
                      <w:szCs w:val="18"/>
                    </w:rPr>
                  </w:pPr>
                </w:p>
              </w:tc>
              <w:tc>
                <w:tcPr>
                  <w:tcW w:w="318" w:type="pct"/>
                  <w:vMerge w:val="continue"/>
                  <w:vAlign w:val="center"/>
                </w:tcPr>
                <w:p>
                  <w:pPr>
                    <w:widowControl/>
                    <w:jc w:val="center"/>
                    <w:rPr>
                      <w:b/>
                      <w:bCs/>
                      <w:color w:val="auto"/>
                      <w:kern w:val="0"/>
                      <w:sz w:val="18"/>
                      <w:szCs w:val="18"/>
                    </w:rPr>
                  </w:pPr>
                </w:p>
              </w:tc>
              <w:tc>
                <w:tcPr>
                  <w:tcW w:w="341" w:type="pct"/>
                  <w:vAlign w:val="center"/>
                </w:tcPr>
                <w:p>
                  <w:pPr>
                    <w:widowControl/>
                    <w:jc w:val="center"/>
                    <w:rPr>
                      <w:b/>
                      <w:bCs/>
                      <w:color w:val="auto"/>
                      <w:kern w:val="0"/>
                      <w:sz w:val="18"/>
                      <w:szCs w:val="18"/>
                    </w:rPr>
                  </w:pPr>
                  <w:r>
                    <w:rPr>
                      <w:b/>
                      <w:bCs/>
                      <w:color w:val="auto"/>
                      <w:kern w:val="0"/>
                      <w:sz w:val="18"/>
                      <w:szCs w:val="18"/>
                    </w:rPr>
                    <w:t>声压级/dB(A)</w:t>
                  </w:r>
                </w:p>
              </w:tc>
              <w:tc>
                <w:tcPr>
                  <w:tcW w:w="369" w:type="pct"/>
                  <w:vAlign w:val="center"/>
                </w:tcPr>
                <w:p>
                  <w:pPr>
                    <w:widowControl/>
                    <w:jc w:val="center"/>
                    <w:rPr>
                      <w:b/>
                      <w:bCs/>
                      <w:color w:val="auto"/>
                      <w:kern w:val="0"/>
                      <w:sz w:val="18"/>
                      <w:szCs w:val="18"/>
                    </w:rPr>
                  </w:pPr>
                  <w:r>
                    <w:rPr>
                      <w:b/>
                      <w:bCs/>
                      <w:color w:val="auto"/>
                      <w:kern w:val="0"/>
                      <w:sz w:val="18"/>
                      <w:szCs w:val="18"/>
                    </w:rPr>
                    <w:t>建筑物外距离/m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9" w:hRule="atLeast"/>
              </w:trPr>
              <w:tc>
                <w:tcPr>
                  <w:tcW w:w="199" w:type="pct"/>
                  <w:noWrap/>
                  <w:vAlign w:val="center"/>
                </w:tcPr>
                <w:p>
                  <w:pPr>
                    <w:widowControl/>
                    <w:jc w:val="center"/>
                    <w:rPr>
                      <w:color w:val="auto"/>
                      <w:kern w:val="0"/>
                      <w:sz w:val="18"/>
                      <w:szCs w:val="18"/>
                    </w:rPr>
                  </w:pPr>
                  <w:r>
                    <w:rPr>
                      <w:color w:val="auto"/>
                      <w:kern w:val="0"/>
                      <w:sz w:val="18"/>
                      <w:szCs w:val="18"/>
                    </w:rPr>
                    <w:t>1</w:t>
                  </w:r>
                </w:p>
              </w:tc>
              <w:tc>
                <w:tcPr>
                  <w:tcW w:w="378" w:type="pct"/>
                  <w:noWrap/>
                  <w:vAlign w:val="center"/>
                </w:tcPr>
                <w:p>
                  <w:pPr>
                    <w:widowControl/>
                    <w:jc w:val="center"/>
                    <w:rPr>
                      <w:color w:val="auto"/>
                      <w:kern w:val="0"/>
                      <w:sz w:val="18"/>
                      <w:szCs w:val="18"/>
                    </w:rPr>
                  </w:pPr>
                  <w:r>
                    <w:rPr>
                      <w:color w:val="auto"/>
                      <w:kern w:val="0"/>
                      <w:sz w:val="18"/>
                      <w:szCs w:val="18"/>
                    </w:rPr>
                    <w:t>生产车间</w:t>
                  </w:r>
                </w:p>
              </w:tc>
              <w:tc>
                <w:tcPr>
                  <w:tcW w:w="326" w:type="pct"/>
                  <w:shd w:val="clear" w:color="auto" w:fill="auto"/>
                  <w:vAlign w:val="center"/>
                </w:tcPr>
                <w:p>
                  <w:pPr>
                    <w:numPr>
                      <w:ilvl w:val="0"/>
                      <w:numId w:val="0"/>
                    </w:numPr>
                    <w:spacing w:line="240" w:lineRule="auto"/>
                    <w:ind w:left="0" w:leftChars="0" w:firstLine="0" w:firstLineChars="0"/>
                    <w:jc w:val="center"/>
                    <w:rPr>
                      <w:rFonts w:hint="default" w:ascii="Times New Roman" w:hAnsi="Times New Roman" w:eastAsia="宋体" w:cs="Times New Roman"/>
                      <w:color w:val="auto"/>
                      <w:kern w:val="2"/>
                      <w:sz w:val="18"/>
                      <w:szCs w:val="18"/>
                      <w:lang w:val="en-US" w:eastAsia="zh-CN" w:bidi="ar-SA"/>
                    </w:rPr>
                  </w:pPr>
                  <w:r>
                    <w:rPr>
                      <w:rFonts w:hint="eastAsia" w:cs="Times New Roman"/>
                      <w:color w:val="auto"/>
                      <w:kern w:val="2"/>
                      <w:sz w:val="18"/>
                      <w:szCs w:val="18"/>
                      <w:lang w:val="en-US" w:eastAsia="zh-CN" w:bidi="ar-SA"/>
                    </w:rPr>
                    <w:t>上料机</w:t>
                  </w:r>
                </w:p>
              </w:tc>
              <w:tc>
                <w:tcPr>
                  <w:tcW w:w="159" w:type="pct"/>
                  <w:noWrap/>
                  <w:vAlign w:val="center"/>
                </w:tcPr>
                <w:p>
                  <w:pPr>
                    <w:widowControl/>
                    <w:jc w:val="center"/>
                    <w:rPr>
                      <w:color w:val="auto"/>
                      <w:kern w:val="0"/>
                      <w:sz w:val="18"/>
                      <w:szCs w:val="18"/>
                    </w:rPr>
                  </w:pPr>
                  <w:r>
                    <w:rPr>
                      <w:color w:val="auto"/>
                      <w:kern w:val="0"/>
                      <w:sz w:val="18"/>
                      <w:szCs w:val="18"/>
                    </w:rPr>
                    <w:t>/</w:t>
                  </w:r>
                </w:p>
              </w:tc>
              <w:tc>
                <w:tcPr>
                  <w:tcW w:w="299" w:type="pct"/>
                  <w:noWrap/>
                  <w:vAlign w:val="center"/>
                </w:tcPr>
                <w:p>
                  <w:pPr>
                    <w:widowControl/>
                    <w:jc w:val="center"/>
                    <w:rPr>
                      <w:color w:val="auto"/>
                      <w:kern w:val="0"/>
                      <w:sz w:val="18"/>
                      <w:szCs w:val="18"/>
                    </w:rPr>
                  </w:pPr>
                  <w:r>
                    <w:rPr>
                      <w:rFonts w:hint="eastAsia"/>
                      <w:color w:val="auto"/>
                      <w:kern w:val="0"/>
                      <w:sz w:val="18"/>
                      <w:szCs w:val="18"/>
                    </w:rPr>
                    <w:t>90</w:t>
                  </w:r>
                </w:p>
              </w:tc>
              <w:tc>
                <w:tcPr>
                  <w:tcW w:w="684" w:type="pct"/>
                  <w:vAlign w:val="center"/>
                </w:tcPr>
                <w:p>
                  <w:pPr>
                    <w:widowControl/>
                    <w:jc w:val="center"/>
                    <w:rPr>
                      <w:color w:val="auto"/>
                      <w:kern w:val="0"/>
                      <w:sz w:val="18"/>
                      <w:szCs w:val="18"/>
                    </w:rPr>
                  </w:pPr>
                  <w:r>
                    <w:rPr>
                      <w:color w:val="auto"/>
                      <w:kern w:val="0"/>
                      <w:sz w:val="18"/>
                      <w:szCs w:val="18"/>
                    </w:rPr>
                    <w:t>低噪设备、基础减振、厂房隔声</w:t>
                  </w:r>
                </w:p>
              </w:tc>
              <w:tc>
                <w:tcPr>
                  <w:tcW w:w="275" w:type="pct"/>
                  <w:noWrap/>
                  <w:vAlign w:val="center"/>
                </w:tcPr>
                <w:p>
                  <w:pPr>
                    <w:widowControl/>
                    <w:jc w:val="center"/>
                    <w:rPr>
                      <w:color w:val="auto"/>
                      <w:kern w:val="0"/>
                      <w:sz w:val="18"/>
                      <w:szCs w:val="18"/>
                    </w:rPr>
                  </w:pPr>
                  <w:r>
                    <w:rPr>
                      <w:color w:val="auto"/>
                      <w:kern w:val="0"/>
                      <w:sz w:val="18"/>
                      <w:szCs w:val="18"/>
                    </w:rPr>
                    <w:t>-18.35</w:t>
                  </w:r>
                </w:p>
              </w:tc>
              <w:tc>
                <w:tcPr>
                  <w:tcW w:w="270" w:type="pct"/>
                  <w:noWrap/>
                  <w:vAlign w:val="center"/>
                </w:tcPr>
                <w:p>
                  <w:pPr>
                    <w:widowControl/>
                    <w:jc w:val="center"/>
                    <w:rPr>
                      <w:color w:val="auto"/>
                      <w:kern w:val="0"/>
                      <w:sz w:val="18"/>
                      <w:szCs w:val="18"/>
                    </w:rPr>
                  </w:pPr>
                  <w:r>
                    <w:rPr>
                      <w:color w:val="auto"/>
                      <w:kern w:val="0"/>
                      <w:sz w:val="18"/>
                      <w:szCs w:val="18"/>
                    </w:rPr>
                    <w:t>0.99</w:t>
                  </w:r>
                </w:p>
              </w:tc>
              <w:tc>
                <w:tcPr>
                  <w:tcW w:w="222" w:type="pct"/>
                  <w:noWrap/>
                  <w:vAlign w:val="center"/>
                </w:tcPr>
                <w:p>
                  <w:pPr>
                    <w:widowControl/>
                    <w:jc w:val="center"/>
                    <w:rPr>
                      <w:color w:val="auto"/>
                      <w:kern w:val="0"/>
                      <w:sz w:val="18"/>
                      <w:szCs w:val="18"/>
                    </w:rPr>
                  </w:pPr>
                  <w:r>
                    <w:rPr>
                      <w:color w:val="auto"/>
                      <w:kern w:val="0"/>
                      <w:sz w:val="18"/>
                      <w:szCs w:val="18"/>
                    </w:rPr>
                    <w:t>1</w:t>
                  </w:r>
                </w:p>
              </w:tc>
              <w:tc>
                <w:tcPr>
                  <w:tcW w:w="373" w:type="pct"/>
                  <w:noWrap/>
                  <w:vAlign w:val="center"/>
                </w:tcPr>
                <w:p>
                  <w:pPr>
                    <w:widowControl/>
                    <w:jc w:val="center"/>
                    <w:rPr>
                      <w:rFonts w:hint="default" w:eastAsia="宋体"/>
                      <w:color w:val="auto"/>
                      <w:kern w:val="0"/>
                      <w:sz w:val="18"/>
                      <w:szCs w:val="18"/>
                      <w:lang w:val="en-US" w:eastAsia="zh-CN"/>
                    </w:rPr>
                  </w:pPr>
                  <w:r>
                    <w:rPr>
                      <w:rFonts w:hint="eastAsia"/>
                      <w:color w:val="auto"/>
                      <w:kern w:val="0"/>
                      <w:sz w:val="18"/>
                      <w:szCs w:val="18"/>
                      <w:lang w:val="en-US" w:eastAsia="zh-CN"/>
                    </w:rPr>
                    <w:t>3.1</w:t>
                  </w:r>
                </w:p>
              </w:tc>
              <w:tc>
                <w:tcPr>
                  <w:tcW w:w="360" w:type="pct"/>
                  <w:noWrap/>
                  <w:vAlign w:val="center"/>
                </w:tcPr>
                <w:p>
                  <w:pPr>
                    <w:widowControl/>
                    <w:jc w:val="center"/>
                    <w:rPr>
                      <w:rFonts w:hint="default" w:eastAsia="宋体"/>
                      <w:color w:val="auto"/>
                      <w:kern w:val="0"/>
                      <w:sz w:val="18"/>
                      <w:szCs w:val="18"/>
                      <w:lang w:val="en-US" w:eastAsia="zh-CN"/>
                    </w:rPr>
                  </w:pPr>
                  <w:r>
                    <w:rPr>
                      <w:rFonts w:hint="eastAsia"/>
                      <w:color w:val="auto"/>
                      <w:kern w:val="0"/>
                      <w:sz w:val="18"/>
                      <w:szCs w:val="18"/>
                      <w:lang w:val="en-US" w:eastAsia="zh-CN"/>
                    </w:rPr>
                    <w:t>80.1</w:t>
                  </w:r>
                </w:p>
              </w:tc>
              <w:tc>
                <w:tcPr>
                  <w:tcW w:w="421" w:type="pct"/>
                  <w:noWrap/>
                  <w:vAlign w:val="center"/>
                </w:tcPr>
                <w:p>
                  <w:pPr>
                    <w:widowControl/>
                    <w:jc w:val="center"/>
                    <w:rPr>
                      <w:rFonts w:hint="default" w:eastAsia="宋体"/>
                      <w:color w:val="auto"/>
                      <w:kern w:val="0"/>
                      <w:sz w:val="18"/>
                      <w:szCs w:val="18"/>
                      <w:lang w:val="en-US" w:eastAsia="zh-CN"/>
                    </w:rPr>
                  </w:pPr>
                  <w:r>
                    <w:rPr>
                      <w:rFonts w:hint="eastAsia"/>
                      <w:color w:val="auto"/>
                      <w:kern w:val="0"/>
                      <w:sz w:val="18"/>
                      <w:szCs w:val="18"/>
                      <w:lang w:val="en-US" w:eastAsia="zh-CN"/>
                    </w:rPr>
                    <w:t>0</w:t>
                  </w:r>
                  <w:r>
                    <w:rPr>
                      <w:rFonts w:hint="eastAsia"/>
                      <w:color w:val="auto"/>
                      <w:kern w:val="0"/>
                      <w:sz w:val="18"/>
                      <w:szCs w:val="18"/>
                      <w:lang w:eastAsia="zh-CN"/>
                    </w:rPr>
                    <w:t>:</w:t>
                  </w:r>
                  <w:r>
                    <w:rPr>
                      <w:rFonts w:hint="eastAsia"/>
                      <w:color w:val="auto"/>
                      <w:kern w:val="0"/>
                      <w:sz w:val="18"/>
                      <w:szCs w:val="18"/>
                      <w:lang w:val="en-US" w:eastAsia="zh-CN"/>
                    </w:rPr>
                    <w:t>00~24:00</w:t>
                  </w:r>
                </w:p>
              </w:tc>
              <w:tc>
                <w:tcPr>
                  <w:tcW w:w="318" w:type="pct"/>
                  <w:noWrap/>
                  <w:vAlign w:val="center"/>
                </w:tcPr>
                <w:p>
                  <w:pPr>
                    <w:widowControl/>
                    <w:jc w:val="center"/>
                    <w:rPr>
                      <w:rFonts w:hint="default" w:eastAsia="宋体"/>
                      <w:color w:val="auto"/>
                      <w:kern w:val="0"/>
                      <w:sz w:val="18"/>
                      <w:szCs w:val="18"/>
                      <w:lang w:val="en-US" w:eastAsia="zh-CN"/>
                    </w:rPr>
                  </w:pPr>
                  <w:r>
                    <w:rPr>
                      <w:rFonts w:hint="eastAsia"/>
                      <w:color w:val="auto"/>
                      <w:kern w:val="0"/>
                      <w:sz w:val="18"/>
                      <w:szCs w:val="18"/>
                      <w:lang w:val="en-US" w:eastAsia="zh-CN"/>
                    </w:rPr>
                    <w:t>20</w:t>
                  </w:r>
                </w:p>
              </w:tc>
              <w:tc>
                <w:tcPr>
                  <w:tcW w:w="341" w:type="pct"/>
                  <w:noWrap/>
                  <w:vAlign w:val="center"/>
                </w:tcPr>
                <w:p>
                  <w:pPr>
                    <w:widowControl/>
                    <w:jc w:val="center"/>
                    <w:rPr>
                      <w:rFonts w:hint="eastAsia" w:ascii="Times New Roman" w:hAnsi="Times New Roman" w:eastAsia="宋体" w:cs="Times New Roman"/>
                      <w:color w:val="auto"/>
                      <w:kern w:val="0"/>
                      <w:sz w:val="18"/>
                      <w:szCs w:val="18"/>
                      <w:lang w:val="en-US" w:eastAsia="zh-CN"/>
                    </w:rPr>
                  </w:pPr>
                  <w:r>
                    <w:rPr>
                      <w:rFonts w:hint="eastAsia" w:ascii="Times New Roman" w:hAnsi="Times New Roman" w:eastAsia="宋体" w:cs="Times New Roman"/>
                      <w:color w:val="auto"/>
                      <w:kern w:val="0"/>
                      <w:sz w:val="18"/>
                      <w:szCs w:val="18"/>
                      <w:lang w:val="en-US" w:eastAsia="zh-CN"/>
                    </w:rPr>
                    <w:t>61.49</w:t>
                  </w:r>
                </w:p>
              </w:tc>
              <w:tc>
                <w:tcPr>
                  <w:tcW w:w="369" w:type="pct"/>
                  <w:noWrap/>
                  <w:vAlign w:val="center"/>
                </w:tcPr>
                <w:p>
                  <w:pPr>
                    <w:widowControl/>
                    <w:jc w:val="center"/>
                    <w:rPr>
                      <w:color w:val="auto"/>
                      <w:kern w:val="0"/>
                      <w:sz w:val="18"/>
                      <w:szCs w:val="18"/>
                    </w:rPr>
                  </w:pPr>
                  <w:r>
                    <w:rPr>
                      <w:color w:val="auto"/>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99" w:type="pct"/>
                  <w:noWrap/>
                  <w:vAlign w:val="center"/>
                </w:tcPr>
                <w:p>
                  <w:pPr>
                    <w:widowControl/>
                    <w:jc w:val="center"/>
                    <w:rPr>
                      <w:color w:val="auto"/>
                      <w:kern w:val="0"/>
                      <w:sz w:val="18"/>
                      <w:szCs w:val="18"/>
                    </w:rPr>
                  </w:pPr>
                  <w:r>
                    <w:rPr>
                      <w:color w:val="auto"/>
                      <w:kern w:val="0"/>
                      <w:sz w:val="18"/>
                      <w:szCs w:val="18"/>
                    </w:rPr>
                    <w:t>2</w:t>
                  </w:r>
                </w:p>
              </w:tc>
              <w:tc>
                <w:tcPr>
                  <w:tcW w:w="378" w:type="pct"/>
                  <w:noWrap/>
                  <w:vAlign w:val="center"/>
                </w:tcPr>
                <w:p>
                  <w:pPr>
                    <w:widowControl/>
                    <w:jc w:val="center"/>
                    <w:rPr>
                      <w:color w:val="auto"/>
                      <w:kern w:val="0"/>
                      <w:sz w:val="18"/>
                      <w:szCs w:val="18"/>
                    </w:rPr>
                  </w:pPr>
                  <w:r>
                    <w:rPr>
                      <w:color w:val="auto"/>
                      <w:kern w:val="0"/>
                      <w:sz w:val="18"/>
                      <w:szCs w:val="18"/>
                    </w:rPr>
                    <w:t>生产车间</w:t>
                  </w:r>
                </w:p>
              </w:tc>
              <w:tc>
                <w:tcPr>
                  <w:tcW w:w="326" w:type="pct"/>
                  <w:shd w:val="clear" w:color="auto" w:fill="auto"/>
                  <w:vAlign w:val="center"/>
                </w:tcPr>
                <w:p>
                  <w:pPr>
                    <w:numPr>
                      <w:ilvl w:val="0"/>
                      <w:numId w:val="0"/>
                    </w:numPr>
                    <w:spacing w:line="240" w:lineRule="auto"/>
                    <w:ind w:left="0" w:leftChars="0" w:firstLine="0" w:firstLineChars="0"/>
                    <w:jc w:val="center"/>
                    <w:rPr>
                      <w:rFonts w:hint="default" w:ascii="Times New Roman" w:hAnsi="Times New Roman" w:eastAsia="宋体" w:cs="Times New Roman"/>
                      <w:color w:val="auto"/>
                      <w:kern w:val="2"/>
                      <w:sz w:val="18"/>
                      <w:szCs w:val="18"/>
                      <w:lang w:val="en-US" w:eastAsia="zh-CN" w:bidi="ar-SA"/>
                    </w:rPr>
                  </w:pPr>
                  <w:r>
                    <w:rPr>
                      <w:rFonts w:hint="eastAsia" w:cs="Times New Roman"/>
                      <w:color w:val="auto"/>
                      <w:kern w:val="2"/>
                      <w:sz w:val="18"/>
                      <w:szCs w:val="18"/>
                      <w:lang w:val="en-US" w:eastAsia="zh-CN" w:bidi="ar-SA"/>
                    </w:rPr>
                    <w:t>入料机</w:t>
                  </w:r>
                </w:p>
              </w:tc>
              <w:tc>
                <w:tcPr>
                  <w:tcW w:w="159" w:type="pct"/>
                  <w:noWrap/>
                  <w:vAlign w:val="center"/>
                </w:tcPr>
                <w:p>
                  <w:pPr>
                    <w:widowControl/>
                    <w:jc w:val="center"/>
                    <w:rPr>
                      <w:color w:val="auto"/>
                      <w:kern w:val="0"/>
                      <w:sz w:val="18"/>
                      <w:szCs w:val="18"/>
                    </w:rPr>
                  </w:pPr>
                  <w:r>
                    <w:rPr>
                      <w:color w:val="auto"/>
                      <w:kern w:val="0"/>
                      <w:sz w:val="18"/>
                      <w:szCs w:val="18"/>
                    </w:rPr>
                    <w:t>/</w:t>
                  </w:r>
                </w:p>
              </w:tc>
              <w:tc>
                <w:tcPr>
                  <w:tcW w:w="299" w:type="pct"/>
                  <w:noWrap/>
                  <w:vAlign w:val="center"/>
                </w:tcPr>
                <w:p>
                  <w:pPr>
                    <w:widowControl/>
                    <w:jc w:val="center"/>
                    <w:rPr>
                      <w:color w:val="auto"/>
                      <w:kern w:val="0"/>
                      <w:sz w:val="18"/>
                      <w:szCs w:val="18"/>
                    </w:rPr>
                  </w:pPr>
                  <w:r>
                    <w:rPr>
                      <w:color w:val="auto"/>
                      <w:kern w:val="0"/>
                      <w:sz w:val="18"/>
                      <w:szCs w:val="18"/>
                    </w:rPr>
                    <w:t>70</w:t>
                  </w:r>
                </w:p>
              </w:tc>
              <w:tc>
                <w:tcPr>
                  <w:tcW w:w="684" w:type="pct"/>
                  <w:vAlign w:val="center"/>
                </w:tcPr>
                <w:p>
                  <w:pPr>
                    <w:widowControl/>
                    <w:jc w:val="center"/>
                    <w:rPr>
                      <w:color w:val="auto"/>
                      <w:kern w:val="0"/>
                      <w:sz w:val="18"/>
                      <w:szCs w:val="18"/>
                    </w:rPr>
                  </w:pPr>
                  <w:r>
                    <w:rPr>
                      <w:color w:val="auto"/>
                      <w:kern w:val="0"/>
                      <w:sz w:val="18"/>
                      <w:szCs w:val="18"/>
                    </w:rPr>
                    <w:t>低噪设备、基础减振、厂房隔声</w:t>
                  </w:r>
                </w:p>
              </w:tc>
              <w:tc>
                <w:tcPr>
                  <w:tcW w:w="275" w:type="pct"/>
                  <w:noWrap/>
                  <w:vAlign w:val="center"/>
                </w:tcPr>
                <w:p>
                  <w:pPr>
                    <w:widowControl/>
                    <w:jc w:val="center"/>
                    <w:rPr>
                      <w:color w:val="auto"/>
                      <w:kern w:val="0"/>
                      <w:sz w:val="18"/>
                      <w:szCs w:val="18"/>
                    </w:rPr>
                  </w:pPr>
                  <w:r>
                    <w:rPr>
                      <w:color w:val="auto"/>
                      <w:kern w:val="0"/>
                      <w:sz w:val="18"/>
                      <w:szCs w:val="18"/>
                    </w:rPr>
                    <w:t>-13.27</w:t>
                  </w:r>
                </w:p>
              </w:tc>
              <w:tc>
                <w:tcPr>
                  <w:tcW w:w="270" w:type="pct"/>
                  <w:noWrap/>
                  <w:vAlign w:val="center"/>
                </w:tcPr>
                <w:p>
                  <w:pPr>
                    <w:widowControl/>
                    <w:jc w:val="center"/>
                    <w:rPr>
                      <w:color w:val="auto"/>
                      <w:kern w:val="0"/>
                      <w:sz w:val="18"/>
                      <w:szCs w:val="18"/>
                    </w:rPr>
                  </w:pPr>
                  <w:r>
                    <w:rPr>
                      <w:color w:val="auto"/>
                      <w:kern w:val="0"/>
                      <w:sz w:val="18"/>
                      <w:szCs w:val="18"/>
                    </w:rPr>
                    <w:t>3.41</w:t>
                  </w:r>
                </w:p>
              </w:tc>
              <w:tc>
                <w:tcPr>
                  <w:tcW w:w="222" w:type="pct"/>
                  <w:noWrap/>
                  <w:vAlign w:val="center"/>
                </w:tcPr>
                <w:p>
                  <w:pPr>
                    <w:widowControl/>
                    <w:jc w:val="center"/>
                    <w:rPr>
                      <w:color w:val="auto"/>
                      <w:kern w:val="0"/>
                      <w:sz w:val="18"/>
                      <w:szCs w:val="18"/>
                    </w:rPr>
                  </w:pPr>
                  <w:r>
                    <w:rPr>
                      <w:color w:val="auto"/>
                      <w:kern w:val="0"/>
                      <w:sz w:val="18"/>
                      <w:szCs w:val="18"/>
                    </w:rPr>
                    <w:t>1</w:t>
                  </w:r>
                </w:p>
              </w:tc>
              <w:tc>
                <w:tcPr>
                  <w:tcW w:w="373" w:type="pct"/>
                  <w:noWrap/>
                  <w:vAlign w:val="center"/>
                </w:tcPr>
                <w:p>
                  <w:pPr>
                    <w:widowControl/>
                    <w:jc w:val="center"/>
                    <w:rPr>
                      <w:rFonts w:hint="default" w:eastAsia="宋体"/>
                      <w:color w:val="auto"/>
                      <w:kern w:val="0"/>
                      <w:sz w:val="18"/>
                      <w:szCs w:val="18"/>
                      <w:lang w:val="en-US" w:eastAsia="zh-CN"/>
                    </w:rPr>
                  </w:pPr>
                  <w:r>
                    <w:rPr>
                      <w:rFonts w:hint="eastAsia"/>
                      <w:color w:val="auto"/>
                      <w:kern w:val="0"/>
                      <w:sz w:val="18"/>
                      <w:szCs w:val="18"/>
                      <w:lang w:val="en-US" w:eastAsia="zh-CN"/>
                    </w:rPr>
                    <w:t>2.9</w:t>
                  </w:r>
                </w:p>
              </w:tc>
              <w:tc>
                <w:tcPr>
                  <w:tcW w:w="360" w:type="pct"/>
                  <w:noWrap/>
                  <w:vAlign w:val="center"/>
                </w:tcPr>
                <w:p>
                  <w:pPr>
                    <w:widowControl/>
                    <w:jc w:val="center"/>
                    <w:rPr>
                      <w:rFonts w:hint="default" w:eastAsia="宋体"/>
                      <w:color w:val="auto"/>
                      <w:kern w:val="0"/>
                      <w:sz w:val="18"/>
                      <w:szCs w:val="18"/>
                      <w:lang w:val="en-US" w:eastAsia="zh-CN"/>
                    </w:rPr>
                  </w:pPr>
                  <w:r>
                    <w:rPr>
                      <w:rFonts w:hint="eastAsia"/>
                      <w:color w:val="auto"/>
                      <w:kern w:val="0"/>
                      <w:sz w:val="18"/>
                      <w:szCs w:val="18"/>
                      <w:lang w:val="en-US" w:eastAsia="zh-CN"/>
                    </w:rPr>
                    <w:t>60.7</w:t>
                  </w:r>
                </w:p>
              </w:tc>
              <w:tc>
                <w:tcPr>
                  <w:tcW w:w="421" w:type="pct"/>
                  <w:noWrap/>
                  <w:vAlign w:val="center"/>
                </w:tcPr>
                <w:p>
                  <w:pPr>
                    <w:widowControl/>
                    <w:jc w:val="center"/>
                    <w:rPr>
                      <w:color w:val="auto"/>
                      <w:kern w:val="0"/>
                      <w:sz w:val="18"/>
                      <w:szCs w:val="18"/>
                    </w:rPr>
                  </w:pPr>
                  <w:r>
                    <w:rPr>
                      <w:rFonts w:hint="eastAsia"/>
                      <w:color w:val="auto"/>
                      <w:kern w:val="0"/>
                      <w:sz w:val="18"/>
                      <w:szCs w:val="18"/>
                      <w:lang w:val="en-US" w:eastAsia="zh-CN"/>
                    </w:rPr>
                    <w:t>0</w:t>
                  </w:r>
                  <w:r>
                    <w:rPr>
                      <w:rFonts w:hint="eastAsia"/>
                      <w:color w:val="auto"/>
                      <w:kern w:val="0"/>
                      <w:sz w:val="18"/>
                      <w:szCs w:val="18"/>
                      <w:lang w:eastAsia="zh-CN"/>
                    </w:rPr>
                    <w:t>:</w:t>
                  </w:r>
                  <w:r>
                    <w:rPr>
                      <w:rFonts w:hint="eastAsia"/>
                      <w:color w:val="auto"/>
                      <w:kern w:val="0"/>
                      <w:sz w:val="18"/>
                      <w:szCs w:val="18"/>
                      <w:lang w:val="en-US" w:eastAsia="zh-CN"/>
                    </w:rPr>
                    <w:t>00~24:00</w:t>
                  </w:r>
                </w:p>
              </w:tc>
              <w:tc>
                <w:tcPr>
                  <w:tcW w:w="318" w:type="pct"/>
                  <w:noWrap/>
                  <w:vAlign w:val="center"/>
                </w:tcPr>
                <w:p>
                  <w:pPr>
                    <w:widowControl/>
                    <w:jc w:val="center"/>
                    <w:rPr>
                      <w:color w:val="auto"/>
                      <w:kern w:val="0"/>
                      <w:sz w:val="18"/>
                      <w:szCs w:val="18"/>
                    </w:rPr>
                  </w:pPr>
                  <w:r>
                    <w:rPr>
                      <w:rFonts w:hint="eastAsia"/>
                      <w:color w:val="auto"/>
                      <w:kern w:val="0"/>
                      <w:sz w:val="18"/>
                      <w:szCs w:val="18"/>
                      <w:lang w:val="en-US" w:eastAsia="zh-CN"/>
                    </w:rPr>
                    <w:t>20</w:t>
                  </w:r>
                </w:p>
              </w:tc>
              <w:tc>
                <w:tcPr>
                  <w:tcW w:w="341" w:type="pct"/>
                  <w:noWrap/>
                  <w:vAlign w:val="center"/>
                </w:tcPr>
                <w:p>
                  <w:pPr>
                    <w:widowControl/>
                    <w:jc w:val="center"/>
                    <w:rPr>
                      <w:rFonts w:hint="eastAsia" w:ascii="Times New Roman" w:hAnsi="Times New Roman" w:eastAsia="宋体" w:cs="Times New Roman"/>
                      <w:color w:val="auto"/>
                      <w:kern w:val="0"/>
                      <w:sz w:val="18"/>
                      <w:szCs w:val="18"/>
                      <w:lang w:val="en-US" w:eastAsia="zh-CN"/>
                    </w:rPr>
                  </w:pPr>
                  <w:r>
                    <w:rPr>
                      <w:rFonts w:hint="eastAsia" w:ascii="Times New Roman" w:hAnsi="Times New Roman" w:eastAsia="宋体" w:cs="Times New Roman"/>
                      <w:color w:val="auto"/>
                      <w:kern w:val="0"/>
                      <w:sz w:val="18"/>
                      <w:szCs w:val="18"/>
                      <w:lang w:val="en-US" w:eastAsia="zh-CN"/>
                    </w:rPr>
                    <w:t>41.42</w:t>
                  </w:r>
                </w:p>
              </w:tc>
              <w:tc>
                <w:tcPr>
                  <w:tcW w:w="369" w:type="pct"/>
                  <w:noWrap/>
                  <w:vAlign w:val="center"/>
                </w:tcPr>
                <w:p>
                  <w:pPr>
                    <w:widowControl/>
                    <w:jc w:val="center"/>
                    <w:rPr>
                      <w:color w:val="auto"/>
                      <w:kern w:val="0"/>
                      <w:sz w:val="18"/>
                      <w:szCs w:val="18"/>
                    </w:rPr>
                  </w:pPr>
                  <w:r>
                    <w:rPr>
                      <w:color w:val="auto"/>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99" w:type="pct"/>
                  <w:noWrap/>
                  <w:vAlign w:val="center"/>
                </w:tcPr>
                <w:p>
                  <w:pPr>
                    <w:widowControl/>
                    <w:jc w:val="center"/>
                    <w:rPr>
                      <w:color w:val="auto"/>
                      <w:kern w:val="0"/>
                      <w:sz w:val="18"/>
                      <w:szCs w:val="18"/>
                    </w:rPr>
                  </w:pPr>
                  <w:r>
                    <w:rPr>
                      <w:color w:val="auto"/>
                      <w:kern w:val="0"/>
                      <w:sz w:val="18"/>
                      <w:szCs w:val="18"/>
                    </w:rPr>
                    <w:t>3</w:t>
                  </w:r>
                </w:p>
              </w:tc>
              <w:tc>
                <w:tcPr>
                  <w:tcW w:w="378" w:type="pct"/>
                  <w:noWrap/>
                  <w:vAlign w:val="center"/>
                </w:tcPr>
                <w:p>
                  <w:pPr>
                    <w:widowControl/>
                    <w:jc w:val="center"/>
                    <w:rPr>
                      <w:color w:val="auto"/>
                      <w:kern w:val="0"/>
                      <w:sz w:val="18"/>
                      <w:szCs w:val="18"/>
                    </w:rPr>
                  </w:pPr>
                  <w:r>
                    <w:rPr>
                      <w:color w:val="auto"/>
                      <w:kern w:val="0"/>
                      <w:sz w:val="18"/>
                      <w:szCs w:val="18"/>
                    </w:rPr>
                    <w:t>生产车间</w:t>
                  </w:r>
                </w:p>
              </w:tc>
              <w:tc>
                <w:tcPr>
                  <w:tcW w:w="326" w:type="pct"/>
                  <w:shd w:val="clear" w:color="auto" w:fill="auto"/>
                  <w:vAlign w:val="center"/>
                </w:tcPr>
                <w:p>
                  <w:pPr>
                    <w:numPr>
                      <w:ilvl w:val="0"/>
                      <w:numId w:val="0"/>
                    </w:numPr>
                    <w:spacing w:line="240" w:lineRule="auto"/>
                    <w:ind w:left="0" w:leftChars="0" w:firstLine="0" w:firstLineChars="0"/>
                    <w:jc w:val="center"/>
                    <w:rPr>
                      <w:rFonts w:hint="default" w:ascii="Times New Roman" w:hAnsi="Times New Roman" w:eastAsia="宋体" w:cs="Times New Roman"/>
                      <w:color w:val="auto"/>
                      <w:kern w:val="2"/>
                      <w:sz w:val="18"/>
                      <w:szCs w:val="18"/>
                      <w:lang w:val="en-US" w:eastAsia="zh-CN" w:bidi="ar-SA"/>
                    </w:rPr>
                  </w:pPr>
                  <w:r>
                    <w:rPr>
                      <w:rFonts w:hint="eastAsia" w:cs="Times New Roman"/>
                      <w:color w:val="auto"/>
                      <w:kern w:val="2"/>
                      <w:sz w:val="18"/>
                      <w:szCs w:val="18"/>
                      <w:lang w:val="en-US" w:eastAsia="zh-CN" w:bidi="ar-SA"/>
                    </w:rPr>
                    <w:t>主机一套</w:t>
                  </w:r>
                </w:p>
              </w:tc>
              <w:tc>
                <w:tcPr>
                  <w:tcW w:w="159" w:type="pct"/>
                  <w:noWrap/>
                  <w:vAlign w:val="center"/>
                </w:tcPr>
                <w:p>
                  <w:pPr>
                    <w:widowControl/>
                    <w:jc w:val="center"/>
                    <w:rPr>
                      <w:color w:val="auto"/>
                      <w:kern w:val="0"/>
                      <w:sz w:val="18"/>
                      <w:szCs w:val="18"/>
                    </w:rPr>
                  </w:pPr>
                  <w:r>
                    <w:rPr>
                      <w:color w:val="auto"/>
                      <w:kern w:val="0"/>
                      <w:sz w:val="18"/>
                      <w:szCs w:val="18"/>
                    </w:rPr>
                    <w:t>/</w:t>
                  </w:r>
                </w:p>
              </w:tc>
              <w:tc>
                <w:tcPr>
                  <w:tcW w:w="299" w:type="pct"/>
                  <w:noWrap/>
                  <w:vAlign w:val="center"/>
                </w:tcPr>
                <w:p>
                  <w:pPr>
                    <w:widowControl/>
                    <w:jc w:val="center"/>
                    <w:rPr>
                      <w:color w:val="auto"/>
                      <w:kern w:val="0"/>
                      <w:sz w:val="18"/>
                      <w:szCs w:val="18"/>
                    </w:rPr>
                  </w:pPr>
                  <w:r>
                    <w:rPr>
                      <w:rFonts w:hint="eastAsia"/>
                      <w:color w:val="auto"/>
                      <w:kern w:val="0"/>
                      <w:sz w:val="18"/>
                      <w:szCs w:val="18"/>
                    </w:rPr>
                    <w:t>90</w:t>
                  </w:r>
                </w:p>
              </w:tc>
              <w:tc>
                <w:tcPr>
                  <w:tcW w:w="684" w:type="pct"/>
                  <w:vAlign w:val="center"/>
                </w:tcPr>
                <w:p>
                  <w:pPr>
                    <w:widowControl/>
                    <w:jc w:val="center"/>
                    <w:rPr>
                      <w:color w:val="auto"/>
                      <w:kern w:val="0"/>
                      <w:sz w:val="18"/>
                      <w:szCs w:val="18"/>
                    </w:rPr>
                  </w:pPr>
                  <w:r>
                    <w:rPr>
                      <w:color w:val="auto"/>
                      <w:kern w:val="0"/>
                      <w:sz w:val="18"/>
                      <w:szCs w:val="18"/>
                    </w:rPr>
                    <w:t>低噪设备、基础减振、厂房隔声</w:t>
                  </w:r>
                </w:p>
              </w:tc>
              <w:tc>
                <w:tcPr>
                  <w:tcW w:w="275" w:type="pct"/>
                  <w:noWrap/>
                  <w:vAlign w:val="center"/>
                </w:tcPr>
                <w:p>
                  <w:pPr>
                    <w:widowControl/>
                    <w:jc w:val="center"/>
                    <w:rPr>
                      <w:color w:val="auto"/>
                      <w:kern w:val="0"/>
                      <w:sz w:val="18"/>
                      <w:szCs w:val="18"/>
                    </w:rPr>
                  </w:pPr>
                  <w:r>
                    <w:rPr>
                      <w:color w:val="auto"/>
                      <w:kern w:val="0"/>
                      <w:sz w:val="18"/>
                      <w:szCs w:val="18"/>
                    </w:rPr>
                    <w:t>-16.15</w:t>
                  </w:r>
                </w:p>
              </w:tc>
              <w:tc>
                <w:tcPr>
                  <w:tcW w:w="270" w:type="pct"/>
                  <w:noWrap/>
                  <w:vAlign w:val="center"/>
                </w:tcPr>
                <w:p>
                  <w:pPr>
                    <w:widowControl/>
                    <w:jc w:val="center"/>
                    <w:rPr>
                      <w:color w:val="auto"/>
                      <w:kern w:val="0"/>
                      <w:sz w:val="18"/>
                      <w:szCs w:val="18"/>
                    </w:rPr>
                  </w:pPr>
                  <w:r>
                    <w:rPr>
                      <w:color w:val="auto"/>
                      <w:kern w:val="0"/>
                      <w:sz w:val="18"/>
                      <w:szCs w:val="18"/>
                    </w:rPr>
                    <w:t>9.37</w:t>
                  </w:r>
                </w:p>
              </w:tc>
              <w:tc>
                <w:tcPr>
                  <w:tcW w:w="222" w:type="pct"/>
                  <w:noWrap/>
                  <w:vAlign w:val="center"/>
                </w:tcPr>
                <w:p>
                  <w:pPr>
                    <w:widowControl/>
                    <w:jc w:val="center"/>
                    <w:rPr>
                      <w:color w:val="auto"/>
                      <w:kern w:val="0"/>
                      <w:sz w:val="18"/>
                      <w:szCs w:val="18"/>
                    </w:rPr>
                  </w:pPr>
                  <w:r>
                    <w:rPr>
                      <w:color w:val="auto"/>
                      <w:kern w:val="0"/>
                      <w:sz w:val="18"/>
                      <w:szCs w:val="18"/>
                    </w:rPr>
                    <w:t>1</w:t>
                  </w:r>
                </w:p>
              </w:tc>
              <w:tc>
                <w:tcPr>
                  <w:tcW w:w="373" w:type="pct"/>
                  <w:noWrap/>
                  <w:vAlign w:val="center"/>
                </w:tcPr>
                <w:p>
                  <w:pPr>
                    <w:widowControl/>
                    <w:jc w:val="center"/>
                    <w:rPr>
                      <w:rFonts w:hint="default" w:eastAsia="宋体"/>
                      <w:color w:val="auto"/>
                      <w:kern w:val="0"/>
                      <w:sz w:val="18"/>
                      <w:szCs w:val="18"/>
                      <w:lang w:val="en-US" w:eastAsia="zh-CN"/>
                    </w:rPr>
                  </w:pPr>
                  <w:r>
                    <w:rPr>
                      <w:rFonts w:hint="eastAsia"/>
                      <w:color w:val="auto"/>
                      <w:kern w:val="0"/>
                      <w:sz w:val="18"/>
                      <w:szCs w:val="18"/>
                      <w:lang w:val="en-US" w:eastAsia="zh-CN"/>
                    </w:rPr>
                    <w:t>3.9</w:t>
                  </w:r>
                </w:p>
              </w:tc>
              <w:tc>
                <w:tcPr>
                  <w:tcW w:w="360" w:type="pct"/>
                  <w:noWrap/>
                  <w:vAlign w:val="center"/>
                </w:tcPr>
                <w:p>
                  <w:pPr>
                    <w:widowControl/>
                    <w:jc w:val="center"/>
                    <w:rPr>
                      <w:rFonts w:hint="default" w:eastAsia="宋体"/>
                      <w:color w:val="auto"/>
                      <w:kern w:val="0"/>
                      <w:sz w:val="18"/>
                      <w:szCs w:val="18"/>
                      <w:lang w:val="en-US" w:eastAsia="zh-CN"/>
                    </w:rPr>
                  </w:pPr>
                  <w:r>
                    <w:rPr>
                      <w:rFonts w:hint="eastAsia"/>
                      <w:color w:val="auto"/>
                      <w:kern w:val="0"/>
                      <w:sz w:val="18"/>
                      <w:szCs w:val="18"/>
                      <w:lang w:val="en-US" w:eastAsia="zh-CN"/>
                    </w:rPr>
                    <w:t>78.1</w:t>
                  </w:r>
                </w:p>
              </w:tc>
              <w:tc>
                <w:tcPr>
                  <w:tcW w:w="421" w:type="pct"/>
                  <w:noWrap/>
                  <w:vAlign w:val="center"/>
                </w:tcPr>
                <w:p>
                  <w:pPr>
                    <w:widowControl/>
                    <w:jc w:val="center"/>
                    <w:rPr>
                      <w:color w:val="auto"/>
                      <w:kern w:val="0"/>
                      <w:sz w:val="18"/>
                      <w:szCs w:val="18"/>
                    </w:rPr>
                  </w:pPr>
                  <w:r>
                    <w:rPr>
                      <w:rFonts w:hint="eastAsia"/>
                      <w:color w:val="auto"/>
                      <w:kern w:val="0"/>
                      <w:sz w:val="18"/>
                      <w:szCs w:val="18"/>
                      <w:lang w:val="en-US" w:eastAsia="zh-CN"/>
                    </w:rPr>
                    <w:t>0</w:t>
                  </w:r>
                  <w:r>
                    <w:rPr>
                      <w:rFonts w:hint="eastAsia"/>
                      <w:color w:val="auto"/>
                      <w:kern w:val="0"/>
                      <w:sz w:val="18"/>
                      <w:szCs w:val="18"/>
                      <w:lang w:eastAsia="zh-CN"/>
                    </w:rPr>
                    <w:t>:</w:t>
                  </w:r>
                  <w:r>
                    <w:rPr>
                      <w:rFonts w:hint="eastAsia"/>
                      <w:color w:val="auto"/>
                      <w:kern w:val="0"/>
                      <w:sz w:val="18"/>
                      <w:szCs w:val="18"/>
                      <w:lang w:val="en-US" w:eastAsia="zh-CN"/>
                    </w:rPr>
                    <w:t>00~24:00</w:t>
                  </w:r>
                </w:p>
              </w:tc>
              <w:tc>
                <w:tcPr>
                  <w:tcW w:w="318" w:type="pct"/>
                  <w:noWrap/>
                  <w:vAlign w:val="center"/>
                </w:tcPr>
                <w:p>
                  <w:pPr>
                    <w:widowControl/>
                    <w:jc w:val="center"/>
                    <w:rPr>
                      <w:color w:val="auto"/>
                      <w:kern w:val="0"/>
                      <w:sz w:val="18"/>
                      <w:szCs w:val="18"/>
                    </w:rPr>
                  </w:pPr>
                  <w:r>
                    <w:rPr>
                      <w:rFonts w:hint="eastAsia"/>
                      <w:color w:val="auto"/>
                      <w:kern w:val="0"/>
                      <w:sz w:val="18"/>
                      <w:szCs w:val="18"/>
                      <w:lang w:val="en-US" w:eastAsia="zh-CN"/>
                    </w:rPr>
                    <w:t>20</w:t>
                  </w:r>
                </w:p>
              </w:tc>
              <w:tc>
                <w:tcPr>
                  <w:tcW w:w="341" w:type="pct"/>
                  <w:noWrap/>
                  <w:vAlign w:val="center"/>
                </w:tcPr>
                <w:p>
                  <w:pPr>
                    <w:widowControl/>
                    <w:jc w:val="center"/>
                    <w:rPr>
                      <w:rFonts w:hint="eastAsia" w:ascii="Times New Roman" w:hAnsi="Times New Roman" w:eastAsia="宋体" w:cs="Times New Roman"/>
                      <w:color w:val="auto"/>
                      <w:kern w:val="0"/>
                      <w:sz w:val="18"/>
                      <w:szCs w:val="18"/>
                      <w:lang w:val="en-US" w:eastAsia="zh-CN"/>
                    </w:rPr>
                  </w:pPr>
                  <w:r>
                    <w:rPr>
                      <w:rFonts w:hint="eastAsia" w:ascii="Times New Roman" w:hAnsi="Times New Roman" w:eastAsia="宋体" w:cs="Times New Roman"/>
                      <w:color w:val="auto"/>
                      <w:kern w:val="0"/>
                      <w:sz w:val="18"/>
                      <w:szCs w:val="18"/>
                      <w:lang w:val="en-US" w:eastAsia="zh-CN"/>
                    </w:rPr>
                    <w:t>61.44</w:t>
                  </w:r>
                </w:p>
              </w:tc>
              <w:tc>
                <w:tcPr>
                  <w:tcW w:w="369" w:type="pct"/>
                  <w:noWrap/>
                  <w:vAlign w:val="center"/>
                </w:tcPr>
                <w:p>
                  <w:pPr>
                    <w:widowControl/>
                    <w:jc w:val="center"/>
                    <w:rPr>
                      <w:color w:val="auto"/>
                      <w:kern w:val="0"/>
                      <w:sz w:val="18"/>
                      <w:szCs w:val="18"/>
                    </w:rPr>
                  </w:pPr>
                  <w:r>
                    <w:rPr>
                      <w:color w:val="auto"/>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9" w:hRule="atLeast"/>
              </w:trPr>
              <w:tc>
                <w:tcPr>
                  <w:tcW w:w="199" w:type="pct"/>
                  <w:noWrap/>
                  <w:vAlign w:val="center"/>
                </w:tcPr>
                <w:p>
                  <w:pPr>
                    <w:widowControl/>
                    <w:jc w:val="center"/>
                    <w:rPr>
                      <w:color w:val="auto"/>
                      <w:kern w:val="0"/>
                      <w:sz w:val="18"/>
                      <w:szCs w:val="18"/>
                    </w:rPr>
                  </w:pPr>
                  <w:r>
                    <w:rPr>
                      <w:color w:val="auto"/>
                      <w:kern w:val="0"/>
                      <w:sz w:val="18"/>
                      <w:szCs w:val="18"/>
                    </w:rPr>
                    <w:t>4</w:t>
                  </w:r>
                </w:p>
              </w:tc>
              <w:tc>
                <w:tcPr>
                  <w:tcW w:w="378" w:type="pct"/>
                  <w:noWrap/>
                  <w:vAlign w:val="center"/>
                </w:tcPr>
                <w:p>
                  <w:pPr>
                    <w:widowControl/>
                    <w:jc w:val="center"/>
                    <w:rPr>
                      <w:color w:val="auto"/>
                      <w:kern w:val="0"/>
                      <w:sz w:val="18"/>
                      <w:szCs w:val="18"/>
                    </w:rPr>
                  </w:pPr>
                  <w:r>
                    <w:rPr>
                      <w:color w:val="auto"/>
                      <w:kern w:val="0"/>
                      <w:sz w:val="18"/>
                      <w:szCs w:val="18"/>
                    </w:rPr>
                    <w:t>生产车间</w:t>
                  </w:r>
                </w:p>
              </w:tc>
              <w:tc>
                <w:tcPr>
                  <w:tcW w:w="326" w:type="pct"/>
                  <w:shd w:val="clear" w:color="auto" w:fill="auto"/>
                  <w:vAlign w:val="center"/>
                </w:tcPr>
                <w:p>
                  <w:pPr>
                    <w:numPr>
                      <w:ilvl w:val="0"/>
                      <w:numId w:val="0"/>
                    </w:numPr>
                    <w:spacing w:line="240" w:lineRule="auto"/>
                    <w:ind w:left="0" w:leftChars="0" w:firstLine="0" w:firstLineChars="0"/>
                    <w:jc w:val="center"/>
                    <w:rPr>
                      <w:rFonts w:hint="default" w:ascii="Times New Roman" w:hAnsi="Times New Roman" w:eastAsia="宋体" w:cs="Times New Roman"/>
                      <w:color w:val="auto"/>
                      <w:kern w:val="2"/>
                      <w:sz w:val="18"/>
                      <w:szCs w:val="18"/>
                      <w:lang w:val="en-US" w:eastAsia="zh-CN" w:bidi="ar-SA"/>
                    </w:rPr>
                  </w:pPr>
                  <w:r>
                    <w:rPr>
                      <w:rFonts w:hint="eastAsia" w:cs="Times New Roman"/>
                      <w:color w:val="auto"/>
                      <w:kern w:val="2"/>
                      <w:sz w:val="18"/>
                      <w:szCs w:val="18"/>
                      <w:lang w:val="en-US" w:eastAsia="zh-CN" w:bidi="ar-SA"/>
                    </w:rPr>
                    <w:t>二部机</w:t>
                  </w:r>
                </w:p>
              </w:tc>
              <w:tc>
                <w:tcPr>
                  <w:tcW w:w="159" w:type="pct"/>
                  <w:shd w:val="clear" w:color="auto" w:fill="auto"/>
                  <w:noWrap/>
                  <w:vAlign w:val="center"/>
                </w:tcPr>
                <w:p>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w:t>
                  </w:r>
                </w:p>
              </w:tc>
              <w:tc>
                <w:tcPr>
                  <w:tcW w:w="299" w:type="pct"/>
                  <w:shd w:val="clear" w:color="auto" w:fill="auto"/>
                  <w:noWrap/>
                  <w:vAlign w:val="center"/>
                </w:tcPr>
                <w:p>
                  <w:pPr>
                    <w:widowControl/>
                    <w:jc w:val="center"/>
                    <w:rPr>
                      <w:rFonts w:ascii="Times New Roman" w:hAnsi="Times New Roman" w:eastAsia="宋体" w:cs="Times New Roman"/>
                      <w:color w:val="auto"/>
                      <w:kern w:val="0"/>
                      <w:sz w:val="18"/>
                      <w:szCs w:val="18"/>
                      <w:lang w:val="en-US" w:eastAsia="zh-CN" w:bidi="ar-SA"/>
                    </w:rPr>
                  </w:pPr>
                  <w:r>
                    <w:rPr>
                      <w:rFonts w:hint="eastAsia"/>
                      <w:color w:val="auto"/>
                      <w:kern w:val="0"/>
                      <w:sz w:val="18"/>
                      <w:szCs w:val="18"/>
                    </w:rPr>
                    <w:t>85</w:t>
                  </w:r>
                </w:p>
              </w:tc>
              <w:tc>
                <w:tcPr>
                  <w:tcW w:w="684" w:type="pct"/>
                  <w:shd w:val="clear" w:color="auto" w:fill="auto"/>
                  <w:vAlign w:val="center"/>
                </w:tcPr>
                <w:p>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低噪设备、基础减振、厂房隔声</w:t>
                  </w:r>
                </w:p>
              </w:tc>
              <w:tc>
                <w:tcPr>
                  <w:tcW w:w="275" w:type="pct"/>
                  <w:shd w:val="clear" w:color="auto" w:fill="auto"/>
                  <w:noWrap/>
                  <w:vAlign w:val="center"/>
                </w:tcPr>
                <w:p>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-12.43</w:t>
                  </w:r>
                </w:p>
              </w:tc>
              <w:tc>
                <w:tcPr>
                  <w:tcW w:w="270" w:type="pct"/>
                  <w:shd w:val="clear" w:color="auto" w:fill="auto"/>
                  <w:noWrap/>
                  <w:vAlign w:val="center"/>
                </w:tcPr>
                <w:p>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18.89</w:t>
                  </w:r>
                </w:p>
              </w:tc>
              <w:tc>
                <w:tcPr>
                  <w:tcW w:w="222" w:type="pct"/>
                  <w:shd w:val="clear" w:color="auto" w:fill="auto"/>
                  <w:noWrap/>
                  <w:vAlign w:val="center"/>
                </w:tcPr>
                <w:p>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1</w:t>
                  </w:r>
                </w:p>
              </w:tc>
              <w:tc>
                <w:tcPr>
                  <w:tcW w:w="373" w:type="pct"/>
                  <w:shd w:val="clear" w:color="auto" w:fill="auto"/>
                  <w:noWrap/>
                  <w:vAlign w:val="center"/>
                </w:tcPr>
                <w:p>
                  <w:pPr>
                    <w:widowControl/>
                    <w:jc w:val="center"/>
                    <w:rPr>
                      <w:rFonts w:hint="default" w:ascii="Times New Roman" w:hAnsi="Times New Roman" w:eastAsia="宋体" w:cs="Times New Roman"/>
                      <w:color w:val="auto"/>
                      <w:kern w:val="0"/>
                      <w:sz w:val="18"/>
                      <w:szCs w:val="18"/>
                      <w:lang w:val="en-US" w:eastAsia="zh-CN" w:bidi="ar-SA"/>
                    </w:rPr>
                  </w:pPr>
                  <w:r>
                    <w:rPr>
                      <w:rFonts w:hint="eastAsia"/>
                      <w:color w:val="auto"/>
                      <w:kern w:val="0"/>
                      <w:sz w:val="18"/>
                      <w:szCs w:val="18"/>
                      <w:lang w:val="en-US" w:eastAsia="zh-CN"/>
                    </w:rPr>
                    <w:t>5.3</w:t>
                  </w:r>
                </w:p>
              </w:tc>
              <w:tc>
                <w:tcPr>
                  <w:tcW w:w="360" w:type="pct"/>
                  <w:shd w:val="clear" w:color="auto" w:fill="auto"/>
                  <w:noWrap/>
                  <w:vAlign w:val="center"/>
                </w:tcPr>
                <w:p>
                  <w:pPr>
                    <w:widowControl/>
                    <w:jc w:val="center"/>
                    <w:rPr>
                      <w:rFonts w:hint="default" w:ascii="Times New Roman" w:hAnsi="Times New Roman" w:eastAsia="宋体" w:cs="Times New Roman"/>
                      <w:color w:val="auto"/>
                      <w:kern w:val="0"/>
                      <w:sz w:val="18"/>
                      <w:szCs w:val="18"/>
                      <w:lang w:val="en-US" w:eastAsia="zh-CN" w:bidi="ar-SA"/>
                    </w:rPr>
                  </w:pPr>
                  <w:r>
                    <w:rPr>
                      <w:rFonts w:hint="eastAsia" w:cs="Times New Roman"/>
                      <w:color w:val="auto"/>
                      <w:kern w:val="0"/>
                      <w:sz w:val="18"/>
                      <w:szCs w:val="18"/>
                      <w:lang w:val="en-US" w:eastAsia="zh-CN" w:bidi="ar-SA"/>
                    </w:rPr>
                    <w:t>70.5</w:t>
                  </w:r>
                </w:p>
              </w:tc>
              <w:tc>
                <w:tcPr>
                  <w:tcW w:w="421" w:type="pct"/>
                  <w:shd w:val="clear" w:color="auto" w:fill="auto"/>
                  <w:noWrap/>
                  <w:vAlign w:val="center"/>
                </w:tcPr>
                <w:p>
                  <w:pPr>
                    <w:widowControl/>
                    <w:jc w:val="center"/>
                    <w:rPr>
                      <w:rFonts w:ascii="Times New Roman" w:hAnsi="Times New Roman" w:eastAsia="宋体" w:cs="Times New Roman"/>
                      <w:color w:val="auto"/>
                      <w:kern w:val="0"/>
                      <w:sz w:val="18"/>
                      <w:szCs w:val="18"/>
                      <w:lang w:val="en-US" w:eastAsia="zh-CN" w:bidi="ar-SA"/>
                    </w:rPr>
                  </w:pPr>
                  <w:r>
                    <w:rPr>
                      <w:rFonts w:hint="eastAsia"/>
                      <w:color w:val="auto"/>
                      <w:kern w:val="0"/>
                      <w:sz w:val="18"/>
                      <w:szCs w:val="18"/>
                      <w:lang w:val="en-US" w:eastAsia="zh-CN"/>
                    </w:rPr>
                    <w:t>0</w:t>
                  </w:r>
                  <w:r>
                    <w:rPr>
                      <w:rFonts w:hint="eastAsia"/>
                      <w:color w:val="auto"/>
                      <w:kern w:val="0"/>
                      <w:sz w:val="18"/>
                      <w:szCs w:val="18"/>
                      <w:lang w:eastAsia="zh-CN"/>
                    </w:rPr>
                    <w:t>:</w:t>
                  </w:r>
                  <w:r>
                    <w:rPr>
                      <w:rFonts w:hint="eastAsia"/>
                      <w:color w:val="auto"/>
                      <w:kern w:val="0"/>
                      <w:sz w:val="18"/>
                      <w:szCs w:val="18"/>
                      <w:lang w:val="en-US" w:eastAsia="zh-CN"/>
                    </w:rPr>
                    <w:t>00~24:00</w:t>
                  </w:r>
                </w:p>
              </w:tc>
              <w:tc>
                <w:tcPr>
                  <w:tcW w:w="318" w:type="pct"/>
                  <w:shd w:val="clear" w:color="auto" w:fill="auto"/>
                  <w:noWrap/>
                  <w:vAlign w:val="center"/>
                </w:tcPr>
                <w:p>
                  <w:pPr>
                    <w:widowControl/>
                    <w:jc w:val="center"/>
                    <w:rPr>
                      <w:rFonts w:ascii="Times New Roman" w:hAnsi="Times New Roman" w:eastAsia="宋体" w:cs="Times New Roman"/>
                      <w:color w:val="auto"/>
                      <w:kern w:val="0"/>
                      <w:sz w:val="18"/>
                      <w:szCs w:val="18"/>
                      <w:lang w:val="en-US" w:eastAsia="zh-CN" w:bidi="ar-SA"/>
                    </w:rPr>
                  </w:pPr>
                  <w:r>
                    <w:rPr>
                      <w:rFonts w:hint="eastAsia"/>
                      <w:color w:val="auto"/>
                      <w:kern w:val="0"/>
                      <w:sz w:val="18"/>
                      <w:szCs w:val="18"/>
                      <w:lang w:val="en-US" w:eastAsia="zh-CN"/>
                    </w:rPr>
                    <w:t>20</w:t>
                  </w:r>
                </w:p>
              </w:tc>
              <w:tc>
                <w:tcPr>
                  <w:tcW w:w="341" w:type="pct"/>
                  <w:shd w:val="clear" w:color="auto" w:fill="auto"/>
                  <w:noWrap/>
                  <w:vAlign w:val="center"/>
                </w:tcPr>
                <w:p>
                  <w:pPr>
                    <w:widowControl/>
                    <w:jc w:val="center"/>
                    <w:rPr>
                      <w:rFonts w:hint="eastAsia" w:ascii="Times New Roman" w:hAnsi="Times New Roman" w:eastAsia="宋体" w:cs="Times New Roman"/>
                      <w:color w:val="auto"/>
                      <w:kern w:val="0"/>
                      <w:sz w:val="18"/>
                      <w:szCs w:val="18"/>
                      <w:lang w:val="en-US" w:eastAsia="zh-CN" w:bidi="ar-SA"/>
                    </w:rPr>
                  </w:pPr>
                  <w:r>
                    <w:rPr>
                      <w:rFonts w:hint="eastAsia" w:ascii="Times New Roman" w:hAnsi="Times New Roman" w:eastAsia="宋体" w:cs="Times New Roman"/>
                      <w:color w:val="auto"/>
                      <w:kern w:val="0"/>
                      <w:sz w:val="18"/>
                      <w:szCs w:val="18"/>
                      <w:lang w:val="en-US" w:eastAsia="zh-CN"/>
                    </w:rPr>
                    <w:t>56.42</w:t>
                  </w:r>
                </w:p>
              </w:tc>
              <w:tc>
                <w:tcPr>
                  <w:tcW w:w="369" w:type="pct"/>
                  <w:shd w:val="clear" w:color="auto" w:fill="auto"/>
                  <w:noWrap/>
                  <w:vAlign w:val="center"/>
                </w:tcPr>
                <w:p>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99" w:type="pct"/>
                  <w:noWrap/>
                  <w:vAlign w:val="center"/>
                </w:tcPr>
                <w:p>
                  <w:pPr>
                    <w:widowControl/>
                    <w:jc w:val="center"/>
                    <w:rPr>
                      <w:color w:val="auto"/>
                      <w:kern w:val="0"/>
                      <w:sz w:val="18"/>
                      <w:szCs w:val="18"/>
                    </w:rPr>
                  </w:pPr>
                  <w:r>
                    <w:rPr>
                      <w:color w:val="auto"/>
                      <w:kern w:val="0"/>
                      <w:sz w:val="18"/>
                      <w:szCs w:val="18"/>
                    </w:rPr>
                    <w:t>5</w:t>
                  </w:r>
                </w:p>
              </w:tc>
              <w:tc>
                <w:tcPr>
                  <w:tcW w:w="378" w:type="pct"/>
                  <w:noWrap/>
                  <w:vAlign w:val="center"/>
                </w:tcPr>
                <w:p>
                  <w:pPr>
                    <w:widowControl/>
                    <w:jc w:val="center"/>
                    <w:rPr>
                      <w:color w:val="auto"/>
                      <w:kern w:val="0"/>
                      <w:sz w:val="18"/>
                      <w:szCs w:val="18"/>
                    </w:rPr>
                  </w:pPr>
                  <w:r>
                    <w:rPr>
                      <w:color w:val="auto"/>
                      <w:kern w:val="0"/>
                      <w:sz w:val="18"/>
                      <w:szCs w:val="18"/>
                    </w:rPr>
                    <w:t>生产车间</w:t>
                  </w:r>
                </w:p>
              </w:tc>
              <w:tc>
                <w:tcPr>
                  <w:tcW w:w="326" w:type="pct"/>
                  <w:shd w:val="clear" w:color="auto" w:fill="auto"/>
                  <w:vAlign w:val="center"/>
                </w:tcPr>
                <w:p>
                  <w:pPr>
                    <w:numPr>
                      <w:ilvl w:val="0"/>
                      <w:numId w:val="0"/>
                    </w:numPr>
                    <w:spacing w:line="240" w:lineRule="auto"/>
                    <w:ind w:left="0" w:leftChars="0" w:firstLine="0" w:firstLineChars="0"/>
                    <w:jc w:val="center"/>
                    <w:rPr>
                      <w:rFonts w:hint="default" w:ascii="Times New Roman" w:hAnsi="Times New Roman" w:eastAsia="宋体" w:cs="Times New Roman"/>
                      <w:color w:val="auto"/>
                      <w:kern w:val="2"/>
                      <w:sz w:val="18"/>
                      <w:szCs w:val="18"/>
                      <w:lang w:val="en-US" w:eastAsia="zh-CN" w:bidi="ar-SA"/>
                    </w:rPr>
                  </w:pPr>
                  <w:r>
                    <w:rPr>
                      <w:rFonts w:hint="eastAsia" w:cs="Times New Roman"/>
                      <w:color w:val="auto"/>
                      <w:kern w:val="2"/>
                      <w:sz w:val="18"/>
                      <w:szCs w:val="18"/>
                      <w:lang w:val="en-US" w:eastAsia="zh-CN" w:bidi="ar-SA"/>
                    </w:rPr>
                    <w:t>三部机</w:t>
                  </w:r>
                </w:p>
              </w:tc>
              <w:tc>
                <w:tcPr>
                  <w:tcW w:w="159" w:type="pct"/>
                  <w:shd w:val="clear" w:color="auto" w:fill="auto"/>
                  <w:noWrap/>
                  <w:vAlign w:val="center"/>
                </w:tcPr>
                <w:p>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w:t>
                  </w:r>
                </w:p>
              </w:tc>
              <w:tc>
                <w:tcPr>
                  <w:tcW w:w="299" w:type="pct"/>
                  <w:shd w:val="clear" w:color="auto" w:fill="auto"/>
                  <w:noWrap/>
                  <w:vAlign w:val="center"/>
                </w:tcPr>
                <w:p>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85</w:t>
                  </w:r>
                </w:p>
              </w:tc>
              <w:tc>
                <w:tcPr>
                  <w:tcW w:w="684" w:type="pct"/>
                  <w:shd w:val="clear" w:color="auto" w:fill="auto"/>
                  <w:vAlign w:val="center"/>
                </w:tcPr>
                <w:p>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低噪设备、基础减振、厂房隔声</w:t>
                  </w:r>
                </w:p>
              </w:tc>
              <w:tc>
                <w:tcPr>
                  <w:tcW w:w="275" w:type="pct"/>
                  <w:shd w:val="clear" w:color="auto" w:fill="auto"/>
                  <w:noWrap/>
                  <w:vAlign w:val="center"/>
                </w:tcPr>
                <w:p>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1.72</w:t>
                  </w:r>
                </w:p>
              </w:tc>
              <w:tc>
                <w:tcPr>
                  <w:tcW w:w="270" w:type="pct"/>
                  <w:shd w:val="clear" w:color="auto" w:fill="auto"/>
                  <w:noWrap/>
                  <w:vAlign w:val="center"/>
                </w:tcPr>
                <w:p>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25.34</w:t>
                  </w:r>
                </w:p>
              </w:tc>
              <w:tc>
                <w:tcPr>
                  <w:tcW w:w="222" w:type="pct"/>
                  <w:shd w:val="clear" w:color="auto" w:fill="auto"/>
                  <w:noWrap/>
                  <w:vAlign w:val="center"/>
                </w:tcPr>
                <w:p>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1</w:t>
                  </w:r>
                </w:p>
              </w:tc>
              <w:tc>
                <w:tcPr>
                  <w:tcW w:w="373" w:type="pct"/>
                  <w:shd w:val="clear" w:color="auto" w:fill="auto"/>
                  <w:noWrap/>
                  <w:vAlign w:val="center"/>
                </w:tcPr>
                <w:p>
                  <w:pPr>
                    <w:widowControl/>
                    <w:jc w:val="center"/>
                    <w:rPr>
                      <w:rFonts w:hint="default" w:ascii="Times New Roman" w:hAnsi="Times New Roman" w:eastAsia="宋体" w:cs="Times New Roman"/>
                      <w:color w:val="auto"/>
                      <w:kern w:val="0"/>
                      <w:sz w:val="18"/>
                      <w:szCs w:val="18"/>
                      <w:lang w:val="en-US" w:eastAsia="zh-CN" w:bidi="ar-SA"/>
                    </w:rPr>
                  </w:pPr>
                  <w:r>
                    <w:rPr>
                      <w:rFonts w:hint="eastAsia" w:cs="Times New Roman"/>
                      <w:color w:val="auto"/>
                      <w:kern w:val="0"/>
                      <w:sz w:val="18"/>
                      <w:szCs w:val="18"/>
                      <w:lang w:val="en-US" w:eastAsia="zh-CN" w:bidi="ar-SA"/>
                    </w:rPr>
                    <w:t>3.6</w:t>
                  </w:r>
                </w:p>
              </w:tc>
              <w:tc>
                <w:tcPr>
                  <w:tcW w:w="360" w:type="pct"/>
                  <w:shd w:val="clear" w:color="auto" w:fill="auto"/>
                  <w:noWrap/>
                  <w:vAlign w:val="center"/>
                </w:tcPr>
                <w:p>
                  <w:pPr>
                    <w:widowControl/>
                    <w:jc w:val="center"/>
                    <w:rPr>
                      <w:rFonts w:hint="default" w:ascii="Times New Roman" w:hAnsi="Times New Roman" w:eastAsia="宋体" w:cs="Times New Roman"/>
                      <w:color w:val="auto"/>
                      <w:kern w:val="0"/>
                      <w:sz w:val="18"/>
                      <w:szCs w:val="18"/>
                      <w:lang w:val="en-US" w:eastAsia="zh-CN" w:bidi="ar-SA"/>
                    </w:rPr>
                  </w:pPr>
                  <w:r>
                    <w:rPr>
                      <w:rFonts w:hint="eastAsia" w:cs="Times New Roman"/>
                      <w:color w:val="auto"/>
                      <w:kern w:val="0"/>
                      <w:sz w:val="18"/>
                      <w:szCs w:val="18"/>
                      <w:lang w:val="en-US" w:eastAsia="zh-CN" w:bidi="ar-SA"/>
                    </w:rPr>
                    <w:t>73.9</w:t>
                  </w:r>
                </w:p>
              </w:tc>
              <w:tc>
                <w:tcPr>
                  <w:tcW w:w="421" w:type="pct"/>
                  <w:shd w:val="clear" w:color="auto" w:fill="auto"/>
                  <w:noWrap/>
                  <w:vAlign w:val="center"/>
                </w:tcPr>
                <w:p>
                  <w:pPr>
                    <w:widowControl/>
                    <w:jc w:val="center"/>
                    <w:rPr>
                      <w:rFonts w:ascii="Times New Roman" w:hAnsi="Times New Roman" w:eastAsia="宋体" w:cs="Times New Roman"/>
                      <w:color w:val="auto"/>
                      <w:kern w:val="0"/>
                      <w:sz w:val="18"/>
                      <w:szCs w:val="18"/>
                      <w:lang w:val="en-US" w:eastAsia="zh-CN" w:bidi="ar-SA"/>
                    </w:rPr>
                  </w:pPr>
                  <w:r>
                    <w:rPr>
                      <w:rFonts w:hint="eastAsia"/>
                      <w:color w:val="auto"/>
                      <w:kern w:val="0"/>
                      <w:sz w:val="18"/>
                      <w:szCs w:val="18"/>
                      <w:lang w:val="en-US" w:eastAsia="zh-CN"/>
                    </w:rPr>
                    <w:t>0</w:t>
                  </w:r>
                  <w:r>
                    <w:rPr>
                      <w:rFonts w:hint="eastAsia"/>
                      <w:color w:val="auto"/>
                      <w:kern w:val="0"/>
                      <w:sz w:val="18"/>
                      <w:szCs w:val="18"/>
                      <w:lang w:eastAsia="zh-CN"/>
                    </w:rPr>
                    <w:t>:</w:t>
                  </w:r>
                  <w:r>
                    <w:rPr>
                      <w:rFonts w:hint="eastAsia"/>
                      <w:color w:val="auto"/>
                      <w:kern w:val="0"/>
                      <w:sz w:val="18"/>
                      <w:szCs w:val="18"/>
                      <w:lang w:val="en-US" w:eastAsia="zh-CN"/>
                    </w:rPr>
                    <w:t>00~24:00</w:t>
                  </w:r>
                </w:p>
              </w:tc>
              <w:tc>
                <w:tcPr>
                  <w:tcW w:w="318" w:type="pct"/>
                  <w:shd w:val="clear" w:color="auto" w:fill="auto"/>
                  <w:noWrap/>
                  <w:vAlign w:val="center"/>
                </w:tcPr>
                <w:p>
                  <w:pPr>
                    <w:widowControl/>
                    <w:jc w:val="center"/>
                    <w:rPr>
                      <w:rFonts w:ascii="Times New Roman" w:hAnsi="Times New Roman" w:eastAsia="宋体" w:cs="Times New Roman"/>
                      <w:color w:val="auto"/>
                      <w:kern w:val="0"/>
                      <w:sz w:val="18"/>
                      <w:szCs w:val="18"/>
                      <w:lang w:val="en-US" w:eastAsia="zh-CN" w:bidi="ar-SA"/>
                    </w:rPr>
                  </w:pPr>
                  <w:r>
                    <w:rPr>
                      <w:rFonts w:hint="eastAsia"/>
                      <w:color w:val="auto"/>
                      <w:kern w:val="0"/>
                      <w:sz w:val="18"/>
                      <w:szCs w:val="18"/>
                      <w:lang w:val="en-US" w:eastAsia="zh-CN"/>
                    </w:rPr>
                    <w:t>20</w:t>
                  </w:r>
                </w:p>
              </w:tc>
              <w:tc>
                <w:tcPr>
                  <w:tcW w:w="341" w:type="pct"/>
                  <w:shd w:val="clear" w:color="auto" w:fill="auto"/>
                  <w:noWrap/>
                  <w:vAlign w:val="center"/>
                </w:tcPr>
                <w:p>
                  <w:pPr>
                    <w:widowControl/>
                    <w:jc w:val="center"/>
                    <w:rPr>
                      <w:rFonts w:hint="eastAsia" w:ascii="Times New Roman" w:hAnsi="Times New Roman" w:eastAsia="宋体" w:cs="Times New Roman"/>
                      <w:color w:val="auto"/>
                      <w:kern w:val="0"/>
                      <w:sz w:val="18"/>
                      <w:szCs w:val="18"/>
                      <w:lang w:val="en-US" w:eastAsia="zh-CN" w:bidi="ar-SA"/>
                    </w:rPr>
                  </w:pPr>
                  <w:r>
                    <w:rPr>
                      <w:rFonts w:hint="eastAsia" w:ascii="Times New Roman" w:hAnsi="Times New Roman" w:eastAsia="宋体" w:cs="Times New Roman"/>
                      <w:color w:val="auto"/>
                      <w:kern w:val="0"/>
                      <w:sz w:val="18"/>
                      <w:szCs w:val="18"/>
                      <w:lang w:val="en-US" w:eastAsia="zh-CN"/>
                    </w:rPr>
                    <w:t>56.45</w:t>
                  </w:r>
                </w:p>
              </w:tc>
              <w:tc>
                <w:tcPr>
                  <w:tcW w:w="369" w:type="pct"/>
                  <w:shd w:val="clear" w:color="auto" w:fill="auto"/>
                  <w:noWrap/>
                  <w:vAlign w:val="center"/>
                </w:tcPr>
                <w:p>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9" w:hRule="atLeast"/>
              </w:trPr>
              <w:tc>
                <w:tcPr>
                  <w:tcW w:w="199" w:type="pct"/>
                  <w:noWrap/>
                  <w:vAlign w:val="center"/>
                </w:tcPr>
                <w:p>
                  <w:pPr>
                    <w:widowControl/>
                    <w:jc w:val="center"/>
                    <w:rPr>
                      <w:color w:val="auto"/>
                      <w:kern w:val="0"/>
                      <w:sz w:val="18"/>
                      <w:szCs w:val="18"/>
                    </w:rPr>
                  </w:pPr>
                  <w:r>
                    <w:rPr>
                      <w:color w:val="auto"/>
                      <w:kern w:val="0"/>
                      <w:sz w:val="18"/>
                      <w:szCs w:val="18"/>
                    </w:rPr>
                    <w:t>6</w:t>
                  </w:r>
                </w:p>
              </w:tc>
              <w:tc>
                <w:tcPr>
                  <w:tcW w:w="378" w:type="pct"/>
                  <w:noWrap/>
                  <w:vAlign w:val="center"/>
                </w:tcPr>
                <w:p>
                  <w:pPr>
                    <w:widowControl/>
                    <w:jc w:val="center"/>
                    <w:rPr>
                      <w:color w:val="auto"/>
                      <w:kern w:val="0"/>
                      <w:sz w:val="18"/>
                      <w:szCs w:val="18"/>
                    </w:rPr>
                  </w:pPr>
                  <w:r>
                    <w:rPr>
                      <w:color w:val="auto"/>
                      <w:kern w:val="0"/>
                      <w:sz w:val="18"/>
                      <w:szCs w:val="18"/>
                    </w:rPr>
                    <w:t>生产车间</w:t>
                  </w:r>
                </w:p>
              </w:tc>
              <w:tc>
                <w:tcPr>
                  <w:tcW w:w="326" w:type="pct"/>
                  <w:shd w:val="clear" w:color="auto" w:fill="auto"/>
                  <w:vAlign w:val="center"/>
                </w:tcPr>
                <w:p>
                  <w:pPr>
                    <w:numPr>
                      <w:ilvl w:val="0"/>
                      <w:numId w:val="0"/>
                    </w:numPr>
                    <w:spacing w:line="240" w:lineRule="auto"/>
                    <w:ind w:left="0" w:leftChars="0" w:firstLine="0" w:firstLineChars="0"/>
                    <w:jc w:val="center"/>
                    <w:rPr>
                      <w:rFonts w:hint="default" w:ascii="Times New Roman" w:hAnsi="Times New Roman" w:eastAsia="宋体" w:cs="Times New Roman"/>
                      <w:color w:val="auto"/>
                      <w:kern w:val="2"/>
                      <w:sz w:val="18"/>
                      <w:szCs w:val="18"/>
                      <w:lang w:val="en-US" w:eastAsia="zh-CN" w:bidi="ar-SA"/>
                    </w:rPr>
                  </w:pPr>
                  <w:r>
                    <w:rPr>
                      <w:rFonts w:hint="eastAsia" w:cs="Times New Roman"/>
                      <w:color w:val="auto"/>
                      <w:kern w:val="2"/>
                      <w:sz w:val="18"/>
                      <w:szCs w:val="18"/>
                      <w:lang w:val="en-US" w:eastAsia="zh-CN" w:bidi="ar-SA"/>
                    </w:rPr>
                    <w:t>吹条机</w:t>
                  </w:r>
                </w:p>
              </w:tc>
              <w:tc>
                <w:tcPr>
                  <w:tcW w:w="159" w:type="pct"/>
                  <w:shd w:val="clear" w:color="auto" w:fill="auto"/>
                  <w:noWrap/>
                  <w:vAlign w:val="center"/>
                </w:tcPr>
                <w:p>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w:t>
                  </w:r>
                </w:p>
              </w:tc>
              <w:tc>
                <w:tcPr>
                  <w:tcW w:w="299" w:type="pct"/>
                  <w:shd w:val="clear" w:color="auto" w:fill="auto"/>
                  <w:noWrap/>
                  <w:vAlign w:val="center"/>
                </w:tcPr>
                <w:p>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85</w:t>
                  </w:r>
                </w:p>
              </w:tc>
              <w:tc>
                <w:tcPr>
                  <w:tcW w:w="684" w:type="pct"/>
                  <w:shd w:val="clear" w:color="auto" w:fill="auto"/>
                  <w:vAlign w:val="center"/>
                </w:tcPr>
                <w:p>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低噪设备、基础减振、厂房隔声</w:t>
                  </w:r>
                </w:p>
              </w:tc>
              <w:tc>
                <w:tcPr>
                  <w:tcW w:w="275" w:type="pct"/>
                  <w:shd w:val="clear" w:color="auto" w:fill="auto"/>
                  <w:noWrap/>
                  <w:vAlign w:val="center"/>
                </w:tcPr>
                <w:p>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1.6</w:t>
                  </w:r>
                </w:p>
              </w:tc>
              <w:tc>
                <w:tcPr>
                  <w:tcW w:w="270" w:type="pct"/>
                  <w:shd w:val="clear" w:color="auto" w:fill="auto"/>
                  <w:noWrap/>
                  <w:vAlign w:val="center"/>
                </w:tcPr>
                <w:p>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16.79</w:t>
                  </w:r>
                </w:p>
              </w:tc>
              <w:tc>
                <w:tcPr>
                  <w:tcW w:w="222" w:type="pct"/>
                  <w:shd w:val="clear" w:color="auto" w:fill="auto"/>
                  <w:noWrap/>
                  <w:vAlign w:val="center"/>
                </w:tcPr>
                <w:p>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1</w:t>
                  </w:r>
                </w:p>
              </w:tc>
              <w:tc>
                <w:tcPr>
                  <w:tcW w:w="373" w:type="pct"/>
                  <w:shd w:val="clear" w:color="auto" w:fill="auto"/>
                  <w:noWrap/>
                  <w:vAlign w:val="center"/>
                </w:tcPr>
                <w:p>
                  <w:pPr>
                    <w:widowControl/>
                    <w:jc w:val="center"/>
                    <w:rPr>
                      <w:rFonts w:hint="default" w:ascii="Times New Roman" w:hAnsi="Times New Roman" w:eastAsia="宋体" w:cs="Times New Roman"/>
                      <w:color w:val="auto"/>
                      <w:kern w:val="0"/>
                      <w:sz w:val="18"/>
                      <w:szCs w:val="18"/>
                      <w:lang w:val="en-US" w:eastAsia="zh-CN" w:bidi="ar-SA"/>
                    </w:rPr>
                  </w:pPr>
                  <w:r>
                    <w:rPr>
                      <w:rFonts w:hint="eastAsia" w:cs="Times New Roman"/>
                      <w:color w:val="auto"/>
                      <w:kern w:val="0"/>
                      <w:sz w:val="18"/>
                      <w:szCs w:val="18"/>
                      <w:lang w:val="en-US" w:eastAsia="zh-CN" w:bidi="ar-SA"/>
                    </w:rPr>
                    <w:t>3.6</w:t>
                  </w:r>
                </w:p>
              </w:tc>
              <w:tc>
                <w:tcPr>
                  <w:tcW w:w="360" w:type="pct"/>
                  <w:shd w:val="clear" w:color="auto" w:fill="auto"/>
                  <w:noWrap/>
                  <w:vAlign w:val="center"/>
                </w:tcPr>
                <w:p>
                  <w:pPr>
                    <w:widowControl/>
                    <w:jc w:val="center"/>
                    <w:rPr>
                      <w:rFonts w:hint="default" w:ascii="Times New Roman" w:hAnsi="Times New Roman" w:eastAsia="宋体" w:cs="Times New Roman"/>
                      <w:color w:val="auto"/>
                      <w:kern w:val="0"/>
                      <w:sz w:val="18"/>
                      <w:szCs w:val="18"/>
                      <w:lang w:val="en-US" w:eastAsia="zh-CN" w:bidi="ar-SA"/>
                    </w:rPr>
                  </w:pPr>
                  <w:r>
                    <w:rPr>
                      <w:rFonts w:hint="eastAsia" w:cs="Times New Roman"/>
                      <w:color w:val="auto"/>
                      <w:kern w:val="0"/>
                      <w:sz w:val="18"/>
                      <w:szCs w:val="18"/>
                      <w:lang w:val="en-US" w:eastAsia="zh-CN" w:bidi="ar-SA"/>
                    </w:rPr>
                    <w:t>73.9</w:t>
                  </w:r>
                </w:p>
              </w:tc>
              <w:tc>
                <w:tcPr>
                  <w:tcW w:w="421" w:type="pct"/>
                  <w:shd w:val="clear" w:color="auto" w:fill="auto"/>
                  <w:noWrap/>
                  <w:vAlign w:val="center"/>
                </w:tcPr>
                <w:p>
                  <w:pPr>
                    <w:widowControl/>
                    <w:jc w:val="center"/>
                    <w:rPr>
                      <w:rFonts w:ascii="Times New Roman" w:hAnsi="Times New Roman" w:eastAsia="宋体" w:cs="Times New Roman"/>
                      <w:color w:val="auto"/>
                      <w:kern w:val="0"/>
                      <w:sz w:val="18"/>
                      <w:szCs w:val="18"/>
                      <w:lang w:val="en-US" w:eastAsia="zh-CN" w:bidi="ar-SA"/>
                    </w:rPr>
                  </w:pPr>
                  <w:r>
                    <w:rPr>
                      <w:rFonts w:hint="eastAsia"/>
                      <w:color w:val="auto"/>
                      <w:kern w:val="0"/>
                      <w:sz w:val="18"/>
                      <w:szCs w:val="18"/>
                      <w:lang w:val="en-US" w:eastAsia="zh-CN"/>
                    </w:rPr>
                    <w:t>0</w:t>
                  </w:r>
                  <w:r>
                    <w:rPr>
                      <w:rFonts w:hint="eastAsia"/>
                      <w:color w:val="auto"/>
                      <w:kern w:val="0"/>
                      <w:sz w:val="18"/>
                      <w:szCs w:val="18"/>
                      <w:lang w:eastAsia="zh-CN"/>
                    </w:rPr>
                    <w:t>:</w:t>
                  </w:r>
                  <w:r>
                    <w:rPr>
                      <w:rFonts w:hint="eastAsia"/>
                      <w:color w:val="auto"/>
                      <w:kern w:val="0"/>
                      <w:sz w:val="18"/>
                      <w:szCs w:val="18"/>
                      <w:lang w:val="en-US" w:eastAsia="zh-CN"/>
                    </w:rPr>
                    <w:t>00~24:00</w:t>
                  </w:r>
                </w:p>
              </w:tc>
              <w:tc>
                <w:tcPr>
                  <w:tcW w:w="318" w:type="pct"/>
                  <w:shd w:val="clear" w:color="auto" w:fill="auto"/>
                  <w:noWrap/>
                  <w:vAlign w:val="center"/>
                </w:tcPr>
                <w:p>
                  <w:pPr>
                    <w:widowControl/>
                    <w:jc w:val="center"/>
                    <w:rPr>
                      <w:rFonts w:ascii="Times New Roman" w:hAnsi="Times New Roman" w:eastAsia="宋体" w:cs="Times New Roman"/>
                      <w:color w:val="auto"/>
                      <w:kern w:val="0"/>
                      <w:sz w:val="18"/>
                      <w:szCs w:val="18"/>
                      <w:lang w:val="en-US" w:eastAsia="zh-CN" w:bidi="ar-SA"/>
                    </w:rPr>
                  </w:pPr>
                  <w:r>
                    <w:rPr>
                      <w:rFonts w:hint="eastAsia"/>
                      <w:color w:val="auto"/>
                      <w:kern w:val="0"/>
                      <w:sz w:val="18"/>
                      <w:szCs w:val="18"/>
                      <w:lang w:val="en-US" w:eastAsia="zh-CN"/>
                    </w:rPr>
                    <w:t>20</w:t>
                  </w:r>
                </w:p>
              </w:tc>
              <w:tc>
                <w:tcPr>
                  <w:tcW w:w="341" w:type="pct"/>
                  <w:shd w:val="clear" w:color="auto" w:fill="auto"/>
                  <w:noWrap/>
                  <w:vAlign w:val="center"/>
                </w:tcPr>
                <w:p>
                  <w:pPr>
                    <w:widowControl/>
                    <w:jc w:val="center"/>
                    <w:rPr>
                      <w:rFonts w:hint="eastAsia" w:ascii="Times New Roman" w:hAnsi="Times New Roman" w:eastAsia="宋体" w:cs="Times New Roman"/>
                      <w:color w:val="auto"/>
                      <w:kern w:val="0"/>
                      <w:sz w:val="18"/>
                      <w:szCs w:val="18"/>
                      <w:lang w:val="en-US" w:eastAsia="zh-CN" w:bidi="ar-SA"/>
                    </w:rPr>
                  </w:pPr>
                  <w:r>
                    <w:rPr>
                      <w:rFonts w:hint="eastAsia" w:ascii="Times New Roman" w:hAnsi="Times New Roman" w:eastAsia="宋体" w:cs="Times New Roman"/>
                      <w:color w:val="auto"/>
                      <w:kern w:val="0"/>
                      <w:sz w:val="18"/>
                      <w:szCs w:val="18"/>
                      <w:lang w:val="en-US" w:eastAsia="zh-CN"/>
                    </w:rPr>
                    <w:t>56.43</w:t>
                  </w:r>
                </w:p>
              </w:tc>
              <w:tc>
                <w:tcPr>
                  <w:tcW w:w="369" w:type="pct"/>
                  <w:shd w:val="clear" w:color="auto" w:fill="auto"/>
                  <w:noWrap/>
                  <w:vAlign w:val="center"/>
                </w:tcPr>
                <w:p>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99" w:type="pct"/>
                  <w:noWrap/>
                  <w:vAlign w:val="center"/>
                </w:tcPr>
                <w:p>
                  <w:pPr>
                    <w:widowControl/>
                    <w:jc w:val="center"/>
                    <w:rPr>
                      <w:color w:val="auto"/>
                      <w:kern w:val="0"/>
                      <w:sz w:val="18"/>
                      <w:szCs w:val="18"/>
                    </w:rPr>
                  </w:pPr>
                  <w:r>
                    <w:rPr>
                      <w:color w:val="auto"/>
                      <w:kern w:val="0"/>
                      <w:sz w:val="18"/>
                      <w:szCs w:val="18"/>
                    </w:rPr>
                    <w:t>7</w:t>
                  </w:r>
                </w:p>
              </w:tc>
              <w:tc>
                <w:tcPr>
                  <w:tcW w:w="378" w:type="pct"/>
                  <w:noWrap/>
                  <w:vAlign w:val="center"/>
                </w:tcPr>
                <w:p>
                  <w:pPr>
                    <w:widowControl/>
                    <w:jc w:val="center"/>
                    <w:rPr>
                      <w:color w:val="auto"/>
                      <w:kern w:val="0"/>
                      <w:sz w:val="18"/>
                      <w:szCs w:val="18"/>
                    </w:rPr>
                  </w:pPr>
                  <w:r>
                    <w:rPr>
                      <w:color w:val="auto"/>
                      <w:kern w:val="0"/>
                      <w:sz w:val="18"/>
                      <w:szCs w:val="18"/>
                    </w:rPr>
                    <w:t>生产车间</w:t>
                  </w:r>
                </w:p>
              </w:tc>
              <w:tc>
                <w:tcPr>
                  <w:tcW w:w="326" w:type="pct"/>
                  <w:shd w:val="clear" w:color="auto" w:fill="auto"/>
                  <w:vAlign w:val="center"/>
                </w:tcPr>
                <w:p>
                  <w:pPr>
                    <w:numPr>
                      <w:ilvl w:val="0"/>
                      <w:numId w:val="0"/>
                    </w:numPr>
                    <w:spacing w:line="240" w:lineRule="auto"/>
                    <w:ind w:left="0" w:leftChars="0" w:firstLine="0" w:firstLineChars="0"/>
                    <w:jc w:val="center"/>
                    <w:rPr>
                      <w:rFonts w:hint="default" w:ascii="Times New Roman" w:hAnsi="Times New Roman" w:eastAsia="宋体" w:cs="Times New Roman"/>
                      <w:color w:val="auto"/>
                      <w:kern w:val="2"/>
                      <w:sz w:val="18"/>
                      <w:szCs w:val="18"/>
                      <w:lang w:val="en-US" w:eastAsia="zh-CN" w:bidi="ar-SA"/>
                    </w:rPr>
                  </w:pPr>
                  <w:r>
                    <w:rPr>
                      <w:rFonts w:hint="eastAsia" w:cs="Times New Roman"/>
                      <w:color w:val="auto"/>
                      <w:kern w:val="2"/>
                      <w:sz w:val="18"/>
                      <w:szCs w:val="18"/>
                      <w:lang w:val="en-US" w:eastAsia="zh-CN" w:bidi="ar-SA"/>
                    </w:rPr>
                    <w:t>切粒机</w:t>
                  </w:r>
                </w:p>
              </w:tc>
              <w:tc>
                <w:tcPr>
                  <w:tcW w:w="159" w:type="pct"/>
                  <w:shd w:val="clear" w:color="auto" w:fill="auto"/>
                  <w:noWrap/>
                  <w:vAlign w:val="center"/>
                </w:tcPr>
                <w:p>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w:t>
                  </w:r>
                </w:p>
              </w:tc>
              <w:tc>
                <w:tcPr>
                  <w:tcW w:w="299" w:type="pct"/>
                  <w:shd w:val="clear" w:color="auto" w:fill="auto"/>
                  <w:noWrap/>
                  <w:vAlign w:val="center"/>
                </w:tcPr>
                <w:p>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85</w:t>
                  </w:r>
                </w:p>
              </w:tc>
              <w:tc>
                <w:tcPr>
                  <w:tcW w:w="684" w:type="pct"/>
                  <w:shd w:val="clear" w:color="auto" w:fill="auto"/>
                  <w:vAlign w:val="center"/>
                </w:tcPr>
                <w:p>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低噪设备、基础减振、厂房隔声</w:t>
                  </w:r>
                </w:p>
              </w:tc>
              <w:tc>
                <w:tcPr>
                  <w:tcW w:w="275" w:type="pct"/>
                  <w:shd w:val="clear" w:color="auto" w:fill="auto"/>
                  <w:noWrap/>
                  <w:vAlign w:val="center"/>
                </w:tcPr>
                <w:p>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-6.21</w:t>
                  </w:r>
                </w:p>
              </w:tc>
              <w:tc>
                <w:tcPr>
                  <w:tcW w:w="270" w:type="pct"/>
                  <w:shd w:val="clear" w:color="auto" w:fill="auto"/>
                  <w:noWrap/>
                  <w:vAlign w:val="center"/>
                </w:tcPr>
                <w:p>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22.83</w:t>
                  </w:r>
                </w:p>
              </w:tc>
              <w:tc>
                <w:tcPr>
                  <w:tcW w:w="222" w:type="pct"/>
                  <w:shd w:val="clear" w:color="auto" w:fill="auto"/>
                  <w:noWrap/>
                  <w:vAlign w:val="center"/>
                </w:tcPr>
                <w:p>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1</w:t>
                  </w:r>
                </w:p>
              </w:tc>
              <w:tc>
                <w:tcPr>
                  <w:tcW w:w="373" w:type="pct"/>
                  <w:shd w:val="clear" w:color="auto" w:fill="auto"/>
                  <w:noWrap/>
                  <w:vAlign w:val="center"/>
                </w:tcPr>
                <w:p>
                  <w:pPr>
                    <w:widowControl/>
                    <w:jc w:val="center"/>
                    <w:rPr>
                      <w:rFonts w:hint="default" w:ascii="Times New Roman" w:hAnsi="Times New Roman" w:eastAsia="宋体" w:cs="Times New Roman"/>
                      <w:color w:val="auto"/>
                      <w:kern w:val="0"/>
                      <w:sz w:val="18"/>
                      <w:szCs w:val="18"/>
                      <w:lang w:val="en-US" w:eastAsia="zh-CN" w:bidi="ar-SA"/>
                    </w:rPr>
                  </w:pPr>
                  <w:r>
                    <w:rPr>
                      <w:rFonts w:hint="eastAsia" w:cs="Times New Roman"/>
                      <w:color w:val="auto"/>
                      <w:kern w:val="0"/>
                      <w:sz w:val="18"/>
                      <w:szCs w:val="18"/>
                      <w:lang w:val="en-US" w:eastAsia="zh-CN" w:bidi="ar-SA"/>
                    </w:rPr>
                    <w:t>3.3</w:t>
                  </w:r>
                </w:p>
              </w:tc>
              <w:tc>
                <w:tcPr>
                  <w:tcW w:w="360" w:type="pct"/>
                  <w:shd w:val="clear" w:color="auto" w:fill="auto"/>
                  <w:noWrap/>
                  <w:vAlign w:val="center"/>
                </w:tcPr>
                <w:p>
                  <w:pPr>
                    <w:widowControl/>
                    <w:jc w:val="center"/>
                    <w:rPr>
                      <w:rFonts w:hint="default" w:ascii="Times New Roman" w:hAnsi="Times New Roman" w:eastAsia="宋体" w:cs="Times New Roman"/>
                      <w:color w:val="auto"/>
                      <w:kern w:val="0"/>
                      <w:sz w:val="18"/>
                      <w:szCs w:val="18"/>
                      <w:lang w:val="en-US" w:eastAsia="zh-CN" w:bidi="ar-SA"/>
                    </w:rPr>
                  </w:pPr>
                  <w:r>
                    <w:rPr>
                      <w:rFonts w:hint="eastAsia" w:cs="Times New Roman"/>
                      <w:color w:val="auto"/>
                      <w:kern w:val="0"/>
                      <w:sz w:val="18"/>
                      <w:szCs w:val="18"/>
                      <w:lang w:val="en-US" w:eastAsia="zh-CN" w:bidi="ar-SA"/>
                    </w:rPr>
                    <w:t>74.7</w:t>
                  </w:r>
                </w:p>
              </w:tc>
              <w:tc>
                <w:tcPr>
                  <w:tcW w:w="421" w:type="pct"/>
                  <w:shd w:val="clear" w:color="auto" w:fill="auto"/>
                  <w:noWrap/>
                  <w:vAlign w:val="center"/>
                </w:tcPr>
                <w:p>
                  <w:pPr>
                    <w:widowControl/>
                    <w:jc w:val="center"/>
                    <w:rPr>
                      <w:rFonts w:hint="default" w:ascii="Times New Roman" w:hAnsi="Times New Roman" w:eastAsia="宋体" w:cs="Times New Roman"/>
                      <w:color w:val="auto"/>
                      <w:kern w:val="0"/>
                      <w:sz w:val="18"/>
                      <w:szCs w:val="18"/>
                      <w:lang w:val="en-US" w:eastAsia="zh-CN" w:bidi="ar-SA"/>
                    </w:rPr>
                  </w:pPr>
                  <w:r>
                    <w:rPr>
                      <w:rFonts w:hint="eastAsia"/>
                      <w:color w:val="auto"/>
                      <w:kern w:val="0"/>
                      <w:sz w:val="18"/>
                      <w:szCs w:val="18"/>
                      <w:lang w:val="en-US" w:eastAsia="zh-CN"/>
                    </w:rPr>
                    <w:t>0</w:t>
                  </w:r>
                  <w:r>
                    <w:rPr>
                      <w:rFonts w:hint="eastAsia"/>
                      <w:color w:val="auto"/>
                      <w:kern w:val="0"/>
                      <w:sz w:val="18"/>
                      <w:szCs w:val="18"/>
                      <w:lang w:eastAsia="zh-CN"/>
                    </w:rPr>
                    <w:t>:</w:t>
                  </w:r>
                  <w:r>
                    <w:rPr>
                      <w:rFonts w:hint="eastAsia"/>
                      <w:color w:val="auto"/>
                      <w:kern w:val="0"/>
                      <w:sz w:val="18"/>
                      <w:szCs w:val="18"/>
                      <w:lang w:val="en-US" w:eastAsia="zh-CN"/>
                    </w:rPr>
                    <w:t>00~24:00</w:t>
                  </w:r>
                </w:p>
              </w:tc>
              <w:tc>
                <w:tcPr>
                  <w:tcW w:w="318" w:type="pct"/>
                  <w:shd w:val="clear" w:color="auto" w:fill="auto"/>
                  <w:noWrap/>
                  <w:vAlign w:val="center"/>
                </w:tcPr>
                <w:p>
                  <w:pPr>
                    <w:widowControl/>
                    <w:jc w:val="center"/>
                    <w:rPr>
                      <w:rFonts w:ascii="Times New Roman" w:hAnsi="Times New Roman" w:eastAsia="宋体" w:cs="Times New Roman"/>
                      <w:color w:val="auto"/>
                      <w:kern w:val="0"/>
                      <w:sz w:val="18"/>
                      <w:szCs w:val="18"/>
                      <w:lang w:val="en-US" w:eastAsia="zh-CN" w:bidi="ar-SA"/>
                    </w:rPr>
                  </w:pPr>
                  <w:r>
                    <w:rPr>
                      <w:rFonts w:hint="eastAsia"/>
                      <w:color w:val="auto"/>
                      <w:kern w:val="0"/>
                      <w:sz w:val="18"/>
                      <w:szCs w:val="18"/>
                      <w:lang w:val="en-US" w:eastAsia="zh-CN"/>
                    </w:rPr>
                    <w:t>20</w:t>
                  </w:r>
                </w:p>
              </w:tc>
              <w:tc>
                <w:tcPr>
                  <w:tcW w:w="341" w:type="pct"/>
                  <w:shd w:val="clear" w:color="auto" w:fill="auto"/>
                  <w:noWrap/>
                  <w:vAlign w:val="center"/>
                </w:tcPr>
                <w:p>
                  <w:pPr>
                    <w:widowControl/>
                    <w:jc w:val="center"/>
                    <w:rPr>
                      <w:rFonts w:hint="eastAsia" w:ascii="Times New Roman" w:hAnsi="Times New Roman" w:eastAsia="宋体" w:cs="Times New Roman"/>
                      <w:color w:val="auto"/>
                      <w:kern w:val="0"/>
                      <w:sz w:val="18"/>
                      <w:szCs w:val="18"/>
                      <w:lang w:val="en-US" w:eastAsia="zh-CN" w:bidi="ar-SA"/>
                    </w:rPr>
                  </w:pPr>
                  <w:r>
                    <w:rPr>
                      <w:rFonts w:hint="eastAsia" w:ascii="Times New Roman" w:hAnsi="Times New Roman" w:eastAsia="宋体" w:cs="Times New Roman"/>
                      <w:color w:val="auto"/>
                      <w:kern w:val="0"/>
                      <w:sz w:val="18"/>
                      <w:szCs w:val="18"/>
                      <w:lang w:val="en-US" w:eastAsia="zh-CN"/>
                    </w:rPr>
                    <w:t>56.42</w:t>
                  </w:r>
                </w:p>
              </w:tc>
              <w:tc>
                <w:tcPr>
                  <w:tcW w:w="369" w:type="pct"/>
                  <w:shd w:val="clear" w:color="auto" w:fill="auto"/>
                  <w:noWrap/>
                  <w:vAlign w:val="center"/>
                </w:tcPr>
                <w:p>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5000" w:type="pct"/>
                  <w:gridSpan w:val="15"/>
                  <w:vAlign w:val="center"/>
                </w:tcPr>
                <w:p>
                  <w:pPr>
                    <w:widowControl/>
                    <w:jc w:val="both"/>
                    <w:rPr>
                      <w:color w:val="auto"/>
                      <w:kern w:val="0"/>
                      <w:sz w:val="18"/>
                      <w:szCs w:val="18"/>
                    </w:rPr>
                  </w:pPr>
                  <w:r>
                    <w:rPr>
                      <w:color w:val="auto"/>
                      <w:kern w:val="0"/>
                      <w:sz w:val="18"/>
                      <w:szCs w:val="18"/>
                    </w:rPr>
                    <w:t>注：1、空间相对位置以项目厂址中心为0,0点。</w:t>
                  </w:r>
                </w:p>
              </w:tc>
            </w:tr>
          </w:tbl>
          <w:p>
            <w:pPr>
              <w:autoSpaceDE w:val="0"/>
              <w:autoSpaceDN w:val="0"/>
              <w:adjustRightInd w:val="0"/>
              <w:snapToGrid w:val="0"/>
              <w:spacing w:line="360" w:lineRule="auto"/>
              <w:jc w:val="left"/>
              <w:rPr>
                <w:b/>
                <w:bCs/>
                <w:color w:val="auto"/>
                <w:szCs w:val="21"/>
              </w:rPr>
            </w:pPr>
          </w:p>
        </w:tc>
      </w:tr>
    </w:tbl>
    <w:p>
      <w:pPr>
        <w:adjustRightInd w:val="0"/>
        <w:snapToGrid w:val="0"/>
        <w:jc w:val="center"/>
        <w:rPr>
          <w:bCs/>
          <w:color w:val="auto"/>
          <w:szCs w:val="21"/>
        </w:rPr>
      </w:pPr>
    </w:p>
    <w:p>
      <w:pPr>
        <w:adjustRightInd w:val="0"/>
        <w:snapToGrid w:val="0"/>
        <w:jc w:val="center"/>
        <w:rPr>
          <w:bCs/>
          <w:color w:val="auto"/>
          <w:szCs w:val="21"/>
        </w:rPr>
        <w:sectPr>
          <w:pgSz w:w="16840" w:h="11907" w:orient="landscape"/>
          <w:pgMar w:top="1531" w:right="1701" w:bottom="1531" w:left="2127" w:header="851" w:footer="851" w:gutter="0"/>
          <w:cols w:space="720" w:num="1"/>
          <w:docGrid w:linePitch="312" w:charSpace="0"/>
        </w:sectPr>
      </w:pPr>
    </w:p>
    <w:tbl>
      <w:tblPr>
        <w:tblStyle w:val="23"/>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24"/>
        <w:gridCol w:w="855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10" w:hRule="atLeast"/>
          <w:jc w:val="center"/>
        </w:trPr>
        <w:tc>
          <w:tcPr>
            <w:tcW w:w="236" w:type="pct"/>
            <w:tcMar>
              <w:left w:w="28" w:type="dxa"/>
              <w:right w:w="28" w:type="dxa"/>
            </w:tcMar>
            <w:vAlign w:val="center"/>
          </w:tcPr>
          <w:p>
            <w:pPr>
              <w:adjustRightInd w:val="0"/>
              <w:snapToGrid w:val="0"/>
              <w:jc w:val="center"/>
              <w:rPr>
                <w:bCs/>
                <w:color w:val="auto"/>
                <w:szCs w:val="21"/>
              </w:rPr>
            </w:pPr>
            <w:r>
              <w:rPr>
                <w:bCs/>
                <w:color w:val="auto"/>
                <w:szCs w:val="21"/>
              </w:rPr>
              <w:t>运营</w:t>
            </w:r>
          </w:p>
          <w:p>
            <w:pPr>
              <w:adjustRightInd w:val="0"/>
              <w:snapToGrid w:val="0"/>
              <w:jc w:val="center"/>
              <w:rPr>
                <w:bCs/>
                <w:color w:val="auto"/>
                <w:szCs w:val="21"/>
              </w:rPr>
            </w:pPr>
            <w:r>
              <w:rPr>
                <w:bCs/>
                <w:color w:val="auto"/>
                <w:szCs w:val="21"/>
              </w:rPr>
              <w:t>期环</w:t>
            </w:r>
          </w:p>
          <w:p>
            <w:pPr>
              <w:adjustRightInd w:val="0"/>
              <w:snapToGrid w:val="0"/>
              <w:jc w:val="center"/>
              <w:rPr>
                <w:bCs/>
                <w:color w:val="auto"/>
                <w:szCs w:val="21"/>
              </w:rPr>
            </w:pPr>
            <w:r>
              <w:rPr>
                <w:bCs/>
                <w:color w:val="auto"/>
                <w:szCs w:val="21"/>
              </w:rPr>
              <w:t>境影</w:t>
            </w:r>
          </w:p>
          <w:p>
            <w:pPr>
              <w:adjustRightInd w:val="0"/>
              <w:snapToGrid w:val="0"/>
              <w:jc w:val="center"/>
              <w:rPr>
                <w:bCs/>
                <w:color w:val="auto"/>
                <w:szCs w:val="21"/>
              </w:rPr>
            </w:pPr>
            <w:r>
              <w:rPr>
                <w:bCs/>
                <w:color w:val="auto"/>
                <w:szCs w:val="21"/>
              </w:rPr>
              <w:t>响和</w:t>
            </w:r>
          </w:p>
          <w:p>
            <w:pPr>
              <w:adjustRightInd w:val="0"/>
              <w:snapToGrid w:val="0"/>
              <w:jc w:val="center"/>
              <w:rPr>
                <w:bCs/>
                <w:color w:val="auto"/>
                <w:szCs w:val="21"/>
              </w:rPr>
            </w:pPr>
            <w:r>
              <w:rPr>
                <w:bCs/>
                <w:color w:val="auto"/>
                <w:szCs w:val="21"/>
              </w:rPr>
              <w:t>保护</w:t>
            </w:r>
          </w:p>
          <w:p>
            <w:pPr>
              <w:adjustRightInd w:val="0"/>
              <w:snapToGrid w:val="0"/>
              <w:jc w:val="center"/>
              <w:rPr>
                <w:bCs/>
                <w:color w:val="auto"/>
                <w:szCs w:val="21"/>
              </w:rPr>
            </w:pPr>
            <w:r>
              <w:rPr>
                <w:rFonts w:hint="eastAsia" w:cs="宋体"/>
                <w:color w:val="auto"/>
                <w:szCs w:val="21"/>
              </w:rPr>
              <w:t>措施</w:t>
            </w:r>
          </w:p>
        </w:tc>
        <w:tc>
          <w:tcPr>
            <w:tcW w:w="4764" w:type="pct"/>
            <w:vAlign w:val="center"/>
          </w:tcPr>
          <w:p>
            <w:pPr>
              <w:pStyle w:val="20"/>
              <w:widowControl w:val="0"/>
              <w:spacing w:before="0" w:beforeAutospacing="0" w:after="0" w:afterAutospacing="0" w:line="360" w:lineRule="auto"/>
              <w:ind w:firstLine="422" w:firstLineChars="200"/>
              <w:jc w:val="both"/>
              <w:rPr>
                <w:rFonts w:ascii="Times New Roman" w:hAnsi="Times New Roman"/>
                <w:b/>
                <w:color w:val="auto"/>
                <w:sz w:val="21"/>
                <w:szCs w:val="21"/>
              </w:rPr>
            </w:pPr>
            <w:r>
              <w:rPr>
                <w:rFonts w:ascii="Times New Roman" w:hAnsi="Times New Roman"/>
                <w:b/>
                <w:color w:val="auto"/>
                <w:sz w:val="21"/>
                <w:szCs w:val="21"/>
              </w:rPr>
              <w:t>（2）噪声影响分析</w:t>
            </w:r>
          </w:p>
          <w:p>
            <w:pPr>
              <w:pStyle w:val="20"/>
              <w:widowControl w:val="0"/>
              <w:spacing w:before="0" w:beforeAutospacing="0" w:after="0" w:afterAutospacing="0" w:line="360" w:lineRule="auto"/>
              <w:ind w:firstLine="482" w:firstLineChars="200"/>
              <w:jc w:val="both"/>
              <w:rPr>
                <w:rFonts w:ascii="Times New Roman" w:hAnsi="Times New Roman"/>
                <w:b/>
                <w:color w:val="auto"/>
                <w:sz w:val="24"/>
                <w:szCs w:val="24"/>
              </w:rPr>
            </w:pPr>
            <w:r>
              <w:rPr>
                <w:rFonts w:ascii="Times New Roman" w:hAnsi="Times New Roman"/>
                <w:b/>
                <w:color w:val="auto"/>
                <w:sz w:val="24"/>
                <w:szCs w:val="24"/>
              </w:rPr>
              <w:t>1）噪声预测方法</w:t>
            </w:r>
          </w:p>
          <w:p>
            <w:pPr>
              <w:autoSpaceDE w:val="0"/>
              <w:autoSpaceDN w:val="0"/>
              <w:adjustRightInd w:val="0"/>
              <w:snapToGrid w:val="0"/>
              <w:spacing w:line="360" w:lineRule="auto"/>
              <w:ind w:firstLine="480" w:firstLineChars="200"/>
              <w:rPr>
                <w:color w:val="auto"/>
                <w:sz w:val="24"/>
                <w:szCs w:val="24"/>
              </w:rPr>
            </w:pPr>
            <w:r>
              <w:rPr>
                <w:color w:val="auto"/>
                <w:sz w:val="24"/>
                <w:szCs w:val="32"/>
              </w:rPr>
              <w:t>本项目</w:t>
            </w:r>
            <w:r>
              <w:rPr>
                <w:rFonts w:hint="eastAsia"/>
                <w:color w:val="auto"/>
                <w:sz w:val="24"/>
                <w:szCs w:val="32"/>
                <w:lang w:val="en-US" w:eastAsia="zh-CN"/>
              </w:rPr>
              <w:t>上料机</w:t>
            </w:r>
            <w:r>
              <w:rPr>
                <w:rFonts w:hint="eastAsia"/>
                <w:bCs/>
                <w:color w:val="auto"/>
                <w:sz w:val="24"/>
                <w:szCs w:val="24"/>
              </w:rPr>
              <w:t>、造粒、</w:t>
            </w:r>
            <w:r>
              <w:rPr>
                <w:rFonts w:hint="eastAsia"/>
                <w:bCs/>
                <w:color w:val="auto"/>
                <w:sz w:val="24"/>
                <w:szCs w:val="24"/>
                <w:lang w:val="en-US" w:eastAsia="zh-CN"/>
              </w:rPr>
              <w:t>切粒</w:t>
            </w:r>
            <w:r>
              <w:rPr>
                <w:rFonts w:hint="eastAsia"/>
                <w:bCs/>
                <w:color w:val="auto"/>
                <w:sz w:val="24"/>
                <w:szCs w:val="24"/>
              </w:rPr>
              <w:t>机</w:t>
            </w:r>
            <w:r>
              <w:rPr>
                <w:color w:val="auto"/>
                <w:sz w:val="24"/>
                <w:szCs w:val="32"/>
              </w:rPr>
              <w:t>等属于室内噪声源。根据《环境影响评价技术导则 声环境》（HJ2.4-2021），室内噪声采用附录B中室内噪声源等效室外噪声源声功率级计算方法，将室内主要声源等效为室外声源，根据附录A中室外声源估算方法分别计算等效室外声源和室外声源在计算点产生的声级，然后根据噪声贡献值计算公式对工程声源对计算点产生的贡献值进行叠加</w:t>
            </w:r>
            <w:r>
              <w:rPr>
                <w:color w:val="auto"/>
                <w:sz w:val="24"/>
                <w:szCs w:val="24"/>
              </w:rPr>
              <w:t>。</w:t>
            </w:r>
          </w:p>
          <w:p>
            <w:pPr>
              <w:adjustRightInd w:val="0"/>
              <w:snapToGrid w:val="0"/>
              <w:spacing w:line="360" w:lineRule="auto"/>
              <w:ind w:firstLine="482" w:firstLineChars="200"/>
              <w:rPr>
                <w:b/>
                <w:bCs/>
                <w:color w:val="auto"/>
                <w:sz w:val="24"/>
                <w:szCs w:val="24"/>
              </w:rPr>
            </w:pPr>
            <w:r>
              <w:rPr>
                <w:b/>
                <w:bCs/>
                <w:color w:val="auto"/>
                <w:sz w:val="24"/>
                <w:szCs w:val="24"/>
              </w:rPr>
              <w:t>A、室内声源等效室外噪声源：</w:t>
            </w:r>
          </w:p>
          <w:p>
            <w:pPr>
              <w:adjustRightInd w:val="0"/>
              <w:snapToGrid w:val="0"/>
              <w:spacing w:line="360" w:lineRule="auto"/>
              <w:ind w:firstLine="480" w:firstLineChars="200"/>
              <w:rPr>
                <w:color w:val="auto"/>
                <w:sz w:val="24"/>
                <w:szCs w:val="24"/>
              </w:rPr>
            </w:pPr>
            <w:r>
              <w:rPr>
                <w:color w:val="auto"/>
                <w:sz w:val="24"/>
                <w:szCs w:val="24"/>
              </w:rPr>
              <w:t>根据《环境影响评价技术导则 声环境》（HJ2.4-2021）附录B可知，室内声源可采用等效室外声源声功率级法进行计算。设靠近开口处（或窗户）室内、室外某倍频带的声压级</w:t>
            </w:r>
            <w:r>
              <w:rPr>
                <w:rFonts w:hint="eastAsia"/>
                <w:color w:val="auto"/>
                <w:sz w:val="24"/>
                <w:szCs w:val="24"/>
              </w:rPr>
              <w:t>或A声级</w:t>
            </w:r>
            <w:r>
              <w:rPr>
                <w:color w:val="auto"/>
                <w:sz w:val="24"/>
                <w:szCs w:val="24"/>
              </w:rPr>
              <w:t>分别为L</w:t>
            </w:r>
            <w:r>
              <w:rPr>
                <w:color w:val="auto"/>
                <w:sz w:val="24"/>
                <w:szCs w:val="24"/>
                <w:vertAlign w:val="subscript"/>
              </w:rPr>
              <w:t>P1</w:t>
            </w:r>
            <w:r>
              <w:rPr>
                <w:color w:val="auto"/>
                <w:sz w:val="24"/>
                <w:szCs w:val="24"/>
              </w:rPr>
              <w:t>和L</w:t>
            </w:r>
            <w:r>
              <w:rPr>
                <w:color w:val="auto"/>
                <w:sz w:val="24"/>
                <w:szCs w:val="24"/>
                <w:vertAlign w:val="subscript"/>
              </w:rPr>
              <w:t>P2</w:t>
            </w:r>
            <w:r>
              <w:rPr>
                <w:color w:val="auto"/>
                <w:sz w:val="24"/>
                <w:szCs w:val="24"/>
              </w:rPr>
              <w:t>。若声源所在室内声场为近似扩散声场，则室外的倍频带声压级可按以下公式近似求出：</w:t>
            </w:r>
          </w:p>
          <w:p>
            <w:pPr>
              <w:snapToGrid w:val="0"/>
              <w:spacing w:line="360" w:lineRule="auto"/>
              <w:ind w:firstLine="480" w:firstLineChars="200"/>
              <w:jc w:val="center"/>
              <w:rPr>
                <w:color w:val="auto"/>
                <w:sz w:val="24"/>
                <w:szCs w:val="24"/>
              </w:rPr>
            </w:pPr>
            <w:r>
              <w:rPr>
                <w:i/>
                <w:color w:val="auto"/>
                <w:sz w:val="24"/>
                <w:szCs w:val="24"/>
              </w:rPr>
              <w:t>L</w:t>
            </w:r>
            <w:r>
              <w:rPr>
                <w:i/>
                <w:color w:val="auto"/>
                <w:sz w:val="24"/>
                <w:szCs w:val="24"/>
                <w:vertAlign w:val="subscript"/>
              </w:rPr>
              <w:t>P2</w:t>
            </w:r>
            <w:r>
              <w:rPr>
                <w:color w:val="auto"/>
                <w:sz w:val="24"/>
                <w:szCs w:val="24"/>
              </w:rPr>
              <w:t>＝</w:t>
            </w:r>
            <w:r>
              <w:rPr>
                <w:i/>
                <w:color w:val="auto"/>
                <w:sz w:val="24"/>
                <w:szCs w:val="24"/>
              </w:rPr>
              <w:t>L</w:t>
            </w:r>
            <w:r>
              <w:rPr>
                <w:i/>
                <w:color w:val="auto"/>
                <w:sz w:val="24"/>
                <w:szCs w:val="24"/>
                <w:vertAlign w:val="subscript"/>
              </w:rPr>
              <w:t>P1</w:t>
            </w:r>
            <w:r>
              <w:rPr>
                <w:color w:val="auto"/>
                <w:sz w:val="24"/>
                <w:szCs w:val="24"/>
              </w:rPr>
              <w:t>-（</w:t>
            </w:r>
            <w:r>
              <w:rPr>
                <w:i/>
                <w:color w:val="auto"/>
                <w:sz w:val="24"/>
                <w:szCs w:val="24"/>
              </w:rPr>
              <w:t>TL</w:t>
            </w:r>
            <w:r>
              <w:rPr>
                <w:color w:val="auto"/>
                <w:sz w:val="24"/>
                <w:szCs w:val="24"/>
              </w:rPr>
              <w:t>+6）</w:t>
            </w:r>
          </w:p>
          <w:p>
            <w:pPr>
              <w:adjustRightInd w:val="0"/>
              <w:snapToGrid w:val="0"/>
              <w:spacing w:line="360" w:lineRule="auto"/>
              <w:ind w:firstLine="480" w:firstLineChars="200"/>
              <w:jc w:val="center"/>
              <w:rPr>
                <w:rFonts w:ascii="Cambria Math" w:hAnsi="Cambria Math" w:cs="Cambria Math"/>
                <w:color w:val="auto"/>
                <w:sz w:val="24"/>
                <w:szCs w:val="24"/>
              </w:rPr>
            </w:pPr>
            <w:r>
              <w:rPr>
                <w:color w:val="auto"/>
                <w:sz w:val="24"/>
                <w:szCs w:val="24"/>
              </w:rPr>
              <w:drawing>
                <wp:inline distT="0" distB="0" distL="0" distR="0">
                  <wp:extent cx="2388870" cy="1189355"/>
                  <wp:effectExtent l="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396991" cy="1193740"/>
                          </a:xfrm>
                          <a:prstGeom prst="rect">
                            <a:avLst/>
                          </a:prstGeom>
                          <a:noFill/>
                          <a:ln>
                            <a:noFill/>
                          </a:ln>
                        </pic:spPr>
                      </pic:pic>
                    </a:graphicData>
                  </a:graphic>
                </wp:inline>
              </w:drawing>
            </w:r>
          </w:p>
          <w:p>
            <w:pPr>
              <w:adjustRightInd w:val="0"/>
              <w:snapToGrid w:val="0"/>
              <w:spacing w:before="120" w:beforeLines="50" w:line="360" w:lineRule="auto"/>
              <w:jc w:val="center"/>
              <w:rPr>
                <w:b/>
                <w:bCs/>
                <w:color w:val="auto"/>
                <w:sz w:val="24"/>
                <w:szCs w:val="24"/>
              </w:rPr>
            </w:pPr>
            <w:r>
              <w:rPr>
                <w:b/>
                <w:bCs/>
                <w:color w:val="auto"/>
                <w:sz w:val="24"/>
                <w:szCs w:val="24"/>
              </w:rPr>
              <w:t>图4-1 室内声源等效为室外声源示意图</w:t>
            </w:r>
          </w:p>
          <w:p>
            <w:pPr>
              <w:adjustRightInd w:val="0"/>
              <w:snapToGrid w:val="0"/>
              <w:spacing w:line="360" w:lineRule="auto"/>
              <w:ind w:firstLine="480" w:firstLineChars="200"/>
              <w:rPr>
                <w:color w:val="auto"/>
                <w:sz w:val="24"/>
                <w:szCs w:val="24"/>
              </w:rPr>
            </w:pPr>
            <w:r>
              <w:rPr>
                <w:rFonts w:ascii="Cambria Math" w:hAnsi="Cambria Math" w:cs="Cambria Math"/>
                <w:color w:val="auto"/>
                <w:sz w:val="24"/>
                <w:szCs w:val="24"/>
              </w:rPr>
              <w:t>①</w:t>
            </w:r>
            <w:r>
              <w:rPr>
                <w:color w:val="auto"/>
                <w:sz w:val="24"/>
                <w:szCs w:val="24"/>
              </w:rPr>
              <w:t>如图4-1所示，首先计算出某个室内声源靠近围护结构处的倍频带声压级：</w:t>
            </w:r>
          </w:p>
          <w:p>
            <w:pPr>
              <w:adjustRightInd w:val="0"/>
              <w:snapToGrid w:val="0"/>
              <w:spacing w:line="360" w:lineRule="auto"/>
              <w:ind w:firstLine="480" w:firstLineChars="200"/>
              <w:jc w:val="center"/>
              <w:rPr>
                <w:color w:val="auto"/>
                <w:sz w:val="24"/>
                <w:szCs w:val="24"/>
              </w:rPr>
            </w:pPr>
            <w:r>
              <w:rPr>
                <w:color w:val="auto"/>
                <w:sz w:val="24"/>
                <w:szCs w:val="24"/>
              </w:rPr>
              <w:drawing>
                <wp:inline distT="0" distB="0" distL="0" distR="0">
                  <wp:extent cx="2101850" cy="565150"/>
                  <wp:effectExtent l="0" t="0" r="0" b="0"/>
                  <wp:docPr id="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101850" cy="565150"/>
                          </a:xfrm>
                          <a:prstGeom prst="rect">
                            <a:avLst/>
                          </a:prstGeom>
                          <a:noFill/>
                          <a:ln>
                            <a:noFill/>
                          </a:ln>
                        </pic:spPr>
                      </pic:pic>
                    </a:graphicData>
                  </a:graphic>
                </wp:inline>
              </w:drawing>
            </w:r>
          </w:p>
          <w:p>
            <w:pPr>
              <w:adjustRightInd w:val="0"/>
              <w:snapToGrid w:val="0"/>
              <w:spacing w:line="360" w:lineRule="auto"/>
              <w:ind w:firstLine="480" w:firstLineChars="200"/>
              <w:rPr>
                <w:color w:val="auto"/>
                <w:sz w:val="24"/>
                <w:szCs w:val="24"/>
              </w:rPr>
            </w:pPr>
            <w:r>
              <w:rPr>
                <w:color w:val="auto"/>
                <w:sz w:val="24"/>
                <w:szCs w:val="24"/>
              </w:rPr>
              <w:t>式中：</w:t>
            </w:r>
            <w:r>
              <w:rPr>
                <w:rFonts w:eastAsia="Times New Roman"/>
                <w:i/>
                <w:color w:val="auto"/>
                <w:sz w:val="24"/>
                <w:szCs w:val="24"/>
              </w:rPr>
              <w:t>Lp</w:t>
            </w:r>
            <w:r>
              <w:rPr>
                <w:rFonts w:eastAsia="TimesNewRomanPSMT"/>
                <w:color w:val="auto"/>
                <w:sz w:val="24"/>
                <w:szCs w:val="24"/>
              </w:rPr>
              <w:t>1—</w:t>
            </w:r>
            <w:r>
              <w:rPr>
                <w:color w:val="auto"/>
                <w:sz w:val="24"/>
                <w:szCs w:val="24"/>
              </w:rPr>
              <w:t>为某个室内声源在靠近围护结构处产生的倍频带声压级，</w:t>
            </w:r>
            <w:r>
              <w:rPr>
                <w:rFonts w:eastAsia="TimesNewRomanPSMT"/>
                <w:color w:val="auto"/>
                <w:sz w:val="24"/>
                <w:szCs w:val="24"/>
              </w:rPr>
              <w:t>dB</w:t>
            </w:r>
            <w:r>
              <w:rPr>
                <w:color w:val="auto"/>
                <w:sz w:val="24"/>
                <w:szCs w:val="24"/>
              </w:rPr>
              <w:t>；</w:t>
            </w:r>
          </w:p>
          <w:p>
            <w:pPr>
              <w:adjustRightInd w:val="0"/>
              <w:snapToGrid w:val="0"/>
              <w:spacing w:line="360" w:lineRule="auto"/>
              <w:ind w:firstLine="1200" w:firstLineChars="500"/>
              <w:rPr>
                <w:color w:val="auto"/>
                <w:sz w:val="24"/>
                <w:szCs w:val="24"/>
              </w:rPr>
            </w:pPr>
            <w:r>
              <w:rPr>
                <w:rFonts w:eastAsia="Times New Roman"/>
                <w:i/>
                <w:color w:val="auto"/>
                <w:sz w:val="24"/>
                <w:szCs w:val="24"/>
              </w:rPr>
              <w:t xml:space="preserve">Lw </w:t>
            </w:r>
            <w:r>
              <w:rPr>
                <w:rFonts w:eastAsia="TimesNewRomanPSMT"/>
                <w:color w:val="auto"/>
                <w:sz w:val="24"/>
                <w:szCs w:val="24"/>
              </w:rPr>
              <w:t>—</w:t>
            </w:r>
            <w:r>
              <w:rPr>
                <w:color w:val="auto"/>
                <w:sz w:val="24"/>
                <w:szCs w:val="24"/>
              </w:rPr>
              <w:t>为某个声源的倍频带声功率级，</w:t>
            </w:r>
            <w:r>
              <w:rPr>
                <w:rFonts w:eastAsia="TimesNewRomanPSMT"/>
                <w:color w:val="auto"/>
                <w:sz w:val="24"/>
                <w:szCs w:val="24"/>
              </w:rPr>
              <w:t>dB</w:t>
            </w:r>
            <w:r>
              <w:rPr>
                <w:color w:val="auto"/>
                <w:sz w:val="24"/>
                <w:szCs w:val="24"/>
              </w:rPr>
              <w:t>；</w:t>
            </w:r>
          </w:p>
          <w:p>
            <w:pPr>
              <w:adjustRightInd w:val="0"/>
              <w:snapToGrid w:val="0"/>
              <w:spacing w:line="360" w:lineRule="auto"/>
              <w:ind w:firstLine="1200" w:firstLineChars="500"/>
              <w:rPr>
                <w:color w:val="auto"/>
                <w:sz w:val="24"/>
                <w:szCs w:val="24"/>
              </w:rPr>
            </w:pPr>
            <w:r>
              <w:rPr>
                <w:rFonts w:eastAsia="Times New Roman"/>
                <w:i/>
                <w:color w:val="auto"/>
                <w:sz w:val="24"/>
                <w:szCs w:val="24"/>
              </w:rPr>
              <w:t>r</w:t>
            </w:r>
            <w:r>
              <w:rPr>
                <w:rFonts w:eastAsia="TimesNewRomanPSMT"/>
                <w:color w:val="auto"/>
                <w:sz w:val="24"/>
                <w:szCs w:val="24"/>
              </w:rPr>
              <w:t>—</w:t>
            </w:r>
            <w:r>
              <w:rPr>
                <w:color w:val="auto"/>
                <w:sz w:val="24"/>
                <w:szCs w:val="24"/>
              </w:rPr>
              <w:t>为室内某个声源与靠近围护结构处的距离，</w:t>
            </w:r>
            <w:r>
              <w:rPr>
                <w:rFonts w:eastAsia="TimesNewRomanPSMT"/>
                <w:color w:val="auto"/>
                <w:sz w:val="24"/>
                <w:szCs w:val="24"/>
              </w:rPr>
              <w:t>m</w:t>
            </w:r>
            <w:r>
              <w:rPr>
                <w:color w:val="auto"/>
                <w:sz w:val="24"/>
                <w:szCs w:val="24"/>
              </w:rPr>
              <w:t>；</w:t>
            </w:r>
          </w:p>
          <w:p>
            <w:pPr>
              <w:adjustRightInd w:val="0"/>
              <w:snapToGrid w:val="0"/>
              <w:spacing w:line="360" w:lineRule="auto"/>
              <w:ind w:firstLine="1200" w:firstLineChars="500"/>
              <w:rPr>
                <w:color w:val="auto"/>
                <w:sz w:val="24"/>
                <w:szCs w:val="24"/>
              </w:rPr>
            </w:pPr>
            <w:r>
              <w:rPr>
                <w:rFonts w:eastAsia="Times New Roman"/>
                <w:i/>
                <w:color w:val="auto"/>
                <w:sz w:val="24"/>
                <w:szCs w:val="24"/>
              </w:rPr>
              <w:t>R</w:t>
            </w:r>
            <w:r>
              <w:rPr>
                <w:rFonts w:eastAsia="TimesNewRomanPSMT"/>
                <w:color w:val="auto"/>
                <w:sz w:val="24"/>
                <w:szCs w:val="24"/>
              </w:rPr>
              <w:t>—</w:t>
            </w:r>
            <w:r>
              <w:rPr>
                <w:color w:val="auto"/>
                <w:sz w:val="24"/>
                <w:szCs w:val="24"/>
              </w:rPr>
              <w:t>房间常数，</w:t>
            </w:r>
            <w:r>
              <w:rPr>
                <w:rFonts w:eastAsia="TimesNewRomanPSMT"/>
                <w:color w:val="auto"/>
                <w:sz w:val="24"/>
                <w:szCs w:val="24"/>
              </w:rPr>
              <w:t>m</w:t>
            </w:r>
            <w:r>
              <w:rPr>
                <w:rFonts w:eastAsia="TimesNewRomanPSMT"/>
                <w:color w:val="auto"/>
                <w:sz w:val="24"/>
                <w:szCs w:val="24"/>
                <w:vertAlign w:val="superscript"/>
              </w:rPr>
              <w:t>2</w:t>
            </w:r>
            <w:r>
              <w:rPr>
                <w:color w:val="auto"/>
                <w:sz w:val="24"/>
                <w:szCs w:val="24"/>
              </w:rPr>
              <w:t>；</w:t>
            </w:r>
            <w:r>
              <w:rPr>
                <w:rFonts w:eastAsia="Times New Roman"/>
                <w:i/>
                <w:color w:val="auto"/>
                <w:sz w:val="24"/>
                <w:szCs w:val="24"/>
              </w:rPr>
              <w:t>R</w:t>
            </w:r>
            <w:r>
              <w:rPr>
                <w:i/>
                <w:color w:val="auto"/>
                <w:sz w:val="24"/>
                <w:szCs w:val="24"/>
              </w:rPr>
              <w:t>=</w:t>
            </w:r>
            <w:r>
              <w:rPr>
                <w:rFonts w:eastAsia="Times New Roman"/>
                <w:i/>
                <w:color w:val="auto"/>
                <w:sz w:val="24"/>
                <w:szCs w:val="24"/>
              </w:rPr>
              <w:t>S</w:t>
            </w:r>
            <w:r>
              <w:rPr>
                <w:color w:val="auto"/>
                <w:sz w:val="24"/>
                <w:szCs w:val="24"/>
              </w:rPr>
              <w:t>α</w:t>
            </w:r>
            <w:r>
              <w:rPr>
                <w:rFonts w:eastAsia="TimesNewRomanPSMT"/>
                <w:color w:val="auto"/>
                <w:sz w:val="24"/>
                <w:szCs w:val="24"/>
              </w:rPr>
              <w:t>/(1-</w:t>
            </w:r>
            <w:r>
              <w:rPr>
                <w:color w:val="auto"/>
                <w:sz w:val="24"/>
                <w:szCs w:val="24"/>
              </w:rPr>
              <w:t>α</w:t>
            </w:r>
            <w:r>
              <w:rPr>
                <w:rFonts w:hint="eastAsia"/>
                <w:color w:val="auto"/>
                <w:sz w:val="24"/>
                <w:szCs w:val="24"/>
                <w:lang w:eastAsia="zh-CN"/>
              </w:rPr>
              <w:t>）</w:t>
            </w:r>
            <w:r>
              <w:rPr>
                <w:color w:val="auto"/>
                <w:sz w:val="24"/>
                <w:szCs w:val="24"/>
              </w:rPr>
              <w:t>，</w:t>
            </w:r>
            <w:r>
              <w:rPr>
                <w:rFonts w:eastAsia="TimesNewRomanPSMT"/>
                <w:color w:val="auto"/>
                <w:sz w:val="24"/>
                <w:szCs w:val="24"/>
              </w:rPr>
              <w:t>S</w:t>
            </w:r>
            <w:r>
              <w:rPr>
                <w:color w:val="auto"/>
                <w:sz w:val="24"/>
                <w:szCs w:val="24"/>
              </w:rPr>
              <w:t>为房间内表面积</w:t>
            </w:r>
            <w:r>
              <w:rPr>
                <w:rFonts w:eastAsia="TimesNewRomanPSMT"/>
                <w:color w:val="auto"/>
                <w:sz w:val="24"/>
                <w:szCs w:val="24"/>
              </w:rPr>
              <w:t>m</w:t>
            </w:r>
            <w:r>
              <w:rPr>
                <w:rFonts w:eastAsia="TimesNewRomanPSMT"/>
                <w:color w:val="auto"/>
                <w:sz w:val="24"/>
                <w:szCs w:val="24"/>
                <w:vertAlign w:val="superscript"/>
              </w:rPr>
              <w:t>2</w:t>
            </w:r>
            <w:r>
              <w:rPr>
                <w:color w:val="auto"/>
                <w:sz w:val="24"/>
                <w:szCs w:val="24"/>
              </w:rPr>
              <w:t>，α为平均吸声系数。</w:t>
            </w:r>
          </w:p>
          <w:p>
            <w:pPr>
              <w:adjustRightInd w:val="0"/>
              <w:snapToGrid w:val="0"/>
              <w:spacing w:line="360" w:lineRule="auto"/>
              <w:ind w:firstLine="1200" w:firstLineChars="500"/>
              <w:rPr>
                <w:color w:val="auto"/>
                <w:sz w:val="24"/>
                <w:szCs w:val="24"/>
              </w:rPr>
            </w:pPr>
            <w:r>
              <w:rPr>
                <w:rFonts w:eastAsia="Times New Roman"/>
                <w:i/>
                <w:color w:val="auto"/>
                <w:sz w:val="24"/>
                <w:szCs w:val="24"/>
              </w:rPr>
              <w:t>Q</w:t>
            </w:r>
            <w:r>
              <w:rPr>
                <w:rFonts w:eastAsia="TimesNewRomanPSMT"/>
                <w:color w:val="auto"/>
                <w:sz w:val="24"/>
                <w:szCs w:val="24"/>
              </w:rPr>
              <w:t>—</w:t>
            </w:r>
            <w:r>
              <w:rPr>
                <w:color w:val="auto"/>
                <w:sz w:val="24"/>
                <w:szCs w:val="24"/>
              </w:rPr>
              <w:t>指向性因素。通常对无指向性声源，当声源放在房间中心时，</w:t>
            </w:r>
            <w:r>
              <w:rPr>
                <w:rFonts w:eastAsia="TimesNewRomanPSMT"/>
                <w:color w:val="auto"/>
                <w:sz w:val="24"/>
                <w:szCs w:val="24"/>
              </w:rPr>
              <w:t>Q=1</w:t>
            </w:r>
            <w:r>
              <w:rPr>
                <w:color w:val="auto"/>
                <w:sz w:val="24"/>
                <w:szCs w:val="24"/>
              </w:rPr>
              <w:t>；当放在一面墙的中心时，</w:t>
            </w:r>
            <w:r>
              <w:rPr>
                <w:rFonts w:eastAsia="TimesNewRomanPSMT"/>
                <w:color w:val="auto"/>
                <w:sz w:val="24"/>
                <w:szCs w:val="24"/>
              </w:rPr>
              <w:t>Q=2</w:t>
            </w:r>
            <w:r>
              <w:rPr>
                <w:color w:val="auto"/>
                <w:sz w:val="24"/>
                <w:szCs w:val="24"/>
              </w:rPr>
              <w:t>；当放在两面墙夹角时，</w:t>
            </w:r>
            <w:r>
              <w:rPr>
                <w:rFonts w:eastAsia="TimesNewRomanPSMT"/>
                <w:color w:val="auto"/>
                <w:sz w:val="24"/>
                <w:szCs w:val="24"/>
              </w:rPr>
              <w:t>Q=4</w:t>
            </w:r>
            <w:r>
              <w:rPr>
                <w:color w:val="auto"/>
                <w:sz w:val="24"/>
                <w:szCs w:val="24"/>
              </w:rPr>
              <w:t>；当放在三面墙夹角处时，</w:t>
            </w:r>
            <w:r>
              <w:rPr>
                <w:rFonts w:eastAsia="TimesNewRomanPSMT"/>
                <w:color w:val="auto"/>
                <w:sz w:val="24"/>
                <w:szCs w:val="24"/>
              </w:rPr>
              <w:t>Q=8</w:t>
            </w:r>
            <w:r>
              <w:rPr>
                <w:color w:val="auto"/>
                <w:sz w:val="24"/>
                <w:szCs w:val="24"/>
              </w:rPr>
              <w:t>。</w:t>
            </w:r>
          </w:p>
          <w:p>
            <w:pPr>
              <w:adjustRightInd w:val="0"/>
              <w:snapToGrid w:val="0"/>
              <w:spacing w:line="360" w:lineRule="auto"/>
              <w:ind w:firstLine="480" w:firstLineChars="200"/>
              <w:rPr>
                <w:color w:val="auto"/>
                <w:sz w:val="24"/>
                <w:szCs w:val="24"/>
              </w:rPr>
            </w:pPr>
            <w:r>
              <w:rPr>
                <w:rFonts w:ascii="Cambria Math" w:hAnsi="Cambria Math" w:cs="Cambria Math"/>
                <w:color w:val="auto"/>
                <w:sz w:val="24"/>
                <w:szCs w:val="24"/>
              </w:rPr>
              <w:t>②</w:t>
            </w:r>
            <w:r>
              <w:rPr>
                <w:color w:val="auto"/>
                <w:sz w:val="24"/>
                <w:szCs w:val="24"/>
              </w:rPr>
              <w:t>计算出所有室内声源在围护结构处产生的i倍频带叠加声压级：</w:t>
            </w:r>
          </w:p>
          <w:p>
            <w:pPr>
              <w:adjustRightInd w:val="0"/>
              <w:snapToGrid w:val="0"/>
              <w:ind w:firstLine="480" w:firstLineChars="200"/>
              <w:jc w:val="center"/>
              <w:rPr>
                <w:color w:val="auto"/>
                <w:sz w:val="24"/>
                <w:szCs w:val="24"/>
              </w:rPr>
            </w:pPr>
            <w:r>
              <w:rPr>
                <w:color w:val="auto"/>
                <w:sz w:val="24"/>
                <w:szCs w:val="24"/>
              </w:rPr>
              <w:drawing>
                <wp:inline distT="0" distB="0" distL="0" distR="0">
                  <wp:extent cx="1790700" cy="622300"/>
                  <wp:effectExtent l="0" t="0" r="0" b="0"/>
                  <wp:docPr id="1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790700" cy="622300"/>
                          </a:xfrm>
                          <a:prstGeom prst="rect">
                            <a:avLst/>
                          </a:prstGeom>
                          <a:noFill/>
                          <a:ln>
                            <a:noFill/>
                          </a:ln>
                        </pic:spPr>
                      </pic:pic>
                    </a:graphicData>
                  </a:graphic>
                </wp:inline>
              </w:drawing>
            </w:r>
          </w:p>
          <w:p>
            <w:pPr>
              <w:adjustRightInd w:val="0"/>
              <w:snapToGrid w:val="0"/>
              <w:spacing w:line="360" w:lineRule="auto"/>
              <w:ind w:firstLine="480" w:firstLineChars="200"/>
              <w:rPr>
                <w:color w:val="auto"/>
                <w:sz w:val="24"/>
                <w:szCs w:val="24"/>
              </w:rPr>
            </w:pPr>
            <w:r>
              <w:rPr>
                <w:color w:val="auto"/>
                <w:sz w:val="24"/>
                <w:szCs w:val="24"/>
              </w:rPr>
              <w:t>式中：</w:t>
            </w:r>
            <w:r>
              <w:rPr>
                <w:rFonts w:eastAsia="Times New Roman"/>
                <w:i/>
                <w:color w:val="auto"/>
                <w:sz w:val="24"/>
                <w:szCs w:val="24"/>
              </w:rPr>
              <w:t>Lp</w:t>
            </w:r>
            <w:r>
              <w:rPr>
                <w:rFonts w:eastAsia="TimesNewRomanPSMT"/>
                <w:color w:val="auto"/>
                <w:sz w:val="24"/>
                <w:szCs w:val="24"/>
              </w:rPr>
              <w:t>1</w:t>
            </w:r>
            <w:r>
              <w:rPr>
                <w:rFonts w:eastAsia="Times New Roman"/>
                <w:i/>
                <w:color w:val="auto"/>
                <w:sz w:val="24"/>
                <w:szCs w:val="24"/>
              </w:rPr>
              <w:t>i(T)</w:t>
            </w:r>
            <w:r>
              <w:rPr>
                <w:rFonts w:eastAsia="TimesNewRomanPSMT"/>
                <w:color w:val="auto"/>
                <w:sz w:val="24"/>
                <w:szCs w:val="24"/>
              </w:rPr>
              <w:t>—</w:t>
            </w:r>
            <w:r>
              <w:rPr>
                <w:color w:val="auto"/>
                <w:sz w:val="24"/>
                <w:szCs w:val="24"/>
              </w:rPr>
              <w:t>靠近围护结构处室内</w:t>
            </w:r>
            <w:r>
              <w:rPr>
                <w:rFonts w:eastAsia="TimesNewRomanPSMT"/>
                <w:color w:val="auto"/>
                <w:sz w:val="24"/>
                <w:szCs w:val="24"/>
              </w:rPr>
              <w:t>N</w:t>
            </w:r>
            <w:r>
              <w:rPr>
                <w:color w:val="auto"/>
                <w:sz w:val="24"/>
                <w:szCs w:val="24"/>
              </w:rPr>
              <w:t>个声源</w:t>
            </w:r>
            <w:r>
              <w:rPr>
                <w:rFonts w:eastAsia="TimesNewRomanPSMT"/>
                <w:color w:val="auto"/>
                <w:sz w:val="24"/>
                <w:szCs w:val="24"/>
              </w:rPr>
              <w:t>i</w:t>
            </w:r>
            <w:r>
              <w:rPr>
                <w:color w:val="auto"/>
                <w:sz w:val="24"/>
                <w:szCs w:val="24"/>
              </w:rPr>
              <w:t>倍频带的叠加声压级，</w:t>
            </w:r>
            <w:r>
              <w:rPr>
                <w:rFonts w:eastAsia="TimesNewRomanPSMT"/>
                <w:color w:val="auto"/>
                <w:sz w:val="24"/>
                <w:szCs w:val="24"/>
              </w:rPr>
              <w:t>dB</w:t>
            </w:r>
            <w:r>
              <w:rPr>
                <w:color w:val="auto"/>
                <w:sz w:val="24"/>
                <w:szCs w:val="24"/>
              </w:rPr>
              <w:t>；</w:t>
            </w:r>
          </w:p>
          <w:p>
            <w:pPr>
              <w:adjustRightInd w:val="0"/>
              <w:snapToGrid w:val="0"/>
              <w:spacing w:line="360" w:lineRule="auto"/>
              <w:ind w:firstLine="1200" w:firstLineChars="500"/>
              <w:rPr>
                <w:color w:val="auto"/>
                <w:sz w:val="24"/>
                <w:szCs w:val="24"/>
              </w:rPr>
            </w:pPr>
            <w:r>
              <w:rPr>
                <w:rFonts w:eastAsia="Times New Roman"/>
                <w:i/>
                <w:color w:val="auto"/>
                <w:sz w:val="24"/>
                <w:szCs w:val="24"/>
              </w:rPr>
              <w:t>Lp</w:t>
            </w:r>
            <w:r>
              <w:rPr>
                <w:rFonts w:eastAsia="TimesNewRomanPSMT"/>
                <w:color w:val="auto"/>
                <w:sz w:val="24"/>
                <w:szCs w:val="24"/>
              </w:rPr>
              <w:t>1</w:t>
            </w:r>
            <w:r>
              <w:rPr>
                <w:rFonts w:eastAsia="Times New Roman"/>
                <w:i/>
                <w:color w:val="auto"/>
                <w:sz w:val="24"/>
                <w:szCs w:val="24"/>
              </w:rPr>
              <w:t>ij</w:t>
            </w:r>
            <w:r>
              <w:rPr>
                <w:rFonts w:eastAsia="TimesNewRomanPSMT"/>
                <w:color w:val="auto"/>
                <w:sz w:val="24"/>
                <w:szCs w:val="24"/>
              </w:rPr>
              <w:t>—</w:t>
            </w:r>
            <w:r>
              <w:rPr>
                <w:color w:val="auto"/>
                <w:sz w:val="24"/>
                <w:szCs w:val="24"/>
              </w:rPr>
              <w:t>室内</w:t>
            </w:r>
            <w:r>
              <w:rPr>
                <w:rFonts w:eastAsia="TimesNewRomanPSMT"/>
                <w:color w:val="auto"/>
                <w:sz w:val="24"/>
                <w:szCs w:val="24"/>
              </w:rPr>
              <w:t>j</w:t>
            </w:r>
            <w:r>
              <w:rPr>
                <w:color w:val="auto"/>
                <w:sz w:val="24"/>
                <w:szCs w:val="24"/>
              </w:rPr>
              <w:t>声源</w:t>
            </w:r>
            <w:r>
              <w:rPr>
                <w:rFonts w:eastAsia="TimesNewRomanPSMT"/>
                <w:color w:val="auto"/>
                <w:sz w:val="24"/>
                <w:szCs w:val="24"/>
              </w:rPr>
              <w:t>i</w:t>
            </w:r>
            <w:r>
              <w:rPr>
                <w:color w:val="auto"/>
                <w:sz w:val="24"/>
                <w:szCs w:val="24"/>
              </w:rPr>
              <w:t>倍频带的声压级，</w:t>
            </w:r>
            <w:r>
              <w:rPr>
                <w:rFonts w:eastAsia="TimesNewRomanPSMT"/>
                <w:color w:val="auto"/>
                <w:sz w:val="24"/>
                <w:szCs w:val="24"/>
              </w:rPr>
              <w:t>dB</w:t>
            </w:r>
            <w:r>
              <w:rPr>
                <w:color w:val="auto"/>
                <w:sz w:val="24"/>
                <w:szCs w:val="24"/>
              </w:rPr>
              <w:t>；</w:t>
            </w:r>
          </w:p>
          <w:p>
            <w:pPr>
              <w:adjustRightInd w:val="0"/>
              <w:snapToGrid w:val="0"/>
              <w:spacing w:line="360" w:lineRule="auto"/>
              <w:ind w:firstLine="1200" w:firstLineChars="500"/>
              <w:rPr>
                <w:color w:val="auto"/>
                <w:sz w:val="24"/>
                <w:szCs w:val="24"/>
              </w:rPr>
            </w:pPr>
            <w:r>
              <w:rPr>
                <w:rFonts w:eastAsia="Times New Roman"/>
                <w:i/>
                <w:color w:val="auto"/>
                <w:sz w:val="24"/>
                <w:szCs w:val="24"/>
              </w:rPr>
              <w:t>N</w:t>
            </w:r>
            <w:r>
              <w:rPr>
                <w:rFonts w:eastAsia="TimesNewRomanPSMT"/>
                <w:color w:val="auto"/>
                <w:sz w:val="24"/>
                <w:szCs w:val="24"/>
              </w:rPr>
              <w:t>—</w:t>
            </w:r>
            <w:r>
              <w:rPr>
                <w:color w:val="auto"/>
                <w:sz w:val="24"/>
                <w:szCs w:val="24"/>
              </w:rPr>
              <w:t>室内声源总数。</w:t>
            </w:r>
          </w:p>
          <w:p>
            <w:pPr>
              <w:autoSpaceDE w:val="0"/>
              <w:autoSpaceDN w:val="0"/>
              <w:adjustRightInd w:val="0"/>
              <w:snapToGrid w:val="0"/>
              <w:spacing w:line="360" w:lineRule="auto"/>
              <w:ind w:firstLine="480" w:firstLineChars="200"/>
              <w:jc w:val="left"/>
              <w:rPr>
                <w:color w:val="auto"/>
                <w:sz w:val="24"/>
                <w:szCs w:val="24"/>
              </w:rPr>
            </w:pPr>
            <w:r>
              <w:rPr>
                <w:color w:val="auto"/>
                <w:sz w:val="24"/>
                <w:szCs w:val="24"/>
              </w:rPr>
              <w:t>在室内近似为扩散声场时，按</w:t>
            </w:r>
            <w:r>
              <w:rPr>
                <w:rFonts w:ascii="Cambria Math" w:hAnsi="Cambria Math" w:cs="Cambria Math"/>
                <w:color w:val="auto"/>
                <w:sz w:val="24"/>
                <w:szCs w:val="24"/>
              </w:rPr>
              <w:t>③</w:t>
            </w:r>
            <w:r>
              <w:rPr>
                <w:color w:val="auto"/>
                <w:sz w:val="24"/>
                <w:szCs w:val="24"/>
              </w:rPr>
              <w:t>中公式计算出靠近室外围护结构处的声压级。</w:t>
            </w:r>
          </w:p>
          <w:p>
            <w:pPr>
              <w:adjustRightInd w:val="0"/>
              <w:snapToGrid w:val="0"/>
              <w:spacing w:line="360" w:lineRule="auto"/>
              <w:ind w:firstLine="480" w:firstLineChars="200"/>
              <w:rPr>
                <w:color w:val="auto"/>
                <w:sz w:val="24"/>
                <w:szCs w:val="24"/>
              </w:rPr>
            </w:pPr>
            <w:r>
              <w:rPr>
                <w:rFonts w:ascii="Cambria Math" w:hAnsi="Cambria Math" w:cs="Cambria Math"/>
                <w:color w:val="auto"/>
                <w:sz w:val="24"/>
                <w:szCs w:val="24"/>
              </w:rPr>
              <w:t>③</w:t>
            </w:r>
            <w:r>
              <w:rPr>
                <w:color w:val="auto"/>
                <w:sz w:val="24"/>
                <w:szCs w:val="24"/>
              </w:rPr>
              <w:t>计算出室外靠近围护结构处的声压级：</w:t>
            </w:r>
          </w:p>
          <w:p>
            <w:pPr>
              <w:adjustRightInd w:val="0"/>
              <w:snapToGrid w:val="0"/>
              <w:spacing w:line="360" w:lineRule="auto"/>
              <w:jc w:val="center"/>
              <w:rPr>
                <w:color w:val="auto"/>
                <w:sz w:val="24"/>
                <w:szCs w:val="24"/>
              </w:rPr>
            </w:pPr>
            <w:r>
              <w:rPr>
                <w:color w:val="auto"/>
                <w:sz w:val="24"/>
                <w:szCs w:val="24"/>
              </w:rPr>
              <w:drawing>
                <wp:inline distT="0" distB="0" distL="0" distR="0">
                  <wp:extent cx="2146300" cy="355600"/>
                  <wp:effectExtent l="0" t="0" r="0" b="0"/>
                  <wp:docPr id="1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146300" cy="355600"/>
                          </a:xfrm>
                          <a:prstGeom prst="rect">
                            <a:avLst/>
                          </a:prstGeom>
                          <a:noFill/>
                          <a:ln>
                            <a:noFill/>
                          </a:ln>
                        </pic:spPr>
                      </pic:pic>
                    </a:graphicData>
                  </a:graphic>
                </wp:inline>
              </w:drawing>
            </w:r>
          </w:p>
          <w:p>
            <w:pPr>
              <w:adjustRightInd w:val="0"/>
              <w:snapToGrid w:val="0"/>
              <w:spacing w:line="360" w:lineRule="auto"/>
              <w:ind w:firstLine="480" w:firstLineChars="200"/>
              <w:rPr>
                <w:color w:val="auto"/>
                <w:sz w:val="24"/>
                <w:szCs w:val="24"/>
              </w:rPr>
            </w:pPr>
            <w:r>
              <w:rPr>
                <w:color w:val="auto"/>
                <w:sz w:val="24"/>
                <w:szCs w:val="24"/>
              </w:rPr>
              <w:t>式中：</w:t>
            </w:r>
            <w:r>
              <w:rPr>
                <w:rFonts w:eastAsia="Times New Roman"/>
                <w:i/>
                <w:color w:val="auto"/>
                <w:sz w:val="24"/>
                <w:szCs w:val="24"/>
              </w:rPr>
              <w:t>Lp</w:t>
            </w:r>
            <w:r>
              <w:rPr>
                <w:rFonts w:eastAsia="TimesNewRomanPSMT"/>
                <w:color w:val="auto"/>
                <w:sz w:val="24"/>
                <w:szCs w:val="24"/>
                <w:vertAlign w:val="subscript"/>
              </w:rPr>
              <w:t>2</w:t>
            </w:r>
            <w:r>
              <w:rPr>
                <w:rFonts w:eastAsia="Times New Roman"/>
                <w:i/>
                <w:color w:val="auto"/>
                <w:sz w:val="24"/>
                <w:szCs w:val="24"/>
                <w:vertAlign w:val="subscript"/>
              </w:rPr>
              <w:t>i</w:t>
            </w:r>
            <w:r>
              <w:rPr>
                <w:rFonts w:eastAsia="Times New Roman"/>
                <w:i/>
                <w:color w:val="auto"/>
                <w:sz w:val="24"/>
                <w:szCs w:val="24"/>
              </w:rPr>
              <w:t>(T)</w:t>
            </w:r>
            <w:r>
              <w:rPr>
                <w:rFonts w:eastAsia="TimesNewRomanPSMT"/>
                <w:color w:val="auto"/>
                <w:sz w:val="24"/>
                <w:szCs w:val="24"/>
              </w:rPr>
              <w:t>—</w:t>
            </w:r>
            <w:r>
              <w:rPr>
                <w:color w:val="auto"/>
                <w:sz w:val="24"/>
                <w:szCs w:val="24"/>
              </w:rPr>
              <w:t>靠近围护结构处室外</w:t>
            </w:r>
            <w:r>
              <w:rPr>
                <w:rFonts w:eastAsia="TimesNewRomanPSMT"/>
                <w:color w:val="auto"/>
                <w:sz w:val="24"/>
                <w:szCs w:val="24"/>
              </w:rPr>
              <w:t>N</w:t>
            </w:r>
            <w:r>
              <w:rPr>
                <w:color w:val="auto"/>
                <w:sz w:val="24"/>
                <w:szCs w:val="24"/>
              </w:rPr>
              <w:t>个声源</w:t>
            </w:r>
            <w:r>
              <w:rPr>
                <w:rFonts w:eastAsia="TimesNewRomanPSMT"/>
                <w:color w:val="auto"/>
                <w:sz w:val="24"/>
                <w:szCs w:val="24"/>
              </w:rPr>
              <w:t>i</w:t>
            </w:r>
            <w:r>
              <w:rPr>
                <w:color w:val="auto"/>
                <w:sz w:val="24"/>
                <w:szCs w:val="24"/>
              </w:rPr>
              <w:t>倍频带的叠加声压级，</w:t>
            </w:r>
            <w:r>
              <w:rPr>
                <w:rFonts w:eastAsia="TimesNewRomanPSMT"/>
                <w:color w:val="auto"/>
                <w:sz w:val="24"/>
                <w:szCs w:val="24"/>
              </w:rPr>
              <w:t>dB</w:t>
            </w:r>
            <w:r>
              <w:rPr>
                <w:color w:val="auto"/>
                <w:sz w:val="24"/>
                <w:szCs w:val="24"/>
              </w:rPr>
              <w:t>；</w:t>
            </w:r>
          </w:p>
          <w:p>
            <w:pPr>
              <w:adjustRightInd w:val="0"/>
              <w:snapToGrid w:val="0"/>
              <w:spacing w:line="360" w:lineRule="auto"/>
              <w:ind w:firstLine="1200" w:firstLineChars="500"/>
              <w:rPr>
                <w:i/>
                <w:color w:val="auto"/>
                <w:sz w:val="24"/>
                <w:szCs w:val="24"/>
              </w:rPr>
            </w:pPr>
            <w:r>
              <w:rPr>
                <w:rFonts w:eastAsia="Times New Roman"/>
                <w:i/>
                <w:color w:val="auto"/>
                <w:sz w:val="24"/>
                <w:szCs w:val="24"/>
              </w:rPr>
              <w:t>L</w:t>
            </w:r>
            <w:r>
              <w:rPr>
                <w:i/>
                <w:iCs/>
                <w:color w:val="auto"/>
                <w:sz w:val="24"/>
                <w:szCs w:val="24"/>
              </w:rPr>
              <w:t>p</w:t>
            </w:r>
            <w:r>
              <w:rPr>
                <w:color w:val="auto"/>
                <w:sz w:val="24"/>
                <w:szCs w:val="24"/>
                <w:vertAlign w:val="subscript"/>
              </w:rPr>
              <w:t>1</w:t>
            </w:r>
            <w:r>
              <w:rPr>
                <w:i/>
                <w:iCs/>
                <w:color w:val="auto"/>
                <w:sz w:val="24"/>
                <w:szCs w:val="24"/>
                <w:vertAlign w:val="subscript"/>
              </w:rPr>
              <w:t>i</w:t>
            </w:r>
            <w:r>
              <w:rPr>
                <w:rFonts w:eastAsia="Times New Roman"/>
                <w:i/>
                <w:color w:val="auto"/>
                <w:sz w:val="24"/>
                <w:szCs w:val="24"/>
              </w:rPr>
              <w:t>(T)——</w:t>
            </w:r>
            <w:r>
              <w:rPr>
                <w:color w:val="auto"/>
                <w:sz w:val="24"/>
                <w:szCs w:val="24"/>
              </w:rPr>
              <w:t>靠近围护结构处室内N个声源i倍频带的叠加声压级，dB；</w:t>
            </w:r>
          </w:p>
          <w:p>
            <w:pPr>
              <w:adjustRightInd w:val="0"/>
              <w:snapToGrid w:val="0"/>
              <w:spacing w:line="360" w:lineRule="auto"/>
              <w:ind w:firstLine="1200" w:firstLineChars="500"/>
              <w:rPr>
                <w:color w:val="auto"/>
                <w:sz w:val="24"/>
                <w:szCs w:val="24"/>
              </w:rPr>
            </w:pPr>
            <w:r>
              <w:rPr>
                <w:i/>
                <w:color w:val="auto"/>
                <w:sz w:val="24"/>
                <w:szCs w:val="24"/>
              </w:rPr>
              <w:t>TL</w:t>
            </w:r>
            <w:r>
              <w:rPr>
                <w:i/>
                <w:iCs/>
                <w:color w:val="auto"/>
                <w:sz w:val="24"/>
                <w:szCs w:val="24"/>
                <w:vertAlign w:val="subscript"/>
              </w:rPr>
              <w:t>i</w:t>
            </w:r>
            <w:r>
              <w:rPr>
                <w:rFonts w:eastAsia="Times New Roman"/>
                <w:i/>
                <w:color w:val="auto"/>
                <w:sz w:val="24"/>
                <w:szCs w:val="24"/>
              </w:rPr>
              <w:t>——</w:t>
            </w:r>
            <w:r>
              <w:rPr>
                <w:color w:val="auto"/>
                <w:sz w:val="24"/>
                <w:szCs w:val="24"/>
              </w:rPr>
              <w:t>围护结构i倍频带的隔声量，dB。</w:t>
            </w:r>
          </w:p>
          <w:p>
            <w:pPr>
              <w:adjustRightInd w:val="0"/>
              <w:snapToGrid w:val="0"/>
              <w:spacing w:line="360" w:lineRule="auto"/>
              <w:ind w:firstLine="480" w:firstLineChars="200"/>
              <w:rPr>
                <w:color w:val="auto"/>
                <w:sz w:val="24"/>
                <w:szCs w:val="24"/>
              </w:rPr>
            </w:pPr>
            <w:r>
              <w:rPr>
                <w:color w:val="auto"/>
                <w:sz w:val="24"/>
                <w:szCs w:val="24"/>
              </w:rPr>
              <w:t>然后按</w:t>
            </w:r>
            <w:r>
              <w:rPr>
                <w:rFonts w:ascii="Cambria Math" w:hAnsi="Cambria Math" w:cs="Cambria Math"/>
                <w:color w:val="auto"/>
                <w:sz w:val="24"/>
                <w:szCs w:val="24"/>
              </w:rPr>
              <w:t>④</w:t>
            </w:r>
            <w:r>
              <w:rPr>
                <w:color w:val="auto"/>
                <w:sz w:val="24"/>
                <w:szCs w:val="24"/>
              </w:rPr>
              <w:t>中公式将室外声源的声压级和透过面积换算成等效的室外声源，计算出中心位置位于透声面积（</w:t>
            </w:r>
            <w:r>
              <w:rPr>
                <w:rFonts w:eastAsia="TimesNewRomanPSMT"/>
                <w:color w:val="auto"/>
                <w:sz w:val="24"/>
                <w:szCs w:val="24"/>
              </w:rPr>
              <w:t>S</w:t>
            </w:r>
            <w:r>
              <w:rPr>
                <w:color w:val="auto"/>
                <w:sz w:val="24"/>
                <w:szCs w:val="24"/>
              </w:rPr>
              <w:t>）处的等效声源的倍频带声功率级。</w:t>
            </w:r>
          </w:p>
          <w:p>
            <w:pPr>
              <w:adjustRightInd w:val="0"/>
              <w:snapToGrid w:val="0"/>
              <w:spacing w:line="360" w:lineRule="auto"/>
              <w:ind w:firstLine="480" w:firstLineChars="200"/>
              <w:rPr>
                <w:color w:val="auto"/>
                <w:sz w:val="24"/>
                <w:szCs w:val="24"/>
              </w:rPr>
            </w:pPr>
            <w:r>
              <w:rPr>
                <w:rFonts w:ascii="Cambria Math" w:hAnsi="Cambria Math" w:cs="Cambria Math"/>
                <w:color w:val="auto"/>
                <w:sz w:val="24"/>
                <w:szCs w:val="24"/>
              </w:rPr>
              <w:t>④</w:t>
            </w:r>
            <w:r>
              <w:rPr>
                <w:color w:val="auto"/>
                <w:sz w:val="24"/>
                <w:szCs w:val="24"/>
              </w:rPr>
              <w:t>将室外声级</w:t>
            </w:r>
            <w:r>
              <w:rPr>
                <w:rFonts w:eastAsia="TimesNewRomanPSMT"/>
                <w:color w:val="auto"/>
                <w:sz w:val="24"/>
                <w:szCs w:val="24"/>
              </w:rPr>
              <w:t>Lp2(T</w:t>
            </w:r>
            <w:r>
              <w:rPr>
                <w:rFonts w:hint="eastAsia" w:eastAsia="TimesNewRomanPSMT"/>
                <w:color w:val="auto"/>
                <w:sz w:val="24"/>
                <w:szCs w:val="24"/>
                <w:lang w:eastAsia="zh-CN"/>
              </w:rPr>
              <w:t>）</w:t>
            </w:r>
            <w:r>
              <w:rPr>
                <w:color w:val="auto"/>
                <w:sz w:val="24"/>
                <w:szCs w:val="24"/>
              </w:rPr>
              <w:t>和透声面积换算成等效的室外声源，计算出等效声源第</w:t>
            </w:r>
            <w:r>
              <w:rPr>
                <w:rFonts w:eastAsia="TimesNewRomanPSMT"/>
                <w:color w:val="auto"/>
                <w:sz w:val="24"/>
                <w:szCs w:val="24"/>
              </w:rPr>
              <w:t>i</w:t>
            </w:r>
            <w:r>
              <w:rPr>
                <w:color w:val="auto"/>
                <w:sz w:val="24"/>
                <w:szCs w:val="24"/>
              </w:rPr>
              <w:t>个倍频带的声功率级</w:t>
            </w:r>
            <w:r>
              <w:rPr>
                <w:rFonts w:eastAsia="Times New Roman"/>
                <w:i/>
                <w:color w:val="auto"/>
                <w:sz w:val="24"/>
                <w:szCs w:val="24"/>
              </w:rPr>
              <w:t>Lw2</w:t>
            </w:r>
            <w:r>
              <w:rPr>
                <w:color w:val="auto"/>
                <w:sz w:val="24"/>
                <w:szCs w:val="24"/>
              </w:rPr>
              <w:t>：</w:t>
            </w:r>
          </w:p>
          <w:p>
            <w:pPr>
              <w:adjustRightInd w:val="0"/>
              <w:snapToGrid w:val="0"/>
              <w:ind w:firstLine="480" w:firstLineChars="200"/>
              <w:jc w:val="center"/>
              <w:rPr>
                <w:color w:val="auto"/>
                <w:sz w:val="24"/>
                <w:szCs w:val="24"/>
              </w:rPr>
            </w:pPr>
            <w:r>
              <w:rPr>
                <w:color w:val="auto"/>
                <w:sz w:val="24"/>
                <w:szCs w:val="24"/>
              </w:rPr>
              <w:drawing>
                <wp:inline distT="0" distB="0" distL="0" distR="0">
                  <wp:extent cx="1765300" cy="330200"/>
                  <wp:effectExtent l="0" t="0" r="0" b="0"/>
                  <wp:docPr id="1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765300" cy="330200"/>
                          </a:xfrm>
                          <a:prstGeom prst="rect">
                            <a:avLst/>
                          </a:prstGeom>
                          <a:noFill/>
                          <a:ln>
                            <a:noFill/>
                          </a:ln>
                        </pic:spPr>
                      </pic:pic>
                    </a:graphicData>
                  </a:graphic>
                </wp:inline>
              </w:drawing>
            </w:r>
          </w:p>
          <w:p>
            <w:pPr>
              <w:adjustRightInd w:val="0"/>
              <w:snapToGrid w:val="0"/>
              <w:spacing w:line="360" w:lineRule="auto"/>
              <w:ind w:firstLine="480" w:firstLineChars="200"/>
              <w:rPr>
                <w:color w:val="auto"/>
                <w:sz w:val="24"/>
                <w:szCs w:val="24"/>
              </w:rPr>
            </w:pPr>
            <w:r>
              <w:rPr>
                <w:color w:val="auto"/>
                <w:sz w:val="24"/>
                <w:szCs w:val="24"/>
              </w:rPr>
              <w:t>式中：</w:t>
            </w:r>
            <w:r>
              <w:rPr>
                <w:i/>
                <w:color w:val="auto"/>
                <w:sz w:val="24"/>
                <w:szCs w:val="24"/>
              </w:rPr>
              <w:t>Lw</w:t>
            </w:r>
            <w:r>
              <w:rPr>
                <w:i/>
                <w:color w:val="auto"/>
                <w:sz w:val="24"/>
                <w:szCs w:val="24"/>
                <w:vertAlign w:val="subscript"/>
              </w:rPr>
              <w:t>2</w:t>
            </w:r>
            <w:r>
              <w:rPr>
                <w:color w:val="auto"/>
                <w:sz w:val="24"/>
                <w:szCs w:val="24"/>
              </w:rPr>
              <w:t>——中心位置位于透声面积（S）处的等效声源的倍频带声功率级，dB；</w:t>
            </w:r>
          </w:p>
          <w:p>
            <w:pPr>
              <w:adjustRightInd w:val="0"/>
              <w:snapToGrid w:val="0"/>
              <w:spacing w:line="360" w:lineRule="auto"/>
              <w:ind w:firstLine="960" w:firstLineChars="400"/>
              <w:rPr>
                <w:color w:val="auto"/>
                <w:sz w:val="24"/>
                <w:szCs w:val="24"/>
              </w:rPr>
            </w:pPr>
            <w:r>
              <w:rPr>
                <w:i/>
                <w:color w:val="auto"/>
                <w:sz w:val="24"/>
                <w:szCs w:val="24"/>
              </w:rPr>
              <w:t>Lp</w:t>
            </w:r>
            <w:r>
              <w:rPr>
                <w:i/>
                <w:color w:val="auto"/>
                <w:sz w:val="24"/>
                <w:szCs w:val="24"/>
                <w:vertAlign w:val="subscript"/>
              </w:rPr>
              <w:t>2</w:t>
            </w:r>
            <w:r>
              <w:rPr>
                <w:i/>
                <w:color w:val="auto"/>
                <w:sz w:val="24"/>
                <w:szCs w:val="24"/>
              </w:rPr>
              <w:t>(T)</w:t>
            </w:r>
            <w:r>
              <w:rPr>
                <w:color w:val="auto"/>
                <w:sz w:val="24"/>
                <w:szCs w:val="24"/>
              </w:rPr>
              <w:t>——靠近围护结构处室外声源的声压级，dB；</w:t>
            </w:r>
          </w:p>
          <w:p>
            <w:pPr>
              <w:adjustRightInd w:val="0"/>
              <w:snapToGrid w:val="0"/>
              <w:spacing w:line="360" w:lineRule="auto"/>
              <w:ind w:firstLine="960" w:firstLineChars="400"/>
              <w:rPr>
                <w:color w:val="auto"/>
                <w:sz w:val="24"/>
                <w:szCs w:val="24"/>
              </w:rPr>
            </w:pPr>
            <w:r>
              <w:rPr>
                <w:i/>
                <w:color w:val="auto"/>
                <w:sz w:val="24"/>
                <w:szCs w:val="24"/>
              </w:rPr>
              <w:t>S</w:t>
            </w:r>
            <w:r>
              <w:rPr>
                <w:color w:val="auto"/>
                <w:sz w:val="24"/>
                <w:szCs w:val="24"/>
              </w:rPr>
              <w:t>——透声面积，</w:t>
            </w:r>
            <w:r>
              <w:rPr>
                <w:rFonts w:eastAsia="TimesNewRomanPSMT"/>
                <w:color w:val="auto"/>
                <w:sz w:val="24"/>
                <w:szCs w:val="24"/>
              </w:rPr>
              <w:t>m</w:t>
            </w:r>
            <w:r>
              <w:rPr>
                <w:rFonts w:eastAsia="TimesNewRomanPSMT"/>
                <w:color w:val="auto"/>
                <w:sz w:val="24"/>
                <w:szCs w:val="24"/>
                <w:vertAlign w:val="superscript"/>
              </w:rPr>
              <w:t>2</w:t>
            </w:r>
            <w:r>
              <w:rPr>
                <w:color w:val="auto"/>
                <w:sz w:val="24"/>
                <w:szCs w:val="24"/>
              </w:rPr>
              <w:t>。</w:t>
            </w:r>
          </w:p>
          <w:p>
            <w:pPr>
              <w:autoSpaceDE w:val="0"/>
              <w:autoSpaceDN w:val="0"/>
              <w:adjustRightInd w:val="0"/>
              <w:snapToGrid w:val="0"/>
              <w:spacing w:line="360" w:lineRule="auto"/>
              <w:ind w:firstLine="480" w:firstLineChars="200"/>
              <w:jc w:val="left"/>
              <w:rPr>
                <w:color w:val="auto"/>
                <w:sz w:val="24"/>
                <w:szCs w:val="24"/>
              </w:rPr>
            </w:pPr>
            <w:r>
              <w:rPr>
                <w:color w:val="auto"/>
                <w:sz w:val="24"/>
                <w:szCs w:val="24"/>
              </w:rPr>
              <w:t>然后按室外声源预测方法计算预测点处的A声级。</w:t>
            </w:r>
          </w:p>
          <w:p>
            <w:pPr>
              <w:adjustRightInd w:val="0"/>
              <w:snapToGrid w:val="0"/>
              <w:spacing w:line="360" w:lineRule="auto"/>
              <w:ind w:firstLine="482" w:firstLineChars="200"/>
              <w:rPr>
                <w:b/>
                <w:bCs/>
                <w:color w:val="auto"/>
                <w:sz w:val="24"/>
                <w:szCs w:val="24"/>
              </w:rPr>
            </w:pPr>
            <w:r>
              <w:rPr>
                <w:b/>
                <w:bCs/>
                <w:color w:val="auto"/>
                <w:sz w:val="24"/>
                <w:szCs w:val="24"/>
              </w:rPr>
              <w:t>B、室外声源衰减</w:t>
            </w:r>
          </w:p>
          <w:p>
            <w:pPr>
              <w:adjustRightInd w:val="0"/>
              <w:snapToGrid w:val="0"/>
              <w:spacing w:line="360" w:lineRule="auto"/>
              <w:ind w:firstLine="480" w:firstLineChars="200"/>
              <w:rPr>
                <w:color w:val="auto"/>
                <w:sz w:val="24"/>
                <w:szCs w:val="24"/>
              </w:rPr>
            </w:pPr>
            <w:r>
              <w:rPr>
                <w:rFonts w:ascii="Cambria Math" w:hAnsi="Cambria Math" w:cs="Cambria Math"/>
                <w:color w:val="auto"/>
                <w:sz w:val="24"/>
                <w:szCs w:val="24"/>
              </w:rPr>
              <w:t>①</w:t>
            </w:r>
            <w:r>
              <w:rPr>
                <w:color w:val="auto"/>
                <w:sz w:val="24"/>
                <w:szCs w:val="24"/>
              </w:rPr>
              <w:t>计算某个声源在预测点的声级</w:t>
            </w:r>
          </w:p>
          <w:p>
            <w:pPr>
              <w:adjustRightInd w:val="0"/>
              <w:snapToGrid w:val="0"/>
              <w:spacing w:line="360" w:lineRule="auto"/>
              <w:jc w:val="center"/>
              <w:rPr>
                <w:color w:val="auto"/>
                <w:sz w:val="24"/>
                <w:szCs w:val="24"/>
              </w:rPr>
            </w:pPr>
            <w:r>
              <w:rPr>
                <w:color w:val="auto"/>
                <w:sz w:val="24"/>
                <w:szCs w:val="24"/>
              </w:rPr>
              <w:drawing>
                <wp:inline distT="0" distB="0" distL="0" distR="0">
                  <wp:extent cx="4070350" cy="330200"/>
                  <wp:effectExtent l="0" t="0" r="0" b="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a:xfrm>
                            <a:off x="0" y="0"/>
                            <a:ext cx="4070350" cy="330200"/>
                          </a:xfrm>
                          <a:prstGeom prst="rect">
                            <a:avLst/>
                          </a:prstGeom>
                          <a:noFill/>
                          <a:ln>
                            <a:noFill/>
                          </a:ln>
                        </pic:spPr>
                      </pic:pic>
                    </a:graphicData>
                  </a:graphic>
                </wp:inline>
              </w:drawing>
            </w:r>
          </w:p>
          <w:p>
            <w:pPr>
              <w:adjustRightInd w:val="0"/>
              <w:snapToGrid w:val="0"/>
              <w:spacing w:line="360" w:lineRule="auto"/>
              <w:ind w:firstLine="480" w:firstLineChars="200"/>
              <w:rPr>
                <w:b/>
                <w:bCs/>
                <w:color w:val="auto"/>
                <w:sz w:val="24"/>
                <w:szCs w:val="24"/>
              </w:rPr>
            </w:pPr>
            <w:r>
              <w:rPr>
                <w:color w:val="auto"/>
                <w:sz w:val="24"/>
                <w:szCs w:val="24"/>
              </w:rPr>
              <w:t>式中：</w:t>
            </w:r>
            <w:r>
              <w:rPr>
                <w:rFonts w:eastAsia="Times New Roman"/>
                <w:i/>
                <w:color w:val="auto"/>
                <w:sz w:val="24"/>
                <w:szCs w:val="24"/>
              </w:rPr>
              <w:t>L</w:t>
            </w:r>
            <w:r>
              <w:rPr>
                <w:rFonts w:eastAsia="Times New Roman"/>
                <w:i/>
                <w:color w:val="auto"/>
                <w:sz w:val="24"/>
                <w:szCs w:val="24"/>
                <w:vertAlign w:val="subscript"/>
              </w:rPr>
              <w:t>p</w:t>
            </w:r>
            <w:r>
              <w:rPr>
                <w:rFonts w:eastAsia="Times New Roman"/>
                <w:color w:val="auto"/>
                <w:sz w:val="24"/>
                <w:szCs w:val="24"/>
              </w:rPr>
              <w:t>(</w:t>
            </w:r>
            <w:r>
              <w:rPr>
                <w:rFonts w:eastAsia="Times New Roman"/>
                <w:i/>
                <w:color w:val="auto"/>
                <w:sz w:val="24"/>
                <w:szCs w:val="24"/>
              </w:rPr>
              <w:t>r</w:t>
            </w:r>
            <w:r>
              <w:rPr>
                <w:rFonts w:eastAsia="Times New Roman"/>
                <w:color w:val="auto"/>
                <w:sz w:val="24"/>
                <w:szCs w:val="24"/>
              </w:rPr>
              <w:t>)——</w:t>
            </w:r>
            <w:r>
              <w:rPr>
                <w:color w:val="auto"/>
                <w:sz w:val="24"/>
                <w:szCs w:val="24"/>
              </w:rPr>
              <w:t>预测点处声压级，</w:t>
            </w:r>
            <w:r>
              <w:rPr>
                <w:rFonts w:eastAsia="Times New Roman"/>
                <w:color w:val="auto"/>
                <w:sz w:val="24"/>
                <w:szCs w:val="24"/>
              </w:rPr>
              <w:t>dB</w:t>
            </w:r>
            <w:r>
              <w:rPr>
                <w:color w:val="auto"/>
                <w:sz w:val="24"/>
                <w:szCs w:val="24"/>
              </w:rPr>
              <w:t>；</w:t>
            </w:r>
          </w:p>
          <w:p>
            <w:pPr>
              <w:adjustRightInd w:val="0"/>
              <w:snapToGrid w:val="0"/>
              <w:spacing w:line="360" w:lineRule="auto"/>
              <w:ind w:firstLine="1200" w:firstLineChars="500"/>
              <w:rPr>
                <w:color w:val="auto"/>
                <w:sz w:val="24"/>
                <w:szCs w:val="24"/>
              </w:rPr>
            </w:pPr>
            <w:r>
              <w:rPr>
                <w:rFonts w:eastAsia="Times New Roman"/>
                <w:i/>
                <w:color w:val="auto"/>
                <w:sz w:val="24"/>
                <w:szCs w:val="24"/>
              </w:rPr>
              <w:t>Lp(r</w:t>
            </w:r>
            <w:r>
              <w:rPr>
                <w:rFonts w:eastAsia="Times New Roman"/>
                <w:i/>
                <w:color w:val="auto"/>
                <w:sz w:val="24"/>
                <w:szCs w:val="24"/>
                <w:vertAlign w:val="subscript"/>
              </w:rPr>
              <w:t>0</w:t>
            </w:r>
            <w:r>
              <w:rPr>
                <w:rFonts w:eastAsia="Times New Roman"/>
                <w:i/>
                <w:color w:val="auto"/>
                <w:sz w:val="24"/>
                <w:szCs w:val="24"/>
              </w:rPr>
              <w:t>)——</w:t>
            </w:r>
            <w:r>
              <w:rPr>
                <w:color w:val="auto"/>
                <w:sz w:val="24"/>
                <w:szCs w:val="24"/>
              </w:rPr>
              <w:t>参考位置r</w:t>
            </w:r>
            <w:r>
              <w:rPr>
                <w:color w:val="auto"/>
                <w:sz w:val="24"/>
                <w:szCs w:val="24"/>
                <w:vertAlign w:val="subscript"/>
              </w:rPr>
              <w:t>0</w:t>
            </w:r>
            <w:r>
              <w:rPr>
                <w:color w:val="auto"/>
                <w:sz w:val="24"/>
                <w:szCs w:val="24"/>
              </w:rPr>
              <w:t>处的声压级，dB；</w:t>
            </w:r>
          </w:p>
          <w:p>
            <w:pPr>
              <w:adjustRightInd w:val="0"/>
              <w:snapToGrid w:val="0"/>
              <w:spacing w:line="360" w:lineRule="auto"/>
              <w:ind w:firstLine="1200" w:firstLineChars="500"/>
              <w:rPr>
                <w:color w:val="auto"/>
                <w:sz w:val="24"/>
                <w:szCs w:val="24"/>
              </w:rPr>
            </w:pPr>
            <w:r>
              <w:rPr>
                <w:rFonts w:eastAsia="Times New Roman"/>
                <w:i/>
                <w:color w:val="auto"/>
                <w:sz w:val="24"/>
                <w:szCs w:val="24"/>
              </w:rPr>
              <w:t>D</w:t>
            </w:r>
            <w:r>
              <w:rPr>
                <w:rFonts w:eastAsia="Times New Roman"/>
                <w:color w:val="auto"/>
                <w:sz w:val="24"/>
                <w:szCs w:val="24"/>
                <w:vertAlign w:val="subscript"/>
              </w:rPr>
              <w:t xml:space="preserve">C </w:t>
            </w:r>
            <w:r>
              <w:rPr>
                <w:rFonts w:eastAsia="Times New Roman"/>
                <w:color w:val="auto"/>
                <w:sz w:val="24"/>
                <w:szCs w:val="24"/>
              </w:rPr>
              <w:t>——</w:t>
            </w:r>
            <w:r>
              <w:rPr>
                <w:color w:val="auto"/>
                <w:sz w:val="24"/>
                <w:szCs w:val="24"/>
              </w:rPr>
              <w:t>指向性校正，它描述点声源的等效连续声压级与产生声功率级</w:t>
            </w:r>
            <w:r>
              <w:rPr>
                <w:rFonts w:eastAsia="Times New Roman"/>
                <w:i/>
                <w:color w:val="auto"/>
                <w:sz w:val="24"/>
                <w:szCs w:val="24"/>
              </w:rPr>
              <w:t>Lw</w:t>
            </w:r>
            <w:r>
              <w:rPr>
                <w:color w:val="auto"/>
                <w:sz w:val="24"/>
                <w:szCs w:val="24"/>
              </w:rPr>
              <w:t>的全向点声源在规定方向的声级的偏差程度，</w:t>
            </w:r>
            <w:r>
              <w:rPr>
                <w:rFonts w:eastAsia="Times New Roman"/>
                <w:color w:val="auto"/>
                <w:sz w:val="24"/>
                <w:szCs w:val="24"/>
              </w:rPr>
              <w:t>dB</w:t>
            </w:r>
            <w:r>
              <w:rPr>
                <w:color w:val="auto"/>
                <w:sz w:val="24"/>
                <w:szCs w:val="24"/>
              </w:rPr>
              <w:t>；</w:t>
            </w:r>
          </w:p>
          <w:p>
            <w:pPr>
              <w:adjustRightInd w:val="0"/>
              <w:snapToGrid w:val="0"/>
              <w:spacing w:line="360" w:lineRule="auto"/>
              <w:ind w:firstLine="1200" w:firstLineChars="500"/>
              <w:rPr>
                <w:color w:val="auto"/>
                <w:sz w:val="24"/>
                <w:szCs w:val="24"/>
              </w:rPr>
            </w:pPr>
            <w:r>
              <w:rPr>
                <w:rFonts w:eastAsia="Times New Roman"/>
                <w:i/>
                <w:color w:val="auto"/>
                <w:sz w:val="24"/>
                <w:szCs w:val="24"/>
              </w:rPr>
              <w:t>A</w:t>
            </w:r>
            <w:r>
              <w:rPr>
                <w:rFonts w:eastAsia="Times New Roman"/>
                <w:color w:val="auto"/>
                <w:sz w:val="24"/>
                <w:szCs w:val="24"/>
                <w:vertAlign w:val="subscript"/>
              </w:rPr>
              <w:t>div</w:t>
            </w:r>
            <w:r>
              <w:rPr>
                <w:rFonts w:eastAsia="Times New Roman"/>
                <w:color w:val="auto"/>
                <w:sz w:val="24"/>
                <w:szCs w:val="24"/>
              </w:rPr>
              <w:t xml:space="preserve"> ——</w:t>
            </w:r>
            <w:r>
              <w:rPr>
                <w:color w:val="auto"/>
                <w:sz w:val="24"/>
                <w:szCs w:val="24"/>
              </w:rPr>
              <w:t>几何发散引起的衰减，</w:t>
            </w:r>
            <w:r>
              <w:rPr>
                <w:rFonts w:eastAsia="Times New Roman"/>
                <w:color w:val="auto"/>
                <w:sz w:val="24"/>
                <w:szCs w:val="24"/>
              </w:rPr>
              <w:t>dB</w:t>
            </w:r>
            <w:r>
              <w:rPr>
                <w:color w:val="auto"/>
                <w:sz w:val="24"/>
                <w:szCs w:val="24"/>
              </w:rPr>
              <w:t xml:space="preserve">； </w:t>
            </w:r>
          </w:p>
          <w:p>
            <w:pPr>
              <w:adjustRightInd w:val="0"/>
              <w:snapToGrid w:val="0"/>
              <w:spacing w:line="360" w:lineRule="auto"/>
              <w:ind w:firstLine="1200" w:firstLineChars="500"/>
              <w:rPr>
                <w:color w:val="auto"/>
                <w:sz w:val="24"/>
                <w:szCs w:val="24"/>
              </w:rPr>
            </w:pPr>
            <w:r>
              <w:rPr>
                <w:rFonts w:eastAsia="Times New Roman"/>
                <w:i/>
                <w:color w:val="auto"/>
                <w:sz w:val="24"/>
                <w:szCs w:val="24"/>
              </w:rPr>
              <w:t>A</w:t>
            </w:r>
            <w:r>
              <w:rPr>
                <w:rFonts w:eastAsia="Times New Roman"/>
                <w:color w:val="auto"/>
                <w:sz w:val="24"/>
                <w:szCs w:val="24"/>
                <w:vertAlign w:val="subscript"/>
              </w:rPr>
              <w:t>atm</w:t>
            </w:r>
            <w:r>
              <w:rPr>
                <w:rFonts w:eastAsia="Times New Roman"/>
                <w:color w:val="auto"/>
                <w:sz w:val="24"/>
                <w:szCs w:val="24"/>
              </w:rPr>
              <w:t>——</w:t>
            </w:r>
            <w:r>
              <w:rPr>
                <w:color w:val="auto"/>
                <w:sz w:val="24"/>
                <w:szCs w:val="24"/>
              </w:rPr>
              <w:t>大气吸收引起的衰减，</w:t>
            </w:r>
            <w:r>
              <w:rPr>
                <w:rFonts w:eastAsia="Times New Roman"/>
                <w:color w:val="auto"/>
                <w:sz w:val="24"/>
                <w:szCs w:val="24"/>
              </w:rPr>
              <w:t>dB</w:t>
            </w:r>
            <w:r>
              <w:rPr>
                <w:color w:val="auto"/>
                <w:sz w:val="24"/>
                <w:szCs w:val="24"/>
              </w:rPr>
              <w:t>；</w:t>
            </w:r>
          </w:p>
          <w:p>
            <w:pPr>
              <w:adjustRightInd w:val="0"/>
              <w:snapToGrid w:val="0"/>
              <w:spacing w:line="360" w:lineRule="auto"/>
              <w:ind w:firstLine="1200" w:firstLineChars="500"/>
              <w:rPr>
                <w:color w:val="auto"/>
                <w:sz w:val="24"/>
                <w:szCs w:val="24"/>
              </w:rPr>
            </w:pPr>
            <w:r>
              <w:rPr>
                <w:rFonts w:eastAsia="Times New Roman"/>
                <w:i/>
                <w:color w:val="auto"/>
                <w:sz w:val="24"/>
                <w:szCs w:val="24"/>
              </w:rPr>
              <w:t>A</w:t>
            </w:r>
            <w:r>
              <w:rPr>
                <w:rFonts w:eastAsia="Times New Roman"/>
                <w:color w:val="auto"/>
                <w:sz w:val="24"/>
                <w:szCs w:val="24"/>
                <w:vertAlign w:val="subscript"/>
              </w:rPr>
              <w:t>gr</w:t>
            </w:r>
            <w:r>
              <w:rPr>
                <w:rFonts w:eastAsia="Times New Roman"/>
                <w:color w:val="auto"/>
                <w:sz w:val="24"/>
                <w:szCs w:val="24"/>
              </w:rPr>
              <w:t>——</w:t>
            </w:r>
            <w:r>
              <w:rPr>
                <w:color w:val="auto"/>
                <w:sz w:val="24"/>
                <w:szCs w:val="24"/>
              </w:rPr>
              <w:t>地面效应引起的衰减，</w:t>
            </w:r>
            <w:r>
              <w:rPr>
                <w:rFonts w:eastAsia="Times New Roman"/>
                <w:color w:val="auto"/>
                <w:sz w:val="24"/>
                <w:szCs w:val="24"/>
              </w:rPr>
              <w:t>dB</w:t>
            </w:r>
            <w:r>
              <w:rPr>
                <w:color w:val="auto"/>
                <w:sz w:val="24"/>
                <w:szCs w:val="24"/>
              </w:rPr>
              <w:t>；</w:t>
            </w:r>
          </w:p>
          <w:p>
            <w:pPr>
              <w:adjustRightInd w:val="0"/>
              <w:snapToGrid w:val="0"/>
              <w:spacing w:line="360" w:lineRule="auto"/>
              <w:ind w:firstLine="1200" w:firstLineChars="500"/>
              <w:rPr>
                <w:color w:val="auto"/>
                <w:sz w:val="24"/>
                <w:szCs w:val="24"/>
              </w:rPr>
            </w:pPr>
            <w:r>
              <w:rPr>
                <w:rFonts w:eastAsia="Times New Roman"/>
                <w:i/>
                <w:color w:val="auto"/>
                <w:sz w:val="24"/>
                <w:szCs w:val="24"/>
              </w:rPr>
              <w:t>A</w:t>
            </w:r>
            <w:r>
              <w:rPr>
                <w:rFonts w:eastAsia="Times New Roman"/>
                <w:color w:val="auto"/>
                <w:sz w:val="24"/>
                <w:szCs w:val="24"/>
                <w:vertAlign w:val="subscript"/>
              </w:rPr>
              <w:t xml:space="preserve">bar </w:t>
            </w:r>
            <w:r>
              <w:rPr>
                <w:rFonts w:eastAsia="Times New Roman"/>
                <w:color w:val="auto"/>
                <w:sz w:val="24"/>
                <w:szCs w:val="24"/>
              </w:rPr>
              <w:t>——</w:t>
            </w:r>
            <w:r>
              <w:rPr>
                <w:color w:val="auto"/>
                <w:sz w:val="24"/>
                <w:szCs w:val="24"/>
              </w:rPr>
              <w:t>障碍物屏蔽引起的衰减，</w:t>
            </w:r>
            <w:r>
              <w:rPr>
                <w:rFonts w:eastAsia="Times New Roman"/>
                <w:color w:val="auto"/>
                <w:sz w:val="24"/>
                <w:szCs w:val="24"/>
              </w:rPr>
              <w:t>dB</w:t>
            </w:r>
            <w:r>
              <w:rPr>
                <w:color w:val="auto"/>
                <w:sz w:val="24"/>
                <w:szCs w:val="24"/>
              </w:rPr>
              <w:t>；</w:t>
            </w:r>
          </w:p>
          <w:p>
            <w:pPr>
              <w:adjustRightInd w:val="0"/>
              <w:snapToGrid w:val="0"/>
              <w:spacing w:line="360" w:lineRule="auto"/>
              <w:ind w:firstLine="1200" w:firstLineChars="500"/>
              <w:rPr>
                <w:b/>
                <w:bCs/>
                <w:color w:val="auto"/>
                <w:sz w:val="24"/>
                <w:szCs w:val="24"/>
              </w:rPr>
            </w:pPr>
            <w:r>
              <w:rPr>
                <w:rFonts w:eastAsia="Times New Roman"/>
                <w:i/>
                <w:color w:val="auto"/>
                <w:sz w:val="24"/>
                <w:szCs w:val="24"/>
              </w:rPr>
              <w:t>A</w:t>
            </w:r>
            <w:r>
              <w:rPr>
                <w:rFonts w:eastAsia="Times New Roman"/>
                <w:color w:val="auto"/>
                <w:sz w:val="24"/>
                <w:szCs w:val="24"/>
                <w:vertAlign w:val="subscript"/>
              </w:rPr>
              <w:t>misc</w:t>
            </w:r>
            <w:r>
              <w:rPr>
                <w:rFonts w:eastAsia="Times New Roman"/>
                <w:color w:val="auto"/>
                <w:sz w:val="24"/>
                <w:szCs w:val="24"/>
              </w:rPr>
              <w:t>——</w:t>
            </w:r>
            <w:r>
              <w:rPr>
                <w:color w:val="auto"/>
                <w:sz w:val="24"/>
                <w:szCs w:val="24"/>
              </w:rPr>
              <w:t>其他多方面效应引起的衰减，</w:t>
            </w:r>
            <w:r>
              <w:rPr>
                <w:rFonts w:eastAsia="Times New Roman"/>
                <w:color w:val="auto"/>
                <w:sz w:val="24"/>
                <w:szCs w:val="24"/>
              </w:rPr>
              <w:t>dB</w:t>
            </w:r>
            <w:r>
              <w:rPr>
                <w:color w:val="auto"/>
                <w:sz w:val="24"/>
                <w:szCs w:val="24"/>
              </w:rPr>
              <w:t xml:space="preserve">。 </w:t>
            </w:r>
          </w:p>
          <w:p>
            <w:pPr>
              <w:pStyle w:val="62"/>
              <w:ind w:firstLine="420"/>
              <w:rPr>
                <w:rFonts w:ascii="Times New Roman" w:hAnsi="Times New Roman"/>
                <w:color w:val="auto"/>
                <w:sz w:val="24"/>
                <w:szCs w:val="24"/>
              </w:rPr>
            </w:pPr>
            <w:r>
              <w:rPr>
                <w:rFonts w:ascii="Cambria Math" w:hAnsi="Cambria Math" w:cs="Cambria Math"/>
                <w:color w:val="auto"/>
                <w:sz w:val="24"/>
                <w:szCs w:val="24"/>
              </w:rPr>
              <w:t>②</w:t>
            </w:r>
            <w:r>
              <w:rPr>
                <w:rFonts w:ascii="Times New Roman" w:hAnsi="Times New Roman"/>
                <w:color w:val="auto"/>
                <w:sz w:val="24"/>
                <w:szCs w:val="24"/>
              </w:rPr>
              <w:t>已知靠近声源处某点的倍频带声压级</w:t>
            </w:r>
            <w:r>
              <w:rPr>
                <w:rFonts w:ascii="Times New Roman" w:hAnsi="Times New Roman" w:eastAsia="Times New Roman"/>
                <w:i/>
                <w:color w:val="auto"/>
                <w:sz w:val="24"/>
                <w:szCs w:val="24"/>
              </w:rPr>
              <w:t>L</w:t>
            </w:r>
            <w:r>
              <w:rPr>
                <w:rFonts w:ascii="Times New Roman" w:hAnsi="Times New Roman" w:eastAsia="Times New Roman"/>
                <w:i/>
                <w:color w:val="auto"/>
                <w:sz w:val="24"/>
                <w:szCs w:val="24"/>
                <w:vertAlign w:val="subscript"/>
              </w:rPr>
              <w:t>p</w:t>
            </w:r>
            <w:r>
              <w:rPr>
                <w:rFonts w:ascii="Times New Roman" w:hAnsi="Times New Roman" w:eastAsia="Times New Roman"/>
                <w:color w:val="auto"/>
                <w:sz w:val="24"/>
                <w:szCs w:val="24"/>
              </w:rPr>
              <w:t>(</w:t>
            </w:r>
            <w:r>
              <w:rPr>
                <w:rFonts w:ascii="Times New Roman" w:hAnsi="Times New Roman" w:eastAsia="Times New Roman"/>
                <w:i/>
                <w:color w:val="auto"/>
                <w:sz w:val="24"/>
                <w:szCs w:val="24"/>
              </w:rPr>
              <w:t>r</w:t>
            </w:r>
            <w:r>
              <w:rPr>
                <w:rFonts w:ascii="Times New Roman" w:hAnsi="Times New Roman"/>
                <w:i/>
                <w:color w:val="auto"/>
                <w:sz w:val="24"/>
                <w:szCs w:val="24"/>
                <w:vertAlign w:val="subscript"/>
              </w:rPr>
              <w:t>0</w:t>
            </w:r>
            <w:r>
              <w:rPr>
                <w:rFonts w:hint="eastAsia" w:ascii="Times New Roman" w:hAnsi="Times New Roman"/>
                <w:i/>
                <w:color w:val="auto"/>
                <w:sz w:val="24"/>
                <w:szCs w:val="24"/>
                <w:vertAlign w:val="subscript"/>
                <w:lang w:eastAsia="zh-CN"/>
              </w:rPr>
              <w:t>）</w:t>
            </w:r>
            <w:r>
              <w:rPr>
                <w:rFonts w:ascii="Times New Roman" w:hAnsi="Times New Roman"/>
                <w:color w:val="auto"/>
                <w:sz w:val="24"/>
                <w:szCs w:val="24"/>
              </w:rPr>
              <w:t>，计算相同方向预测点位置的倍频带声压级：</w:t>
            </w:r>
          </w:p>
          <w:p>
            <w:pPr>
              <w:adjustRightInd w:val="0"/>
              <w:snapToGrid w:val="0"/>
              <w:spacing w:line="360" w:lineRule="auto"/>
              <w:ind w:firstLine="480" w:firstLineChars="200"/>
              <w:jc w:val="center"/>
              <w:rPr>
                <w:b/>
                <w:bCs/>
                <w:color w:val="auto"/>
                <w:sz w:val="24"/>
                <w:szCs w:val="24"/>
              </w:rPr>
            </w:pPr>
            <w:r>
              <w:rPr>
                <w:color w:val="auto"/>
                <w:sz w:val="24"/>
                <w:szCs w:val="24"/>
              </w:rPr>
              <w:drawing>
                <wp:inline distT="0" distB="0" distL="0" distR="0">
                  <wp:extent cx="1454150" cy="457200"/>
                  <wp:effectExtent l="0" t="0" r="0" b="0"/>
                  <wp:docPr id="1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454150" cy="457200"/>
                          </a:xfrm>
                          <a:prstGeom prst="rect">
                            <a:avLst/>
                          </a:prstGeom>
                          <a:noFill/>
                          <a:ln>
                            <a:noFill/>
                          </a:ln>
                        </pic:spPr>
                      </pic:pic>
                    </a:graphicData>
                  </a:graphic>
                </wp:inline>
              </w:drawing>
            </w:r>
          </w:p>
          <w:p>
            <w:pPr>
              <w:adjustRightInd w:val="0"/>
              <w:snapToGrid w:val="0"/>
              <w:spacing w:line="360" w:lineRule="auto"/>
              <w:ind w:firstLine="480" w:firstLineChars="200"/>
              <w:rPr>
                <w:color w:val="auto"/>
                <w:sz w:val="24"/>
                <w:szCs w:val="24"/>
              </w:rPr>
            </w:pPr>
            <w:r>
              <w:rPr>
                <w:color w:val="auto"/>
                <w:sz w:val="24"/>
                <w:szCs w:val="24"/>
              </w:rPr>
              <w:t>预测点的A声级L</w:t>
            </w:r>
            <w:r>
              <w:rPr>
                <w:color w:val="auto"/>
                <w:sz w:val="24"/>
                <w:szCs w:val="24"/>
                <w:vertAlign w:val="subscript"/>
              </w:rPr>
              <w:t>A</w:t>
            </w:r>
            <w:r>
              <w:rPr>
                <w:color w:val="auto"/>
                <w:sz w:val="24"/>
                <w:szCs w:val="24"/>
              </w:rPr>
              <w:t>(r</w:t>
            </w:r>
            <w:r>
              <w:rPr>
                <w:rFonts w:hint="eastAsia"/>
                <w:color w:val="auto"/>
                <w:sz w:val="24"/>
                <w:szCs w:val="24"/>
                <w:lang w:eastAsia="zh-CN"/>
              </w:rPr>
              <w:t>）</w:t>
            </w:r>
            <w:r>
              <w:rPr>
                <w:color w:val="auto"/>
                <w:sz w:val="24"/>
                <w:szCs w:val="24"/>
              </w:rPr>
              <w:t>，可利用8个倍频带的声压级按如下计算：</w:t>
            </w:r>
          </w:p>
          <w:p>
            <w:pPr>
              <w:adjustRightInd w:val="0"/>
              <w:snapToGrid w:val="0"/>
              <w:spacing w:line="360" w:lineRule="auto"/>
              <w:ind w:firstLine="480" w:firstLineChars="200"/>
              <w:jc w:val="center"/>
              <w:rPr>
                <w:b/>
                <w:bCs/>
                <w:color w:val="auto"/>
                <w:sz w:val="24"/>
                <w:szCs w:val="24"/>
              </w:rPr>
            </w:pPr>
            <w:r>
              <w:rPr>
                <w:color w:val="auto"/>
                <w:sz w:val="24"/>
                <w:szCs w:val="24"/>
              </w:rPr>
              <w:drawing>
                <wp:inline distT="0" distB="0" distL="0" distR="0">
                  <wp:extent cx="2266950" cy="558800"/>
                  <wp:effectExtent l="0" t="0" r="0" b="0"/>
                  <wp:docPr id="15"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266950" cy="558800"/>
                          </a:xfrm>
                          <a:prstGeom prst="rect">
                            <a:avLst/>
                          </a:prstGeom>
                          <a:noFill/>
                          <a:ln>
                            <a:noFill/>
                          </a:ln>
                        </pic:spPr>
                      </pic:pic>
                    </a:graphicData>
                  </a:graphic>
                </wp:inline>
              </w:drawing>
            </w:r>
          </w:p>
          <w:p>
            <w:pPr>
              <w:adjustRightInd w:val="0"/>
              <w:snapToGrid w:val="0"/>
              <w:spacing w:line="360" w:lineRule="auto"/>
              <w:ind w:firstLine="480" w:firstLineChars="200"/>
              <w:rPr>
                <w:color w:val="auto"/>
                <w:sz w:val="24"/>
                <w:szCs w:val="24"/>
              </w:rPr>
            </w:pPr>
            <w:r>
              <w:rPr>
                <w:color w:val="auto"/>
                <w:sz w:val="24"/>
                <w:szCs w:val="24"/>
              </w:rPr>
              <w:t>式中：L</w:t>
            </w:r>
            <w:r>
              <w:rPr>
                <w:color w:val="auto"/>
                <w:sz w:val="24"/>
                <w:szCs w:val="24"/>
                <w:vertAlign w:val="subscript"/>
              </w:rPr>
              <w:t>A</w:t>
            </w:r>
            <w:r>
              <w:rPr>
                <w:color w:val="auto"/>
                <w:sz w:val="24"/>
                <w:szCs w:val="24"/>
              </w:rPr>
              <w:t>(r)</w:t>
            </w:r>
            <w:r>
              <w:rPr>
                <w:rFonts w:eastAsia="TimesNewRomanPSMT"/>
                <w:color w:val="auto"/>
                <w:sz w:val="24"/>
                <w:szCs w:val="24"/>
              </w:rPr>
              <w:t>——</w:t>
            </w:r>
            <w:r>
              <w:rPr>
                <w:color w:val="auto"/>
                <w:sz w:val="24"/>
                <w:szCs w:val="24"/>
              </w:rPr>
              <w:t>距声源r处的A声级，dB(A</w:t>
            </w:r>
            <w:r>
              <w:rPr>
                <w:rFonts w:hint="eastAsia"/>
                <w:color w:val="auto"/>
                <w:sz w:val="24"/>
                <w:szCs w:val="24"/>
                <w:lang w:eastAsia="zh-CN"/>
              </w:rPr>
              <w:t>）</w:t>
            </w:r>
            <w:r>
              <w:rPr>
                <w:color w:val="auto"/>
                <w:sz w:val="24"/>
                <w:szCs w:val="24"/>
              </w:rPr>
              <w:t>；</w:t>
            </w:r>
          </w:p>
          <w:p>
            <w:pPr>
              <w:adjustRightInd w:val="0"/>
              <w:snapToGrid w:val="0"/>
              <w:spacing w:line="360" w:lineRule="auto"/>
              <w:ind w:firstLine="1200" w:firstLineChars="500"/>
              <w:rPr>
                <w:color w:val="auto"/>
                <w:sz w:val="24"/>
                <w:szCs w:val="24"/>
              </w:rPr>
            </w:pPr>
            <w:r>
              <w:rPr>
                <w:rFonts w:eastAsia="Times New Roman"/>
                <w:color w:val="auto"/>
                <w:sz w:val="24"/>
                <w:szCs w:val="24"/>
              </w:rPr>
              <w:t>LPi</w:t>
            </w:r>
            <w:r>
              <w:rPr>
                <w:color w:val="auto"/>
                <w:sz w:val="24"/>
                <w:szCs w:val="24"/>
              </w:rPr>
              <w:t>（</w:t>
            </w:r>
            <w:r>
              <w:rPr>
                <w:rFonts w:eastAsia="Times New Roman"/>
                <w:color w:val="auto"/>
                <w:sz w:val="24"/>
                <w:szCs w:val="24"/>
              </w:rPr>
              <w:t>r</w:t>
            </w:r>
            <w:r>
              <w:rPr>
                <w:color w:val="auto"/>
                <w:sz w:val="24"/>
                <w:szCs w:val="24"/>
              </w:rPr>
              <w:t>）</w:t>
            </w:r>
            <w:r>
              <w:rPr>
                <w:rFonts w:eastAsia="TimesNewRomanPSMT"/>
                <w:color w:val="auto"/>
                <w:sz w:val="24"/>
                <w:szCs w:val="24"/>
              </w:rPr>
              <w:t>——</w:t>
            </w:r>
            <w:r>
              <w:rPr>
                <w:color w:val="auto"/>
                <w:sz w:val="24"/>
                <w:szCs w:val="24"/>
              </w:rPr>
              <w:t>预测点（</w:t>
            </w:r>
            <w:r>
              <w:rPr>
                <w:rFonts w:eastAsia="TimesNewRomanPSMT"/>
                <w:color w:val="auto"/>
                <w:sz w:val="24"/>
                <w:szCs w:val="24"/>
              </w:rPr>
              <w:t>r</w:t>
            </w:r>
            <w:r>
              <w:rPr>
                <w:color w:val="auto"/>
                <w:sz w:val="24"/>
                <w:szCs w:val="24"/>
              </w:rPr>
              <w:t>）处，第</w:t>
            </w:r>
            <w:r>
              <w:rPr>
                <w:rFonts w:eastAsia="TimesNewRomanPSMT"/>
                <w:color w:val="auto"/>
                <w:sz w:val="24"/>
                <w:szCs w:val="24"/>
              </w:rPr>
              <w:t>i</w:t>
            </w:r>
            <w:r>
              <w:rPr>
                <w:color w:val="auto"/>
                <w:sz w:val="24"/>
                <w:szCs w:val="24"/>
              </w:rPr>
              <w:t>倍频带声压级，</w:t>
            </w:r>
            <w:r>
              <w:rPr>
                <w:rFonts w:eastAsia="TimesNewRomanPSMT"/>
                <w:color w:val="auto"/>
                <w:sz w:val="24"/>
                <w:szCs w:val="24"/>
              </w:rPr>
              <w:t>dB</w:t>
            </w:r>
            <w:r>
              <w:rPr>
                <w:color w:val="auto"/>
                <w:sz w:val="24"/>
                <w:szCs w:val="24"/>
              </w:rPr>
              <w:t>；</w:t>
            </w:r>
          </w:p>
          <w:p>
            <w:pPr>
              <w:adjustRightInd w:val="0"/>
              <w:snapToGrid w:val="0"/>
              <w:spacing w:line="360" w:lineRule="auto"/>
              <w:ind w:firstLine="1200" w:firstLineChars="500"/>
              <w:rPr>
                <w:color w:val="auto"/>
                <w:sz w:val="24"/>
                <w:szCs w:val="24"/>
              </w:rPr>
            </w:pPr>
            <w:r>
              <w:rPr>
                <w:rFonts w:eastAsia="微软雅黑"/>
                <w:color w:val="auto"/>
                <w:sz w:val="24"/>
                <w:szCs w:val="24"/>
              </w:rPr>
              <w:t>∆</w:t>
            </w:r>
            <w:r>
              <w:rPr>
                <w:rFonts w:eastAsia="Times New Roman"/>
                <w:color w:val="auto"/>
                <w:sz w:val="24"/>
                <w:szCs w:val="24"/>
              </w:rPr>
              <w:t xml:space="preserve">LPi </w:t>
            </w:r>
            <w:r>
              <w:rPr>
                <w:rFonts w:eastAsia="TimesNewRomanPSMT"/>
                <w:color w:val="auto"/>
                <w:sz w:val="24"/>
                <w:szCs w:val="24"/>
              </w:rPr>
              <w:t>——i</w:t>
            </w:r>
            <w:r>
              <w:rPr>
                <w:color w:val="auto"/>
                <w:sz w:val="24"/>
                <w:szCs w:val="24"/>
              </w:rPr>
              <w:t>倍频带</w:t>
            </w:r>
            <w:r>
              <w:rPr>
                <w:rFonts w:eastAsia="TimesNewRomanPSMT"/>
                <w:color w:val="auto"/>
                <w:sz w:val="24"/>
                <w:szCs w:val="24"/>
              </w:rPr>
              <w:t>A</w:t>
            </w:r>
            <w:r>
              <w:rPr>
                <w:color w:val="auto"/>
                <w:sz w:val="24"/>
                <w:szCs w:val="24"/>
              </w:rPr>
              <w:t>计权网络修正值，</w:t>
            </w:r>
            <w:r>
              <w:rPr>
                <w:rFonts w:eastAsia="TimesNewRomanPSMT"/>
                <w:color w:val="auto"/>
                <w:sz w:val="24"/>
                <w:szCs w:val="24"/>
              </w:rPr>
              <w:t>dB</w:t>
            </w:r>
            <w:r>
              <w:rPr>
                <w:color w:val="auto"/>
                <w:sz w:val="24"/>
                <w:szCs w:val="24"/>
              </w:rPr>
              <w:t>。</w:t>
            </w:r>
          </w:p>
          <w:p>
            <w:pPr>
              <w:adjustRightInd w:val="0"/>
              <w:snapToGrid w:val="0"/>
              <w:spacing w:line="360" w:lineRule="auto"/>
              <w:ind w:firstLine="480" w:firstLineChars="200"/>
              <w:rPr>
                <w:b/>
                <w:bCs/>
                <w:color w:val="auto"/>
                <w:sz w:val="24"/>
                <w:szCs w:val="24"/>
              </w:rPr>
            </w:pPr>
            <w:r>
              <w:rPr>
                <w:color w:val="auto"/>
                <w:sz w:val="24"/>
                <w:szCs w:val="24"/>
              </w:rPr>
              <w:t>在不能取得声源倍频带声功率级或倍频带声压，只能获得</w:t>
            </w:r>
            <w:r>
              <w:rPr>
                <w:rFonts w:eastAsia="TimesNewRomanPSMT"/>
                <w:color w:val="auto"/>
                <w:sz w:val="24"/>
                <w:szCs w:val="24"/>
              </w:rPr>
              <w:t>A</w:t>
            </w:r>
            <w:r>
              <w:rPr>
                <w:color w:val="auto"/>
                <w:sz w:val="24"/>
                <w:szCs w:val="24"/>
              </w:rPr>
              <w:t>声功率级或某点的</w:t>
            </w:r>
            <w:r>
              <w:rPr>
                <w:rFonts w:eastAsia="TimesNewRomanPSMT"/>
                <w:color w:val="auto"/>
                <w:sz w:val="24"/>
                <w:szCs w:val="24"/>
              </w:rPr>
              <w:t>A</w:t>
            </w:r>
            <w:r>
              <w:rPr>
                <w:color w:val="auto"/>
                <w:sz w:val="24"/>
                <w:szCs w:val="24"/>
              </w:rPr>
              <w:t>声级时，按如下公式近似计算；</w:t>
            </w:r>
          </w:p>
          <w:p>
            <w:pPr>
              <w:adjustRightInd w:val="0"/>
              <w:snapToGrid w:val="0"/>
              <w:ind w:firstLine="480" w:firstLineChars="200"/>
              <w:jc w:val="center"/>
              <w:rPr>
                <w:b/>
                <w:bCs/>
                <w:color w:val="auto"/>
                <w:sz w:val="24"/>
                <w:szCs w:val="24"/>
              </w:rPr>
            </w:pPr>
            <w:r>
              <w:rPr>
                <w:color w:val="auto"/>
                <w:sz w:val="24"/>
                <w:szCs w:val="24"/>
              </w:rPr>
              <w:drawing>
                <wp:inline distT="0" distB="0" distL="0" distR="0">
                  <wp:extent cx="3384550" cy="330200"/>
                  <wp:effectExtent l="0" t="0" r="0" b="0"/>
                  <wp:docPr id="1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3384550" cy="330200"/>
                          </a:xfrm>
                          <a:prstGeom prst="rect">
                            <a:avLst/>
                          </a:prstGeom>
                          <a:noFill/>
                          <a:ln>
                            <a:noFill/>
                          </a:ln>
                        </pic:spPr>
                      </pic:pic>
                    </a:graphicData>
                  </a:graphic>
                </wp:inline>
              </w:drawing>
            </w:r>
          </w:p>
          <w:p>
            <w:pPr>
              <w:adjustRightInd w:val="0"/>
              <w:snapToGrid w:val="0"/>
              <w:spacing w:line="360" w:lineRule="auto"/>
              <w:ind w:firstLine="480" w:firstLineChars="200"/>
              <w:rPr>
                <w:color w:val="auto"/>
                <w:sz w:val="24"/>
                <w:szCs w:val="24"/>
              </w:rPr>
            </w:pPr>
            <w:r>
              <w:rPr>
                <w:color w:val="auto"/>
                <w:sz w:val="24"/>
                <w:szCs w:val="24"/>
              </w:rPr>
              <w:t>可选择对A声级影响最大的倍频带计算，一般可选中心频率为500</w:t>
            </w:r>
            <w:r>
              <w:rPr>
                <w:rFonts w:hint="eastAsia"/>
                <w:color w:val="auto"/>
                <w:sz w:val="24"/>
                <w:szCs w:val="24"/>
                <w:lang w:eastAsia="zh-CN"/>
              </w:rPr>
              <w:t>Hz</w:t>
            </w:r>
            <w:r>
              <w:rPr>
                <w:color w:val="auto"/>
                <w:sz w:val="24"/>
                <w:szCs w:val="24"/>
              </w:rPr>
              <w:t>的倍频带作估算。</w:t>
            </w:r>
          </w:p>
          <w:p>
            <w:pPr>
              <w:adjustRightInd w:val="0"/>
              <w:snapToGrid w:val="0"/>
              <w:spacing w:line="360" w:lineRule="auto"/>
              <w:ind w:firstLine="480" w:firstLineChars="200"/>
              <w:rPr>
                <w:color w:val="auto"/>
                <w:sz w:val="24"/>
                <w:szCs w:val="24"/>
              </w:rPr>
            </w:pPr>
            <w:r>
              <w:rPr>
                <w:rFonts w:ascii="Cambria Math" w:hAnsi="Cambria Math" w:cs="Cambria Math"/>
                <w:color w:val="auto"/>
                <w:sz w:val="24"/>
                <w:szCs w:val="24"/>
              </w:rPr>
              <w:t>③</w:t>
            </w:r>
            <w:r>
              <w:rPr>
                <w:color w:val="auto"/>
                <w:sz w:val="24"/>
                <w:szCs w:val="24"/>
              </w:rPr>
              <w:t>各种因素引起的衰减量计算</w:t>
            </w:r>
          </w:p>
          <w:p>
            <w:pPr>
              <w:adjustRightInd w:val="0"/>
              <w:snapToGrid w:val="0"/>
              <w:spacing w:line="360" w:lineRule="auto"/>
              <w:ind w:firstLine="480" w:firstLineChars="200"/>
              <w:rPr>
                <w:color w:val="auto"/>
                <w:sz w:val="24"/>
                <w:szCs w:val="24"/>
              </w:rPr>
            </w:pPr>
            <w:r>
              <w:rPr>
                <w:color w:val="auto"/>
                <w:sz w:val="24"/>
                <w:szCs w:val="24"/>
              </w:rPr>
              <w:t>a.几何发散衰减：A</w:t>
            </w:r>
            <w:r>
              <w:rPr>
                <w:color w:val="auto"/>
                <w:sz w:val="24"/>
                <w:szCs w:val="24"/>
                <w:vertAlign w:val="subscript"/>
              </w:rPr>
              <w:t>div</w:t>
            </w:r>
            <w:r>
              <w:rPr>
                <w:color w:val="auto"/>
                <w:sz w:val="24"/>
                <w:szCs w:val="24"/>
              </w:rPr>
              <w:t>=20×lg（r/r</w:t>
            </w:r>
            <w:r>
              <w:rPr>
                <w:color w:val="auto"/>
                <w:sz w:val="24"/>
                <w:szCs w:val="24"/>
                <w:vertAlign w:val="subscript"/>
              </w:rPr>
              <w:t>0</w:t>
            </w:r>
            <w:r>
              <w:rPr>
                <w:color w:val="auto"/>
                <w:sz w:val="24"/>
                <w:szCs w:val="24"/>
              </w:rPr>
              <w:t>）</w:t>
            </w:r>
          </w:p>
          <w:p>
            <w:pPr>
              <w:adjustRightInd w:val="0"/>
              <w:snapToGrid w:val="0"/>
              <w:spacing w:line="360" w:lineRule="auto"/>
              <w:ind w:firstLine="480" w:firstLineChars="200"/>
              <w:rPr>
                <w:color w:val="auto"/>
                <w:sz w:val="24"/>
                <w:szCs w:val="24"/>
              </w:rPr>
            </w:pPr>
            <w:r>
              <w:rPr>
                <w:color w:val="auto"/>
                <w:sz w:val="24"/>
                <w:szCs w:val="24"/>
              </w:rPr>
              <w:t>b.空气吸收引起的衰减量：A</w:t>
            </w:r>
            <w:r>
              <w:rPr>
                <w:color w:val="auto"/>
                <w:sz w:val="24"/>
                <w:szCs w:val="24"/>
                <w:vertAlign w:val="subscript"/>
              </w:rPr>
              <w:t>atm</w:t>
            </w:r>
            <w:r>
              <w:rPr>
                <w:color w:val="auto"/>
                <w:sz w:val="24"/>
                <w:szCs w:val="24"/>
              </w:rPr>
              <w:t>=α×（r-r</w:t>
            </w:r>
            <w:r>
              <w:rPr>
                <w:color w:val="auto"/>
                <w:sz w:val="24"/>
                <w:szCs w:val="24"/>
                <w:vertAlign w:val="subscript"/>
              </w:rPr>
              <w:t>0</w:t>
            </w:r>
            <w:r>
              <w:rPr>
                <w:color w:val="auto"/>
                <w:sz w:val="24"/>
                <w:szCs w:val="24"/>
              </w:rPr>
              <w:t>）/1000</w:t>
            </w:r>
          </w:p>
          <w:p>
            <w:pPr>
              <w:adjustRightInd w:val="0"/>
              <w:snapToGrid w:val="0"/>
              <w:spacing w:line="360" w:lineRule="auto"/>
              <w:ind w:firstLine="480" w:firstLineChars="200"/>
              <w:rPr>
                <w:color w:val="auto"/>
                <w:sz w:val="24"/>
                <w:szCs w:val="24"/>
              </w:rPr>
            </w:pPr>
            <w:r>
              <w:rPr>
                <w:color w:val="auto"/>
                <w:sz w:val="24"/>
                <w:szCs w:val="24"/>
              </w:rPr>
              <w:t>式中：α——空气吸收系数，km/dB。</w:t>
            </w:r>
          </w:p>
          <w:p>
            <w:pPr>
              <w:adjustRightInd w:val="0"/>
              <w:snapToGrid w:val="0"/>
              <w:spacing w:line="360" w:lineRule="auto"/>
              <w:ind w:firstLine="480" w:firstLineChars="200"/>
              <w:rPr>
                <w:color w:val="auto"/>
                <w:sz w:val="24"/>
                <w:szCs w:val="24"/>
              </w:rPr>
            </w:pPr>
            <w:r>
              <w:rPr>
                <w:color w:val="auto"/>
                <w:sz w:val="24"/>
                <w:szCs w:val="24"/>
              </w:rPr>
              <w:t>c.地面效应引起的衰减量：A</w:t>
            </w:r>
            <w:r>
              <w:rPr>
                <w:color w:val="auto"/>
                <w:sz w:val="24"/>
                <w:szCs w:val="24"/>
                <w:vertAlign w:val="subscript"/>
              </w:rPr>
              <w:t>gr</w:t>
            </w:r>
            <w:r>
              <w:rPr>
                <w:color w:val="auto"/>
                <w:sz w:val="24"/>
                <w:szCs w:val="24"/>
              </w:rPr>
              <w:t>=4.8-（2h</w:t>
            </w:r>
            <w:r>
              <w:rPr>
                <w:color w:val="auto"/>
                <w:sz w:val="24"/>
                <w:szCs w:val="24"/>
                <w:vertAlign w:val="subscript"/>
              </w:rPr>
              <w:t>m</w:t>
            </w:r>
            <w:r>
              <w:rPr>
                <w:color w:val="auto"/>
                <w:sz w:val="24"/>
                <w:szCs w:val="24"/>
              </w:rPr>
              <w:t>/r）×（17+300/r）</w:t>
            </w:r>
          </w:p>
          <w:p>
            <w:pPr>
              <w:adjustRightInd w:val="0"/>
              <w:snapToGrid w:val="0"/>
              <w:spacing w:line="360" w:lineRule="auto"/>
              <w:ind w:firstLine="480" w:firstLineChars="200"/>
              <w:rPr>
                <w:color w:val="auto"/>
                <w:sz w:val="24"/>
                <w:szCs w:val="24"/>
              </w:rPr>
            </w:pPr>
            <w:r>
              <w:rPr>
                <w:color w:val="auto"/>
                <w:sz w:val="24"/>
                <w:szCs w:val="24"/>
              </w:rPr>
              <w:t>式中：r——声源到预测点的距离，m；</w:t>
            </w:r>
          </w:p>
          <w:p>
            <w:pPr>
              <w:pStyle w:val="62"/>
              <w:ind w:firstLine="1200" w:firstLineChars="500"/>
              <w:rPr>
                <w:rFonts w:ascii="Times New Roman" w:hAnsi="Times New Roman"/>
                <w:color w:val="auto"/>
                <w:sz w:val="24"/>
                <w:szCs w:val="24"/>
              </w:rPr>
            </w:pPr>
            <w:r>
              <w:rPr>
                <w:rFonts w:ascii="Times New Roman" w:hAnsi="Times New Roman"/>
                <w:color w:val="auto"/>
                <w:sz w:val="24"/>
                <w:szCs w:val="24"/>
              </w:rPr>
              <w:t>h</w:t>
            </w:r>
            <w:r>
              <w:rPr>
                <w:rFonts w:ascii="Times New Roman" w:hAnsi="Times New Roman"/>
                <w:color w:val="auto"/>
                <w:sz w:val="24"/>
                <w:szCs w:val="24"/>
                <w:vertAlign w:val="subscript"/>
              </w:rPr>
              <w:t>m</w:t>
            </w:r>
            <w:r>
              <w:rPr>
                <w:rFonts w:ascii="Times New Roman" w:hAnsi="Times New Roman"/>
                <w:color w:val="auto"/>
                <w:sz w:val="24"/>
                <w:szCs w:val="24"/>
              </w:rPr>
              <w:t>——传播路径的平均离地高度。</w:t>
            </w:r>
          </w:p>
          <w:p>
            <w:pPr>
              <w:adjustRightInd w:val="0"/>
              <w:snapToGrid w:val="0"/>
              <w:spacing w:line="360" w:lineRule="auto"/>
              <w:ind w:firstLine="482" w:firstLineChars="200"/>
              <w:rPr>
                <w:b/>
                <w:bCs/>
                <w:color w:val="auto"/>
                <w:sz w:val="24"/>
                <w:szCs w:val="24"/>
              </w:rPr>
            </w:pPr>
            <w:r>
              <w:rPr>
                <w:b/>
                <w:bCs/>
                <w:color w:val="auto"/>
                <w:sz w:val="24"/>
                <w:szCs w:val="24"/>
              </w:rPr>
              <w:t>C、多个室外声源噪声贡献值叠加</w:t>
            </w:r>
          </w:p>
          <w:p>
            <w:pPr>
              <w:adjustRightInd w:val="0"/>
              <w:snapToGrid w:val="0"/>
              <w:spacing w:line="360" w:lineRule="auto"/>
              <w:ind w:firstLine="480" w:firstLineChars="200"/>
              <w:rPr>
                <w:color w:val="auto"/>
                <w:sz w:val="24"/>
                <w:szCs w:val="24"/>
              </w:rPr>
            </w:pPr>
            <w:r>
              <w:rPr>
                <w:rFonts w:ascii="Cambria Math" w:hAnsi="Cambria Math" w:cs="Cambria Math"/>
                <w:color w:val="auto"/>
                <w:sz w:val="24"/>
                <w:szCs w:val="24"/>
              </w:rPr>
              <w:t>①</w:t>
            </w:r>
            <w:r>
              <w:rPr>
                <w:color w:val="auto"/>
                <w:sz w:val="24"/>
                <w:szCs w:val="24"/>
              </w:rPr>
              <w:t>设第</w:t>
            </w:r>
            <w:r>
              <w:rPr>
                <w:rFonts w:eastAsia="TimesNewRomanPSMT"/>
                <w:color w:val="auto"/>
                <w:sz w:val="24"/>
                <w:szCs w:val="24"/>
              </w:rPr>
              <w:t>i</w:t>
            </w:r>
            <w:r>
              <w:rPr>
                <w:color w:val="auto"/>
                <w:sz w:val="24"/>
                <w:szCs w:val="24"/>
              </w:rPr>
              <w:t>个室外声源在计算点产生的</w:t>
            </w:r>
            <w:r>
              <w:rPr>
                <w:rFonts w:eastAsia="TimesNewRomanPSMT"/>
                <w:color w:val="auto"/>
                <w:sz w:val="24"/>
                <w:szCs w:val="24"/>
              </w:rPr>
              <w:t>A</w:t>
            </w:r>
            <w:r>
              <w:rPr>
                <w:color w:val="auto"/>
                <w:sz w:val="24"/>
                <w:szCs w:val="24"/>
              </w:rPr>
              <w:t>声级为</w:t>
            </w:r>
            <w:r>
              <w:rPr>
                <w:rFonts w:eastAsia="TimesNewRomanPSMT"/>
                <w:color w:val="auto"/>
                <w:sz w:val="24"/>
                <w:szCs w:val="24"/>
              </w:rPr>
              <w:t>LAi</w:t>
            </w:r>
            <w:r>
              <w:rPr>
                <w:color w:val="auto"/>
                <w:sz w:val="24"/>
                <w:szCs w:val="24"/>
              </w:rPr>
              <w:t>，在</w:t>
            </w:r>
            <w:r>
              <w:rPr>
                <w:rFonts w:eastAsia="TimesNewRomanPSMT"/>
                <w:color w:val="auto"/>
                <w:sz w:val="24"/>
                <w:szCs w:val="24"/>
              </w:rPr>
              <w:t>T</w:t>
            </w:r>
            <w:r>
              <w:rPr>
                <w:color w:val="auto"/>
                <w:sz w:val="24"/>
                <w:szCs w:val="24"/>
              </w:rPr>
              <w:t>时间内该声源工作时间为</w:t>
            </w:r>
            <w:r>
              <w:rPr>
                <w:rFonts w:eastAsia="TimesNewRomanPSMT"/>
                <w:color w:val="auto"/>
                <w:sz w:val="24"/>
                <w:szCs w:val="24"/>
              </w:rPr>
              <w:t>ti</w:t>
            </w:r>
            <w:r>
              <w:rPr>
                <w:color w:val="auto"/>
                <w:sz w:val="24"/>
                <w:szCs w:val="24"/>
              </w:rPr>
              <w:t>；第</w:t>
            </w:r>
            <w:r>
              <w:rPr>
                <w:rFonts w:eastAsia="TimesNewRomanPSMT"/>
                <w:color w:val="auto"/>
                <w:sz w:val="24"/>
                <w:szCs w:val="24"/>
              </w:rPr>
              <w:t>j</w:t>
            </w:r>
            <w:r>
              <w:rPr>
                <w:color w:val="auto"/>
                <w:sz w:val="24"/>
                <w:szCs w:val="24"/>
              </w:rPr>
              <w:t>个等效室外声源在计算点产生的</w:t>
            </w:r>
            <w:r>
              <w:rPr>
                <w:rFonts w:eastAsia="TimesNewRomanPSMT"/>
                <w:color w:val="auto"/>
                <w:sz w:val="24"/>
                <w:szCs w:val="24"/>
              </w:rPr>
              <w:t>A</w:t>
            </w:r>
            <w:r>
              <w:rPr>
                <w:color w:val="auto"/>
                <w:sz w:val="24"/>
                <w:szCs w:val="24"/>
              </w:rPr>
              <w:t>声级为</w:t>
            </w:r>
            <w:r>
              <w:rPr>
                <w:rFonts w:eastAsia="TimesNewRomanPSMT"/>
                <w:color w:val="auto"/>
                <w:sz w:val="24"/>
                <w:szCs w:val="24"/>
              </w:rPr>
              <w:t>LAj</w:t>
            </w:r>
            <w:r>
              <w:rPr>
                <w:color w:val="auto"/>
                <w:sz w:val="24"/>
                <w:szCs w:val="24"/>
              </w:rPr>
              <w:t>，在</w:t>
            </w:r>
            <w:r>
              <w:rPr>
                <w:rFonts w:eastAsia="TimesNewRomanPSMT"/>
                <w:color w:val="auto"/>
                <w:sz w:val="24"/>
                <w:szCs w:val="24"/>
              </w:rPr>
              <w:t>T</w:t>
            </w:r>
            <w:r>
              <w:rPr>
                <w:color w:val="auto"/>
                <w:sz w:val="24"/>
                <w:szCs w:val="24"/>
              </w:rPr>
              <w:t>时间内该声源工作时间为</w:t>
            </w:r>
            <w:r>
              <w:rPr>
                <w:rFonts w:eastAsia="TimesNewRomanPSMT"/>
                <w:color w:val="auto"/>
                <w:sz w:val="24"/>
                <w:szCs w:val="24"/>
              </w:rPr>
              <w:t>tj</w:t>
            </w:r>
            <w:r>
              <w:rPr>
                <w:color w:val="auto"/>
                <w:sz w:val="24"/>
                <w:szCs w:val="24"/>
              </w:rPr>
              <w:t>，则拟建工程声源对预测点产生的贡献值（Leqg）为：</w:t>
            </w:r>
          </w:p>
          <w:p>
            <w:pPr>
              <w:adjustRightInd w:val="0"/>
              <w:snapToGrid w:val="0"/>
              <w:ind w:firstLine="480" w:firstLineChars="200"/>
              <w:jc w:val="center"/>
              <w:rPr>
                <w:color w:val="auto"/>
                <w:sz w:val="24"/>
                <w:szCs w:val="24"/>
              </w:rPr>
            </w:pPr>
            <w:r>
              <w:rPr>
                <w:color w:val="auto"/>
                <w:sz w:val="24"/>
                <w:szCs w:val="24"/>
              </w:rPr>
              <w:drawing>
                <wp:inline distT="0" distB="0" distL="0" distR="0">
                  <wp:extent cx="2933700" cy="558800"/>
                  <wp:effectExtent l="0" t="0" r="0" b="0"/>
                  <wp:docPr id="1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933700" cy="558800"/>
                          </a:xfrm>
                          <a:prstGeom prst="rect">
                            <a:avLst/>
                          </a:prstGeom>
                          <a:noFill/>
                          <a:ln>
                            <a:noFill/>
                          </a:ln>
                        </pic:spPr>
                      </pic:pic>
                    </a:graphicData>
                  </a:graphic>
                </wp:inline>
              </w:drawing>
            </w:r>
          </w:p>
          <w:p>
            <w:pPr>
              <w:adjustRightInd w:val="0"/>
              <w:snapToGrid w:val="0"/>
              <w:spacing w:before="120" w:beforeLines="50" w:line="360" w:lineRule="auto"/>
              <w:ind w:firstLine="480" w:firstLineChars="200"/>
              <w:rPr>
                <w:rFonts w:eastAsia="Times New Roman"/>
                <w:i/>
                <w:color w:val="auto"/>
                <w:sz w:val="24"/>
                <w:szCs w:val="24"/>
              </w:rPr>
            </w:pPr>
            <w:r>
              <w:rPr>
                <w:color w:val="auto"/>
                <w:sz w:val="24"/>
                <w:szCs w:val="24"/>
              </w:rPr>
              <w:t>式中：</w:t>
            </w:r>
            <w:r>
              <w:rPr>
                <w:rFonts w:eastAsia="Times New Roman"/>
                <w:i/>
                <w:color w:val="auto"/>
                <w:sz w:val="24"/>
                <w:szCs w:val="24"/>
              </w:rPr>
              <w:t>Leqg——</w:t>
            </w:r>
            <w:r>
              <w:rPr>
                <w:color w:val="auto"/>
                <w:sz w:val="24"/>
                <w:szCs w:val="24"/>
              </w:rPr>
              <w:t>建设项目声源在预测点产生的噪声贡献值，</w:t>
            </w:r>
            <w:r>
              <w:rPr>
                <w:rFonts w:eastAsia="Times New Roman"/>
                <w:color w:val="auto"/>
                <w:sz w:val="24"/>
                <w:szCs w:val="24"/>
              </w:rPr>
              <w:t>dB</w:t>
            </w:r>
            <w:r>
              <w:rPr>
                <w:color w:val="auto"/>
                <w:sz w:val="24"/>
                <w:szCs w:val="24"/>
              </w:rPr>
              <w:t>；</w:t>
            </w:r>
          </w:p>
          <w:p>
            <w:pPr>
              <w:adjustRightInd w:val="0"/>
              <w:snapToGrid w:val="0"/>
              <w:spacing w:line="360" w:lineRule="auto"/>
              <w:ind w:firstLine="1200" w:firstLineChars="500"/>
              <w:rPr>
                <w:rFonts w:eastAsia="Times New Roman"/>
                <w:i/>
                <w:color w:val="auto"/>
                <w:sz w:val="24"/>
                <w:szCs w:val="24"/>
              </w:rPr>
            </w:pPr>
            <w:r>
              <w:rPr>
                <w:rFonts w:eastAsia="Times New Roman"/>
                <w:i/>
                <w:color w:val="auto"/>
                <w:sz w:val="24"/>
                <w:szCs w:val="24"/>
              </w:rPr>
              <w:t>T——</w:t>
            </w:r>
            <w:r>
              <w:rPr>
                <w:color w:val="auto"/>
                <w:sz w:val="24"/>
                <w:szCs w:val="24"/>
              </w:rPr>
              <w:t>用于计算等效声级的时间，</w:t>
            </w:r>
            <w:r>
              <w:rPr>
                <w:rFonts w:eastAsia="Times New Roman"/>
                <w:color w:val="auto"/>
                <w:sz w:val="24"/>
                <w:szCs w:val="24"/>
              </w:rPr>
              <w:t>s</w:t>
            </w:r>
            <w:r>
              <w:rPr>
                <w:color w:val="auto"/>
                <w:sz w:val="24"/>
                <w:szCs w:val="24"/>
              </w:rPr>
              <w:t>；</w:t>
            </w:r>
          </w:p>
          <w:p>
            <w:pPr>
              <w:adjustRightInd w:val="0"/>
              <w:snapToGrid w:val="0"/>
              <w:spacing w:line="360" w:lineRule="auto"/>
              <w:ind w:firstLine="1200" w:firstLineChars="500"/>
              <w:rPr>
                <w:rFonts w:eastAsia="Times New Roman"/>
                <w:i/>
                <w:color w:val="auto"/>
                <w:sz w:val="24"/>
                <w:szCs w:val="24"/>
              </w:rPr>
            </w:pPr>
            <w:r>
              <w:rPr>
                <w:rFonts w:eastAsia="Times New Roman"/>
                <w:i/>
                <w:color w:val="auto"/>
                <w:sz w:val="24"/>
                <w:szCs w:val="24"/>
              </w:rPr>
              <w:t>N——</w:t>
            </w:r>
            <w:r>
              <w:rPr>
                <w:color w:val="auto"/>
                <w:sz w:val="24"/>
                <w:szCs w:val="24"/>
              </w:rPr>
              <w:t>室外声源个数；</w:t>
            </w:r>
          </w:p>
          <w:p>
            <w:pPr>
              <w:adjustRightInd w:val="0"/>
              <w:snapToGrid w:val="0"/>
              <w:spacing w:line="360" w:lineRule="auto"/>
              <w:ind w:firstLine="1200" w:firstLineChars="500"/>
              <w:rPr>
                <w:rFonts w:eastAsia="Times New Roman"/>
                <w:i/>
                <w:color w:val="auto"/>
                <w:sz w:val="24"/>
                <w:szCs w:val="24"/>
              </w:rPr>
            </w:pPr>
            <w:r>
              <w:rPr>
                <w:rFonts w:eastAsia="Times New Roman"/>
                <w:i/>
                <w:color w:val="auto"/>
                <w:sz w:val="24"/>
                <w:szCs w:val="24"/>
              </w:rPr>
              <w:t>t</w:t>
            </w:r>
            <w:r>
              <w:rPr>
                <w:rFonts w:eastAsia="Times New Roman"/>
                <w:i/>
                <w:color w:val="auto"/>
                <w:sz w:val="24"/>
                <w:szCs w:val="24"/>
                <w:vertAlign w:val="subscript"/>
              </w:rPr>
              <w:t>i</w:t>
            </w:r>
            <w:r>
              <w:rPr>
                <w:rFonts w:eastAsia="Times New Roman"/>
                <w:i/>
                <w:color w:val="auto"/>
                <w:sz w:val="24"/>
                <w:szCs w:val="24"/>
              </w:rPr>
              <w:t>——</w:t>
            </w:r>
            <w:r>
              <w:rPr>
                <w:color w:val="auto"/>
                <w:sz w:val="24"/>
                <w:szCs w:val="24"/>
              </w:rPr>
              <w:t>在</w:t>
            </w:r>
            <w:r>
              <w:rPr>
                <w:rFonts w:eastAsia="Times New Roman"/>
                <w:color w:val="auto"/>
                <w:sz w:val="24"/>
                <w:szCs w:val="24"/>
              </w:rPr>
              <w:t>T</w:t>
            </w:r>
            <w:r>
              <w:rPr>
                <w:color w:val="auto"/>
                <w:sz w:val="24"/>
                <w:szCs w:val="24"/>
              </w:rPr>
              <w:t>时间内</w:t>
            </w:r>
            <w:r>
              <w:rPr>
                <w:rFonts w:eastAsia="Times New Roman"/>
                <w:color w:val="auto"/>
                <w:sz w:val="24"/>
                <w:szCs w:val="24"/>
              </w:rPr>
              <w:t>i</w:t>
            </w:r>
            <w:r>
              <w:rPr>
                <w:color w:val="auto"/>
                <w:sz w:val="24"/>
                <w:szCs w:val="24"/>
              </w:rPr>
              <w:t>声源工作时间，</w:t>
            </w:r>
            <w:r>
              <w:rPr>
                <w:rFonts w:eastAsia="Times New Roman"/>
                <w:color w:val="auto"/>
                <w:sz w:val="24"/>
                <w:szCs w:val="24"/>
              </w:rPr>
              <w:t>s</w:t>
            </w:r>
            <w:r>
              <w:rPr>
                <w:color w:val="auto"/>
                <w:sz w:val="24"/>
                <w:szCs w:val="24"/>
              </w:rPr>
              <w:t>；</w:t>
            </w:r>
          </w:p>
          <w:p>
            <w:pPr>
              <w:adjustRightInd w:val="0"/>
              <w:snapToGrid w:val="0"/>
              <w:spacing w:line="360" w:lineRule="auto"/>
              <w:ind w:firstLine="1200" w:firstLineChars="500"/>
              <w:rPr>
                <w:rFonts w:eastAsia="Times New Roman"/>
                <w:i/>
                <w:color w:val="auto"/>
                <w:sz w:val="24"/>
                <w:szCs w:val="24"/>
              </w:rPr>
            </w:pPr>
            <w:r>
              <w:rPr>
                <w:rFonts w:eastAsia="Times New Roman"/>
                <w:i/>
                <w:color w:val="auto"/>
                <w:sz w:val="24"/>
                <w:szCs w:val="24"/>
              </w:rPr>
              <w:t>M——</w:t>
            </w:r>
            <w:r>
              <w:rPr>
                <w:color w:val="auto"/>
                <w:sz w:val="24"/>
                <w:szCs w:val="24"/>
              </w:rPr>
              <w:t>等效室外声源个数；</w:t>
            </w:r>
          </w:p>
          <w:p>
            <w:pPr>
              <w:adjustRightInd w:val="0"/>
              <w:snapToGrid w:val="0"/>
              <w:spacing w:line="360" w:lineRule="auto"/>
              <w:ind w:firstLine="1200" w:firstLineChars="500"/>
              <w:rPr>
                <w:color w:val="auto"/>
                <w:sz w:val="24"/>
                <w:szCs w:val="24"/>
              </w:rPr>
            </w:pPr>
            <w:r>
              <w:rPr>
                <w:rFonts w:eastAsia="Times New Roman"/>
                <w:i/>
                <w:color w:val="auto"/>
                <w:sz w:val="24"/>
                <w:szCs w:val="24"/>
              </w:rPr>
              <w:t>t</w:t>
            </w:r>
            <w:r>
              <w:rPr>
                <w:rFonts w:eastAsia="Times New Roman"/>
                <w:i/>
                <w:color w:val="auto"/>
                <w:sz w:val="24"/>
                <w:szCs w:val="24"/>
                <w:vertAlign w:val="subscript"/>
              </w:rPr>
              <w:t>j</w:t>
            </w:r>
            <w:r>
              <w:rPr>
                <w:rFonts w:eastAsia="Times New Roman"/>
                <w:i/>
                <w:color w:val="auto"/>
                <w:sz w:val="24"/>
                <w:szCs w:val="24"/>
              </w:rPr>
              <w:t>——</w:t>
            </w:r>
            <w:r>
              <w:rPr>
                <w:color w:val="auto"/>
                <w:sz w:val="24"/>
                <w:szCs w:val="24"/>
              </w:rPr>
              <w:t>在</w:t>
            </w:r>
            <w:r>
              <w:rPr>
                <w:rFonts w:eastAsia="Times New Roman"/>
                <w:color w:val="auto"/>
                <w:sz w:val="24"/>
                <w:szCs w:val="24"/>
              </w:rPr>
              <w:t>T</w:t>
            </w:r>
            <w:r>
              <w:rPr>
                <w:color w:val="auto"/>
                <w:sz w:val="24"/>
                <w:szCs w:val="24"/>
              </w:rPr>
              <w:t>时间内</w:t>
            </w:r>
            <w:r>
              <w:rPr>
                <w:rFonts w:eastAsia="Times New Roman"/>
                <w:color w:val="auto"/>
                <w:sz w:val="24"/>
                <w:szCs w:val="24"/>
              </w:rPr>
              <w:t>j</w:t>
            </w:r>
            <w:r>
              <w:rPr>
                <w:color w:val="auto"/>
                <w:sz w:val="24"/>
                <w:szCs w:val="24"/>
              </w:rPr>
              <w:t>声源工作时间，</w:t>
            </w:r>
            <w:r>
              <w:rPr>
                <w:rFonts w:eastAsia="Times New Roman"/>
                <w:color w:val="auto"/>
                <w:sz w:val="24"/>
                <w:szCs w:val="24"/>
              </w:rPr>
              <w:t>s</w:t>
            </w:r>
            <w:r>
              <w:rPr>
                <w:color w:val="auto"/>
                <w:sz w:val="24"/>
                <w:szCs w:val="24"/>
              </w:rPr>
              <w:t>。</w:t>
            </w:r>
          </w:p>
          <w:p>
            <w:pPr>
              <w:autoSpaceDE w:val="0"/>
              <w:autoSpaceDN w:val="0"/>
              <w:adjustRightInd w:val="0"/>
              <w:snapToGrid w:val="0"/>
              <w:spacing w:line="360" w:lineRule="auto"/>
              <w:ind w:firstLine="480" w:firstLineChars="200"/>
              <w:rPr>
                <w:color w:val="auto"/>
                <w:sz w:val="24"/>
                <w:szCs w:val="24"/>
              </w:rPr>
            </w:pPr>
            <w:r>
              <w:rPr>
                <w:rFonts w:ascii="Cambria Math" w:hAnsi="Cambria Math" w:cs="Cambria Math"/>
                <w:color w:val="auto"/>
                <w:sz w:val="24"/>
                <w:szCs w:val="24"/>
              </w:rPr>
              <w:t>②</w:t>
            </w:r>
            <w:r>
              <w:rPr>
                <w:color w:val="auto"/>
                <w:sz w:val="24"/>
                <w:szCs w:val="24"/>
              </w:rPr>
              <w:t>噪声预测值（</w:t>
            </w:r>
            <w:r>
              <w:rPr>
                <w:i/>
                <w:iCs/>
                <w:color w:val="auto"/>
                <w:sz w:val="24"/>
                <w:szCs w:val="24"/>
              </w:rPr>
              <w:t>L</w:t>
            </w:r>
            <w:r>
              <w:rPr>
                <w:color w:val="auto"/>
                <w:sz w:val="24"/>
                <w:szCs w:val="24"/>
              </w:rPr>
              <w:t>eq）计算公式为：</w:t>
            </w:r>
          </w:p>
          <w:p>
            <w:pPr>
              <w:adjustRightInd w:val="0"/>
              <w:snapToGrid w:val="0"/>
              <w:spacing w:line="360" w:lineRule="auto"/>
              <w:jc w:val="center"/>
              <w:rPr>
                <w:color w:val="auto"/>
                <w:sz w:val="24"/>
                <w:szCs w:val="24"/>
              </w:rPr>
            </w:pPr>
            <w:r>
              <w:rPr>
                <w:color w:val="auto"/>
                <w:sz w:val="24"/>
                <w:szCs w:val="24"/>
              </w:rPr>
              <w:drawing>
                <wp:inline distT="0" distB="0" distL="0" distR="0">
                  <wp:extent cx="2463800" cy="527050"/>
                  <wp:effectExtent l="0" t="0" r="0" b="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a:xfrm>
                            <a:off x="0" y="0"/>
                            <a:ext cx="2463800" cy="527050"/>
                          </a:xfrm>
                          <a:prstGeom prst="rect">
                            <a:avLst/>
                          </a:prstGeom>
                          <a:noFill/>
                          <a:ln>
                            <a:noFill/>
                          </a:ln>
                        </pic:spPr>
                      </pic:pic>
                    </a:graphicData>
                  </a:graphic>
                </wp:inline>
              </w:drawing>
            </w:r>
          </w:p>
          <w:p>
            <w:pPr>
              <w:autoSpaceDE w:val="0"/>
              <w:autoSpaceDN w:val="0"/>
              <w:adjustRightInd w:val="0"/>
              <w:snapToGrid w:val="0"/>
              <w:spacing w:line="360" w:lineRule="auto"/>
              <w:ind w:firstLine="480" w:firstLineChars="200"/>
              <w:rPr>
                <w:color w:val="auto"/>
                <w:sz w:val="24"/>
                <w:szCs w:val="24"/>
              </w:rPr>
            </w:pPr>
            <w:r>
              <w:rPr>
                <w:color w:val="auto"/>
                <w:sz w:val="24"/>
                <w:szCs w:val="24"/>
              </w:rPr>
              <w:t>式中：</w:t>
            </w:r>
            <w:r>
              <w:rPr>
                <w:i/>
                <w:iCs/>
                <w:color w:val="auto"/>
                <w:sz w:val="24"/>
                <w:szCs w:val="24"/>
              </w:rPr>
              <w:t>L</w:t>
            </w:r>
            <w:r>
              <w:rPr>
                <w:i/>
                <w:color w:val="auto"/>
                <w:sz w:val="24"/>
                <w:szCs w:val="24"/>
              </w:rPr>
              <w:t>eq</w:t>
            </w:r>
            <w:r>
              <w:rPr>
                <w:color w:val="auto"/>
                <w:sz w:val="24"/>
                <w:szCs w:val="24"/>
              </w:rPr>
              <w:t>——预测点的噪声预测值，dB；</w:t>
            </w:r>
          </w:p>
          <w:p>
            <w:pPr>
              <w:autoSpaceDE w:val="0"/>
              <w:autoSpaceDN w:val="0"/>
              <w:adjustRightInd w:val="0"/>
              <w:snapToGrid w:val="0"/>
              <w:spacing w:line="360" w:lineRule="auto"/>
              <w:ind w:firstLine="1200" w:firstLineChars="500"/>
              <w:rPr>
                <w:color w:val="auto"/>
                <w:sz w:val="24"/>
                <w:szCs w:val="24"/>
              </w:rPr>
            </w:pPr>
            <w:r>
              <w:rPr>
                <w:i/>
                <w:iCs/>
                <w:color w:val="auto"/>
                <w:sz w:val="24"/>
                <w:szCs w:val="24"/>
              </w:rPr>
              <w:t>L</w:t>
            </w:r>
            <w:r>
              <w:rPr>
                <w:i/>
                <w:color w:val="auto"/>
                <w:sz w:val="24"/>
                <w:szCs w:val="24"/>
              </w:rPr>
              <w:t>eqg</w:t>
            </w:r>
            <w:r>
              <w:rPr>
                <w:color w:val="auto"/>
                <w:sz w:val="24"/>
                <w:szCs w:val="24"/>
              </w:rPr>
              <w:t>——建设项目声源在预测点产生的噪声贡献值，dB；</w:t>
            </w:r>
          </w:p>
          <w:p>
            <w:pPr>
              <w:autoSpaceDE w:val="0"/>
              <w:autoSpaceDN w:val="0"/>
              <w:adjustRightInd w:val="0"/>
              <w:snapToGrid w:val="0"/>
              <w:spacing w:line="360" w:lineRule="auto"/>
              <w:ind w:firstLine="1200" w:firstLineChars="500"/>
              <w:rPr>
                <w:color w:val="auto"/>
                <w:sz w:val="24"/>
                <w:szCs w:val="24"/>
              </w:rPr>
            </w:pPr>
            <w:r>
              <w:rPr>
                <w:i/>
                <w:iCs/>
                <w:color w:val="auto"/>
                <w:sz w:val="24"/>
                <w:szCs w:val="24"/>
              </w:rPr>
              <w:t>L</w:t>
            </w:r>
            <w:r>
              <w:rPr>
                <w:i/>
                <w:color w:val="auto"/>
                <w:sz w:val="24"/>
                <w:szCs w:val="24"/>
              </w:rPr>
              <w:t>eqb</w:t>
            </w:r>
            <w:r>
              <w:rPr>
                <w:color w:val="auto"/>
                <w:sz w:val="24"/>
                <w:szCs w:val="24"/>
              </w:rPr>
              <w:t>——预测点的背景噪声值，dB。</w:t>
            </w:r>
          </w:p>
          <w:p>
            <w:pPr>
              <w:autoSpaceDE w:val="0"/>
              <w:autoSpaceDN w:val="0"/>
              <w:adjustRightInd w:val="0"/>
              <w:snapToGrid w:val="0"/>
              <w:spacing w:line="360" w:lineRule="auto"/>
              <w:ind w:firstLine="482" w:firstLineChars="200"/>
              <w:rPr>
                <w:rFonts w:hint="eastAsia" w:eastAsia="宋体"/>
                <w:b/>
                <w:bCs/>
                <w:color w:val="auto"/>
                <w:sz w:val="24"/>
                <w:szCs w:val="24"/>
                <w:lang w:val="en-US" w:eastAsia="zh-CN"/>
              </w:rPr>
            </w:pPr>
            <w:r>
              <w:rPr>
                <w:rFonts w:hint="eastAsia"/>
                <w:b/>
                <w:bCs/>
                <w:color w:val="auto"/>
                <w:sz w:val="24"/>
                <w:szCs w:val="24"/>
                <w:lang w:val="en-US" w:eastAsia="zh-CN"/>
              </w:rPr>
              <w:t>2）预测结果</w:t>
            </w:r>
          </w:p>
          <w:p>
            <w:pPr>
              <w:autoSpaceDE w:val="0"/>
              <w:autoSpaceDN w:val="0"/>
              <w:adjustRightInd w:val="0"/>
              <w:snapToGrid w:val="0"/>
              <w:spacing w:line="360" w:lineRule="auto"/>
              <w:ind w:firstLine="480" w:firstLineChars="200"/>
              <w:rPr>
                <w:color w:val="auto"/>
                <w:sz w:val="24"/>
                <w:szCs w:val="24"/>
              </w:rPr>
            </w:pPr>
            <w:r>
              <w:rPr>
                <w:color w:val="auto"/>
                <w:sz w:val="24"/>
                <w:szCs w:val="24"/>
              </w:rPr>
              <w:t>本次预测评价，预测软件选择采用环安科技有限公司开发的环安噪声环境影响评价系统（NoiseSystemV4.1）。NoiseSystemV4.1以《环境影响评价技术导则 声环境》（HJ2.4-2021）的技术要求和推荐模型为编制依据，采用典型行业噪声预测模型为模型内核，功能全面深入、符合导则要求。</w:t>
            </w:r>
          </w:p>
          <w:p>
            <w:pPr>
              <w:pStyle w:val="20"/>
              <w:widowControl w:val="0"/>
              <w:spacing w:before="0" w:beforeAutospacing="0" w:after="0" w:afterAutospacing="0" w:line="360" w:lineRule="auto"/>
              <w:ind w:firstLine="480" w:firstLineChars="200"/>
              <w:jc w:val="both"/>
              <w:rPr>
                <w:rFonts w:ascii="Times New Roman" w:hAnsi="Times New Roman"/>
                <w:color w:val="auto"/>
                <w:sz w:val="24"/>
                <w:szCs w:val="24"/>
              </w:rPr>
            </w:pPr>
            <w:r>
              <w:rPr>
                <w:rFonts w:ascii="Times New Roman" w:hAnsi="Times New Roman"/>
                <w:color w:val="auto"/>
                <w:sz w:val="24"/>
                <w:szCs w:val="24"/>
                <w:lang w:val="en-GB"/>
              </w:rPr>
              <w:t>项目50m范围内无声环境敏感目标，根据《环境影响评价技术导则 声环境》（HJ2.4-2021）要求，本次主要预测和评价建设项目运营期厂界噪声贡献值，给出厂界噪声的最大值及位置，并评价其超标和达标情况。</w:t>
            </w:r>
          </w:p>
          <w:p>
            <w:pPr>
              <w:pStyle w:val="20"/>
              <w:widowControl w:val="0"/>
              <w:spacing w:before="0" w:beforeAutospacing="0" w:after="0" w:afterAutospacing="0" w:line="360" w:lineRule="auto"/>
              <w:ind w:firstLine="480" w:firstLineChars="200"/>
              <w:jc w:val="both"/>
              <w:rPr>
                <w:rFonts w:ascii="Times New Roman" w:hAnsi="Times New Roman"/>
                <w:color w:val="auto"/>
                <w:kern w:val="0"/>
                <w:sz w:val="24"/>
                <w:szCs w:val="24"/>
              </w:rPr>
            </w:pPr>
            <w:r>
              <w:rPr>
                <w:rFonts w:ascii="Times New Roman" w:hAnsi="Times New Roman"/>
                <w:color w:val="auto"/>
                <w:sz w:val="24"/>
                <w:szCs w:val="24"/>
              </w:rPr>
              <w:t>根据上述预测模型，计算得出项目建设完成投入运行后各设备噪声对厂界声环境贡献值预测结果见</w:t>
            </w:r>
            <w:r>
              <w:rPr>
                <w:rFonts w:hint="eastAsia" w:ascii="Times New Roman" w:hAnsi="Times New Roman"/>
                <w:color w:val="auto"/>
                <w:sz w:val="24"/>
                <w:szCs w:val="24"/>
                <w:lang w:val="en-US" w:eastAsia="zh-CN"/>
              </w:rPr>
              <w:t>下表</w:t>
            </w:r>
            <w:r>
              <w:rPr>
                <w:rFonts w:ascii="Times New Roman" w:hAnsi="Times New Roman"/>
                <w:color w:val="auto"/>
                <w:sz w:val="24"/>
                <w:szCs w:val="24"/>
              </w:rPr>
              <w:t>。</w:t>
            </w:r>
          </w:p>
          <w:p>
            <w:pPr>
              <w:pStyle w:val="20"/>
              <w:spacing w:before="24" w:beforeAutospacing="0" w:after="24" w:afterAutospacing="0" w:line="276" w:lineRule="auto"/>
              <w:jc w:val="center"/>
              <w:rPr>
                <w:rFonts w:ascii="Times New Roman" w:hAnsi="Times New Roman"/>
                <w:b/>
                <w:color w:val="auto"/>
                <w:sz w:val="24"/>
                <w:szCs w:val="24"/>
              </w:rPr>
            </w:pPr>
            <w:r>
              <w:rPr>
                <w:rFonts w:ascii="Times New Roman" w:hAnsi="Times New Roman"/>
                <w:b/>
                <w:color w:val="auto"/>
                <w:sz w:val="24"/>
                <w:szCs w:val="24"/>
              </w:rPr>
              <w:t>表4-1</w:t>
            </w:r>
            <w:r>
              <w:rPr>
                <w:rFonts w:hint="eastAsia" w:ascii="Times New Roman" w:hAnsi="Times New Roman"/>
                <w:b/>
                <w:color w:val="auto"/>
                <w:sz w:val="24"/>
                <w:szCs w:val="24"/>
                <w:lang w:val="en-US" w:eastAsia="zh-CN"/>
              </w:rPr>
              <w:t>1</w:t>
            </w:r>
            <w:r>
              <w:rPr>
                <w:rFonts w:ascii="Times New Roman" w:hAnsi="Times New Roman"/>
                <w:b/>
                <w:color w:val="auto"/>
                <w:sz w:val="24"/>
                <w:szCs w:val="24"/>
              </w:rPr>
              <w:t xml:space="preserve">  项目厂界噪声预测结果与达标分析表</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4"/>
              <w:gridCol w:w="809"/>
              <w:gridCol w:w="968"/>
              <w:gridCol w:w="1095"/>
              <w:gridCol w:w="968"/>
              <w:gridCol w:w="968"/>
              <w:gridCol w:w="1159"/>
              <w:gridCol w:w="11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2" w:type="pct"/>
                  <w:vMerge w:val="restart"/>
                  <w:noWrap/>
                  <w:vAlign w:val="center"/>
                </w:tcPr>
                <w:p>
                  <w:pPr>
                    <w:widowControl/>
                    <w:adjustRightInd w:val="0"/>
                    <w:snapToGrid w:val="0"/>
                    <w:jc w:val="center"/>
                    <w:rPr>
                      <w:b/>
                      <w:bCs/>
                      <w:color w:val="auto"/>
                      <w:kern w:val="0"/>
                      <w:szCs w:val="21"/>
                    </w:rPr>
                  </w:pPr>
                  <w:r>
                    <w:rPr>
                      <w:b/>
                      <w:bCs/>
                      <w:color w:val="auto"/>
                      <w:kern w:val="0"/>
                      <w:szCs w:val="21"/>
                    </w:rPr>
                    <w:t>厂界</w:t>
                  </w:r>
                </w:p>
              </w:tc>
              <w:tc>
                <w:tcPr>
                  <w:tcW w:w="1724" w:type="pct"/>
                  <w:gridSpan w:val="3"/>
                  <w:vAlign w:val="center"/>
                </w:tcPr>
                <w:p>
                  <w:pPr>
                    <w:widowControl/>
                    <w:adjustRightInd w:val="0"/>
                    <w:snapToGrid w:val="0"/>
                    <w:jc w:val="center"/>
                    <w:rPr>
                      <w:b/>
                      <w:bCs/>
                      <w:color w:val="auto"/>
                      <w:kern w:val="0"/>
                      <w:szCs w:val="21"/>
                    </w:rPr>
                  </w:pPr>
                  <w:r>
                    <w:rPr>
                      <w:b/>
                      <w:bCs/>
                      <w:color w:val="auto"/>
                      <w:kern w:val="0"/>
                      <w:szCs w:val="21"/>
                    </w:rPr>
                    <w:t>贡献最大值位置</w:t>
                  </w:r>
                </w:p>
              </w:tc>
              <w:tc>
                <w:tcPr>
                  <w:tcW w:w="581" w:type="pct"/>
                  <w:vMerge w:val="restart"/>
                  <w:vAlign w:val="center"/>
                </w:tcPr>
                <w:p>
                  <w:pPr>
                    <w:widowControl/>
                    <w:adjustRightInd w:val="0"/>
                    <w:snapToGrid w:val="0"/>
                    <w:jc w:val="center"/>
                    <w:rPr>
                      <w:b/>
                      <w:bCs/>
                      <w:color w:val="auto"/>
                      <w:kern w:val="0"/>
                      <w:szCs w:val="21"/>
                    </w:rPr>
                  </w:pPr>
                  <w:r>
                    <w:rPr>
                      <w:b/>
                      <w:bCs/>
                      <w:color w:val="auto"/>
                      <w:kern w:val="0"/>
                      <w:szCs w:val="21"/>
                    </w:rPr>
                    <w:t>噪声贡献值</w:t>
                  </w:r>
                  <w:r>
                    <w:rPr>
                      <w:rFonts w:hint="eastAsia"/>
                      <w:b/>
                      <w:bCs/>
                      <w:color w:val="auto"/>
                      <w:kern w:val="0"/>
                      <w:szCs w:val="21"/>
                      <w:lang w:eastAsia="zh-CN"/>
                    </w:rPr>
                    <w:t>（</w:t>
                  </w:r>
                  <w:r>
                    <w:rPr>
                      <w:b/>
                      <w:bCs/>
                      <w:color w:val="auto"/>
                      <w:kern w:val="0"/>
                      <w:szCs w:val="21"/>
                    </w:rPr>
                    <w:t>dB</w:t>
                  </w:r>
                  <w:r>
                    <w:rPr>
                      <w:rFonts w:hint="eastAsia"/>
                      <w:b/>
                      <w:bCs/>
                      <w:color w:val="auto"/>
                      <w:kern w:val="0"/>
                      <w:szCs w:val="21"/>
                      <w:lang w:eastAsia="zh-CN"/>
                    </w:rPr>
                    <w:t>）</w:t>
                  </w:r>
                </w:p>
              </w:tc>
              <w:tc>
                <w:tcPr>
                  <w:tcW w:w="1276" w:type="pct"/>
                  <w:gridSpan w:val="2"/>
                  <w:vAlign w:val="center"/>
                </w:tcPr>
                <w:p>
                  <w:pPr>
                    <w:widowControl/>
                    <w:adjustRightInd w:val="0"/>
                    <w:snapToGrid w:val="0"/>
                    <w:jc w:val="center"/>
                    <w:rPr>
                      <w:b/>
                      <w:bCs/>
                      <w:color w:val="auto"/>
                      <w:kern w:val="0"/>
                      <w:szCs w:val="21"/>
                    </w:rPr>
                  </w:pPr>
                  <w:r>
                    <w:rPr>
                      <w:b/>
                      <w:bCs/>
                      <w:color w:val="auto"/>
                      <w:kern w:val="0"/>
                      <w:szCs w:val="21"/>
                    </w:rPr>
                    <w:t>噪声标准/dB(A)</w:t>
                  </w:r>
                </w:p>
              </w:tc>
              <w:tc>
                <w:tcPr>
                  <w:tcW w:w="694" w:type="pct"/>
                  <w:vMerge w:val="restart"/>
                  <w:vAlign w:val="center"/>
                </w:tcPr>
                <w:p>
                  <w:pPr>
                    <w:widowControl/>
                    <w:adjustRightInd w:val="0"/>
                    <w:snapToGrid w:val="0"/>
                    <w:jc w:val="center"/>
                    <w:rPr>
                      <w:b/>
                      <w:bCs/>
                      <w:color w:val="auto"/>
                      <w:kern w:val="0"/>
                      <w:szCs w:val="21"/>
                    </w:rPr>
                  </w:pPr>
                  <w:r>
                    <w:rPr>
                      <w:b/>
                      <w:bCs/>
                      <w:color w:val="auto"/>
                      <w:kern w:val="0"/>
                      <w:szCs w:val="21"/>
                    </w:rPr>
                    <w:t>超标和达标情况/dB(A)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722" w:type="pct"/>
                  <w:vMerge w:val="continue"/>
                  <w:vAlign w:val="center"/>
                </w:tcPr>
                <w:p>
                  <w:pPr>
                    <w:widowControl/>
                    <w:adjustRightInd w:val="0"/>
                    <w:snapToGrid w:val="0"/>
                    <w:jc w:val="center"/>
                    <w:rPr>
                      <w:b/>
                      <w:bCs/>
                      <w:color w:val="auto"/>
                      <w:kern w:val="0"/>
                      <w:szCs w:val="21"/>
                    </w:rPr>
                  </w:pPr>
                </w:p>
              </w:tc>
              <w:tc>
                <w:tcPr>
                  <w:tcW w:w="486" w:type="pct"/>
                  <w:vAlign w:val="center"/>
                </w:tcPr>
                <w:p>
                  <w:pPr>
                    <w:widowControl/>
                    <w:adjustRightInd w:val="0"/>
                    <w:snapToGrid w:val="0"/>
                    <w:jc w:val="center"/>
                    <w:rPr>
                      <w:b/>
                      <w:bCs/>
                      <w:color w:val="auto"/>
                      <w:kern w:val="0"/>
                      <w:szCs w:val="21"/>
                    </w:rPr>
                  </w:pPr>
                  <w:r>
                    <w:rPr>
                      <w:b/>
                      <w:bCs/>
                      <w:color w:val="auto"/>
                      <w:kern w:val="0"/>
                      <w:szCs w:val="21"/>
                    </w:rPr>
                    <w:t>X(m)</w:t>
                  </w:r>
                </w:p>
              </w:tc>
              <w:tc>
                <w:tcPr>
                  <w:tcW w:w="581" w:type="pct"/>
                  <w:vAlign w:val="center"/>
                </w:tcPr>
                <w:p>
                  <w:pPr>
                    <w:widowControl/>
                    <w:adjustRightInd w:val="0"/>
                    <w:snapToGrid w:val="0"/>
                    <w:jc w:val="center"/>
                    <w:rPr>
                      <w:b/>
                      <w:bCs/>
                      <w:color w:val="auto"/>
                      <w:kern w:val="0"/>
                      <w:szCs w:val="21"/>
                    </w:rPr>
                  </w:pPr>
                  <w:r>
                    <w:rPr>
                      <w:b/>
                      <w:bCs/>
                      <w:color w:val="auto"/>
                      <w:kern w:val="0"/>
                      <w:szCs w:val="21"/>
                    </w:rPr>
                    <w:t>Y(m)</w:t>
                  </w:r>
                </w:p>
              </w:tc>
              <w:tc>
                <w:tcPr>
                  <w:tcW w:w="656" w:type="pct"/>
                  <w:vAlign w:val="center"/>
                </w:tcPr>
                <w:p>
                  <w:pPr>
                    <w:widowControl/>
                    <w:adjustRightInd w:val="0"/>
                    <w:snapToGrid w:val="0"/>
                    <w:jc w:val="center"/>
                    <w:rPr>
                      <w:b/>
                      <w:bCs/>
                      <w:color w:val="auto"/>
                      <w:kern w:val="0"/>
                      <w:szCs w:val="21"/>
                    </w:rPr>
                  </w:pPr>
                  <w:r>
                    <w:rPr>
                      <w:rFonts w:hint="eastAsia"/>
                      <w:b/>
                      <w:bCs/>
                      <w:color w:val="auto"/>
                      <w:kern w:val="0"/>
                      <w:szCs w:val="21"/>
                      <w:lang w:val="en-US" w:eastAsia="zh-CN"/>
                    </w:rPr>
                    <w:t>Z</w:t>
                  </w:r>
                  <w:r>
                    <w:rPr>
                      <w:b/>
                      <w:bCs/>
                      <w:color w:val="auto"/>
                      <w:kern w:val="0"/>
                      <w:szCs w:val="21"/>
                    </w:rPr>
                    <w:t>(m)</w:t>
                  </w:r>
                </w:p>
              </w:tc>
              <w:tc>
                <w:tcPr>
                  <w:tcW w:w="581" w:type="pct"/>
                  <w:vMerge w:val="continue"/>
                  <w:vAlign w:val="center"/>
                </w:tcPr>
                <w:p>
                  <w:pPr>
                    <w:widowControl/>
                    <w:adjustRightInd w:val="0"/>
                    <w:snapToGrid w:val="0"/>
                    <w:jc w:val="center"/>
                    <w:rPr>
                      <w:color w:val="auto"/>
                      <w:kern w:val="0"/>
                      <w:szCs w:val="21"/>
                    </w:rPr>
                  </w:pPr>
                </w:p>
              </w:tc>
              <w:tc>
                <w:tcPr>
                  <w:tcW w:w="581" w:type="pct"/>
                  <w:vAlign w:val="center"/>
                </w:tcPr>
                <w:p>
                  <w:pPr>
                    <w:widowControl/>
                    <w:adjustRightInd w:val="0"/>
                    <w:snapToGrid w:val="0"/>
                    <w:jc w:val="center"/>
                    <w:rPr>
                      <w:rFonts w:hint="default" w:eastAsia="宋体"/>
                      <w:b/>
                      <w:bCs/>
                      <w:color w:val="auto"/>
                      <w:kern w:val="0"/>
                      <w:szCs w:val="21"/>
                      <w:lang w:val="en-US" w:eastAsia="zh-CN"/>
                    </w:rPr>
                  </w:pPr>
                  <w:r>
                    <w:rPr>
                      <w:rFonts w:hint="eastAsia"/>
                      <w:b/>
                      <w:bCs/>
                      <w:color w:val="auto"/>
                      <w:kern w:val="0"/>
                      <w:szCs w:val="21"/>
                      <w:lang w:val="en-US" w:eastAsia="zh-CN"/>
                    </w:rPr>
                    <w:t>昼间</w:t>
                  </w:r>
                </w:p>
              </w:tc>
              <w:tc>
                <w:tcPr>
                  <w:tcW w:w="694" w:type="pct"/>
                  <w:vAlign w:val="center"/>
                </w:tcPr>
                <w:p>
                  <w:pPr>
                    <w:widowControl/>
                    <w:adjustRightInd w:val="0"/>
                    <w:snapToGrid w:val="0"/>
                    <w:jc w:val="center"/>
                    <w:rPr>
                      <w:rFonts w:hint="eastAsia" w:eastAsia="宋体"/>
                      <w:b/>
                      <w:bCs/>
                      <w:color w:val="auto"/>
                      <w:kern w:val="0"/>
                      <w:szCs w:val="21"/>
                      <w:lang w:val="en-US" w:eastAsia="zh-CN"/>
                    </w:rPr>
                  </w:pPr>
                  <w:r>
                    <w:rPr>
                      <w:rFonts w:hint="eastAsia"/>
                      <w:b/>
                      <w:bCs/>
                      <w:color w:val="auto"/>
                      <w:kern w:val="0"/>
                      <w:szCs w:val="21"/>
                      <w:lang w:val="en-US" w:eastAsia="zh-CN"/>
                    </w:rPr>
                    <w:t>夜间</w:t>
                  </w:r>
                </w:p>
              </w:tc>
              <w:tc>
                <w:tcPr>
                  <w:tcW w:w="694" w:type="pct"/>
                  <w:vMerge w:val="continue"/>
                  <w:vAlign w:val="center"/>
                </w:tcPr>
                <w:p>
                  <w:pPr>
                    <w:widowControl/>
                    <w:adjustRightInd w:val="0"/>
                    <w:snapToGrid w:val="0"/>
                    <w:jc w:val="center"/>
                    <w:rPr>
                      <w:b/>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2" w:type="pct"/>
                  <w:noWrap/>
                  <w:vAlign w:val="center"/>
                </w:tcPr>
                <w:p>
                  <w:pPr>
                    <w:widowControl/>
                    <w:adjustRightInd w:val="0"/>
                    <w:snapToGrid w:val="0"/>
                    <w:jc w:val="center"/>
                    <w:rPr>
                      <w:color w:val="auto"/>
                      <w:kern w:val="0"/>
                      <w:szCs w:val="21"/>
                    </w:rPr>
                  </w:pPr>
                  <w:r>
                    <w:rPr>
                      <w:color w:val="auto"/>
                      <w:kern w:val="0"/>
                      <w:szCs w:val="21"/>
                    </w:rPr>
                    <w:t>南厂界</w:t>
                  </w:r>
                </w:p>
              </w:tc>
              <w:tc>
                <w:tcPr>
                  <w:tcW w:w="486" w:type="pct"/>
                  <w:vAlign w:val="center"/>
                </w:tcPr>
                <w:p>
                  <w:pPr>
                    <w:widowControl/>
                    <w:adjustRightInd w:val="0"/>
                    <w:snapToGrid w:val="0"/>
                    <w:jc w:val="center"/>
                    <w:rPr>
                      <w:rFonts w:hint="default" w:eastAsia="宋体"/>
                      <w:color w:val="auto"/>
                      <w:kern w:val="0"/>
                      <w:szCs w:val="21"/>
                      <w:lang w:val="en-US" w:eastAsia="zh-CN"/>
                    </w:rPr>
                  </w:pPr>
                  <w:r>
                    <w:rPr>
                      <w:rFonts w:hint="eastAsia"/>
                      <w:color w:val="auto"/>
                      <w:kern w:val="0"/>
                      <w:szCs w:val="21"/>
                      <w:lang w:val="en-US" w:eastAsia="zh-CN"/>
                    </w:rPr>
                    <w:t>9.61</w:t>
                  </w:r>
                </w:p>
              </w:tc>
              <w:tc>
                <w:tcPr>
                  <w:tcW w:w="581" w:type="pct"/>
                  <w:vAlign w:val="center"/>
                </w:tcPr>
                <w:p>
                  <w:pPr>
                    <w:widowControl/>
                    <w:adjustRightInd w:val="0"/>
                    <w:snapToGrid w:val="0"/>
                    <w:jc w:val="center"/>
                    <w:rPr>
                      <w:rFonts w:hint="default" w:eastAsia="宋体"/>
                      <w:color w:val="auto"/>
                      <w:kern w:val="0"/>
                      <w:szCs w:val="21"/>
                      <w:lang w:val="en-US" w:eastAsia="zh-CN"/>
                    </w:rPr>
                  </w:pPr>
                  <w:r>
                    <w:rPr>
                      <w:rFonts w:hint="eastAsia"/>
                      <w:color w:val="auto"/>
                      <w:kern w:val="0"/>
                      <w:szCs w:val="21"/>
                      <w:lang w:val="en-US" w:eastAsia="zh-CN"/>
                    </w:rPr>
                    <w:t>-24.70</w:t>
                  </w:r>
                </w:p>
              </w:tc>
              <w:tc>
                <w:tcPr>
                  <w:tcW w:w="656" w:type="pct"/>
                  <w:vAlign w:val="center"/>
                </w:tcPr>
                <w:p>
                  <w:pPr>
                    <w:widowControl/>
                    <w:adjustRightInd w:val="0"/>
                    <w:snapToGrid w:val="0"/>
                    <w:jc w:val="center"/>
                    <w:rPr>
                      <w:rFonts w:hint="default" w:eastAsia="宋体"/>
                      <w:color w:val="auto"/>
                      <w:kern w:val="0"/>
                      <w:szCs w:val="21"/>
                      <w:lang w:val="en-US" w:eastAsia="zh-CN"/>
                    </w:rPr>
                  </w:pPr>
                  <w:r>
                    <w:rPr>
                      <w:rFonts w:hint="eastAsia"/>
                      <w:color w:val="auto"/>
                      <w:kern w:val="0"/>
                      <w:szCs w:val="21"/>
                      <w:lang w:val="en-US" w:eastAsia="zh-CN"/>
                    </w:rPr>
                    <w:t>1.2</w:t>
                  </w:r>
                </w:p>
              </w:tc>
              <w:tc>
                <w:tcPr>
                  <w:tcW w:w="581" w:type="pct"/>
                  <w:vAlign w:val="center"/>
                </w:tcPr>
                <w:p>
                  <w:pPr>
                    <w:widowControl/>
                    <w:adjustRightInd w:val="0"/>
                    <w:snapToGrid w:val="0"/>
                    <w:jc w:val="center"/>
                    <w:rPr>
                      <w:rFonts w:hint="default" w:eastAsia="宋体"/>
                      <w:color w:val="auto"/>
                      <w:kern w:val="0"/>
                      <w:szCs w:val="21"/>
                      <w:lang w:val="en-US" w:eastAsia="zh-CN"/>
                    </w:rPr>
                  </w:pPr>
                  <w:r>
                    <w:rPr>
                      <w:rFonts w:hint="eastAsia"/>
                      <w:color w:val="auto"/>
                      <w:kern w:val="0"/>
                      <w:szCs w:val="21"/>
                      <w:lang w:val="en-US" w:eastAsia="zh-CN"/>
                    </w:rPr>
                    <w:t>53.21</w:t>
                  </w:r>
                </w:p>
              </w:tc>
              <w:tc>
                <w:tcPr>
                  <w:tcW w:w="581" w:type="pct"/>
                  <w:noWrap/>
                  <w:vAlign w:val="center"/>
                </w:tcPr>
                <w:p>
                  <w:pPr>
                    <w:widowControl/>
                    <w:adjustRightInd w:val="0"/>
                    <w:snapToGrid w:val="0"/>
                    <w:jc w:val="center"/>
                    <w:rPr>
                      <w:color w:val="auto"/>
                      <w:kern w:val="0"/>
                      <w:szCs w:val="21"/>
                    </w:rPr>
                  </w:pPr>
                  <w:r>
                    <w:rPr>
                      <w:color w:val="auto"/>
                      <w:kern w:val="0"/>
                      <w:szCs w:val="21"/>
                    </w:rPr>
                    <w:t>65</w:t>
                  </w:r>
                </w:p>
              </w:tc>
              <w:tc>
                <w:tcPr>
                  <w:tcW w:w="694" w:type="pct"/>
                  <w:noWrap/>
                  <w:vAlign w:val="center"/>
                </w:tcPr>
                <w:p>
                  <w:pPr>
                    <w:widowControl/>
                    <w:adjustRightInd w:val="0"/>
                    <w:snapToGrid w:val="0"/>
                    <w:jc w:val="center"/>
                    <w:rPr>
                      <w:rFonts w:hint="default" w:eastAsia="宋体"/>
                      <w:color w:val="auto"/>
                      <w:kern w:val="0"/>
                      <w:szCs w:val="21"/>
                      <w:lang w:val="en-US" w:eastAsia="zh-CN"/>
                    </w:rPr>
                  </w:pPr>
                  <w:r>
                    <w:rPr>
                      <w:rFonts w:hint="eastAsia"/>
                      <w:color w:val="auto"/>
                      <w:kern w:val="0"/>
                      <w:szCs w:val="21"/>
                      <w:lang w:val="en-US" w:eastAsia="zh-CN"/>
                    </w:rPr>
                    <w:t>55</w:t>
                  </w:r>
                </w:p>
              </w:tc>
              <w:tc>
                <w:tcPr>
                  <w:tcW w:w="694" w:type="pct"/>
                  <w:noWrap/>
                  <w:vAlign w:val="center"/>
                </w:tcPr>
                <w:p>
                  <w:pPr>
                    <w:widowControl/>
                    <w:adjustRightInd w:val="0"/>
                    <w:snapToGrid w:val="0"/>
                    <w:jc w:val="center"/>
                    <w:rPr>
                      <w:color w:val="auto"/>
                      <w:kern w:val="0"/>
                      <w:szCs w:val="21"/>
                    </w:rPr>
                  </w:pPr>
                  <w:r>
                    <w:rPr>
                      <w:color w:val="auto"/>
                      <w:kern w:val="0"/>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2" w:type="pct"/>
                  <w:noWrap/>
                  <w:vAlign w:val="center"/>
                </w:tcPr>
                <w:p>
                  <w:pPr>
                    <w:widowControl/>
                    <w:adjustRightInd w:val="0"/>
                    <w:snapToGrid w:val="0"/>
                    <w:jc w:val="center"/>
                    <w:rPr>
                      <w:color w:val="auto"/>
                      <w:kern w:val="0"/>
                      <w:szCs w:val="21"/>
                    </w:rPr>
                  </w:pPr>
                  <w:r>
                    <w:rPr>
                      <w:color w:val="auto"/>
                      <w:kern w:val="0"/>
                      <w:szCs w:val="21"/>
                    </w:rPr>
                    <w:t>东厂界</w:t>
                  </w:r>
                </w:p>
              </w:tc>
              <w:tc>
                <w:tcPr>
                  <w:tcW w:w="486" w:type="pct"/>
                  <w:vAlign w:val="center"/>
                </w:tcPr>
                <w:p>
                  <w:pPr>
                    <w:widowControl/>
                    <w:adjustRightInd w:val="0"/>
                    <w:snapToGrid w:val="0"/>
                    <w:jc w:val="center"/>
                    <w:rPr>
                      <w:rFonts w:hint="default" w:eastAsia="宋体"/>
                      <w:color w:val="auto"/>
                      <w:kern w:val="0"/>
                      <w:szCs w:val="21"/>
                      <w:lang w:val="en-US" w:eastAsia="zh-CN"/>
                    </w:rPr>
                  </w:pPr>
                  <w:r>
                    <w:rPr>
                      <w:rFonts w:hint="eastAsia"/>
                      <w:color w:val="auto"/>
                      <w:kern w:val="0"/>
                      <w:szCs w:val="21"/>
                      <w:lang w:val="en-US" w:eastAsia="zh-CN"/>
                    </w:rPr>
                    <w:t>-9.48</w:t>
                  </w:r>
                </w:p>
              </w:tc>
              <w:tc>
                <w:tcPr>
                  <w:tcW w:w="581" w:type="pct"/>
                  <w:vAlign w:val="center"/>
                </w:tcPr>
                <w:p>
                  <w:pPr>
                    <w:widowControl/>
                    <w:adjustRightInd w:val="0"/>
                    <w:snapToGrid w:val="0"/>
                    <w:jc w:val="center"/>
                    <w:rPr>
                      <w:rFonts w:hint="default" w:eastAsia="宋体"/>
                      <w:color w:val="auto"/>
                      <w:kern w:val="0"/>
                      <w:szCs w:val="21"/>
                      <w:lang w:val="en-US" w:eastAsia="zh-CN"/>
                    </w:rPr>
                  </w:pPr>
                  <w:r>
                    <w:rPr>
                      <w:rFonts w:hint="eastAsia"/>
                      <w:color w:val="auto"/>
                      <w:kern w:val="0"/>
                      <w:szCs w:val="21"/>
                      <w:lang w:val="en-US" w:eastAsia="zh-CN"/>
                    </w:rPr>
                    <w:t>25-76</w:t>
                  </w:r>
                </w:p>
              </w:tc>
              <w:tc>
                <w:tcPr>
                  <w:tcW w:w="656" w:type="pct"/>
                  <w:vAlign w:val="center"/>
                </w:tcPr>
                <w:p>
                  <w:pPr>
                    <w:widowControl/>
                    <w:adjustRightInd w:val="0"/>
                    <w:snapToGrid w:val="0"/>
                    <w:jc w:val="center"/>
                    <w:rPr>
                      <w:color w:val="auto"/>
                      <w:kern w:val="0"/>
                      <w:szCs w:val="21"/>
                    </w:rPr>
                  </w:pPr>
                  <w:r>
                    <w:rPr>
                      <w:rFonts w:hint="eastAsia"/>
                      <w:color w:val="auto"/>
                      <w:kern w:val="0"/>
                      <w:szCs w:val="21"/>
                      <w:lang w:val="en-US" w:eastAsia="zh-CN"/>
                    </w:rPr>
                    <w:t>1.2</w:t>
                  </w:r>
                </w:p>
              </w:tc>
              <w:tc>
                <w:tcPr>
                  <w:tcW w:w="581" w:type="pct"/>
                  <w:vAlign w:val="center"/>
                </w:tcPr>
                <w:p>
                  <w:pPr>
                    <w:widowControl/>
                    <w:adjustRightInd w:val="0"/>
                    <w:snapToGrid w:val="0"/>
                    <w:jc w:val="center"/>
                    <w:rPr>
                      <w:rFonts w:hint="default" w:eastAsia="宋体"/>
                      <w:color w:val="auto"/>
                      <w:kern w:val="0"/>
                      <w:szCs w:val="21"/>
                      <w:lang w:val="en-US" w:eastAsia="zh-CN"/>
                    </w:rPr>
                  </w:pPr>
                  <w:r>
                    <w:rPr>
                      <w:rFonts w:hint="eastAsia"/>
                      <w:color w:val="auto"/>
                      <w:kern w:val="0"/>
                      <w:szCs w:val="21"/>
                      <w:lang w:val="en-US" w:eastAsia="zh-CN"/>
                    </w:rPr>
                    <w:t>54.98</w:t>
                  </w:r>
                </w:p>
              </w:tc>
              <w:tc>
                <w:tcPr>
                  <w:tcW w:w="581" w:type="pct"/>
                  <w:noWrap/>
                  <w:vAlign w:val="center"/>
                </w:tcPr>
                <w:p>
                  <w:pPr>
                    <w:widowControl/>
                    <w:adjustRightInd w:val="0"/>
                    <w:snapToGrid w:val="0"/>
                    <w:jc w:val="center"/>
                    <w:rPr>
                      <w:color w:val="auto"/>
                      <w:kern w:val="0"/>
                      <w:szCs w:val="21"/>
                    </w:rPr>
                  </w:pPr>
                  <w:r>
                    <w:rPr>
                      <w:color w:val="auto"/>
                      <w:kern w:val="0"/>
                      <w:szCs w:val="21"/>
                    </w:rPr>
                    <w:t>65</w:t>
                  </w:r>
                </w:p>
              </w:tc>
              <w:tc>
                <w:tcPr>
                  <w:tcW w:w="694" w:type="pct"/>
                  <w:noWrap/>
                  <w:vAlign w:val="center"/>
                </w:tcPr>
                <w:p>
                  <w:pPr>
                    <w:widowControl/>
                    <w:adjustRightInd w:val="0"/>
                    <w:snapToGrid w:val="0"/>
                    <w:jc w:val="center"/>
                    <w:rPr>
                      <w:color w:val="auto"/>
                      <w:kern w:val="0"/>
                      <w:szCs w:val="21"/>
                    </w:rPr>
                  </w:pPr>
                  <w:r>
                    <w:rPr>
                      <w:rFonts w:hint="eastAsia"/>
                      <w:color w:val="auto"/>
                      <w:kern w:val="0"/>
                      <w:szCs w:val="21"/>
                      <w:lang w:val="en-US" w:eastAsia="zh-CN"/>
                    </w:rPr>
                    <w:t>55</w:t>
                  </w:r>
                </w:p>
              </w:tc>
              <w:tc>
                <w:tcPr>
                  <w:tcW w:w="694" w:type="pct"/>
                  <w:noWrap/>
                  <w:vAlign w:val="center"/>
                </w:tcPr>
                <w:p>
                  <w:pPr>
                    <w:widowControl/>
                    <w:adjustRightInd w:val="0"/>
                    <w:snapToGrid w:val="0"/>
                    <w:jc w:val="center"/>
                    <w:rPr>
                      <w:color w:val="auto"/>
                      <w:kern w:val="0"/>
                      <w:szCs w:val="21"/>
                    </w:rPr>
                  </w:pPr>
                  <w:r>
                    <w:rPr>
                      <w:color w:val="auto"/>
                      <w:kern w:val="0"/>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2" w:type="pct"/>
                  <w:noWrap/>
                  <w:vAlign w:val="center"/>
                </w:tcPr>
                <w:p>
                  <w:pPr>
                    <w:widowControl/>
                    <w:adjustRightInd w:val="0"/>
                    <w:snapToGrid w:val="0"/>
                    <w:jc w:val="center"/>
                    <w:rPr>
                      <w:color w:val="auto"/>
                      <w:kern w:val="0"/>
                      <w:szCs w:val="21"/>
                    </w:rPr>
                  </w:pPr>
                  <w:r>
                    <w:rPr>
                      <w:color w:val="auto"/>
                      <w:kern w:val="0"/>
                      <w:szCs w:val="21"/>
                    </w:rPr>
                    <w:t>北厂界</w:t>
                  </w:r>
                </w:p>
              </w:tc>
              <w:tc>
                <w:tcPr>
                  <w:tcW w:w="486" w:type="pct"/>
                  <w:vAlign w:val="center"/>
                </w:tcPr>
                <w:p>
                  <w:pPr>
                    <w:widowControl/>
                    <w:adjustRightInd w:val="0"/>
                    <w:snapToGrid w:val="0"/>
                    <w:jc w:val="center"/>
                    <w:rPr>
                      <w:rFonts w:hint="default" w:eastAsia="宋体"/>
                      <w:color w:val="auto"/>
                      <w:kern w:val="0"/>
                      <w:szCs w:val="21"/>
                      <w:lang w:val="en-US" w:eastAsia="zh-CN"/>
                    </w:rPr>
                  </w:pPr>
                  <w:r>
                    <w:rPr>
                      <w:rFonts w:hint="eastAsia"/>
                      <w:color w:val="auto"/>
                      <w:kern w:val="0"/>
                      <w:szCs w:val="21"/>
                      <w:lang w:val="en-US" w:eastAsia="zh-CN"/>
                    </w:rPr>
                    <w:t>-12.08</w:t>
                  </w:r>
                </w:p>
              </w:tc>
              <w:tc>
                <w:tcPr>
                  <w:tcW w:w="581" w:type="pct"/>
                  <w:vAlign w:val="center"/>
                </w:tcPr>
                <w:p>
                  <w:pPr>
                    <w:widowControl/>
                    <w:adjustRightInd w:val="0"/>
                    <w:snapToGrid w:val="0"/>
                    <w:jc w:val="center"/>
                    <w:rPr>
                      <w:rFonts w:hint="default" w:eastAsia="宋体"/>
                      <w:color w:val="auto"/>
                      <w:kern w:val="0"/>
                      <w:szCs w:val="21"/>
                      <w:lang w:val="en-US" w:eastAsia="zh-CN"/>
                    </w:rPr>
                  </w:pPr>
                  <w:r>
                    <w:rPr>
                      <w:rFonts w:hint="eastAsia"/>
                      <w:color w:val="auto"/>
                      <w:kern w:val="0"/>
                      <w:szCs w:val="21"/>
                      <w:lang w:val="en-US" w:eastAsia="zh-CN"/>
                    </w:rPr>
                    <w:t>-23.17</w:t>
                  </w:r>
                </w:p>
              </w:tc>
              <w:tc>
                <w:tcPr>
                  <w:tcW w:w="656" w:type="pct"/>
                  <w:vAlign w:val="center"/>
                </w:tcPr>
                <w:p>
                  <w:pPr>
                    <w:widowControl/>
                    <w:adjustRightInd w:val="0"/>
                    <w:snapToGrid w:val="0"/>
                    <w:jc w:val="center"/>
                    <w:rPr>
                      <w:color w:val="auto"/>
                      <w:kern w:val="0"/>
                      <w:szCs w:val="21"/>
                    </w:rPr>
                  </w:pPr>
                  <w:r>
                    <w:rPr>
                      <w:rFonts w:hint="eastAsia"/>
                      <w:color w:val="auto"/>
                      <w:kern w:val="0"/>
                      <w:szCs w:val="21"/>
                      <w:lang w:val="en-US" w:eastAsia="zh-CN"/>
                    </w:rPr>
                    <w:t>1.2</w:t>
                  </w:r>
                </w:p>
              </w:tc>
              <w:tc>
                <w:tcPr>
                  <w:tcW w:w="581" w:type="pct"/>
                  <w:vAlign w:val="center"/>
                </w:tcPr>
                <w:p>
                  <w:pPr>
                    <w:widowControl/>
                    <w:adjustRightInd w:val="0"/>
                    <w:snapToGrid w:val="0"/>
                    <w:jc w:val="center"/>
                    <w:rPr>
                      <w:rFonts w:hint="default" w:eastAsia="宋体"/>
                      <w:color w:val="auto"/>
                      <w:kern w:val="0"/>
                      <w:szCs w:val="21"/>
                      <w:lang w:val="en-US" w:eastAsia="zh-CN"/>
                    </w:rPr>
                  </w:pPr>
                  <w:r>
                    <w:rPr>
                      <w:rFonts w:hint="eastAsia"/>
                      <w:color w:val="auto"/>
                      <w:kern w:val="0"/>
                      <w:szCs w:val="21"/>
                      <w:lang w:val="en-US" w:eastAsia="zh-CN"/>
                    </w:rPr>
                    <w:t>53.41</w:t>
                  </w:r>
                </w:p>
              </w:tc>
              <w:tc>
                <w:tcPr>
                  <w:tcW w:w="581" w:type="pct"/>
                  <w:noWrap/>
                  <w:vAlign w:val="center"/>
                </w:tcPr>
                <w:p>
                  <w:pPr>
                    <w:widowControl/>
                    <w:adjustRightInd w:val="0"/>
                    <w:snapToGrid w:val="0"/>
                    <w:jc w:val="center"/>
                    <w:rPr>
                      <w:color w:val="auto"/>
                      <w:kern w:val="0"/>
                      <w:szCs w:val="21"/>
                    </w:rPr>
                  </w:pPr>
                  <w:r>
                    <w:rPr>
                      <w:color w:val="auto"/>
                      <w:kern w:val="0"/>
                      <w:szCs w:val="21"/>
                    </w:rPr>
                    <w:t>65</w:t>
                  </w:r>
                </w:p>
              </w:tc>
              <w:tc>
                <w:tcPr>
                  <w:tcW w:w="694" w:type="pct"/>
                  <w:noWrap/>
                  <w:vAlign w:val="center"/>
                </w:tcPr>
                <w:p>
                  <w:pPr>
                    <w:widowControl/>
                    <w:adjustRightInd w:val="0"/>
                    <w:snapToGrid w:val="0"/>
                    <w:jc w:val="center"/>
                    <w:rPr>
                      <w:color w:val="auto"/>
                      <w:kern w:val="0"/>
                      <w:szCs w:val="21"/>
                    </w:rPr>
                  </w:pPr>
                  <w:r>
                    <w:rPr>
                      <w:rFonts w:hint="eastAsia"/>
                      <w:color w:val="auto"/>
                      <w:kern w:val="0"/>
                      <w:szCs w:val="21"/>
                      <w:lang w:val="en-US" w:eastAsia="zh-CN"/>
                    </w:rPr>
                    <w:t>55</w:t>
                  </w:r>
                </w:p>
              </w:tc>
              <w:tc>
                <w:tcPr>
                  <w:tcW w:w="694" w:type="pct"/>
                  <w:noWrap/>
                  <w:vAlign w:val="center"/>
                </w:tcPr>
                <w:p>
                  <w:pPr>
                    <w:widowControl/>
                    <w:adjustRightInd w:val="0"/>
                    <w:snapToGrid w:val="0"/>
                    <w:jc w:val="center"/>
                    <w:rPr>
                      <w:color w:val="auto"/>
                      <w:kern w:val="0"/>
                      <w:szCs w:val="21"/>
                    </w:rPr>
                  </w:pPr>
                  <w:r>
                    <w:rPr>
                      <w:color w:val="auto"/>
                      <w:kern w:val="0"/>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2" w:type="pct"/>
                  <w:noWrap/>
                  <w:vAlign w:val="center"/>
                </w:tcPr>
                <w:p>
                  <w:pPr>
                    <w:widowControl/>
                    <w:adjustRightInd w:val="0"/>
                    <w:snapToGrid w:val="0"/>
                    <w:jc w:val="center"/>
                    <w:rPr>
                      <w:color w:val="auto"/>
                      <w:kern w:val="0"/>
                      <w:szCs w:val="21"/>
                    </w:rPr>
                  </w:pPr>
                  <w:r>
                    <w:rPr>
                      <w:color w:val="auto"/>
                      <w:kern w:val="0"/>
                      <w:szCs w:val="21"/>
                    </w:rPr>
                    <w:t>西厂界</w:t>
                  </w:r>
                </w:p>
              </w:tc>
              <w:tc>
                <w:tcPr>
                  <w:tcW w:w="486" w:type="pct"/>
                  <w:vAlign w:val="center"/>
                </w:tcPr>
                <w:p>
                  <w:pPr>
                    <w:widowControl/>
                    <w:adjustRightInd w:val="0"/>
                    <w:snapToGrid w:val="0"/>
                    <w:jc w:val="center"/>
                    <w:rPr>
                      <w:rFonts w:hint="default" w:eastAsia="宋体"/>
                      <w:color w:val="auto"/>
                      <w:kern w:val="0"/>
                      <w:szCs w:val="21"/>
                      <w:lang w:val="en-US" w:eastAsia="zh-CN"/>
                    </w:rPr>
                  </w:pPr>
                  <w:r>
                    <w:rPr>
                      <w:rFonts w:hint="eastAsia"/>
                      <w:color w:val="auto"/>
                      <w:kern w:val="0"/>
                      <w:szCs w:val="21"/>
                      <w:lang w:val="en-US" w:eastAsia="zh-CN"/>
                    </w:rPr>
                    <w:t>12.25</w:t>
                  </w:r>
                </w:p>
              </w:tc>
              <w:tc>
                <w:tcPr>
                  <w:tcW w:w="581" w:type="pct"/>
                  <w:vAlign w:val="center"/>
                </w:tcPr>
                <w:p>
                  <w:pPr>
                    <w:widowControl/>
                    <w:adjustRightInd w:val="0"/>
                    <w:snapToGrid w:val="0"/>
                    <w:jc w:val="center"/>
                    <w:rPr>
                      <w:rFonts w:hint="default" w:eastAsia="宋体"/>
                      <w:color w:val="auto"/>
                      <w:kern w:val="0"/>
                      <w:szCs w:val="21"/>
                      <w:lang w:val="en-US" w:eastAsia="zh-CN"/>
                    </w:rPr>
                  </w:pPr>
                  <w:r>
                    <w:rPr>
                      <w:rFonts w:hint="eastAsia"/>
                      <w:color w:val="auto"/>
                      <w:kern w:val="0"/>
                      <w:szCs w:val="21"/>
                      <w:lang w:val="en-US" w:eastAsia="zh-CN"/>
                    </w:rPr>
                    <w:t>23.59</w:t>
                  </w:r>
                </w:p>
              </w:tc>
              <w:tc>
                <w:tcPr>
                  <w:tcW w:w="656" w:type="pct"/>
                  <w:vAlign w:val="center"/>
                </w:tcPr>
                <w:p>
                  <w:pPr>
                    <w:widowControl/>
                    <w:adjustRightInd w:val="0"/>
                    <w:snapToGrid w:val="0"/>
                    <w:jc w:val="center"/>
                    <w:rPr>
                      <w:color w:val="auto"/>
                      <w:kern w:val="0"/>
                      <w:szCs w:val="21"/>
                    </w:rPr>
                  </w:pPr>
                  <w:r>
                    <w:rPr>
                      <w:rFonts w:hint="eastAsia"/>
                      <w:color w:val="auto"/>
                      <w:kern w:val="0"/>
                      <w:szCs w:val="21"/>
                      <w:lang w:val="en-US" w:eastAsia="zh-CN"/>
                    </w:rPr>
                    <w:t>1.2</w:t>
                  </w:r>
                </w:p>
              </w:tc>
              <w:tc>
                <w:tcPr>
                  <w:tcW w:w="581" w:type="pct"/>
                  <w:vAlign w:val="center"/>
                </w:tcPr>
                <w:p>
                  <w:pPr>
                    <w:widowControl/>
                    <w:adjustRightInd w:val="0"/>
                    <w:snapToGrid w:val="0"/>
                    <w:jc w:val="center"/>
                    <w:rPr>
                      <w:rFonts w:hint="default" w:eastAsia="宋体"/>
                      <w:color w:val="auto"/>
                      <w:kern w:val="0"/>
                      <w:szCs w:val="21"/>
                      <w:lang w:val="en-US" w:eastAsia="zh-CN"/>
                    </w:rPr>
                  </w:pPr>
                  <w:r>
                    <w:rPr>
                      <w:rFonts w:hint="eastAsia"/>
                      <w:color w:val="auto"/>
                      <w:kern w:val="0"/>
                      <w:szCs w:val="21"/>
                      <w:lang w:val="en-US" w:eastAsia="zh-CN"/>
                    </w:rPr>
                    <w:t>54.13</w:t>
                  </w:r>
                </w:p>
              </w:tc>
              <w:tc>
                <w:tcPr>
                  <w:tcW w:w="581" w:type="pct"/>
                  <w:noWrap/>
                  <w:vAlign w:val="center"/>
                </w:tcPr>
                <w:p>
                  <w:pPr>
                    <w:widowControl/>
                    <w:adjustRightInd w:val="0"/>
                    <w:snapToGrid w:val="0"/>
                    <w:jc w:val="center"/>
                    <w:rPr>
                      <w:color w:val="auto"/>
                      <w:kern w:val="0"/>
                      <w:szCs w:val="21"/>
                    </w:rPr>
                  </w:pPr>
                  <w:r>
                    <w:rPr>
                      <w:color w:val="auto"/>
                      <w:kern w:val="0"/>
                      <w:szCs w:val="21"/>
                    </w:rPr>
                    <w:t>65</w:t>
                  </w:r>
                </w:p>
              </w:tc>
              <w:tc>
                <w:tcPr>
                  <w:tcW w:w="694" w:type="pct"/>
                  <w:noWrap/>
                  <w:vAlign w:val="center"/>
                </w:tcPr>
                <w:p>
                  <w:pPr>
                    <w:widowControl/>
                    <w:adjustRightInd w:val="0"/>
                    <w:snapToGrid w:val="0"/>
                    <w:jc w:val="center"/>
                    <w:rPr>
                      <w:color w:val="auto"/>
                      <w:kern w:val="0"/>
                      <w:szCs w:val="21"/>
                    </w:rPr>
                  </w:pPr>
                  <w:r>
                    <w:rPr>
                      <w:rFonts w:hint="eastAsia"/>
                      <w:color w:val="auto"/>
                      <w:kern w:val="0"/>
                      <w:szCs w:val="21"/>
                      <w:lang w:val="en-US" w:eastAsia="zh-CN"/>
                    </w:rPr>
                    <w:t>55</w:t>
                  </w:r>
                </w:p>
              </w:tc>
              <w:tc>
                <w:tcPr>
                  <w:tcW w:w="694" w:type="pct"/>
                  <w:noWrap/>
                  <w:vAlign w:val="center"/>
                </w:tcPr>
                <w:p>
                  <w:pPr>
                    <w:widowControl/>
                    <w:adjustRightInd w:val="0"/>
                    <w:snapToGrid w:val="0"/>
                    <w:jc w:val="center"/>
                    <w:rPr>
                      <w:color w:val="auto"/>
                      <w:kern w:val="0"/>
                      <w:szCs w:val="21"/>
                    </w:rPr>
                  </w:pPr>
                  <w:r>
                    <w:rPr>
                      <w:color w:val="auto"/>
                      <w:kern w:val="0"/>
                      <w:szCs w:val="21"/>
                    </w:rPr>
                    <w:t>达标</w:t>
                  </w:r>
                </w:p>
              </w:tc>
            </w:tr>
          </w:tbl>
          <w:p>
            <w:pPr>
              <w:autoSpaceDE w:val="0"/>
              <w:autoSpaceDN w:val="0"/>
              <w:adjustRightInd w:val="0"/>
              <w:snapToGrid w:val="0"/>
              <w:spacing w:line="360" w:lineRule="auto"/>
              <w:ind w:firstLine="480" w:firstLineChars="200"/>
              <w:rPr>
                <w:color w:val="auto"/>
                <w:sz w:val="24"/>
                <w:szCs w:val="24"/>
              </w:rPr>
            </w:pPr>
            <w:r>
              <w:rPr>
                <w:rFonts w:hint="eastAsia"/>
                <w:bCs/>
                <w:color w:val="auto"/>
                <w:sz w:val="24"/>
                <w:szCs w:val="24"/>
                <w:lang w:val="en-US" w:eastAsia="zh-CN"/>
              </w:rPr>
              <w:t>项目运营期生产设备24h运行，</w:t>
            </w:r>
            <w:r>
              <w:rPr>
                <w:bCs/>
                <w:color w:val="auto"/>
                <w:sz w:val="24"/>
                <w:szCs w:val="24"/>
              </w:rPr>
              <w:t>根据上述预测</w:t>
            </w:r>
            <w:r>
              <w:rPr>
                <w:rFonts w:hint="eastAsia"/>
                <w:bCs/>
                <w:color w:val="auto"/>
                <w:sz w:val="24"/>
                <w:szCs w:val="24"/>
              </w:rPr>
              <w:t>结果</w:t>
            </w:r>
            <w:r>
              <w:rPr>
                <w:bCs/>
                <w:color w:val="auto"/>
                <w:sz w:val="24"/>
                <w:szCs w:val="24"/>
              </w:rPr>
              <w:t>，</w:t>
            </w:r>
            <w:r>
              <w:rPr>
                <w:rFonts w:hint="eastAsia"/>
                <w:bCs/>
                <w:color w:val="auto"/>
                <w:sz w:val="24"/>
                <w:szCs w:val="24"/>
                <w:lang w:val="en-US" w:eastAsia="zh-CN"/>
              </w:rPr>
              <w:t>运营期设备</w:t>
            </w:r>
            <w:r>
              <w:rPr>
                <w:bCs/>
                <w:color w:val="auto"/>
                <w:sz w:val="24"/>
                <w:szCs w:val="24"/>
              </w:rPr>
              <w:t>噪声贡献值</w:t>
            </w:r>
            <w:r>
              <w:rPr>
                <w:rFonts w:hint="eastAsia"/>
                <w:bCs/>
                <w:color w:val="auto"/>
                <w:sz w:val="24"/>
                <w:szCs w:val="24"/>
              </w:rPr>
              <w:t>最大值</w:t>
            </w:r>
            <w:r>
              <w:rPr>
                <w:rFonts w:hint="eastAsia"/>
                <w:bCs/>
                <w:color w:val="auto"/>
                <w:sz w:val="24"/>
                <w:szCs w:val="24"/>
                <w:lang w:val="en-US" w:eastAsia="zh-CN"/>
              </w:rPr>
              <w:t>在</w:t>
            </w:r>
            <w:r>
              <w:rPr>
                <w:color w:val="auto"/>
                <w:sz w:val="24"/>
                <w:szCs w:val="24"/>
              </w:rPr>
              <w:t>东侧</w:t>
            </w:r>
            <w:r>
              <w:rPr>
                <w:rFonts w:hint="eastAsia"/>
                <w:color w:val="auto"/>
                <w:sz w:val="24"/>
                <w:szCs w:val="24"/>
              </w:rPr>
              <w:t>、南侧</w:t>
            </w:r>
            <w:r>
              <w:rPr>
                <w:color w:val="auto"/>
                <w:sz w:val="24"/>
                <w:szCs w:val="24"/>
              </w:rPr>
              <w:t>、西侧、北侧厂界</w:t>
            </w:r>
            <w:r>
              <w:rPr>
                <w:rFonts w:hint="eastAsia"/>
                <w:bCs/>
                <w:color w:val="auto"/>
                <w:sz w:val="24"/>
                <w:szCs w:val="24"/>
              </w:rPr>
              <w:t>均</w:t>
            </w:r>
            <w:r>
              <w:rPr>
                <w:bCs/>
                <w:color w:val="auto"/>
                <w:sz w:val="24"/>
                <w:szCs w:val="24"/>
              </w:rPr>
              <w:t>满足</w:t>
            </w:r>
            <w:r>
              <w:rPr>
                <w:color w:val="auto"/>
                <w:sz w:val="24"/>
                <w:szCs w:val="24"/>
              </w:rPr>
              <w:t>《工业企业厂界环境噪声排放标准》（GB12348-2008）3类标准。</w:t>
            </w:r>
          </w:p>
          <w:p>
            <w:pPr>
              <w:autoSpaceDE w:val="0"/>
              <w:autoSpaceDN w:val="0"/>
              <w:adjustRightInd w:val="0"/>
              <w:snapToGrid w:val="0"/>
              <w:spacing w:line="360" w:lineRule="auto"/>
              <w:ind w:firstLine="482" w:firstLineChars="200"/>
              <w:rPr>
                <w:color w:val="auto"/>
                <w:sz w:val="24"/>
                <w:szCs w:val="24"/>
              </w:rPr>
            </w:pPr>
            <w:r>
              <w:rPr>
                <w:b/>
                <w:bCs/>
                <w:color w:val="auto"/>
                <w:sz w:val="24"/>
                <w:szCs w:val="24"/>
              </w:rPr>
              <w:t>4）</w:t>
            </w:r>
            <w:r>
              <w:rPr>
                <w:rFonts w:hint="eastAsia"/>
                <w:b/>
                <w:bCs/>
                <w:color w:val="auto"/>
                <w:sz w:val="24"/>
                <w:szCs w:val="24"/>
              </w:rPr>
              <w:t>声环境</w:t>
            </w:r>
            <w:r>
              <w:rPr>
                <w:b/>
                <w:bCs/>
                <w:color w:val="auto"/>
                <w:sz w:val="24"/>
                <w:szCs w:val="24"/>
              </w:rPr>
              <w:t>影响分析</w:t>
            </w:r>
          </w:p>
          <w:p>
            <w:pPr>
              <w:adjustRightInd w:val="0"/>
              <w:snapToGrid w:val="0"/>
              <w:spacing w:line="360" w:lineRule="auto"/>
              <w:ind w:firstLine="480" w:firstLineChars="200"/>
              <w:rPr>
                <w:color w:val="auto"/>
                <w:sz w:val="24"/>
                <w:szCs w:val="24"/>
              </w:rPr>
            </w:pPr>
            <w:r>
              <w:rPr>
                <w:color w:val="auto"/>
                <w:sz w:val="24"/>
                <w:szCs w:val="24"/>
              </w:rPr>
              <w:t>本项目厂界外50m范围内无声环境保护目标，</w:t>
            </w:r>
            <w:r>
              <w:rPr>
                <w:color w:val="auto"/>
                <w:sz w:val="24"/>
                <w:szCs w:val="24"/>
                <w:lang w:bidi="ar"/>
              </w:rPr>
              <w:t>项目设备运行噪声经基础减振、厂房隔声、距离衰减后对周边声环境影响较小。且项目运营期采取</w:t>
            </w:r>
            <w:r>
              <w:rPr>
                <w:color w:val="auto"/>
                <w:sz w:val="24"/>
                <w:szCs w:val="24"/>
              </w:rPr>
              <w:t>噪声防治措施，以最大程度减轻对周边环境的影响：</w:t>
            </w:r>
          </w:p>
          <w:p>
            <w:pPr>
              <w:spacing w:line="360" w:lineRule="auto"/>
              <w:ind w:firstLine="480" w:firstLineChars="200"/>
              <w:rPr>
                <w:color w:val="auto"/>
                <w:sz w:val="24"/>
                <w:szCs w:val="24"/>
              </w:rPr>
            </w:pPr>
            <w:r>
              <w:rPr>
                <w:rFonts w:ascii="Cambria Math" w:hAnsi="Cambria Math" w:cs="Cambria Math"/>
                <w:color w:val="auto"/>
                <w:sz w:val="24"/>
                <w:szCs w:val="24"/>
              </w:rPr>
              <w:t>①</w:t>
            </w:r>
            <w:r>
              <w:rPr>
                <w:color w:val="auto"/>
                <w:sz w:val="24"/>
                <w:szCs w:val="24"/>
              </w:rPr>
              <w:t>车间内的生产设备根据生产流程进行布置，尽量布置在车间中部；设备选用低噪声设备，生产设备全部置于生产厂房内，安装减振基础，并利用厂房墙体隔声处理；</w:t>
            </w:r>
          </w:p>
          <w:p>
            <w:pPr>
              <w:spacing w:line="360" w:lineRule="auto"/>
              <w:ind w:firstLine="480" w:firstLineChars="200"/>
              <w:rPr>
                <w:color w:val="auto"/>
                <w:sz w:val="24"/>
                <w:szCs w:val="24"/>
              </w:rPr>
            </w:pPr>
            <w:r>
              <w:rPr>
                <w:rFonts w:ascii="Cambria Math" w:hAnsi="Cambria Math" w:cs="Cambria Math"/>
                <w:color w:val="auto"/>
                <w:sz w:val="24"/>
                <w:szCs w:val="24"/>
              </w:rPr>
              <w:t>②</w:t>
            </w:r>
            <w:r>
              <w:rPr>
                <w:color w:val="auto"/>
                <w:sz w:val="24"/>
                <w:szCs w:val="24"/>
              </w:rPr>
              <w:t>日常加强生产设备的检修工作，确保生产设备稳定正常运转；</w:t>
            </w:r>
          </w:p>
          <w:p>
            <w:pPr>
              <w:spacing w:line="360" w:lineRule="auto"/>
              <w:ind w:firstLine="480" w:firstLineChars="200"/>
              <w:rPr>
                <w:color w:val="auto"/>
                <w:sz w:val="24"/>
                <w:szCs w:val="24"/>
              </w:rPr>
            </w:pPr>
            <w:r>
              <w:rPr>
                <w:rFonts w:ascii="Cambria Math" w:hAnsi="Cambria Math" w:cs="Cambria Math"/>
                <w:color w:val="auto"/>
                <w:sz w:val="24"/>
                <w:szCs w:val="24"/>
              </w:rPr>
              <w:t>③</w:t>
            </w:r>
            <w:r>
              <w:rPr>
                <w:color w:val="auto"/>
                <w:sz w:val="24"/>
                <w:szCs w:val="24"/>
              </w:rPr>
              <w:t>加强管理，规范操作，避免人员操作不当造成噪声瞬间超标；</w:t>
            </w:r>
          </w:p>
          <w:p>
            <w:pPr>
              <w:spacing w:line="360" w:lineRule="auto"/>
              <w:ind w:firstLine="480" w:firstLineChars="200"/>
              <w:rPr>
                <w:color w:val="auto"/>
                <w:sz w:val="24"/>
                <w:szCs w:val="24"/>
              </w:rPr>
            </w:pPr>
            <w:r>
              <w:rPr>
                <w:rFonts w:ascii="Cambria Math" w:hAnsi="Cambria Math" w:cs="Cambria Math"/>
                <w:color w:val="auto"/>
                <w:sz w:val="24"/>
                <w:szCs w:val="24"/>
              </w:rPr>
              <w:t>④</w:t>
            </w:r>
            <w:r>
              <w:rPr>
                <w:color w:val="auto"/>
                <w:sz w:val="24"/>
                <w:szCs w:val="24"/>
              </w:rPr>
              <w:t>出入厂区车辆减速，禁止鸣笛。</w:t>
            </w:r>
          </w:p>
          <w:p>
            <w:pPr>
              <w:autoSpaceDE w:val="0"/>
              <w:autoSpaceDN w:val="0"/>
              <w:adjustRightInd w:val="0"/>
              <w:snapToGrid w:val="0"/>
              <w:spacing w:line="360" w:lineRule="auto"/>
              <w:ind w:firstLine="480" w:firstLineChars="200"/>
              <w:rPr>
                <w:color w:val="auto"/>
                <w:sz w:val="24"/>
                <w:szCs w:val="24"/>
              </w:rPr>
            </w:pPr>
            <w:r>
              <w:rPr>
                <w:color w:val="auto"/>
                <w:sz w:val="24"/>
                <w:szCs w:val="24"/>
              </w:rPr>
              <w:t>通过采取上述措施后，可进一步减轻噪声对环境的影响，项目噪声对周围环境影响较小。</w:t>
            </w:r>
          </w:p>
          <w:p>
            <w:pPr>
              <w:adjustRightInd w:val="0"/>
              <w:snapToGrid w:val="0"/>
              <w:spacing w:line="360" w:lineRule="auto"/>
              <w:ind w:firstLine="482" w:firstLineChars="200"/>
              <w:rPr>
                <w:b/>
                <w:bCs/>
                <w:color w:val="auto"/>
                <w:sz w:val="24"/>
                <w:szCs w:val="24"/>
              </w:rPr>
            </w:pPr>
            <w:r>
              <w:rPr>
                <w:b/>
                <w:bCs/>
                <w:color w:val="auto"/>
                <w:sz w:val="24"/>
                <w:szCs w:val="24"/>
              </w:rPr>
              <w:t>（3）监测要求</w:t>
            </w:r>
          </w:p>
          <w:p>
            <w:pPr>
              <w:autoSpaceDE w:val="0"/>
              <w:autoSpaceDN w:val="0"/>
              <w:adjustRightInd w:val="0"/>
              <w:snapToGrid w:val="0"/>
              <w:spacing w:line="360" w:lineRule="auto"/>
              <w:ind w:firstLine="480" w:firstLineChars="200"/>
              <w:rPr>
                <w:bCs/>
                <w:color w:val="auto"/>
                <w:sz w:val="24"/>
                <w:szCs w:val="24"/>
              </w:rPr>
            </w:pPr>
            <w:r>
              <w:rPr>
                <w:bCs/>
                <w:color w:val="auto"/>
                <w:sz w:val="24"/>
                <w:szCs w:val="24"/>
              </w:rPr>
              <w:t>根据《排污许可证申请与核发技术规范</w:t>
            </w:r>
            <w:r>
              <w:rPr>
                <w:rFonts w:hint="eastAsia"/>
                <w:bCs/>
                <w:color w:val="auto"/>
                <w:sz w:val="24"/>
                <w:szCs w:val="24"/>
              </w:rPr>
              <w:t xml:space="preserve"> </w:t>
            </w:r>
            <w:r>
              <w:rPr>
                <w:bCs/>
                <w:color w:val="auto"/>
                <w:sz w:val="24"/>
                <w:szCs w:val="24"/>
              </w:rPr>
              <w:t>废弃资源加工工业》（HJ1034-2019）开展自行监测。噪声自行监测计划如下：</w:t>
            </w:r>
          </w:p>
          <w:p>
            <w:pPr>
              <w:autoSpaceDE w:val="0"/>
              <w:autoSpaceDN w:val="0"/>
              <w:adjustRightInd w:val="0"/>
              <w:snapToGrid w:val="0"/>
              <w:spacing w:line="276" w:lineRule="auto"/>
              <w:jc w:val="center"/>
              <w:rPr>
                <w:bCs/>
                <w:color w:val="auto"/>
                <w:szCs w:val="21"/>
              </w:rPr>
            </w:pPr>
            <w:r>
              <w:rPr>
                <w:b/>
                <w:color w:val="auto"/>
                <w:sz w:val="24"/>
                <w:szCs w:val="24"/>
                <w:lang w:bidi="ar"/>
              </w:rPr>
              <w:t>表4-</w:t>
            </w:r>
            <w:r>
              <w:rPr>
                <w:rFonts w:hint="eastAsia"/>
                <w:b/>
                <w:color w:val="auto"/>
                <w:sz w:val="24"/>
                <w:szCs w:val="24"/>
                <w:lang w:val="en-US" w:eastAsia="zh-CN" w:bidi="ar"/>
              </w:rPr>
              <w:t>12</w:t>
            </w:r>
            <w:r>
              <w:rPr>
                <w:b/>
                <w:color w:val="auto"/>
                <w:sz w:val="24"/>
                <w:szCs w:val="24"/>
                <w:lang w:bidi="ar"/>
              </w:rPr>
              <w:t xml:space="preserve">  噪声</w:t>
            </w:r>
            <w:r>
              <w:rPr>
                <w:b/>
                <w:color w:val="auto"/>
                <w:sz w:val="24"/>
                <w:szCs w:val="24"/>
              </w:rPr>
              <w:t>自行监测计划</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8"/>
              <w:gridCol w:w="2529"/>
              <w:gridCol w:w="24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1" w:hRule="atLeast"/>
                <w:jc w:val="center"/>
              </w:trPr>
              <w:tc>
                <w:tcPr>
                  <w:tcW w:w="1997" w:type="pct"/>
                  <w:vAlign w:val="center"/>
                </w:tcPr>
                <w:p>
                  <w:pPr>
                    <w:adjustRightInd w:val="0"/>
                    <w:snapToGrid w:val="0"/>
                    <w:jc w:val="center"/>
                    <w:textAlignment w:val="baseline"/>
                    <w:rPr>
                      <w:color w:val="auto"/>
                      <w:szCs w:val="21"/>
                    </w:rPr>
                  </w:pPr>
                  <w:r>
                    <w:rPr>
                      <w:color w:val="auto"/>
                      <w:szCs w:val="21"/>
                    </w:rPr>
                    <w:t>监测点位</w:t>
                  </w:r>
                </w:p>
              </w:tc>
              <w:tc>
                <w:tcPr>
                  <w:tcW w:w="1518" w:type="pct"/>
                  <w:vAlign w:val="center"/>
                </w:tcPr>
                <w:p>
                  <w:pPr>
                    <w:adjustRightInd w:val="0"/>
                    <w:snapToGrid w:val="0"/>
                    <w:jc w:val="center"/>
                    <w:textAlignment w:val="baseline"/>
                    <w:rPr>
                      <w:color w:val="auto"/>
                      <w:szCs w:val="21"/>
                    </w:rPr>
                  </w:pPr>
                  <w:r>
                    <w:rPr>
                      <w:color w:val="auto"/>
                      <w:szCs w:val="21"/>
                    </w:rPr>
                    <w:t>监测因子</w:t>
                  </w:r>
                </w:p>
              </w:tc>
              <w:tc>
                <w:tcPr>
                  <w:tcW w:w="1485" w:type="pct"/>
                  <w:vAlign w:val="center"/>
                </w:tcPr>
                <w:p>
                  <w:pPr>
                    <w:adjustRightInd w:val="0"/>
                    <w:snapToGrid w:val="0"/>
                    <w:jc w:val="center"/>
                    <w:textAlignment w:val="baseline"/>
                    <w:rPr>
                      <w:color w:val="auto"/>
                      <w:szCs w:val="21"/>
                    </w:rPr>
                  </w:pPr>
                  <w:r>
                    <w:rPr>
                      <w:color w:val="auto"/>
                      <w:szCs w:val="21"/>
                    </w:rPr>
                    <w:t>监测频次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997" w:type="pct"/>
                  <w:vAlign w:val="center"/>
                </w:tcPr>
                <w:p>
                  <w:pPr>
                    <w:widowControl/>
                    <w:jc w:val="center"/>
                    <w:rPr>
                      <w:color w:val="auto"/>
                      <w:szCs w:val="21"/>
                    </w:rPr>
                  </w:pPr>
                  <w:r>
                    <w:rPr>
                      <w:color w:val="auto"/>
                      <w:szCs w:val="21"/>
                    </w:rPr>
                    <w:t>厂界东、南、西、北边界</w:t>
                  </w:r>
                </w:p>
              </w:tc>
              <w:tc>
                <w:tcPr>
                  <w:tcW w:w="1518" w:type="pct"/>
                  <w:vAlign w:val="center"/>
                </w:tcPr>
                <w:p>
                  <w:pPr>
                    <w:widowControl/>
                    <w:jc w:val="center"/>
                    <w:rPr>
                      <w:color w:val="auto"/>
                      <w:kern w:val="0"/>
                      <w:szCs w:val="21"/>
                    </w:rPr>
                  </w:pPr>
                  <w:r>
                    <w:rPr>
                      <w:color w:val="auto"/>
                      <w:szCs w:val="21"/>
                    </w:rPr>
                    <w:t>等效连续A声级</w:t>
                  </w:r>
                </w:p>
              </w:tc>
              <w:tc>
                <w:tcPr>
                  <w:tcW w:w="1485" w:type="pct"/>
                  <w:vAlign w:val="center"/>
                </w:tcPr>
                <w:p>
                  <w:pPr>
                    <w:widowControl/>
                    <w:jc w:val="center"/>
                    <w:rPr>
                      <w:color w:val="auto"/>
                      <w:szCs w:val="21"/>
                    </w:rPr>
                  </w:pPr>
                  <w:r>
                    <w:rPr>
                      <w:color w:val="auto"/>
                      <w:szCs w:val="21"/>
                    </w:rPr>
                    <w:t>每季度监测</w:t>
                  </w:r>
                  <w:r>
                    <w:rPr>
                      <w:rFonts w:hint="eastAsia"/>
                      <w:color w:val="auto"/>
                      <w:szCs w:val="21"/>
                      <w:lang w:val="en-US" w:eastAsia="zh-CN"/>
                    </w:rPr>
                    <w:t>1</w:t>
                  </w:r>
                  <w:r>
                    <w:rPr>
                      <w:color w:val="auto"/>
                      <w:szCs w:val="21"/>
                    </w:rPr>
                    <w:t>次</w:t>
                  </w:r>
                </w:p>
              </w:tc>
            </w:tr>
          </w:tbl>
          <w:p>
            <w:pPr>
              <w:pStyle w:val="20"/>
              <w:widowControl w:val="0"/>
              <w:spacing w:before="0" w:beforeAutospacing="0" w:after="0" w:afterAutospacing="0" w:line="360" w:lineRule="auto"/>
              <w:ind w:firstLine="482" w:firstLineChars="200"/>
              <w:jc w:val="both"/>
              <w:rPr>
                <w:rFonts w:ascii="Times New Roman" w:hAnsi="Times New Roman"/>
                <w:b/>
                <w:color w:val="auto"/>
                <w:kern w:val="1"/>
                <w:sz w:val="24"/>
                <w:szCs w:val="24"/>
              </w:rPr>
            </w:pPr>
            <w:r>
              <w:rPr>
                <w:rFonts w:ascii="Times New Roman" w:hAnsi="Times New Roman"/>
                <w:b/>
                <w:color w:val="auto"/>
                <w:kern w:val="1"/>
                <w:sz w:val="24"/>
                <w:szCs w:val="24"/>
              </w:rPr>
              <w:t>4、固体废物</w:t>
            </w:r>
          </w:p>
          <w:p>
            <w:pPr>
              <w:spacing w:line="360" w:lineRule="auto"/>
              <w:ind w:firstLine="480" w:firstLineChars="200"/>
              <w:rPr>
                <w:bCs/>
                <w:color w:val="auto"/>
                <w:sz w:val="24"/>
                <w:szCs w:val="24"/>
              </w:rPr>
            </w:pPr>
            <w:r>
              <w:rPr>
                <w:rFonts w:hint="eastAsia"/>
                <w:bCs/>
                <w:color w:val="auto"/>
                <w:sz w:val="24"/>
                <w:szCs w:val="24"/>
              </w:rPr>
              <w:t>本项目固废主要为一般工业固废（</w:t>
            </w:r>
            <w:r>
              <w:rPr>
                <w:rFonts w:hint="eastAsia" w:ascii="Cambria Math" w:hAnsi="Cambria Math" w:cs="Cambria Math"/>
                <w:bCs/>
                <w:color w:val="auto"/>
                <w:sz w:val="24"/>
                <w:szCs w:val="24"/>
              </w:rPr>
              <w:t>造粒切粒废边角料、</w:t>
            </w:r>
            <w:r>
              <w:rPr>
                <w:rFonts w:hint="eastAsia"/>
                <w:bCs/>
                <w:color w:val="auto"/>
                <w:sz w:val="24"/>
                <w:szCs w:val="24"/>
              </w:rPr>
              <w:t>除铁回收金属、循环沉淀池污泥等）、危险废物（</w:t>
            </w:r>
            <w:r>
              <w:rPr>
                <w:bCs/>
                <w:color w:val="auto"/>
                <w:sz w:val="24"/>
                <w:szCs w:val="24"/>
              </w:rPr>
              <w:t>废活性炭</w:t>
            </w:r>
            <w:r>
              <w:rPr>
                <w:rFonts w:hint="eastAsia"/>
                <w:bCs/>
                <w:color w:val="auto"/>
                <w:sz w:val="24"/>
                <w:szCs w:val="24"/>
              </w:rPr>
              <w:t>、废润滑油）、生活垃圾。</w:t>
            </w:r>
          </w:p>
          <w:p>
            <w:pPr>
              <w:spacing w:line="360" w:lineRule="auto"/>
              <w:ind w:firstLine="482" w:firstLineChars="200"/>
              <w:rPr>
                <w:b/>
                <w:color w:val="auto"/>
                <w:sz w:val="24"/>
                <w:szCs w:val="24"/>
              </w:rPr>
            </w:pPr>
            <w:r>
              <w:rPr>
                <w:b/>
                <w:color w:val="auto"/>
                <w:sz w:val="24"/>
                <w:szCs w:val="24"/>
              </w:rPr>
              <w:t>（1）一般工业固废</w:t>
            </w:r>
          </w:p>
          <w:p>
            <w:pPr>
              <w:spacing w:line="360" w:lineRule="auto"/>
              <w:ind w:firstLine="480" w:firstLineChars="200"/>
              <w:rPr>
                <w:rFonts w:ascii="Cambria Math" w:hAnsi="Cambria Math" w:cs="Cambria Math"/>
                <w:bCs/>
                <w:color w:val="auto"/>
                <w:sz w:val="24"/>
                <w:szCs w:val="24"/>
              </w:rPr>
            </w:pPr>
            <w:r>
              <w:rPr>
                <w:rFonts w:hint="eastAsia" w:ascii="宋体" w:hAnsi="宋体" w:cs="Cambria Math"/>
                <w:bCs/>
                <w:color w:val="auto"/>
                <w:sz w:val="24"/>
                <w:szCs w:val="24"/>
              </w:rPr>
              <w:t>①</w:t>
            </w:r>
            <w:r>
              <w:rPr>
                <w:rFonts w:hint="eastAsia" w:ascii="Cambria Math" w:hAnsi="Cambria Math" w:cs="Cambria Math"/>
                <w:bCs/>
                <w:color w:val="auto"/>
                <w:sz w:val="24"/>
                <w:szCs w:val="24"/>
              </w:rPr>
              <w:t>造粒切粒废边角料</w:t>
            </w:r>
          </w:p>
          <w:p>
            <w:pPr>
              <w:spacing w:line="360" w:lineRule="auto"/>
              <w:ind w:firstLine="480" w:firstLineChars="200"/>
              <w:rPr>
                <w:bCs/>
                <w:color w:val="auto"/>
                <w:sz w:val="24"/>
                <w:szCs w:val="24"/>
              </w:rPr>
            </w:pPr>
            <w:r>
              <w:rPr>
                <w:rFonts w:hint="eastAsia"/>
                <w:color w:val="auto"/>
                <w:sz w:val="24"/>
                <w:szCs w:val="24"/>
                <w:lang w:bidi="ar"/>
              </w:rPr>
              <w:t>废塑料在挤出造粒、切粒过程中会产生少量废边角料，</w:t>
            </w:r>
            <w:r>
              <w:rPr>
                <w:rFonts w:hint="eastAsia"/>
                <w:bCs/>
                <w:color w:val="auto"/>
                <w:sz w:val="24"/>
                <w:szCs w:val="24"/>
              </w:rPr>
              <w:t>参考</w:t>
            </w:r>
            <w:r>
              <w:rPr>
                <w:bCs/>
                <w:color w:val="auto"/>
                <w:sz w:val="24"/>
                <w:szCs w:val="24"/>
              </w:rPr>
              <w:t>《排放源统计调查产排污核算方法和系数手册》</w:t>
            </w:r>
            <w:r>
              <w:rPr>
                <w:rFonts w:hint="eastAsia"/>
                <w:bCs/>
                <w:color w:val="auto"/>
                <w:sz w:val="24"/>
                <w:szCs w:val="24"/>
              </w:rPr>
              <w:t>（</w:t>
            </w:r>
            <w:r>
              <w:rPr>
                <w:bCs/>
                <w:color w:val="auto"/>
                <w:sz w:val="24"/>
                <w:szCs w:val="24"/>
              </w:rPr>
              <w:t>公告2021年第24号</w:t>
            </w:r>
            <w:r>
              <w:rPr>
                <w:rFonts w:hint="eastAsia"/>
                <w:bCs/>
                <w:color w:val="auto"/>
                <w:sz w:val="24"/>
                <w:szCs w:val="24"/>
              </w:rPr>
              <w:t>）</w:t>
            </w:r>
            <w:r>
              <w:rPr>
                <w:bCs/>
                <w:color w:val="auto"/>
                <w:sz w:val="24"/>
                <w:szCs w:val="24"/>
              </w:rPr>
              <w:t>中的</w:t>
            </w:r>
            <w:r>
              <w:rPr>
                <w:rFonts w:hint="eastAsia"/>
                <w:bCs/>
                <w:color w:val="auto"/>
                <w:sz w:val="24"/>
                <w:szCs w:val="24"/>
              </w:rPr>
              <w:t>“42废弃资源综合利用行业系数手册-4220非金属废料和碎屑加工处理行业系数表”，挤出造粒工序固废产生系数为11.9kg/t-原料。</w:t>
            </w:r>
          </w:p>
          <w:p>
            <w:pPr>
              <w:spacing w:line="360" w:lineRule="auto"/>
              <w:ind w:firstLine="480" w:firstLineChars="200"/>
              <w:rPr>
                <w:color w:val="auto"/>
                <w:sz w:val="24"/>
                <w:szCs w:val="24"/>
                <w:lang w:bidi="ar"/>
              </w:rPr>
            </w:pPr>
            <w:r>
              <w:rPr>
                <w:bCs/>
                <w:color w:val="auto"/>
                <w:kern w:val="0"/>
                <w:sz w:val="24"/>
                <w:szCs w:val="24"/>
                <w:lang w:bidi="ar"/>
              </w:rPr>
              <w:t>项目用于</w:t>
            </w:r>
            <w:r>
              <w:rPr>
                <w:bCs/>
                <w:color w:val="auto"/>
                <w:sz w:val="24"/>
                <w:szCs w:val="24"/>
              </w:rPr>
              <w:t>熔融挤出造粒的废塑料</w:t>
            </w:r>
            <w:r>
              <w:rPr>
                <w:color w:val="auto"/>
                <w:sz w:val="24"/>
                <w:szCs w:val="24"/>
              </w:rPr>
              <w:t>原料量为</w:t>
            </w:r>
            <w:r>
              <w:rPr>
                <w:rFonts w:hint="eastAsia"/>
                <w:bCs/>
                <w:color w:val="auto"/>
                <w:sz w:val="24"/>
                <w:szCs w:val="24"/>
                <w:lang w:val="en-US" w:eastAsia="zh-CN"/>
              </w:rPr>
              <w:t>45000</w:t>
            </w:r>
            <w:r>
              <w:rPr>
                <w:bCs/>
                <w:color w:val="auto"/>
                <w:sz w:val="24"/>
                <w:szCs w:val="24"/>
              </w:rPr>
              <w:t>t</w:t>
            </w:r>
            <w:r>
              <w:rPr>
                <w:color w:val="auto"/>
                <w:sz w:val="24"/>
                <w:szCs w:val="24"/>
              </w:rPr>
              <w:t>/a</w:t>
            </w:r>
            <w:r>
              <w:rPr>
                <w:bCs/>
                <w:color w:val="auto"/>
                <w:sz w:val="24"/>
                <w:szCs w:val="24"/>
              </w:rPr>
              <w:t>，则造粒切粒废边角料产生量为</w:t>
            </w:r>
            <w:r>
              <w:rPr>
                <w:rFonts w:hint="eastAsia"/>
                <w:bCs/>
                <w:color w:val="auto"/>
                <w:sz w:val="24"/>
                <w:szCs w:val="24"/>
                <w:lang w:val="en-US" w:eastAsia="zh-CN"/>
              </w:rPr>
              <w:t>535.5</w:t>
            </w:r>
            <w:r>
              <w:rPr>
                <w:bCs/>
                <w:color w:val="auto"/>
                <w:sz w:val="24"/>
                <w:szCs w:val="24"/>
              </w:rPr>
              <w:t>t/a，</w:t>
            </w:r>
            <w:r>
              <w:rPr>
                <w:rFonts w:hint="eastAsia"/>
                <w:bCs/>
                <w:color w:val="auto"/>
                <w:sz w:val="24"/>
                <w:szCs w:val="24"/>
              </w:rPr>
              <w:t>全部</w:t>
            </w:r>
            <w:r>
              <w:rPr>
                <w:color w:val="auto"/>
                <w:sz w:val="24"/>
                <w:szCs w:val="24"/>
              </w:rPr>
              <w:t>返回</w:t>
            </w:r>
            <w:r>
              <w:rPr>
                <w:rFonts w:hint="eastAsia"/>
                <w:color w:val="auto"/>
                <w:sz w:val="24"/>
                <w:szCs w:val="24"/>
              </w:rPr>
              <w:t>造粒工序</w:t>
            </w:r>
            <w:r>
              <w:rPr>
                <w:color w:val="auto"/>
                <w:sz w:val="24"/>
                <w:szCs w:val="24"/>
              </w:rPr>
              <w:t>作为原料</w:t>
            </w:r>
            <w:r>
              <w:rPr>
                <w:rFonts w:hint="eastAsia"/>
                <w:color w:val="auto"/>
                <w:sz w:val="24"/>
                <w:szCs w:val="24"/>
              </w:rPr>
              <w:t>使用</w:t>
            </w:r>
            <w:r>
              <w:rPr>
                <w:color w:val="auto"/>
                <w:sz w:val="24"/>
                <w:szCs w:val="24"/>
              </w:rPr>
              <w:t>。</w:t>
            </w:r>
          </w:p>
          <w:p>
            <w:pPr>
              <w:spacing w:line="360" w:lineRule="auto"/>
              <w:ind w:firstLine="480" w:firstLineChars="200"/>
              <w:rPr>
                <w:bCs/>
                <w:color w:val="auto"/>
                <w:sz w:val="24"/>
                <w:szCs w:val="24"/>
              </w:rPr>
            </w:pPr>
            <w:r>
              <w:rPr>
                <w:bCs/>
                <w:color w:val="auto"/>
                <w:sz w:val="24"/>
                <w:szCs w:val="24"/>
              </w:rPr>
              <w:t>根据《关于发布</w:t>
            </w:r>
            <w:r>
              <w:rPr>
                <w:rFonts w:hint="eastAsia"/>
                <w:bCs/>
                <w:color w:val="auto"/>
                <w:sz w:val="24"/>
                <w:szCs w:val="24"/>
                <w:lang w:eastAsia="zh-CN"/>
              </w:rPr>
              <w:t>〈</w:t>
            </w:r>
            <w:r>
              <w:rPr>
                <w:bCs/>
                <w:color w:val="auto"/>
                <w:sz w:val="24"/>
                <w:szCs w:val="24"/>
              </w:rPr>
              <w:t>固体废物分类与代码目录</w:t>
            </w:r>
            <w:r>
              <w:rPr>
                <w:rFonts w:hint="eastAsia"/>
                <w:bCs/>
                <w:color w:val="auto"/>
                <w:sz w:val="24"/>
                <w:szCs w:val="24"/>
                <w:lang w:eastAsia="zh-CN"/>
              </w:rPr>
              <w:t>〉</w:t>
            </w:r>
            <w:r>
              <w:rPr>
                <w:bCs/>
                <w:color w:val="auto"/>
                <w:sz w:val="24"/>
                <w:szCs w:val="24"/>
              </w:rPr>
              <w:t>的公告》（公告2024年第4号），</w:t>
            </w:r>
            <w:r>
              <w:rPr>
                <w:rFonts w:hint="eastAsia" w:ascii="Cambria Math" w:hAnsi="Cambria Math" w:cs="Cambria Math"/>
                <w:bCs/>
                <w:color w:val="auto"/>
                <w:sz w:val="24"/>
                <w:szCs w:val="24"/>
              </w:rPr>
              <w:t>造粒切粒废边角塑料的固废代码为</w:t>
            </w:r>
            <w:r>
              <w:rPr>
                <w:rFonts w:hint="eastAsia" w:cs="Cambria Math"/>
                <w:bCs/>
                <w:color w:val="auto"/>
                <w:sz w:val="24"/>
                <w:szCs w:val="24"/>
              </w:rPr>
              <w:t>900-099-S59。</w:t>
            </w:r>
          </w:p>
          <w:p>
            <w:pPr>
              <w:spacing w:line="360" w:lineRule="auto"/>
              <w:ind w:firstLine="480" w:firstLineChars="200"/>
              <w:rPr>
                <w:bCs/>
                <w:color w:val="auto"/>
                <w:sz w:val="24"/>
                <w:szCs w:val="24"/>
              </w:rPr>
            </w:pPr>
            <w:r>
              <w:rPr>
                <w:rFonts w:hint="eastAsia" w:ascii="宋体" w:hAnsi="宋体"/>
                <w:bCs/>
                <w:color w:val="auto"/>
                <w:sz w:val="24"/>
                <w:szCs w:val="24"/>
              </w:rPr>
              <w:t>②</w:t>
            </w:r>
            <w:r>
              <w:rPr>
                <w:rFonts w:hint="eastAsia"/>
                <w:bCs/>
                <w:color w:val="auto"/>
                <w:sz w:val="24"/>
                <w:szCs w:val="24"/>
              </w:rPr>
              <w:t>磁选除铁回收金属</w:t>
            </w:r>
          </w:p>
          <w:p>
            <w:pPr>
              <w:spacing w:line="360" w:lineRule="auto"/>
              <w:ind w:firstLine="480" w:firstLineChars="200"/>
              <w:rPr>
                <w:bCs/>
                <w:color w:val="auto"/>
                <w:sz w:val="24"/>
                <w:szCs w:val="24"/>
              </w:rPr>
            </w:pPr>
            <w:r>
              <w:rPr>
                <w:rFonts w:hint="eastAsia"/>
                <w:bCs/>
                <w:color w:val="auto"/>
                <w:sz w:val="24"/>
                <w:szCs w:val="24"/>
              </w:rPr>
              <w:t>项目年处理纸厂</w:t>
            </w:r>
            <w:r>
              <w:rPr>
                <w:rFonts w:hint="eastAsia"/>
                <w:color w:val="auto"/>
                <w:sz w:val="24"/>
                <w:szCs w:val="24"/>
              </w:rPr>
              <w:t>废塑料</w:t>
            </w:r>
            <w:r>
              <w:rPr>
                <w:rFonts w:hint="eastAsia"/>
                <w:color w:val="auto"/>
                <w:sz w:val="24"/>
                <w:szCs w:val="24"/>
                <w:lang w:val="en-US" w:eastAsia="zh-CN"/>
              </w:rPr>
              <w:t>4.5</w:t>
            </w:r>
            <w:r>
              <w:rPr>
                <w:rFonts w:hint="eastAsia"/>
                <w:color w:val="auto"/>
                <w:sz w:val="24"/>
                <w:szCs w:val="24"/>
              </w:rPr>
              <w:t>万t（其中铝、铁、铜等金属杂质含量为5%）</w:t>
            </w:r>
            <w:r>
              <w:rPr>
                <w:rFonts w:hint="eastAsia"/>
                <w:bCs/>
                <w:color w:val="auto"/>
                <w:sz w:val="24"/>
                <w:szCs w:val="24"/>
              </w:rPr>
              <w:t>项目对塑料</w:t>
            </w:r>
            <w:r>
              <w:rPr>
                <w:rFonts w:hint="eastAsia"/>
                <w:bCs/>
                <w:color w:val="auto"/>
                <w:sz w:val="24"/>
                <w:szCs w:val="24"/>
                <w:lang w:val="en-US" w:eastAsia="zh-CN"/>
              </w:rPr>
              <w:t>原料</w:t>
            </w:r>
            <w:r>
              <w:rPr>
                <w:rFonts w:hint="eastAsia"/>
                <w:bCs/>
                <w:color w:val="auto"/>
                <w:sz w:val="24"/>
                <w:szCs w:val="24"/>
              </w:rPr>
              <w:t>进行磁选除铁回收金属，金属回收率为80%，则项目回收的金属量约为</w:t>
            </w:r>
            <w:r>
              <w:rPr>
                <w:rFonts w:hint="eastAsia"/>
                <w:bCs/>
                <w:color w:val="auto"/>
                <w:sz w:val="24"/>
                <w:szCs w:val="24"/>
                <w:lang w:val="en-US" w:eastAsia="zh-CN"/>
              </w:rPr>
              <w:t>2250</w:t>
            </w:r>
            <w:r>
              <w:rPr>
                <w:rFonts w:hint="eastAsia"/>
                <w:bCs/>
                <w:color w:val="auto"/>
                <w:sz w:val="24"/>
                <w:szCs w:val="24"/>
              </w:rPr>
              <w:t>t/a，金属外售回收商回收利用。</w:t>
            </w:r>
            <w:r>
              <w:rPr>
                <w:bCs/>
                <w:color w:val="auto"/>
                <w:sz w:val="24"/>
                <w:szCs w:val="24"/>
              </w:rPr>
              <w:t>根据《关于发布</w:t>
            </w:r>
            <w:r>
              <w:rPr>
                <w:rFonts w:hint="eastAsia"/>
                <w:bCs/>
                <w:color w:val="auto"/>
                <w:sz w:val="24"/>
                <w:szCs w:val="24"/>
                <w:lang w:eastAsia="zh-CN"/>
              </w:rPr>
              <w:t>〈</w:t>
            </w:r>
            <w:r>
              <w:rPr>
                <w:bCs/>
                <w:color w:val="auto"/>
                <w:sz w:val="24"/>
                <w:szCs w:val="24"/>
              </w:rPr>
              <w:t>固体废物分类与代码目录</w:t>
            </w:r>
            <w:r>
              <w:rPr>
                <w:rFonts w:hint="eastAsia"/>
                <w:bCs/>
                <w:color w:val="auto"/>
                <w:sz w:val="24"/>
                <w:szCs w:val="24"/>
                <w:lang w:eastAsia="zh-CN"/>
              </w:rPr>
              <w:t>〉</w:t>
            </w:r>
            <w:r>
              <w:rPr>
                <w:bCs/>
                <w:color w:val="auto"/>
                <w:sz w:val="24"/>
                <w:szCs w:val="24"/>
              </w:rPr>
              <w:t>的公告》（公告2024年第4号）</w:t>
            </w:r>
            <w:r>
              <w:rPr>
                <w:rFonts w:hint="eastAsia"/>
                <w:bCs/>
                <w:color w:val="auto"/>
                <w:sz w:val="24"/>
                <w:szCs w:val="24"/>
              </w:rPr>
              <w:t>，</w:t>
            </w:r>
            <w:r>
              <w:rPr>
                <w:bCs/>
                <w:color w:val="auto"/>
                <w:sz w:val="24"/>
                <w:szCs w:val="24"/>
              </w:rPr>
              <w:t>固废代码为221-00</w:t>
            </w:r>
            <w:r>
              <w:rPr>
                <w:rFonts w:hint="eastAsia"/>
                <w:bCs/>
                <w:color w:val="auto"/>
                <w:sz w:val="24"/>
                <w:szCs w:val="24"/>
              </w:rPr>
              <w:t>8</w:t>
            </w:r>
            <w:r>
              <w:rPr>
                <w:bCs/>
                <w:color w:val="auto"/>
                <w:sz w:val="24"/>
                <w:szCs w:val="24"/>
              </w:rPr>
              <w:t>-S15。</w:t>
            </w:r>
          </w:p>
          <w:p>
            <w:pPr>
              <w:spacing w:line="360" w:lineRule="auto"/>
              <w:ind w:firstLine="482" w:firstLineChars="200"/>
              <w:rPr>
                <w:b/>
                <w:color w:val="auto"/>
                <w:sz w:val="24"/>
                <w:szCs w:val="24"/>
              </w:rPr>
            </w:pPr>
            <w:r>
              <w:rPr>
                <w:b/>
                <w:color w:val="auto"/>
                <w:sz w:val="24"/>
                <w:szCs w:val="24"/>
              </w:rPr>
              <w:t>（2）危险废物</w:t>
            </w:r>
          </w:p>
          <w:p>
            <w:pPr>
              <w:spacing w:line="360" w:lineRule="auto"/>
              <w:ind w:firstLine="480" w:firstLineChars="200"/>
              <w:rPr>
                <w:color w:val="auto"/>
                <w:sz w:val="24"/>
                <w:szCs w:val="24"/>
              </w:rPr>
            </w:pPr>
            <w:r>
              <w:rPr>
                <w:rFonts w:hint="eastAsia" w:ascii="宋体" w:hAnsi="宋体"/>
                <w:bCs/>
                <w:color w:val="auto"/>
                <w:sz w:val="24"/>
                <w:szCs w:val="24"/>
              </w:rPr>
              <w:t>①</w:t>
            </w:r>
            <w:r>
              <w:rPr>
                <w:bCs/>
                <w:color w:val="auto"/>
                <w:sz w:val="24"/>
                <w:szCs w:val="24"/>
              </w:rPr>
              <w:t>废活性炭</w:t>
            </w:r>
          </w:p>
          <w:p>
            <w:pPr>
              <w:pStyle w:val="20"/>
              <w:spacing w:before="0" w:beforeAutospacing="0" w:after="0" w:afterAutospacing="0" w:line="360" w:lineRule="auto"/>
              <w:ind w:firstLine="480" w:firstLineChars="200"/>
              <w:jc w:val="both"/>
              <w:rPr>
                <w:rFonts w:ascii="Times New Roman" w:hAnsi="Times New Roman"/>
                <w:color w:val="auto"/>
                <w:sz w:val="24"/>
                <w:szCs w:val="24"/>
              </w:rPr>
            </w:pPr>
            <w:r>
              <w:rPr>
                <w:rFonts w:ascii="Times New Roman" w:hAnsi="Times New Roman"/>
                <w:color w:val="auto"/>
                <w:sz w:val="24"/>
                <w:szCs w:val="24"/>
              </w:rPr>
              <w:t>项目</w:t>
            </w:r>
            <w:r>
              <w:rPr>
                <w:rFonts w:hint="eastAsia" w:ascii="Times New Roman" w:hAnsi="Times New Roman"/>
                <w:color w:val="auto"/>
                <w:sz w:val="24"/>
                <w:szCs w:val="24"/>
              </w:rPr>
              <w:t>造粒</w:t>
            </w:r>
            <w:r>
              <w:rPr>
                <w:rFonts w:ascii="Times New Roman" w:hAnsi="Times New Roman"/>
                <w:color w:val="auto"/>
                <w:sz w:val="24"/>
                <w:szCs w:val="24"/>
              </w:rPr>
              <w:t>有机废气采用活性炭吸附装置净化处理，为保证吸附效率需对活性炭进行更换，</w:t>
            </w:r>
            <w:r>
              <w:rPr>
                <w:rFonts w:hint="eastAsia" w:ascii="Times New Roman" w:hAnsi="Times New Roman"/>
                <w:color w:val="auto"/>
                <w:sz w:val="24"/>
                <w:szCs w:val="24"/>
              </w:rPr>
              <w:t>活性炭</w:t>
            </w:r>
            <w:r>
              <w:rPr>
                <w:rFonts w:ascii="Times New Roman" w:hAnsi="Times New Roman"/>
                <w:color w:val="auto"/>
                <w:sz w:val="24"/>
                <w:szCs w:val="24"/>
              </w:rPr>
              <w:t>大约500h更换一次，一年大约更换</w:t>
            </w:r>
            <w:r>
              <w:rPr>
                <w:rFonts w:hint="eastAsia" w:ascii="Times New Roman" w:hAnsi="Times New Roman"/>
                <w:color w:val="auto"/>
                <w:sz w:val="24"/>
                <w:szCs w:val="24"/>
                <w:lang w:val="en-US" w:eastAsia="zh-CN"/>
              </w:rPr>
              <w:t>15</w:t>
            </w:r>
            <w:r>
              <w:rPr>
                <w:rFonts w:ascii="Times New Roman" w:hAnsi="Times New Roman"/>
                <w:color w:val="auto"/>
                <w:sz w:val="24"/>
                <w:szCs w:val="24"/>
              </w:rPr>
              <w:t>次，活性炭吸附装置的废气处理活性炭装填量为0.5t/次，则更换的废活性炭产生量为</w:t>
            </w:r>
            <w:r>
              <w:rPr>
                <w:rFonts w:hint="eastAsia" w:ascii="Times New Roman" w:hAnsi="Times New Roman"/>
                <w:color w:val="auto"/>
                <w:sz w:val="24"/>
                <w:szCs w:val="24"/>
                <w:lang w:val="en-US" w:eastAsia="zh-CN"/>
              </w:rPr>
              <w:t>7.5</w:t>
            </w:r>
            <w:r>
              <w:rPr>
                <w:rFonts w:ascii="Times New Roman" w:hAnsi="Times New Roman"/>
                <w:color w:val="auto"/>
                <w:sz w:val="24"/>
                <w:szCs w:val="24"/>
              </w:rPr>
              <w:t>t/a。</w:t>
            </w:r>
          </w:p>
          <w:p>
            <w:pPr>
              <w:pStyle w:val="20"/>
              <w:spacing w:before="0" w:beforeAutospacing="0" w:after="0" w:afterAutospacing="0" w:line="360" w:lineRule="auto"/>
              <w:ind w:firstLine="480" w:firstLineChars="200"/>
              <w:jc w:val="both"/>
              <w:rPr>
                <w:rFonts w:ascii="Times New Roman" w:hAnsi="Times New Roman"/>
                <w:color w:val="auto"/>
                <w:sz w:val="24"/>
                <w:szCs w:val="24"/>
              </w:rPr>
            </w:pPr>
            <w:r>
              <w:rPr>
                <w:rFonts w:ascii="Times New Roman" w:hAnsi="Times New Roman"/>
                <w:color w:val="auto"/>
                <w:sz w:val="24"/>
                <w:szCs w:val="24"/>
              </w:rPr>
              <w:t>吸附有机废气后的废活性炭属于《国家危险废物名录》（2025年版）中</w:t>
            </w:r>
            <w:r>
              <w:rPr>
                <w:color w:val="auto"/>
                <w:sz w:val="24"/>
                <w:szCs w:val="24"/>
              </w:rPr>
              <w:t>“</w:t>
            </w:r>
            <w:r>
              <w:rPr>
                <w:rFonts w:ascii="Times New Roman" w:hAnsi="Times New Roman"/>
                <w:color w:val="auto"/>
                <w:sz w:val="24"/>
                <w:szCs w:val="24"/>
              </w:rPr>
              <w:t>HW49其他废物</w:t>
            </w:r>
            <w:r>
              <w:rPr>
                <w:rFonts w:hint="eastAsia" w:ascii="Times New Roman" w:hAnsi="Times New Roman"/>
                <w:color w:val="auto"/>
                <w:sz w:val="24"/>
                <w:szCs w:val="24"/>
              </w:rPr>
              <w:t>：</w:t>
            </w:r>
            <w:r>
              <w:rPr>
                <w:rFonts w:ascii="Times New Roman" w:hAnsi="Times New Roman"/>
                <w:color w:val="auto"/>
                <w:sz w:val="24"/>
                <w:szCs w:val="24"/>
              </w:rPr>
              <w:t>烟气、VOCs治理过程（不包括餐饮行业油烟治理过程）产生的废活性炭</w:t>
            </w:r>
            <w:r>
              <w:rPr>
                <w:color w:val="auto"/>
                <w:sz w:val="24"/>
                <w:szCs w:val="24"/>
              </w:rPr>
              <w:t>”</w:t>
            </w:r>
            <w:r>
              <w:rPr>
                <w:rFonts w:ascii="Times New Roman" w:hAnsi="Times New Roman"/>
                <w:color w:val="auto"/>
                <w:sz w:val="24"/>
                <w:szCs w:val="24"/>
              </w:rPr>
              <w:t>类别，危废代码为900-039-49。收集暂存于危废暂存间内，委托有资质的单位</w:t>
            </w:r>
            <w:r>
              <w:rPr>
                <w:rFonts w:ascii="Times New Roman" w:hAnsi="Times New Roman"/>
                <w:bCs/>
                <w:color w:val="auto"/>
                <w:sz w:val="24"/>
                <w:szCs w:val="24"/>
              </w:rPr>
              <w:t>清运处置</w:t>
            </w:r>
            <w:r>
              <w:rPr>
                <w:rFonts w:ascii="Times New Roman" w:hAnsi="Times New Roman"/>
                <w:color w:val="auto"/>
                <w:sz w:val="24"/>
                <w:szCs w:val="24"/>
              </w:rPr>
              <w:t>。</w:t>
            </w:r>
          </w:p>
          <w:p>
            <w:pPr>
              <w:pStyle w:val="20"/>
              <w:widowControl w:val="0"/>
              <w:spacing w:before="0" w:beforeAutospacing="0" w:after="0" w:afterAutospacing="0" w:line="360" w:lineRule="auto"/>
              <w:ind w:firstLine="480" w:firstLineChars="200"/>
              <w:jc w:val="both"/>
              <w:rPr>
                <w:rFonts w:hint="eastAsia"/>
                <w:color w:val="auto"/>
                <w:sz w:val="24"/>
                <w:szCs w:val="24"/>
              </w:rPr>
            </w:pPr>
            <w:r>
              <w:rPr>
                <w:rFonts w:hint="eastAsia"/>
                <w:color w:val="auto"/>
                <w:sz w:val="24"/>
                <w:szCs w:val="24"/>
              </w:rPr>
              <w:t>②废过滤棉</w:t>
            </w:r>
          </w:p>
          <w:p>
            <w:pPr>
              <w:pStyle w:val="20"/>
              <w:widowControl w:val="0"/>
              <w:spacing w:before="0" w:beforeAutospacing="0" w:after="0" w:afterAutospacing="0" w:line="360" w:lineRule="auto"/>
              <w:ind w:firstLine="480" w:firstLineChars="200"/>
              <w:jc w:val="both"/>
              <w:rPr>
                <w:rFonts w:ascii="Times New Roman" w:hAnsi="Times New Roman"/>
                <w:color w:val="auto"/>
                <w:sz w:val="24"/>
                <w:szCs w:val="24"/>
              </w:rPr>
            </w:pPr>
            <w:r>
              <w:rPr>
                <w:rFonts w:hint="eastAsia"/>
                <w:color w:val="auto"/>
                <w:sz w:val="24"/>
                <w:szCs w:val="24"/>
              </w:rPr>
              <w:t>项目</w:t>
            </w:r>
            <w:r>
              <w:rPr>
                <w:rFonts w:hint="eastAsia" w:ascii="Times New Roman" w:hAnsi="Times New Roman"/>
                <w:color w:val="auto"/>
                <w:sz w:val="24"/>
                <w:szCs w:val="24"/>
              </w:rPr>
              <w:t>造粒</w:t>
            </w:r>
            <w:r>
              <w:rPr>
                <w:rFonts w:ascii="Times New Roman" w:hAnsi="Times New Roman"/>
                <w:color w:val="auto"/>
                <w:sz w:val="24"/>
                <w:szCs w:val="24"/>
              </w:rPr>
              <w:t>有机废气采用活性炭吸附装置净化处理，</w:t>
            </w:r>
            <w:r>
              <w:rPr>
                <w:rFonts w:hint="eastAsia"/>
                <w:color w:val="auto"/>
                <w:sz w:val="24"/>
                <w:szCs w:val="24"/>
              </w:rPr>
              <w:t>活性炭吸附装置</w:t>
            </w:r>
            <w:r>
              <w:rPr>
                <w:rFonts w:hint="eastAsia" w:ascii="Times New Roman" w:hAnsi="Times New Roman"/>
                <w:bCs/>
                <w:color w:val="auto"/>
                <w:kern w:val="0"/>
                <w:sz w:val="24"/>
                <w:szCs w:val="24"/>
                <w:lang w:bidi="ar"/>
              </w:rPr>
              <w:t>前端设置过滤棉处理颗粒物，</w:t>
            </w:r>
            <w:r>
              <w:rPr>
                <w:rFonts w:hint="eastAsia"/>
                <w:color w:val="auto"/>
                <w:sz w:val="24"/>
                <w:szCs w:val="24"/>
              </w:rPr>
              <w:t>废过滤棉</w:t>
            </w:r>
            <w:r>
              <w:rPr>
                <w:rFonts w:hint="eastAsia" w:ascii="Times New Roman" w:hAnsi="Times New Roman"/>
                <w:bCs/>
                <w:color w:val="auto"/>
                <w:kern w:val="0"/>
                <w:sz w:val="24"/>
                <w:szCs w:val="24"/>
                <w:lang w:bidi="ar"/>
              </w:rPr>
              <w:t>会吸附粉尘、</w:t>
            </w:r>
            <w:r>
              <w:rPr>
                <w:rFonts w:ascii="Times New Roman" w:hAnsi="Times New Roman"/>
                <w:color w:val="auto"/>
                <w:sz w:val="24"/>
                <w:szCs w:val="24"/>
              </w:rPr>
              <w:t>VOCs</w:t>
            </w:r>
            <w:r>
              <w:rPr>
                <w:rFonts w:hint="eastAsia" w:ascii="Times New Roman" w:hAnsi="Times New Roman"/>
                <w:bCs/>
                <w:color w:val="auto"/>
                <w:kern w:val="0"/>
                <w:sz w:val="24"/>
                <w:szCs w:val="24"/>
                <w:lang w:bidi="ar"/>
              </w:rPr>
              <w:t>，产生量约0.</w:t>
            </w:r>
            <w:r>
              <w:rPr>
                <w:rFonts w:hint="eastAsia" w:ascii="Times New Roman" w:hAnsi="Times New Roman"/>
                <w:bCs/>
                <w:color w:val="auto"/>
                <w:kern w:val="0"/>
                <w:sz w:val="24"/>
                <w:szCs w:val="24"/>
                <w:lang w:val="en-US" w:eastAsia="zh-CN" w:bidi="ar"/>
              </w:rPr>
              <w:t>15</w:t>
            </w:r>
            <w:r>
              <w:rPr>
                <w:rFonts w:hint="eastAsia" w:ascii="Times New Roman" w:hAnsi="Times New Roman"/>
                <w:bCs/>
                <w:color w:val="auto"/>
                <w:kern w:val="0"/>
                <w:sz w:val="24"/>
                <w:szCs w:val="24"/>
                <w:lang w:bidi="ar"/>
              </w:rPr>
              <w:t>t/a。吸附</w:t>
            </w:r>
            <w:r>
              <w:rPr>
                <w:rFonts w:ascii="Times New Roman" w:hAnsi="Times New Roman"/>
                <w:color w:val="auto"/>
                <w:sz w:val="24"/>
                <w:szCs w:val="24"/>
              </w:rPr>
              <w:t>VOCs后的</w:t>
            </w:r>
            <w:r>
              <w:rPr>
                <w:rFonts w:hint="eastAsia"/>
                <w:color w:val="auto"/>
                <w:sz w:val="24"/>
                <w:szCs w:val="24"/>
              </w:rPr>
              <w:t>废过滤棉</w:t>
            </w:r>
            <w:r>
              <w:rPr>
                <w:rFonts w:ascii="Times New Roman" w:hAnsi="Times New Roman"/>
                <w:color w:val="auto"/>
                <w:sz w:val="24"/>
                <w:szCs w:val="24"/>
              </w:rPr>
              <w:t>属于《国家危险废物名录》（2025年版）中</w:t>
            </w:r>
            <w:r>
              <w:rPr>
                <w:color w:val="auto"/>
                <w:sz w:val="24"/>
                <w:szCs w:val="24"/>
              </w:rPr>
              <w:t>“</w:t>
            </w:r>
            <w:r>
              <w:rPr>
                <w:rFonts w:ascii="Times New Roman" w:hAnsi="Times New Roman"/>
                <w:color w:val="auto"/>
                <w:sz w:val="24"/>
                <w:szCs w:val="24"/>
              </w:rPr>
              <w:t>HW49其他废物</w:t>
            </w:r>
            <w:r>
              <w:rPr>
                <w:rFonts w:hint="eastAsia" w:ascii="Times New Roman" w:hAnsi="Times New Roman"/>
                <w:color w:val="auto"/>
                <w:sz w:val="24"/>
                <w:szCs w:val="24"/>
              </w:rPr>
              <w:t>：含有或者沾染毒性、感染性危险废物的废弃的包装物、容器、过滤吸附介质</w:t>
            </w:r>
            <w:r>
              <w:rPr>
                <w:color w:val="auto"/>
                <w:sz w:val="24"/>
                <w:szCs w:val="24"/>
              </w:rPr>
              <w:t>”</w:t>
            </w:r>
            <w:r>
              <w:rPr>
                <w:rFonts w:ascii="Times New Roman" w:hAnsi="Times New Roman"/>
                <w:color w:val="auto"/>
                <w:sz w:val="24"/>
                <w:szCs w:val="24"/>
              </w:rPr>
              <w:t>类别，危废代码为900-</w:t>
            </w:r>
            <w:r>
              <w:rPr>
                <w:rFonts w:hint="eastAsia" w:ascii="Times New Roman" w:hAnsi="Times New Roman"/>
                <w:color w:val="auto"/>
                <w:sz w:val="24"/>
                <w:szCs w:val="24"/>
              </w:rPr>
              <w:t>041</w:t>
            </w:r>
            <w:r>
              <w:rPr>
                <w:rFonts w:ascii="Times New Roman" w:hAnsi="Times New Roman"/>
                <w:color w:val="auto"/>
                <w:sz w:val="24"/>
                <w:szCs w:val="24"/>
              </w:rPr>
              <w:t>-49。收集暂存于危废暂存间内，委托有资质的单位</w:t>
            </w:r>
            <w:r>
              <w:rPr>
                <w:rFonts w:ascii="Times New Roman" w:hAnsi="Times New Roman"/>
                <w:bCs/>
                <w:color w:val="auto"/>
                <w:sz w:val="24"/>
                <w:szCs w:val="24"/>
              </w:rPr>
              <w:t>清运处置</w:t>
            </w:r>
            <w:r>
              <w:rPr>
                <w:rFonts w:ascii="Times New Roman" w:hAnsi="Times New Roman"/>
                <w:color w:val="auto"/>
                <w:sz w:val="24"/>
                <w:szCs w:val="24"/>
              </w:rPr>
              <w:t>。</w:t>
            </w:r>
          </w:p>
          <w:p>
            <w:pPr>
              <w:pStyle w:val="20"/>
              <w:widowControl w:val="0"/>
              <w:spacing w:before="0" w:beforeAutospacing="0" w:after="0" w:afterAutospacing="0" w:line="360" w:lineRule="auto"/>
              <w:ind w:firstLine="480" w:firstLineChars="200"/>
              <w:jc w:val="both"/>
              <w:rPr>
                <w:rFonts w:ascii="Times New Roman" w:hAnsi="Times New Roman"/>
                <w:color w:val="auto"/>
                <w:sz w:val="24"/>
                <w:szCs w:val="24"/>
              </w:rPr>
            </w:pPr>
            <w:r>
              <w:rPr>
                <w:rFonts w:hint="eastAsia"/>
                <w:color w:val="auto"/>
                <w:sz w:val="24"/>
                <w:szCs w:val="24"/>
              </w:rPr>
              <w:t>③</w:t>
            </w:r>
            <w:r>
              <w:rPr>
                <w:rFonts w:ascii="Times New Roman" w:hAnsi="Times New Roman"/>
                <w:color w:val="auto"/>
                <w:sz w:val="24"/>
                <w:szCs w:val="24"/>
              </w:rPr>
              <w:t>废润滑油</w:t>
            </w:r>
          </w:p>
          <w:p>
            <w:pPr>
              <w:pStyle w:val="20"/>
              <w:widowControl w:val="0"/>
              <w:spacing w:before="0" w:beforeAutospacing="0" w:after="0" w:afterAutospacing="0" w:line="360" w:lineRule="auto"/>
              <w:ind w:firstLine="480" w:firstLineChars="200"/>
              <w:jc w:val="both"/>
              <w:rPr>
                <w:rFonts w:ascii="Times New Roman" w:hAnsi="Times New Roman"/>
                <w:color w:val="auto"/>
                <w:sz w:val="24"/>
                <w:szCs w:val="24"/>
              </w:rPr>
            </w:pPr>
            <w:r>
              <w:rPr>
                <w:rFonts w:ascii="Times New Roman" w:hAnsi="Times New Roman"/>
                <w:color w:val="auto"/>
                <w:sz w:val="24"/>
                <w:szCs w:val="24"/>
              </w:rPr>
              <w:t>项目</w:t>
            </w:r>
            <w:r>
              <w:rPr>
                <w:rFonts w:hint="eastAsia" w:ascii="Times New Roman" w:hAnsi="Times New Roman"/>
                <w:color w:val="auto"/>
                <w:sz w:val="24"/>
                <w:szCs w:val="24"/>
              </w:rPr>
              <w:t>生产</w:t>
            </w:r>
            <w:r>
              <w:rPr>
                <w:rFonts w:ascii="Times New Roman" w:hAnsi="Times New Roman"/>
                <w:color w:val="auto"/>
                <w:sz w:val="24"/>
                <w:szCs w:val="24"/>
              </w:rPr>
              <w:t>设备维护保养时会产生少量废润滑油，产生量约为</w:t>
            </w:r>
            <w:r>
              <w:rPr>
                <w:rFonts w:hint="eastAsia" w:ascii="Times New Roman" w:hAnsi="Times New Roman"/>
                <w:color w:val="auto"/>
                <w:sz w:val="24"/>
                <w:szCs w:val="24"/>
                <w:lang w:val="en-US" w:eastAsia="zh-CN"/>
              </w:rPr>
              <w:t>1.0</w:t>
            </w:r>
            <w:r>
              <w:rPr>
                <w:rFonts w:ascii="Times New Roman" w:hAnsi="Times New Roman"/>
                <w:color w:val="auto"/>
                <w:sz w:val="24"/>
                <w:szCs w:val="24"/>
              </w:rPr>
              <w:t>t/a。根据《国家危险废物名录》（2025年版）的相关规定，废润滑油属于</w:t>
            </w:r>
            <w:r>
              <w:rPr>
                <w:color w:val="auto"/>
                <w:sz w:val="24"/>
                <w:szCs w:val="24"/>
              </w:rPr>
              <w:t>“</w:t>
            </w:r>
            <w:r>
              <w:rPr>
                <w:rFonts w:ascii="Times New Roman" w:hAnsi="Times New Roman"/>
                <w:color w:val="auto"/>
                <w:sz w:val="24"/>
                <w:szCs w:val="24"/>
              </w:rPr>
              <w:t>HW08 废矿物油与含矿物油废物</w:t>
            </w:r>
            <w:r>
              <w:rPr>
                <w:color w:val="auto"/>
                <w:sz w:val="24"/>
                <w:szCs w:val="24"/>
              </w:rPr>
              <w:t>”</w:t>
            </w:r>
            <w:r>
              <w:rPr>
                <w:rFonts w:ascii="Times New Roman" w:hAnsi="Times New Roman"/>
                <w:color w:val="auto"/>
                <w:sz w:val="24"/>
                <w:szCs w:val="24"/>
              </w:rPr>
              <w:t>类别中的</w:t>
            </w:r>
            <w:r>
              <w:rPr>
                <w:color w:val="auto"/>
                <w:sz w:val="24"/>
                <w:szCs w:val="24"/>
              </w:rPr>
              <w:t>“</w:t>
            </w:r>
            <w:r>
              <w:rPr>
                <w:rFonts w:ascii="Times New Roman" w:hAnsi="Times New Roman"/>
                <w:color w:val="auto"/>
                <w:sz w:val="24"/>
                <w:szCs w:val="24"/>
              </w:rPr>
              <w:t>其他生产、销售、使用过程中产生的废矿物油及沾染矿物油的废弃包装物</w:t>
            </w:r>
            <w:r>
              <w:rPr>
                <w:color w:val="auto"/>
                <w:sz w:val="24"/>
                <w:szCs w:val="24"/>
              </w:rPr>
              <w:t>”</w:t>
            </w:r>
            <w:r>
              <w:rPr>
                <w:rFonts w:ascii="Times New Roman" w:hAnsi="Times New Roman"/>
                <w:color w:val="auto"/>
                <w:sz w:val="24"/>
                <w:szCs w:val="24"/>
              </w:rPr>
              <w:t>，危废代码为900-249-08。收集暂存于危废暂存间内，委托有资质的单位</w:t>
            </w:r>
            <w:r>
              <w:rPr>
                <w:rFonts w:ascii="Times New Roman" w:hAnsi="Times New Roman"/>
                <w:bCs/>
                <w:color w:val="auto"/>
                <w:sz w:val="24"/>
                <w:szCs w:val="24"/>
              </w:rPr>
              <w:t>清运处置</w:t>
            </w:r>
            <w:r>
              <w:rPr>
                <w:rFonts w:ascii="Times New Roman" w:hAnsi="Times New Roman"/>
                <w:color w:val="auto"/>
                <w:sz w:val="24"/>
                <w:szCs w:val="24"/>
              </w:rPr>
              <w:t>。</w:t>
            </w:r>
          </w:p>
          <w:p>
            <w:pPr>
              <w:pStyle w:val="20"/>
              <w:widowControl w:val="0"/>
              <w:spacing w:before="0" w:beforeAutospacing="0" w:after="0" w:afterAutospacing="0" w:line="360" w:lineRule="auto"/>
              <w:ind w:firstLine="480" w:firstLineChars="200"/>
              <w:jc w:val="both"/>
              <w:rPr>
                <w:rFonts w:hint="eastAsia" w:ascii="Times New Roman" w:hAnsi="Times New Roman"/>
                <w:color w:val="auto"/>
                <w:sz w:val="24"/>
                <w:szCs w:val="24"/>
              </w:rPr>
            </w:pPr>
            <w:r>
              <w:rPr>
                <w:rFonts w:hint="eastAsia" w:ascii="Times New Roman" w:hAnsi="Times New Roman"/>
                <w:color w:val="auto"/>
                <w:sz w:val="24"/>
                <w:szCs w:val="24"/>
              </w:rPr>
              <w:t>④电捕焦油器冲洗液</w:t>
            </w:r>
          </w:p>
          <w:p>
            <w:pPr>
              <w:pStyle w:val="20"/>
              <w:widowControl w:val="0"/>
              <w:spacing w:before="0" w:beforeAutospacing="0" w:after="0" w:afterAutospacing="0" w:line="360" w:lineRule="auto"/>
              <w:ind w:firstLine="480" w:firstLineChars="200"/>
              <w:jc w:val="both"/>
              <w:rPr>
                <w:rFonts w:ascii="Times New Roman" w:hAnsi="Times New Roman"/>
                <w:color w:val="auto"/>
                <w:sz w:val="24"/>
                <w:szCs w:val="24"/>
              </w:rPr>
            </w:pPr>
            <w:r>
              <w:rPr>
                <w:rFonts w:hint="eastAsia" w:ascii="Times New Roman" w:hAnsi="Times New Roman"/>
                <w:color w:val="auto"/>
                <w:sz w:val="24"/>
                <w:szCs w:val="24"/>
              </w:rPr>
              <w:t>根据水平衡分析可知，电捕焦油器冲洗液产生量为0.064m</w:t>
            </w:r>
            <w:r>
              <w:rPr>
                <w:rFonts w:hint="eastAsia" w:ascii="Times New Roman" w:hAnsi="Times New Roman"/>
                <w:color w:val="auto"/>
                <w:sz w:val="24"/>
                <w:szCs w:val="24"/>
                <w:vertAlign w:val="superscript"/>
              </w:rPr>
              <w:t>3</w:t>
            </w:r>
            <w:r>
              <w:rPr>
                <w:rFonts w:hint="eastAsia" w:ascii="Times New Roman" w:hAnsi="Times New Roman"/>
                <w:color w:val="auto"/>
                <w:sz w:val="24"/>
                <w:szCs w:val="24"/>
              </w:rPr>
              <w:t>/d，19.2m</w:t>
            </w:r>
            <w:r>
              <w:rPr>
                <w:rFonts w:hint="eastAsia" w:ascii="Times New Roman" w:hAnsi="Times New Roman" w:eastAsia="宋体" w:cs="Times New Roman"/>
                <w:color w:val="auto"/>
                <w:sz w:val="24"/>
                <w:szCs w:val="24"/>
                <w:vertAlign w:val="superscript"/>
              </w:rPr>
              <w:t>3</w:t>
            </w:r>
            <w:r>
              <w:rPr>
                <w:rFonts w:hint="eastAsia" w:ascii="Times New Roman" w:hAnsi="Times New Roman"/>
                <w:color w:val="auto"/>
                <w:sz w:val="24"/>
                <w:szCs w:val="24"/>
              </w:rPr>
              <w:t>/a。电捕焦油器冲洗液属于危险废物，根据《国家危险废物名录》（2025年），废物类别HW49其他废物（环境治理），废物代码772-006-49：采用物理、化学、物理化学或生物方法处理毒性或感染性危险废物过程产生的废水处理污泥、残渣（液）。电捕焦油器冲洗液暂存于危险废物贮存库，并定期交由有资质的单位清运处置。</w:t>
            </w:r>
          </w:p>
          <w:p>
            <w:pPr>
              <w:spacing w:line="360" w:lineRule="auto"/>
              <w:ind w:firstLine="482" w:firstLineChars="200"/>
              <w:rPr>
                <w:b/>
                <w:bCs/>
                <w:color w:val="auto"/>
                <w:kern w:val="0"/>
                <w:sz w:val="24"/>
                <w:szCs w:val="24"/>
              </w:rPr>
            </w:pPr>
            <w:r>
              <w:rPr>
                <w:b/>
                <w:bCs/>
                <w:color w:val="auto"/>
                <w:kern w:val="0"/>
                <w:sz w:val="24"/>
                <w:szCs w:val="24"/>
              </w:rPr>
              <w:t>（3）生活固废</w:t>
            </w:r>
          </w:p>
          <w:p>
            <w:pPr>
              <w:spacing w:line="360" w:lineRule="auto"/>
              <w:ind w:firstLine="480" w:firstLineChars="200"/>
              <w:rPr>
                <w:color w:val="auto"/>
                <w:kern w:val="0"/>
                <w:sz w:val="24"/>
                <w:szCs w:val="24"/>
              </w:rPr>
            </w:pPr>
            <w:r>
              <w:rPr>
                <w:rFonts w:hint="eastAsia" w:ascii="Cambria Math" w:hAnsi="Cambria Math" w:cs="Cambria Math"/>
                <w:color w:val="auto"/>
                <w:sz w:val="24"/>
                <w:szCs w:val="24"/>
              </w:rPr>
              <w:t>本项目</w:t>
            </w:r>
            <w:r>
              <w:rPr>
                <w:color w:val="auto"/>
                <w:sz w:val="24"/>
                <w:szCs w:val="24"/>
              </w:rPr>
              <w:t>依托使用</w:t>
            </w:r>
            <w:r>
              <w:rPr>
                <w:rFonts w:hint="eastAsia"/>
                <w:color w:val="auto"/>
                <w:sz w:val="24"/>
                <w:szCs w:val="24"/>
                <w:lang w:eastAsia="zh-CN"/>
              </w:rPr>
              <w:t>云南宝塑塑料管业有限公司</w:t>
            </w:r>
            <w:r>
              <w:rPr>
                <w:rFonts w:hint="eastAsia"/>
                <w:color w:val="auto"/>
                <w:sz w:val="24"/>
                <w:szCs w:val="24"/>
              </w:rPr>
              <w:t>厂区已建设的</w:t>
            </w:r>
            <w:r>
              <w:rPr>
                <w:color w:val="auto"/>
                <w:kern w:val="0"/>
                <w:sz w:val="24"/>
                <w:szCs w:val="24"/>
              </w:rPr>
              <w:t>卫生间</w:t>
            </w:r>
            <w:r>
              <w:rPr>
                <w:rFonts w:hint="eastAsia"/>
                <w:color w:val="auto"/>
                <w:kern w:val="0"/>
                <w:sz w:val="24"/>
                <w:szCs w:val="24"/>
              </w:rPr>
              <w:t>，废水依托</w:t>
            </w:r>
            <w:r>
              <w:rPr>
                <w:rFonts w:hint="eastAsia"/>
                <w:color w:val="auto"/>
                <w:sz w:val="24"/>
                <w:szCs w:val="24"/>
                <w:lang w:eastAsia="zh-CN"/>
              </w:rPr>
              <w:t>宝塑管业</w:t>
            </w:r>
            <w:r>
              <w:rPr>
                <w:rFonts w:hint="eastAsia"/>
                <w:color w:val="auto"/>
                <w:sz w:val="24"/>
                <w:szCs w:val="24"/>
              </w:rPr>
              <w:t>的</w:t>
            </w:r>
            <w:r>
              <w:rPr>
                <w:rFonts w:hint="eastAsia"/>
                <w:color w:val="auto"/>
                <w:kern w:val="0"/>
                <w:sz w:val="24"/>
                <w:szCs w:val="24"/>
              </w:rPr>
              <w:t>化粪池处理，项目也不设置食堂、宿舍，因此本项目厂区内的生活固废主要为生活垃圾。</w:t>
            </w:r>
          </w:p>
          <w:p>
            <w:pPr>
              <w:spacing w:line="360" w:lineRule="auto"/>
              <w:ind w:firstLine="480" w:firstLineChars="200"/>
              <w:rPr>
                <w:bCs/>
                <w:color w:val="auto"/>
                <w:sz w:val="24"/>
                <w:szCs w:val="24"/>
              </w:rPr>
            </w:pPr>
            <w:r>
              <w:rPr>
                <w:color w:val="auto"/>
                <w:sz w:val="24"/>
                <w:szCs w:val="24"/>
              </w:rPr>
              <w:t>项目员工总人数</w:t>
            </w:r>
            <w:r>
              <w:rPr>
                <w:rFonts w:hint="eastAsia"/>
                <w:color w:val="auto"/>
                <w:sz w:val="24"/>
                <w:szCs w:val="24"/>
                <w:lang w:val="en-US" w:eastAsia="zh-CN"/>
              </w:rPr>
              <w:t>10</w:t>
            </w:r>
            <w:r>
              <w:rPr>
                <w:color w:val="auto"/>
                <w:sz w:val="24"/>
                <w:szCs w:val="24"/>
              </w:rPr>
              <w:t>人，</w:t>
            </w:r>
            <w:r>
              <w:rPr>
                <w:rFonts w:hint="eastAsia"/>
                <w:color w:val="auto"/>
                <w:kern w:val="0"/>
                <w:sz w:val="24"/>
                <w:szCs w:val="24"/>
              </w:rPr>
              <w:t>均不在项目内食宿</w:t>
            </w:r>
            <w:r>
              <w:rPr>
                <w:color w:val="auto"/>
                <w:kern w:val="0"/>
                <w:sz w:val="24"/>
                <w:szCs w:val="24"/>
              </w:rPr>
              <w:t>，经参考</w:t>
            </w:r>
            <w:r>
              <w:rPr>
                <w:rFonts w:ascii="宋体" w:hAnsi="宋体"/>
                <w:color w:val="auto"/>
                <w:kern w:val="0"/>
                <w:sz w:val="24"/>
                <w:szCs w:val="24"/>
              </w:rPr>
              <w:t>“人均生活垃圾产生量分析与预测”</w:t>
            </w:r>
            <w:r>
              <w:rPr>
                <w:color w:val="auto"/>
                <w:kern w:val="0"/>
                <w:sz w:val="24"/>
                <w:szCs w:val="24"/>
              </w:rPr>
              <w:t>等相关文献，非住宿</w:t>
            </w:r>
            <w:r>
              <w:rPr>
                <w:color w:val="auto"/>
                <w:sz w:val="24"/>
                <w:szCs w:val="24"/>
              </w:rPr>
              <w:t>员工垃圾产生量按0.5kg/人·d计，则员工生活垃圾产生量为</w:t>
            </w:r>
            <w:r>
              <w:rPr>
                <w:rFonts w:hint="eastAsia"/>
                <w:color w:val="auto"/>
                <w:sz w:val="24"/>
                <w:szCs w:val="24"/>
                <w:lang w:val="en-US" w:eastAsia="zh-CN"/>
              </w:rPr>
              <w:t>5</w:t>
            </w:r>
            <w:r>
              <w:rPr>
                <w:color w:val="auto"/>
                <w:sz w:val="24"/>
                <w:szCs w:val="24"/>
              </w:rPr>
              <w:t>kg/d、</w:t>
            </w:r>
            <w:r>
              <w:rPr>
                <w:rFonts w:hint="eastAsia"/>
                <w:color w:val="auto"/>
                <w:sz w:val="24"/>
                <w:szCs w:val="24"/>
                <w:lang w:val="en-US" w:eastAsia="zh-CN"/>
              </w:rPr>
              <w:t>1.5</w:t>
            </w:r>
            <w:r>
              <w:rPr>
                <w:color w:val="auto"/>
                <w:sz w:val="24"/>
                <w:szCs w:val="24"/>
              </w:rPr>
              <w:t>t/a。统一收集于垃圾桶内，委托</w:t>
            </w:r>
            <w:r>
              <w:rPr>
                <w:bCs/>
                <w:color w:val="auto"/>
                <w:sz w:val="24"/>
                <w:szCs w:val="24"/>
              </w:rPr>
              <w:t>环卫部门清运处置。</w:t>
            </w:r>
          </w:p>
          <w:p>
            <w:pPr>
              <w:spacing w:line="360" w:lineRule="auto"/>
              <w:ind w:firstLine="480" w:firstLineChars="200"/>
              <w:rPr>
                <w:color w:val="auto"/>
                <w:kern w:val="0"/>
                <w:sz w:val="24"/>
                <w:szCs w:val="24"/>
              </w:rPr>
            </w:pPr>
            <w:r>
              <w:rPr>
                <w:rFonts w:hint="eastAsia"/>
                <w:color w:val="auto"/>
                <w:kern w:val="0"/>
                <w:sz w:val="24"/>
                <w:szCs w:val="24"/>
              </w:rPr>
              <w:t>根据</w:t>
            </w:r>
            <w:r>
              <w:rPr>
                <w:bCs/>
                <w:color w:val="auto"/>
                <w:sz w:val="24"/>
                <w:szCs w:val="24"/>
              </w:rPr>
              <w:t>《关于发布</w:t>
            </w:r>
            <w:r>
              <w:rPr>
                <w:rFonts w:hint="eastAsia"/>
                <w:bCs/>
                <w:color w:val="auto"/>
                <w:sz w:val="24"/>
                <w:szCs w:val="24"/>
                <w:lang w:eastAsia="zh-CN"/>
              </w:rPr>
              <w:t>〈</w:t>
            </w:r>
            <w:r>
              <w:rPr>
                <w:bCs/>
                <w:color w:val="auto"/>
                <w:sz w:val="24"/>
                <w:szCs w:val="24"/>
              </w:rPr>
              <w:t>固体废物分类与代码目录</w:t>
            </w:r>
            <w:r>
              <w:rPr>
                <w:rFonts w:hint="eastAsia"/>
                <w:bCs/>
                <w:color w:val="auto"/>
                <w:sz w:val="24"/>
                <w:szCs w:val="24"/>
                <w:lang w:eastAsia="zh-CN"/>
              </w:rPr>
              <w:t>〉</w:t>
            </w:r>
            <w:r>
              <w:rPr>
                <w:bCs/>
                <w:color w:val="auto"/>
                <w:sz w:val="24"/>
                <w:szCs w:val="24"/>
              </w:rPr>
              <w:t>的公告》（公告2024年第4号）</w:t>
            </w:r>
            <w:r>
              <w:rPr>
                <w:rFonts w:hint="eastAsia"/>
                <w:bCs/>
                <w:color w:val="auto"/>
                <w:sz w:val="24"/>
                <w:szCs w:val="24"/>
              </w:rPr>
              <w:t>，生活垃圾固废代码为900-002-S64。</w:t>
            </w:r>
          </w:p>
          <w:p>
            <w:pPr>
              <w:pStyle w:val="20"/>
              <w:spacing w:before="0" w:beforeAutospacing="0" w:after="0" w:afterAutospacing="0" w:line="276" w:lineRule="auto"/>
              <w:jc w:val="center"/>
              <w:rPr>
                <w:rFonts w:ascii="Times New Roman" w:hAnsi="Times New Roman"/>
                <w:color w:val="auto"/>
                <w:kern w:val="0"/>
                <w:sz w:val="21"/>
                <w:szCs w:val="21"/>
              </w:rPr>
            </w:pPr>
            <w:r>
              <w:rPr>
                <w:rFonts w:ascii="Times New Roman" w:hAnsi="Times New Roman"/>
                <w:b/>
                <w:color w:val="auto"/>
                <w:sz w:val="24"/>
                <w:szCs w:val="24"/>
              </w:rPr>
              <w:t>表4-</w:t>
            </w:r>
            <w:r>
              <w:rPr>
                <w:rFonts w:hint="eastAsia" w:ascii="Times New Roman" w:hAnsi="Times New Roman"/>
                <w:b/>
                <w:color w:val="auto"/>
                <w:sz w:val="24"/>
                <w:szCs w:val="24"/>
                <w:lang w:val="en-US" w:eastAsia="zh-CN"/>
              </w:rPr>
              <w:t xml:space="preserve">13 </w:t>
            </w:r>
            <w:r>
              <w:rPr>
                <w:rFonts w:ascii="Times New Roman" w:hAnsi="Times New Roman"/>
                <w:b/>
                <w:color w:val="auto"/>
                <w:sz w:val="24"/>
                <w:szCs w:val="24"/>
              </w:rPr>
              <w:t xml:space="preserve"> 项目主要固废产生及处置情况一览表</w:t>
            </w:r>
          </w:p>
          <w:tbl>
            <w:tblPr>
              <w:tblStyle w:val="23"/>
              <w:tblW w:w="80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1"/>
              <w:gridCol w:w="1020"/>
              <w:gridCol w:w="950"/>
              <w:gridCol w:w="894"/>
              <w:gridCol w:w="1056"/>
              <w:gridCol w:w="1056"/>
              <w:gridCol w:w="1056"/>
              <w:gridCol w:w="1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1" w:type="dxa"/>
                  <w:vAlign w:val="center"/>
                </w:tcPr>
                <w:p>
                  <w:pPr>
                    <w:jc w:val="center"/>
                    <w:rPr>
                      <w:b/>
                      <w:color w:val="auto"/>
                      <w:sz w:val="21"/>
                      <w:szCs w:val="21"/>
                    </w:rPr>
                  </w:pPr>
                  <w:r>
                    <w:rPr>
                      <w:b/>
                      <w:color w:val="auto"/>
                      <w:sz w:val="21"/>
                      <w:szCs w:val="21"/>
                    </w:rPr>
                    <w:t>名称</w:t>
                  </w:r>
                </w:p>
              </w:tc>
              <w:tc>
                <w:tcPr>
                  <w:tcW w:w="1020" w:type="dxa"/>
                  <w:vAlign w:val="center"/>
                </w:tcPr>
                <w:p>
                  <w:pPr>
                    <w:jc w:val="center"/>
                    <w:rPr>
                      <w:b/>
                      <w:color w:val="auto"/>
                      <w:sz w:val="21"/>
                      <w:szCs w:val="21"/>
                    </w:rPr>
                  </w:pPr>
                  <w:r>
                    <w:rPr>
                      <w:rFonts w:hint="eastAsia" w:ascii="Cambria Math" w:hAnsi="Cambria Math" w:cs="Cambria Math"/>
                      <w:b/>
                      <w:color w:val="auto"/>
                      <w:sz w:val="21"/>
                      <w:szCs w:val="21"/>
                    </w:rPr>
                    <w:t>废边角料</w:t>
                  </w:r>
                </w:p>
              </w:tc>
              <w:tc>
                <w:tcPr>
                  <w:tcW w:w="950" w:type="dxa"/>
                  <w:vAlign w:val="center"/>
                </w:tcPr>
                <w:p>
                  <w:pPr>
                    <w:jc w:val="center"/>
                    <w:rPr>
                      <w:b/>
                      <w:color w:val="auto"/>
                      <w:sz w:val="21"/>
                      <w:szCs w:val="21"/>
                    </w:rPr>
                  </w:pPr>
                  <w:r>
                    <w:rPr>
                      <w:rFonts w:hint="eastAsia"/>
                      <w:b/>
                      <w:color w:val="auto"/>
                      <w:sz w:val="21"/>
                      <w:szCs w:val="21"/>
                    </w:rPr>
                    <w:t>磁选除铁回收金属</w:t>
                  </w:r>
                </w:p>
              </w:tc>
              <w:tc>
                <w:tcPr>
                  <w:tcW w:w="894" w:type="dxa"/>
                  <w:vAlign w:val="center"/>
                </w:tcPr>
                <w:p>
                  <w:pPr>
                    <w:jc w:val="center"/>
                    <w:rPr>
                      <w:b/>
                      <w:color w:val="auto"/>
                      <w:sz w:val="21"/>
                      <w:szCs w:val="21"/>
                    </w:rPr>
                  </w:pPr>
                  <w:r>
                    <w:rPr>
                      <w:rFonts w:hint="eastAsia"/>
                      <w:b/>
                      <w:color w:val="auto"/>
                      <w:sz w:val="21"/>
                      <w:szCs w:val="21"/>
                    </w:rPr>
                    <w:t>生活垃圾</w:t>
                  </w:r>
                </w:p>
              </w:tc>
              <w:tc>
                <w:tcPr>
                  <w:tcW w:w="1056" w:type="dxa"/>
                  <w:vAlign w:val="center"/>
                </w:tcPr>
                <w:p>
                  <w:pPr>
                    <w:jc w:val="center"/>
                    <w:rPr>
                      <w:b/>
                      <w:color w:val="auto"/>
                      <w:sz w:val="21"/>
                      <w:szCs w:val="21"/>
                    </w:rPr>
                  </w:pPr>
                  <w:r>
                    <w:rPr>
                      <w:b/>
                      <w:color w:val="auto"/>
                      <w:sz w:val="21"/>
                      <w:szCs w:val="21"/>
                    </w:rPr>
                    <w:t>废润滑油</w:t>
                  </w:r>
                </w:p>
              </w:tc>
              <w:tc>
                <w:tcPr>
                  <w:tcW w:w="1056" w:type="dxa"/>
                  <w:vAlign w:val="center"/>
                </w:tcPr>
                <w:p>
                  <w:pPr>
                    <w:jc w:val="center"/>
                    <w:rPr>
                      <w:b/>
                      <w:color w:val="auto"/>
                      <w:sz w:val="21"/>
                      <w:szCs w:val="21"/>
                    </w:rPr>
                  </w:pPr>
                  <w:r>
                    <w:rPr>
                      <w:b/>
                      <w:color w:val="auto"/>
                      <w:sz w:val="21"/>
                      <w:szCs w:val="21"/>
                    </w:rPr>
                    <w:t>废活性炭</w:t>
                  </w:r>
                </w:p>
              </w:tc>
              <w:tc>
                <w:tcPr>
                  <w:tcW w:w="1056" w:type="dxa"/>
                  <w:vAlign w:val="center"/>
                </w:tcPr>
                <w:p>
                  <w:pPr>
                    <w:jc w:val="center"/>
                    <w:rPr>
                      <w:b/>
                      <w:color w:val="auto"/>
                      <w:sz w:val="21"/>
                      <w:szCs w:val="21"/>
                    </w:rPr>
                  </w:pPr>
                  <w:r>
                    <w:rPr>
                      <w:rFonts w:hint="eastAsia"/>
                      <w:b/>
                      <w:color w:val="auto"/>
                      <w:sz w:val="21"/>
                      <w:szCs w:val="21"/>
                    </w:rPr>
                    <w:t>废过滤棉</w:t>
                  </w:r>
                </w:p>
              </w:tc>
              <w:tc>
                <w:tcPr>
                  <w:tcW w:w="1056" w:type="dxa"/>
                  <w:vAlign w:val="center"/>
                </w:tcPr>
                <w:p>
                  <w:pPr>
                    <w:jc w:val="center"/>
                    <w:rPr>
                      <w:rFonts w:hint="eastAsia"/>
                      <w:b/>
                      <w:color w:val="auto"/>
                      <w:sz w:val="21"/>
                      <w:szCs w:val="21"/>
                    </w:rPr>
                  </w:pPr>
                  <w:r>
                    <w:rPr>
                      <w:rFonts w:hint="eastAsia"/>
                      <w:b/>
                      <w:color w:val="auto"/>
                      <w:sz w:val="21"/>
                      <w:szCs w:val="21"/>
                    </w:rPr>
                    <w:t>电捕焦油器冲洗液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1" w:type="dxa"/>
                  <w:vAlign w:val="center"/>
                </w:tcPr>
                <w:p>
                  <w:pPr>
                    <w:jc w:val="center"/>
                    <w:rPr>
                      <w:bCs/>
                      <w:color w:val="auto"/>
                      <w:sz w:val="21"/>
                      <w:szCs w:val="21"/>
                    </w:rPr>
                  </w:pPr>
                  <w:r>
                    <w:rPr>
                      <w:bCs/>
                      <w:color w:val="auto"/>
                      <w:sz w:val="21"/>
                      <w:szCs w:val="21"/>
                    </w:rPr>
                    <w:t>产生环节</w:t>
                  </w:r>
                </w:p>
              </w:tc>
              <w:tc>
                <w:tcPr>
                  <w:tcW w:w="1020" w:type="dxa"/>
                  <w:vAlign w:val="center"/>
                </w:tcPr>
                <w:p>
                  <w:pPr>
                    <w:jc w:val="center"/>
                    <w:rPr>
                      <w:bCs/>
                      <w:color w:val="auto"/>
                      <w:sz w:val="21"/>
                      <w:szCs w:val="21"/>
                    </w:rPr>
                  </w:pPr>
                  <w:r>
                    <w:rPr>
                      <w:rFonts w:hint="eastAsia" w:ascii="Cambria Math" w:hAnsi="Cambria Math" w:cs="Cambria Math"/>
                      <w:bCs/>
                      <w:color w:val="auto"/>
                      <w:sz w:val="21"/>
                      <w:szCs w:val="21"/>
                    </w:rPr>
                    <w:t>造粒、切粒</w:t>
                  </w:r>
                </w:p>
              </w:tc>
              <w:tc>
                <w:tcPr>
                  <w:tcW w:w="950" w:type="dxa"/>
                  <w:vAlign w:val="center"/>
                </w:tcPr>
                <w:p>
                  <w:pPr>
                    <w:jc w:val="center"/>
                    <w:rPr>
                      <w:bCs/>
                      <w:color w:val="auto"/>
                      <w:sz w:val="21"/>
                      <w:szCs w:val="21"/>
                    </w:rPr>
                  </w:pPr>
                  <w:r>
                    <w:rPr>
                      <w:rFonts w:hint="eastAsia"/>
                      <w:bCs/>
                      <w:color w:val="auto"/>
                      <w:sz w:val="21"/>
                      <w:szCs w:val="21"/>
                    </w:rPr>
                    <w:t>磁选除铁</w:t>
                  </w:r>
                </w:p>
              </w:tc>
              <w:tc>
                <w:tcPr>
                  <w:tcW w:w="894" w:type="dxa"/>
                  <w:vAlign w:val="center"/>
                </w:tcPr>
                <w:p>
                  <w:pPr>
                    <w:jc w:val="center"/>
                    <w:rPr>
                      <w:color w:val="auto"/>
                      <w:sz w:val="21"/>
                      <w:szCs w:val="21"/>
                    </w:rPr>
                  </w:pPr>
                  <w:r>
                    <w:rPr>
                      <w:bCs/>
                      <w:color w:val="auto"/>
                      <w:sz w:val="21"/>
                      <w:szCs w:val="21"/>
                    </w:rPr>
                    <w:t>办公</w:t>
                  </w:r>
                </w:p>
              </w:tc>
              <w:tc>
                <w:tcPr>
                  <w:tcW w:w="1056" w:type="dxa"/>
                  <w:vAlign w:val="center"/>
                </w:tcPr>
                <w:p>
                  <w:pPr>
                    <w:jc w:val="center"/>
                    <w:rPr>
                      <w:color w:val="auto"/>
                      <w:sz w:val="21"/>
                      <w:szCs w:val="21"/>
                    </w:rPr>
                  </w:pPr>
                  <w:r>
                    <w:rPr>
                      <w:color w:val="auto"/>
                      <w:sz w:val="21"/>
                      <w:szCs w:val="21"/>
                    </w:rPr>
                    <w:t>机械设备维修</w:t>
                  </w:r>
                </w:p>
              </w:tc>
              <w:tc>
                <w:tcPr>
                  <w:tcW w:w="1056" w:type="dxa"/>
                  <w:vAlign w:val="center"/>
                </w:tcPr>
                <w:p>
                  <w:pPr>
                    <w:jc w:val="center"/>
                    <w:rPr>
                      <w:bCs/>
                      <w:color w:val="auto"/>
                      <w:sz w:val="21"/>
                      <w:szCs w:val="21"/>
                    </w:rPr>
                  </w:pPr>
                  <w:r>
                    <w:rPr>
                      <w:color w:val="auto"/>
                      <w:sz w:val="21"/>
                      <w:szCs w:val="21"/>
                    </w:rPr>
                    <w:t>有机废气处理</w:t>
                  </w:r>
                </w:p>
              </w:tc>
              <w:tc>
                <w:tcPr>
                  <w:tcW w:w="1056" w:type="dxa"/>
                  <w:vAlign w:val="center"/>
                </w:tcPr>
                <w:p>
                  <w:pPr>
                    <w:jc w:val="center"/>
                    <w:rPr>
                      <w:color w:val="auto"/>
                      <w:sz w:val="21"/>
                      <w:szCs w:val="21"/>
                    </w:rPr>
                  </w:pPr>
                  <w:r>
                    <w:rPr>
                      <w:color w:val="auto"/>
                      <w:sz w:val="21"/>
                      <w:szCs w:val="21"/>
                    </w:rPr>
                    <w:t>有机废气处理</w:t>
                  </w:r>
                </w:p>
              </w:tc>
              <w:tc>
                <w:tcPr>
                  <w:tcW w:w="1056" w:type="dxa"/>
                  <w:vAlign w:val="center"/>
                </w:tcPr>
                <w:p>
                  <w:pPr>
                    <w:jc w:val="center"/>
                    <w:rPr>
                      <w:color w:val="auto"/>
                      <w:sz w:val="21"/>
                      <w:szCs w:val="21"/>
                    </w:rPr>
                  </w:pPr>
                  <w:r>
                    <w:rPr>
                      <w:rFonts w:hint="eastAsia"/>
                      <w:color w:val="auto"/>
                      <w:sz w:val="21"/>
                      <w:szCs w:val="21"/>
                    </w:rPr>
                    <w:t>电捕焦油器冲洗液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1" w:type="dxa"/>
                  <w:vAlign w:val="center"/>
                </w:tcPr>
                <w:p>
                  <w:pPr>
                    <w:jc w:val="center"/>
                    <w:rPr>
                      <w:bCs/>
                      <w:color w:val="auto"/>
                      <w:sz w:val="21"/>
                      <w:szCs w:val="21"/>
                    </w:rPr>
                  </w:pPr>
                  <w:r>
                    <w:rPr>
                      <w:bCs/>
                      <w:color w:val="auto"/>
                      <w:sz w:val="21"/>
                      <w:szCs w:val="21"/>
                    </w:rPr>
                    <w:t>属性</w:t>
                  </w:r>
                </w:p>
              </w:tc>
              <w:tc>
                <w:tcPr>
                  <w:tcW w:w="1020" w:type="dxa"/>
                  <w:vAlign w:val="center"/>
                </w:tcPr>
                <w:p>
                  <w:pPr>
                    <w:jc w:val="center"/>
                    <w:rPr>
                      <w:bCs/>
                      <w:color w:val="auto"/>
                      <w:sz w:val="21"/>
                      <w:szCs w:val="21"/>
                    </w:rPr>
                  </w:pPr>
                  <w:r>
                    <w:rPr>
                      <w:bCs/>
                      <w:color w:val="auto"/>
                      <w:sz w:val="21"/>
                      <w:szCs w:val="21"/>
                    </w:rPr>
                    <w:t>第Ⅰ类一般工业固废</w:t>
                  </w:r>
                </w:p>
              </w:tc>
              <w:tc>
                <w:tcPr>
                  <w:tcW w:w="950" w:type="dxa"/>
                  <w:vAlign w:val="center"/>
                </w:tcPr>
                <w:p>
                  <w:pPr>
                    <w:jc w:val="center"/>
                    <w:rPr>
                      <w:bCs/>
                      <w:color w:val="auto"/>
                      <w:sz w:val="21"/>
                      <w:szCs w:val="21"/>
                    </w:rPr>
                  </w:pPr>
                  <w:r>
                    <w:rPr>
                      <w:bCs/>
                      <w:color w:val="auto"/>
                      <w:sz w:val="21"/>
                      <w:szCs w:val="21"/>
                    </w:rPr>
                    <w:t>第Ⅰ类一般工业固废</w:t>
                  </w:r>
                </w:p>
              </w:tc>
              <w:tc>
                <w:tcPr>
                  <w:tcW w:w="894" w:type="dxa"/>
                  <w:vAlign w:val="center"/>
                </w:tcPr>
                <w:p>
                  <w:pPr>
                    <w:jc w:val="center"/>
                    <w:rPr>
                      <w:bCs/>
                      <w:color w:val="auto"/>
                      <w:sz w:val="21"/>
                      <w:szCs w:val="21"/>
                      <w:lang w:bidi="ar"/>
                    </w:rPr>
                  </w:pPr>
                  <w:r>
                    <w:rPr>
                      <w:color w:val="auto"/>
                      <w:sz w:val="21"/>
                      <w:szCs w:val="21"/>
                    </w:rPr>
                    <w:t>生活固废</w:t>
                  </w:r>
                </w:p>
              </w:tc>
              <w:tc>
                <w:tcPr>
                  <w:tcW w:w="1056" w:type="dxa"/>
                  <w:vAlign w:val="center"/>
                </w:tcPr>
                <w:p>
                  <w:pPr>
                    <w:jc w:val="center"/>
                    <w:rPr>
                      <w:color w:val="auto"/>
                      <w:sz w:val="21"/>
                      <w:szCs w:val="21"/>
                    </w:rPr>
                  </w:pPr>
                  <w:r>
                    <w:rPr>
                      <w:bCs/>
                      <w:color w:val="auto"/>
                      <w:sz w:val="21"/>
                      <w:szCs w:val="21"/>
                      <w:lang w:bidi="ar"/>
                    </w:rPr>
                    <w:t>危险废物</w:t>
                  </w:r>
                </w:p>
              </w:tc>
              <w:tc>
                <w:tcPr>
                  <w:tcW w:w="1056" w:type="dxa"/>
                  <w:vAlign w:val="center"/>
                </w:tcPr>
                <w:p>
                  <w:pPr>
                    <w:jc w:val="center"/>
                    <w:rPr>
                      <w:bCs/>
                      <w:color w:val="auto"/>
                      <w:sz w:val="21"/>
                      <w:szCs w:val="21"/>
                      <w:lang w:bidi="ar"/>
                    </w:rPr>
                  </w:pPr>
                  <w:r>
                    <w:rPr>
                      <w:bCs/>
                      <w:color w:val="auto"/>
                      <w:sz w:val="21"/>
                      <w:szCs w:val="21"/>
                      <w:lang w:bidi="ar"/>
                    </w:rPr>
                    <w:t>危险废物</w:t>
                  </w:r>
                </w:p>
              </w:tc>
              <w:tc>
                <w:tcPr>
                  <w:tcW w:w="1056" w:type="dxa"/>
                  <w:vAlign w:val="center"/>
                </w:tcPr>
                <w:p>
                  <w:pPr>
                    <w:jc w:val="center"/>
                    <w:rPr>
                      <w:bCs/>
                      <w:color w:val="auto"/>
                      <w:sz w:val="21"/>
                      <w:szCs w:val="21"/>
                      <w:lang w:bidi="ar"/>
                    </w:rPr>
                  </w:pPr>
                  <w:r>
                    <w:rPr>
                      <w:bCs/>
                      <w:color w:val="auto"/>
                      <w:sz w:val="21"/>
                      <w:szCs w:val="21"/>
                      <w:lang w:bidi="ar"/>
                    </w:rPr>
                    <w:t>危险废物</w:t>
                  </w:r>
                </w:p>
              </w:tc>
              <w:tc>
                <w:tcPr>
                  <w:tcW w:w="1056" w:type="dxa"/>
                  <w:vAlign w:val="center"/>
                </w:tcPr>
                <w:p>
                  <w:pPr>
                    <w:jc w:val="center"/>
                    <w:rPr>
                      <w:bCs/>
                      <w:color w:val="auto"/>
                      <w:sz w:val="21"/>
                      <w:szCs w:val="21"/>
                      <w:lang w:bidi="ar"/>
                    </w:rPr>
                  </w:pPr>
                  <w:r>
                    <w:rPr>
                      <w:bCs/>
                      <w:color w:val="auto"/>
                      <w:sz w:val="21"/>
                      <w:szCs w:val="21"/>
                      <w:lang w:bidi="ar"/>
                    </w:rPr>
                    <w:t>危险废物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1" w:type="dxa"/>
                  <w:vAlign w:val="center"/>
                </w:tcPr>
                <w:p>
                  <w:pPr>
                    <w:jc w:val="center"/>
                    <w:rPr>
                      <w:bCs/>
                      <w:color w:val="auto"/>
                      <w:sz w:val="21"/>
                      <w:szCs w:val="21"/>
                    </w:rPr>
                  </w:pPr>
                  <w:r>
                    <w:rPr>
                      <w:rFonts w:hint="eastAsia"/>
                      <w:bCs/>
                      <w:color w:val="auto"/>
                      <w:sz w:val="21"/>
                      <w:szCs w:val="21"/>
                    </w:rPr>
                    <w:t>代码</w:t>
                  </w:r>
                </w:p>
              </w:tc>
              <w:tc>
                <w:tcPr>
                  <w:tcW w:w="1020" w:type="dxa"/>
                  <w:vAlign w:val="center"/>
                </w:tcPr>
                <w:p>
                  <w:pPr>
                    <w:jc w:val="center"/>
                    <w:rPr>
                      <w:bCs/>
                      <w:color w:val="auto"/>
                      <w:sz w:val="21"/>
                      <w:szCs w:val="21"/>
                    </w:rPr>
                  </w:pPr>
                  <w:r>
                    <w:rPr>
                      <w:rFonts w:hint="eastAsia" w:cs="Cambria Math"/>
                      <w:bCs/>
                      <w:color w:val="auto"/>
                      <w:sz w:val="21"/>
                      <w:szCs w:val="21"/>
                    </w:rPr>
                    <w:t>900-099-S59</w:t>
                  </w:r>
                </w:p>
              </w:tc>
              <w:tc>
                <w:tcPr>
                  <w:tcW w:w="950" w:type="dxa"/>
                  <w:vAlign w:val="center"/>
                </w:tcPr>
                <w:p>
                  <w:pPr>
                    <w:jc w:val="center"/>
                    <w:rPr>
                      <w:bCs/>
                      <w:color w:val="auto"/>
                      <w:sz w:val="21"/>
                      <w:szCs w:val="21"/>
                    </w:rPr>
                  </w:pPr>
                  <w:r>
                    <w:rPr>
                      <w:bCs/>
                      <w:color w:val="auto"/>
                      <w:sz w:val="21"/>
                      <w:szCs w:val="21"/>
                    </w:rPr>
                    <w:t>221-00</w:t>
                  </w:r>
                  <w:r>
                    <w:rPr>
                      <w:rFonts w:hint="eastAsia"/>
                      <w:bCs/>
                      <w:color w:val="auto"/>
                      <w:sz w:val="21"/>
                      <w:szCs w:val="21"/>
                    </w:rPr>
                    <w:t>8</w:t>
                  </w:r>
                  <w:r>
                    <w:rPr>
                      <w:bCs/>
                      <w:color w:val="auto"/>
                      <w:sz w:val="21"/>
                      <w:szCs w:val="21"/>
                    </w:rPr>
                    <w:t>-S15</w:t>
                  </w:r>
                </w:p>
              </w:tc>
              <w:tc>
                <w:tcPr>
                  <w:tcW w:w="894" w:type="dxa"/>
                  <w:vAlign w:val="center"/>
                </w:tcPr>
                <w:p>
                  <w:pPr>
                    <w:jc w:val="center"/>
                    <w:rPr>
                      <w:color w:val="auto"/>
                      <w:sz w:val="21"/>
                      <w:szCs w:val="21"/>
                    </w:rPr>
                  </w:pPr>
                  <w:r>
                    <w:rPr>
                      <w:rFonts w:hint="eastAsia"/>
                      <w:bCs/>
                      <w:color w:val="auto"/>
                      <w:sz w:val="21"/>
                      <w:szCs w:val="21"/>
                    </w:rPr>
                    <w:t>900-002-S64</w:t>
                  </w:r>
                </w:p>
              </w:tc>
              <w:tc>
                <w:tcPr>
                  <w:tcW w:w="1056" w:type="dxa"/>
                  <w:vAlign w:val="center"/>
                </w:tcPr>
                <w:p>
                  <w:pPr>
                    <w:jc w:val="center"/>
                    <w:rPr>
                      <w:bCs/>
                      <w:color w:val="auto"/>
                      <w:sz w:val="21"/>
                      <w:szCs w:val="21"/>
                      <w:lang w:bidi="ar"/>
                    </w:rPr>
                  </w:pPr>
                  <w:r>
                    <w:rPr>
                      <w:color w:val="auto"/>
                      <w:sz w:val="21"/>
                      <w:szCs w:val="21"/>
                    </w:rPr>
                    <w:t>900-249-08</w:t>
                  </w:r>
                </w:p>
              </w:tc>
              <w:tc>
                <w:tcPr>
                  <w:tcW w:w="1056" w:type="dxa"/>
                  <w:vAlign w:val="center"/>
                </w:tcPr>
                <w:p>
                  <w:pPr>
                    <w:jc w:val="center"/>
                    <w:rPr>
                      <w:bCs/>
                      <w:color w:val="auto"/>
                      <w:sz w:val="21"/>
                      <w:szCs w:val="21"/>
                      <w:lang w:bidi="ar"/>
                    </w:rPr>
                  </w:pPr>
                  <w:r>
                    <w:rPr>
                      <w:color w:val="auto"/>
                      <w:sz w:val="21"/>
                      <w:szCs w:val="21"/>
                    </w:rPr>
                    <w:t>900-039-49</w:t>
                  </w:r>
                </w:p>
              </w:tc>
              <w:tc>
                <w:tcPr>
                  <w:tcW w:w="1056" w:type="dxa"/>
                  <w:vAlign w:val="center"/>
                </w:tcPr>
                <w:p>
                  <w:pPr>
                    <w:jc w:val="center"/>
                    <w:rPr>
                      <w:bCs/>
                      <w:color w:val="auto"/>
                      <w:sz w:val="21"/>
                      <w:szCs w:val="21"/>
                    </w:rPr>
                  </w:pPr>
                  <w:r>
                    <w:rPr>
                      <w:color w:val="auto"/>
                      <w:sz w:val="21"/>
                      <w:szCs w:val="21"/>
                    </w:rPr>
                    <w:t>900-</w:t>
                  </w:r>
                  <w:r>
                    <w:rPr>
                      <w:rFonts w:hint="eastAsia"/>
                      <w:color w:val="auto"/>
                      <w:sz w:val="21"/>
                      <w:szCs w:val="21"/>
                    </w:rPr>
                    <w:t>041</w:t>
                  </w:r>
                  <w:r>
                    <w:rPr>
                      <w:color w:val="auto"/>
                      <w:sz w:val="21"/>
                      <w:szCs w:val="21"/>
                    </w:rPr>
                    <w:t>-49</w:t>
                  </w:r>
                </w:p>
              </w:tc>
              <w:tc>
                <w:tcPr>
                  <w:tcW w:w="1056" w:type="dxa"/>
                  <w:vAlign w:val="center"/>
                </w:tcPr>
                <w:p>
                  <w:pPr>
                    <w:jc w:val="center"/>
                    <w:rPr>
                      <w:color w:val="auto"/>
                      <w:sz w:val="21"/>
                      <w:szCs w:val="21"/>
                    </w:rPr>
                  </w:pPr>
                  <w:r>
                    <w:rPr>
                      <w:rFonts w:hint="eastAsia"/>
                      <w:color w:val="auto"/>
                      <w:sz w:val="21"/>
                      <w:szCs w:val="21"/>
                    </w:rPr>
                    <w:t>772-006-49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1" w:type="dxa"/>
                  <w:vAlign w:val="center"/>
                </w:tcPr>
                <w:p>
                  <w:pPr>
                    <w:jc w:val="center"/>
                    <w:rPr>
                      <w:bCs/>
                      <w:color w:val="auto"/>
                      <w:sz w:val="21"/>
                      <w:szCs w:val="21"/>
                    </w:rPr>
                  </w:pPr>
                  <w:r>
                    <w:rPr>
                      <w:bCs/>
                      <w:color w:val="auto"/>
                      <w:sz w:val="21"/>
                      <w:szCs w:val="21"/>
                    </w:rPr>
                    <w:t>主要有毒有害物质名称</w:t>
                  </w:r>
                </w:p>
              </w:tc>
              <w:tc>
                <w:tcPr>
                  <w:tcW w:w="1020" w:type="dxa"/>
                  <w:vAlign w:val="center"/>
                </w:tcPr>
                <w:p>
                  <w:pPr>
                    <w:jc w:val="center"/>
                    <w:rPr>
                      <w:bCs/>
                      <w:color w:val="auto"/>
                      <w:sz w:val="21"/>
                      <w:szCs w:val="21"/>
                    </w:rPr>
                  </w:pPr>
                  <w:r>
                    <w:rPr>
                      <w:bCs/>
                      <w:color w:val="auto"/>
                      <w:sz w:val="21"/>
                      <w:szCs w:val="21"/>
                    </w:rPr>
                    <w:t>/</w:t>
                  </w:r>
                </w:p>
              </w:tc>
              <w:tc>
                <w:tcPr>
                  <w:tcW w:w="950" w:type="dxa"/>
                  <w:vAlign w:val="center"/>
                </w:tcPr>
                <w:p>
                  <w:pPr>
                    <w:jc w:val="center"/>
                    <w:rPr>
                      <w:bCs/>
                      <w:color w:val="auto"/>
                      <w:sz w:val="21"/>
                      <w:szCs w:val="21"/>
                    </w:rPr>
                  </w:pPr>
                  <w:r>
                    <w:rPr>
                      <w:bCs/>
                      <w:color w:val="auto"/>
                      <w:sz w:val="21"/>
                      <w:szCs w:val="21"/>
                    </w:rPr>
                    <w:t>/</w:t>
                  </w:r>
                </w:p>
              </w:tc>
              <w:tc>
                <w:tcPr>
                  <w:tcW w:w="894" w:type="dxa"/>
                  <w:vAlign w:val="center"/>
                </w:tcPr>
                <w:p>
                  <w:pPr>
                    <w:jc w:val="center"/>
                    <w:rPr>
                      <w:bCs/>
                      <w:color w:val="auto"/>
                      <w:sz w:val="21"/>
                      <w:szCs w:val="21"/>
                    </w:rPr>
                  </w:pPr>
                  <w:r>
                    <w:rPr>
                      <w:bCs/>
                      <w:color w:val="auto"/>
                      <w:sz w:val="21"/>
                      <w:szCs w:val="21"/>
                    </w:rPr>
                    <w:t>/</w:t>
                  </w:r>
                </w:p>
              </w:tc>
              <w:tc>
                <w:tcPr>
                  <w:tcW w:w="1056" w:type="dxa"/>
                  <w:vAlign w:val="center"/>
                </w:tcPr>
                <w:p>
                  <w:pPr>
                    <w:jc w:val="center"/>
                    <w:rPr>
                      <w:bCs/>
                      <w:color w:val="auto"/>
                      <w:sz w:val="21"/>
                      <w:szCs w:val="21"/>
                    </w:rPr>
                  </w:pPr>
                  <w:r>
                    <w:rPr>
                      <w:bCs/>
                      <w:color w:val="auto"/>
                      <w:sz w:val="21"/>
                      <w:szCs w:val="21"/>
                    </w:rPr>
                    <w:t>石油烃、烃化物</w:t>
                  </w:r>
                </w:p>
              </w:tc>
              <w:tc>
                <w:tcPr>
                  <w:tcW w:w="1056" w:type="dxa"/>
                  <w:vAlign w:val="center"/>
                </w:tcPr>
                <w:p>
                  <w:pPr>
                    <w:jc w:val="center"/>
                    <w:rPr>
                      <w:bCs/>
                      <w:color w:val="auto"/>
                      <w:sz w:val="21"/>
                      <w:szCs w:val="21"/>
                    </w:rPr>
                  </w:pPr>
                  <w:r>
                    <w:rPr>
                      <w:bCs/>
                      <w:color w:val="auto"/>
                      <w:sz w:val="21"/>
                      <w:szCs w:val="21"/>
                    </w:rPr>
                    <w:t>含</w:t>
                  </w:r>
                  <w:r>
                    <w:rPr>
                      <w:color w:val="auto"/>
                      <w:sz w:val="21"/>
                      <w:szCs w:val="21"/>
                    </w:rPr>
                    <w:t>VOCs</w:t>
                  </w:r>
                </w:p>
              </w:tc>
              <w:tc>
                <w:tcPr>
                  <w:tcW w:w="1056" w:type="dxa"/>
                  <w:vAlign w:val="center"/>
                </w:tcPr>
                <w:p>
                  <w:pPr>
                    <w:jc w:val="center"/>
                    <w:rPr>
                      <w:bCs/>
                      <w:color w:val="auto"/>
                      <w:sz w:val="21"/>
                      <w:szCs w:val="21"/>
                    </w:rPr>
                  </w:pPr>
                  <w:r>
                    <w:rPr>
                      <w:bCs/>
                      <w:color w:val="auto"/>
                      <w:sz w:val="21"/>
                      <w:szCs w:val="21"/>
                    </w:rPr>
                    <w:t>含</w:t>
                  </w:r>
                  <w:r>
                    <w:rPr>
                      <w:color w:val="auto"/>
                      <w:sz w:val="21"/>
                      <w:szCs w:val="21"/>
                    </w:rPr>
                    <w:t>VOCs</w:t>
                  </w:r>
                </w:p>
              </w:tc>
              <w:tc>
                <w:tcPr>
                  <w:tcW w:w="1056" w:type="dxa"/>
                  <w:vAlign w:val="center"/>
                </w:tcPr>
                <w:p>
                  <w:pPr>
                    <w:jc w:val="center"/>
                    <w:rPr>
                      <w:rFonts w:hint="eastAsia" w:eastAsia="宋体"/>
                      <w:bCs/>
                      <w:color w:val="auto"/>
                      <w:sz w:val="21"/>
                      <w:szCs w:val="21"/>
                      <w:lang w:val="en-US" w:eastAsia="zh-CN"/>
                    </w:rPr>
                  </w:pPr>
                  <w:r>
                    <w:rPr>
                      <w:rFonts w:hint="eastAsia"/>
                      <w:bCs/>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1" w:type="dxa"/>
                  <w:vAlign w:val="center"/>
                </w:tcPr>
                <w:p>
                  <w:pPr>
                    <w:jc w:val="center"/>
                    <w:rPr>
                      <w:bCs/>
                      <w:color w:val="auto"/>
                      <w:sz w:val="21"/>
                      <w:szCs w:val="21"/>
                    </w:rPr>
                  </w:pPr>
                  <w:r>
                    <w:rPr>
                      <w:bCs/>
                      <w:color w:val="auto"/>
                      <w:sz w:val="21"/>
                      <w:szCs w:val="21"/>
                    </w:rPr>
                    <w:t>物理性状</w:t>
                  </w:r>
                </w:p>
              </w:tc>
              <w:tc>
                <w:tcPr>
                  <w:tcW w:w="1020" w:type="dxa"/>
                  <w:vAlign w:val="center"/>
                </w:tcPr>
                <w:p>
                  <w:pPr>
                    <w:jc w:val="center"/>
                    <w:rPr>
                      <w:bCs/>
                      <w:color w:val="auto"/>
                      <w:sz w:val="21"/>
                      <w:szCs w:val="21"/>
                    </w:rPr>
                  </w:pPr>
                  <w:r>
                    <w:rPr>
                      <w:bCs/>
                      <w:color w:val="auto"/>
                      <w:sz w:val="21"/>
                      <w:szCs w:val="21"/>
                    </w:rPr>
                    <w:t>固态</w:t>
                  </w:r>
                </w:p>
              </w:tc>
              <w:tc>
                <w:tcPr>
                  <w:tcW w:w="950" w:type="dxa"/>
                  <w:vAlign w:val="center"/>
                </w:tcPr>
                <w:p>
                  <w:pPr>
                    <w:jc w:val="center"/>
                    <w:rPr>
                      <w:bCs/>
                      <w:color w:val="auto"/>
                      <w:sz w:val="21"/>
                      <w:szCs w:val="21"/>
                    </w:rPr>
                  </w:pPr>
                  <w:r>
                    <w:rPr>
                      <w:bCs/>
                      <w:color w:val="auto"/>
                      <w:sz w:val="21"/>
                      <w:szCs w:val="21"/>
                    </w:rPr>
                    <w:t>固态</w:t>
                  </w:r>
                </w:p>
              </w:tc>
              <w:tc>
                <w:tcPr>
                  <w:tcW w:w="894" w:type="dxa"/>
                  <w:vAlign w:val="center"/>
                </w:tcPr>
                <w:p>
                  <w:pPr>
                    <w:jc w:val="center"/>
                    <w:rPr>
                      <w:bCs/>
                      <w:color w:val="auto"/>
                      <w:sz w:val="21"/>
                      <w:szCs w:val="21"/>
                    </w:rPr>
                  </w:pPr>
                  <w:r>
                    <w:rPr>
                      <w:bCs/>
                      <w:color w:val="auto"/>
                      <w:sz w:val="21"/>
                      <w:szCs w:val="21"/>
                    </w:rPr>
                    <w:t>固态</w:t>
                  </w:r>
                </w:p>
              </w:tc>
              <w:tc>
                <w:tcPr>
                  <w:tcW w:w="1056" w:type="dxa"/>
                  <w:vAlign w:val="center"/>
                </w:tcPr>
                <w:p>
                  <w:pPr>
                    <w:jc w:val="center"/>
                    <w:rPr>
                      <w:bCs/>
                      <w:color w:val="auto"/>
                      <w:sz w:val="21"/>
                      <w:szCs w:val="21"/>
                    </w:rPr>
                  </w:pPr>
                  <w:r>
                    <w:rPr>
                      <w:bCs/>
                      <w:color w:val="auto"/>
                      <w:sz w:val="21"/>
                      <w:szCs w:val="21"/>
                    </w:rPr>
                    <w:t>液态</w:t>
                  </w:r>
                </w:p>
              </w:tc>
              <w:tc>
                <w:tcPr>
                  <w:tcW w:w="1056" w:type="dxa"/>
                  <w:vAlign w:val="center"/>
                </w:tcPr>
                <w:p>
                  <w:pPr>
                    <w:jc w:val="center"/>
                    <w:rPr>
                      <w:bCs/>
                      <w:color w:val="auto"/>
                      <w:sz w:val="21"/>
                      <w:szCs w:val="21"/>
                    </w:rPr>
                  </w:pPr>
                  <w:r>
                    <w:rPr>
                      <w:bCs/>
                      <w:color w:val="auto"/>
                      <w:sz w:val="21"/>
                      <w:szCs w:val="21"/>
                    </w:rPr>
                    <w:t>固态</w:t>
                  </w:r>
                </w:p>
              </w:tc>
              <w:tc>
                <w:tcPr>
                  <w:tcW w:w="1056" w:type="dxa"/>
                  <w:vAlign w:val="center"/>
                </w:tcPr>
                <w:p>
                  <w:pPr>
                    <w:jc w:val="center"/>
                    <w:rPr>
                      <w:bCs/>
                      <w:color w:val="auto"/>
                      <w:sz w:val="21"/>
                      <w:szCs w:val="21"/>
                    </w:rPr>
                  </w:pPr>
                  <w:r>
                    <w:rPr>
                      <w:bCs/>
                      <w:color w:val="auto"/>
                      <w:sz w:val="21"/>
                      <w:szCs w:val="21"/>
                    </w:rPr>
                    <w:t>固态</w:t>
                  </w:r>
                </w:p>
              </w:tc>
              <w:tc>
                <w:tcPr>
                  <w:tcW w:w="1056" w:type="dxa"/>
                  <w:vAlign w:val="center"/>
                </w:tcPr>
                <w:p>
                  <w:pPr>
                    <w:jc w:val="center"/>
                    <w:rPr>
                      <w:bCs/>
                      <w:color w:val="auto"/>
                      <w:sz w:val="21"/>
                      <w:szCs w:val="21"/>
                    </w:rPr>
                  </w:pPr>
                  <w:r>
                    <w:rPr>
                      <w:bCs/>
                      <w:color w:val="auto"/>
                      <w:sz w:val="21"/>
                      <w:szCs w:val="21"/>
                    </w:rPr>
                    <w:t>液态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1" w:type="dxa"/>
                  <w:vAlign w:val="center"/>
                </w:tcPr>
                <w:p>
                  <w:pPr>
                    <w:jc w:val="center"/>
                    <w:rPr>
                      <w:bCs/>
                      <w:color w:val="auto"/>
                      <w:sz w:val="21"/>
                      <w:szCs w:val="21"/>
                    </w:rPr>
                  </w:pPr>
                  <w:r>
                    <w:rPr>
                      <w:bCs/>
                      <w:color w:val="auto"/>
                      <w:sz w:val="21"/>
                      <w:szCs w:val="21"/>
                    </w:rPr>
                    <w:t>环境危险特性</w:t>
                  </w:r>
                </w:p>
              </w:tc>
              <w:tc>
                <w:tcPr>
                  <w:tcW w:w="1020" w:type="dxa"/>
                  <w:vAlign w:val="center"/>
                </w:tcPr>
                <w:p>
                  <w:pPr>
                    <w:jc w:val="center"/>
                    <w:rPr>
                      <w:bCs/>
                      <w:color w:val="auto"/>
                      <w:sz w:val="21"/>
                      <w:szCs w:val="21"/>
                    </w:rPr>
                  </w:pPr>
                  <w:r>
                    <w:rPr>
                      <w:bCs/>
                      <w:color w:val="auto"/>
                      <w:sz w:val="21"/>
                      <w:szCs w:val="21"/>
                    </w:rPr>
                    <w:t>/</w:t>
                  </w:r>
                </w:p>
              </w:tc>
              <w:tc>
                <w:tcPr>
                  <w:tcW w:w="950" w:type="dxa"/>
                  <w:vAlign w:val="center"/>
                </w:tcPr>
                <w:p>
                  <w:pPr>
                    <w:jc w:val="center"/>
                    <w:rPr>
                      <w:bCs/>
                      <w:color w:val="auto"/>
                      <w:sz w:val="21"/>
                      <w:szCs w:val="21"/>
                    </w:rPr>
                  </w:pPr>
                  <w:r>
                    <w:rPr>
                      <w:bCs/>
                      <w:color w:val="auto"/>
                      <w:sz w:val="21"/>
                      <w:szCs w:val="21"/>
                    </w:rPr>
                    <w:t>/</w:t>
                  </w:r>
                </w:p>
              </w:tc>
              <w:tc>
                <w:tcPr>
                  <w:tcW w:w="894" w:type="dxa"/>
                  <w:vAlign w:val="center"/>
                </w:tcPr>
                <w:p>
                  <w:pPr>
                    <w:jc w:val="center"/>
                    <w:rPr>
                      <w:bCs/>
                      <w:color w:val="auto"/>
                      <w:sz w:val="21"/>
                      <w:szCs w:val="21"/>
                    </w:rPr>
                  </w:pPr>
                  <w:r>
                    <w:rPr>
                      <w:bCs/>
                      <w:color w:val="auto"/>
                      <w:sz w:val="21"/>
                      <w:szCs w:val="21"/>
                    </w:rPr>
                    <w:t>/</w:t>
                  </w:r>
                </w:p>
              </w:tc>
              <w:tc>
                <w:tcPr>
                  <w:tcW w:w="1056" w:type="dxa"/>
                  <w:vAlign w:val="center"/>
                </w:tcPr>
                <w:p>
                  <w:pPr>
                    <w:jc w:val="center"/>
                    <w:rPr>
                      <w:bCs/>
                      <w:color w:val="auto"/>
                      <w:sz w:val="21"/>
                      <w:szCs w:val="21"/>
                    </w:rPr>
                  </w:pPr>
                  <w:r>
                    <w:rPr>
                      <w:bCs/>
                      <w:color w:val="auto"/>
                      <w:sz w:val="21"/>
                      <w:szCs w:val="21"/>
                    </w:rPr>
                    <w:t>毒性、易燃性</w:t>
                  </w:r>
                </w:p>
              </w:tc>
              <w:tc>
                <w:tcPr>
                  <w:tcW w:w="1056" w:type="dxa"/>
                  <w:vAlign w:val="center"/>
                </w:tcPr>
                <w:p>
                  <w:pPr>
                    <w:jc w:val="center"/>
                    <w:rPr>
                      <w:bCs/>
                      <w:color w:val="auto"/>
                      <w:sz w:val="21"/>
                      <w:szCs w:val="21"/>
                    </w:rPr>
                  </w:pPr>
                  <w:r>
                    <w:rPr>
                      <w:bCs/>
                      <w:color w:val="auto"/>
                      <w:sz w:val="21"/>
                      <w:szCs w:val="21"/>
                    </w:rPr>
                    <w:t>毒性</w:t>
                  </w:r>
                </w:p>
              </w:tc>
              <w:tc>
                <w:tcPr>
                  <w:tcW w:w="1056" w:type="dxa"/>
                  <w:vAlign w:val="center"/>
                </w:tcPr>
                <w:p>
                  <w:pPr>
                    <w:jc w:val="center"/>
                    <w:rPr>
                      <w:bCs/>
                      <w:color w:val="auto"/>
                      <w:sz w:val="21"/>
                      <w:szCs w:val="21"/>
                    </w:rPr>
                  </w:pPr>
                  <w:r>
                    <w:rPr>
                      <w:bCs/>
                      <w:color w:val="auto"/>
                      <w:sz w:val="21"/>
                      <w:szCs w:val="21"/>
                    </w:rPr>
                    <w:t>毒性</w:t>
                  </w:r>
                </w:p>
              </w:tc>
              <w:tc>
                <w:tcPr>
                  <w:tcW w:w="1056" w:type="dxa"/>
                  <w:vAlign w:val="center"/>
                </w:tcPr>
                <w:p>
                  <w:pPr>
                    <w:jc w:val="center"/>
                    <w:rPr>
                      <w:bCs/>
                      <w:color w:val="auto"/>
                      <w:sz w:val="21"/>
                      <w:szCs w:val="21"/>
                    </w:rPr>
                  </w:pPr>
                  <w:r>
                    <w:rPr>
                      <w:bCs/>
                      <w:color w:val="auto"/>
                      <w:sz w:val="21"/>
                      <w:szCs w:val="21"/>
                    </w:rPr>
                    <w:t>毒性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1" w:type="dxa"/>
                  <w:vAlign w:val="center"/>
                </w:tcPr>
                <w:p>
                  <w:pPr>
                    <w:jc w:val="center"/>
                    <w:rPr>
                      <w:bCs/>
                      <w:color w:val="auto"/>
                      <w:sz w:val="21"/>
                      <w:szCs w:val="21"/>
                    </w:rPr>
                  </w:pPr>
                  <w:r>
                    <w:rPr>
                      <w:bCs/>
                      <w:color w:val="auto"/>
                      <w:sz w:val="21"/>
                      <w:szCs w:val="21"/>
                    </w:rPr>
                    <w:t>年度产生量</w:t>
                  </w:r>
                </w:p>
              </w:tc>
              <w:tc>
                <w:tcPr>
                  <w:tcW w:w="1020" w:type="dxa"/>
                  <w:vAlign w:val="center"/>
                </w:tcPr>
                <w:p>
                  <w:pPr>
                    <w:jc w:val="center"/>
                    <w:rPr>
                      <w:bCs/>
                      <w:color w:val="auto"/>
                      <w:sz w:val="21"/>
                      <w:szCs w:val="21"/>
                    </w:rPr>
                  </w:pPr>
                  <w:r>
                    <w:rPr>
                      <w:rFonts w:hint="eastAsia"/>
                      <w:bCs/>
                      <w:color w:val="auto"/>
                      <w:sz w:val="21"/>
                      <w:szCs w:val="21"/>
                      <w:lang w:val="en-US" w:eastAsia="zh-CN"/>
                    </w:rPr>
                    <w:t>535.5</w:t>
                  </w:r>
                  <w:r>
                    <w:rPr>
                      <w:color w:val="auto"/>
                      <w:sz w:val="21"/>
                      <w:szCs w:val="21"/>
                      <w:lang w:bidi="ar"/>
                    </w:rPr>
                    <w:t>t/a</w:t>
                  </w:r>
                </w:p>
              </w:tc>
              <w:tc>
                <w:tcPr>
                  <w:tcW w:w="950" w:type="dxa"/>
                  <w:vAlign w:val="center"/>
                </w:tcPr>
                <w:p>
                  <w:pPr>
                    <w:jc w:val="center"/>
                    <w:rPr>
                      <w:bCs/>
                      <w:color w:val="auto"/>
                      <w:sz w:val="21"/>
                      <w:szCs w:val="21"/>
                    </w:rPr>
                  </w:pPr>
                  <w:r>
                    <w:rPr>
                      <w:rFonts w:hint="eastAsia"/>
                      <w:bCs/>
                      <w:color w:val="auto"/>
                      <w:sz w:val="21"/>
                      <w:szCs w:val="21"/>
                      <w:lang w:val="en-US" w:eastAsia="zh-CN"/>
                    </w:rPr>
                    <w:t>2250</w:t>
                  </w:r>
                  <w:r>
                    <w:rPr>
                      <w:rFonts w:hint="eastAsia"/>
                      <w:bCs/>
                      <w:color w:val="auto"/>
                      <w:sz w:val="21"/>
                      <w:szCs w:val="21"/>
                    </w:rPr>
                    <w:t>t/a</w:t>
                  </w:r>
                </w:p>
              </w:tc>
              <w:tc>
                <w:tcPr>
                  <w:tcW w:w="894" w:type="dxa"/>
                  <w:vAlign w:val="center"/>
                </w:tcPr>
                <w:p>
                  <w:pPr>
                    <w:jc w:val="center"/>
                    <w:rPr>
                      <w:color w:val="auto"/>
                      <w:sz w:val="21"/>
                      <w:szCs w:val="21"/>
                    </w:rPr>
                  </w:pPr>
                  <w:r>
                    <w:rPr>
                      <w:rFonts w:hint="eastAsia"/>
                      <w:color w:val="auto"/>
                      <w:sz w:val="21"/>
                      <w:szCs w:val="21"/>
                    </w:rPr>
                    <w:t>1.</w:t>
                  </w:r>
                  <w:r>
                    <w:rPr>
                      <w:rFonts w:hint="eastAsia"/>
                      <w:color w:val="auto"/>
                      <w:sz w:val="21"/>
                      <w:szCs w:val="21"/>
                      <w:lang w:val="en-US" w:eastAsia="zh-CN"/>
                    </w:rPr>
                    <w:t>5</w:t>
                  </w:r>
                  <w:r>
                    <w:rPr>
                      <w:color w:val="auto"/>
                      <w:sz w:val="21"/>
                      <w:szCs w:val="21"/>
                    </w:rPr>
                    <w:t>t/a</w:t>
                  </w:r>
                </w:p>
              </w:tc>
              <w:tc>
                <w:tcPr>
                  <w:tcW w:w="1056" w:type="dxa"/>
                  <w:vAlign w:val="center"/>
                </w:tcPr>
                <w:p>
                  <w:pPr>
                    <w:jc w:val="center"/>
                    <w:rPr>
                      <w:color w:val="auto"/>
                      <w:sz w:val="21"/>
                      <w:szCs w:val="21"/>
                    </w:rPr>
                  </w:pPr>
                  <w:r>
                    <w:rPr>
                      <w:rFonts w:hint="eastAsia"/>
                      <w:color w:val="auto"/>
                      <w:sz w:val="21"/>
                      <w:szCs w:val="21"/>
                      <w:lang w:val="en-US" w:eastAsia="zh-CN"/>
                    </w:rPr>
                    <w:t>1.0</w:t>
                  </w:r>
                  <w:r>
                    <w:rPr>
                      <w:color w:val="auto"/>
                      <w:sz w:val="21"/>
                      <w:szCs w:val="21"/>
                    </w:rPr>
                    <w:t>t/a</w:t>
                  </w:r>
                </w:p>
              </w:tc>
              <w:tc>
                <w:tcPr>
                  <w:tcW w:w="1056" w:type="dxa"/>
                  <w:vAlign w:val="center"/>
                </w:tcPr>
                <w:p>
                  <w:pPr>
                    <w:jc w:val="center"/>
                    <w:rPr>
                      <w:bCs/>
                      <w:color w:val="auto"/>
                      <w:sz w:val="21"/>
                      <w:szCs w:val="21"/>
                    </w:rPr>
                  </w:pPr>
                  <w:r>
                    <w:rPr>
                      <w:rFonts w:hint="eastAsia"/>
                      <w:color w:val="auto"/>
                      <w:sz w:val="21"/>
                      <w:szCs w:val="21"/>
                      <w:lang w:val="en-US" w:eastAsia="zh-CN"/>
                    </w:rPr>
                    <w:t>7.5</w:t>
                  </w:r>
                  <w:r>
                    <w:rPr>
                      <w:color w:val="auto"/>
                      <w:sz w:val="21"/>
                      <w:szCs w:val="21"/>
                    </w:rPr>
                    <w:t>t/a</w:t>
                  </w:r>
                </w:p>
              </w:tc>
              <w:tc>
                <w:tcPr>
                  <w:tcW w:w="1056" w:type="dxa"/>
                  <w:vAlign w:val="center"/>
                </w:tcPr>
                <w:p>
                  <w:pPr>
                    <w:jc w:val="center"/>
                    <w:rPr>
                      <w:color w:val="auto"/>
                      <w:sz w:val="21"/>
                      <w:szCs w:val="21"/>
                    </w:rPr>
                  </w:pPr>
                  <w:r>
                    <w:rPr>
                      <w:rFonts w:hint="eastAsia"/>
                      <w:bCs/>
                      <w:color w:val="auto"/>
                      <w:kern w:val="0"/>
                      <w:sz w:val="21"/>
                      <w:szCs w:val="21"/>
                      <w:lang w:val="en-US" w:eastAsia="zh-CN" w:bidi="ar"/>
                    </w:rPr>
                    <w:t>0.15</w:t>
                  </w:r>
                  <w:r>
                    <w:rPr>
                      <w:rFonts w:hint="eastAsia"/>
                      <w:bCs/>
                      <w:color w:val="auto"/>
                      <w:kern w:val="0"/>
                      <w:sz w:val="21"/>
                      <w:szCs w:val="21"/>
                      <w:lang w:bidi="ar"/>
                    </w:rPr>
                    <w:t>t/a</w:t>
                  </w:r>
                </w:p>
              </w:tc>
              <w:tc>
                <w:tcPr>
                  <w:tcW w:w="1056" w:type="dxa"/>
                  <w:vAlign w:val="center"/>
                </w:tcPr>
                <w:p>
                  <w:pPr>
                    <w:jc w:val="center"/>
                    <w:rPr>
                      <w:rFonts w:hint="default" w:eastAsia="宋体"/>
                      <w:bCs/>
                      <w:color w:val="auto"/>
                      <w:kern w:val="0"/>
                      <w:sz w:val="21"/>
                      <w:szCs w:val="21"/>
                      <w:lang w:val="en-US" w:eastAsia="zh-CN" w:bidi="ar"/>
                    </w:rPr>
                  </w:pPr>
                  <w:r>
                    <w:rPr>
                      <w:rFonts w:hint="eastAsia"/>
                      <w:bCs/>
                      <w:color w:val="auto"/>
                      <w:kern w:val="0"/>
                      <w:sz w:val="21"/>
                      <w:szCs w:val="21"/>
                      <w:lang w:val="en-US" w:eastAsia="zh-CN" w:bidi="ar"/>
                    </w:rPr>
                    <w:t>19.2</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001" w:type="dxa"/>
                  <w:vAlign w:val="center"/>
                </w:tcPr>
                <w:p>
                  <w:pPr>
                    <w:jc w:val="center"/>
                    <w:rPr>
                      <w:bCs/>
                      <w:color w:val="auto"/>
                      <w:sz w:val="21"/>
                      <w:szCs w:val="21"/>
                    </w:rPr>
                  </w:pPr>
                  <w:r>
                    <w:rPr>
                      <w:bCs/>
                      <w:color w:val="auto"/>
                      <w:sz w:val="21"/>
                      <w:szCs w:val="21"/>
                    </w:rPr>
                    <w:t>贮存方式</w:t>
                  </w:r>
                </w:p>
              </w:tc>
              <w:tc>
                <w:tcPr>
                  <w:tcW w:w="1020" w:type="dxa"/>
                  <w:vAlign w:val="center"/>
                </w:tcPr>
                <w:p>
                  <w:pPr>
                    <w:pStyle w:val="10"/>
                    <w:jc w:val="center"/>
                    <w:rPr>
                      <w:color w:val="auto"/>
                      <w:sz w:val="21"/>
                      <w:szCs w:val="21"/>
                    </w:rPr>
                  </w:pPr>
                  <w:r>
                    <w:rPr>
                      <w:color w:val="auto"/>
                      <w:sz w:val="21"/>
                      <w:szCs w:val="21"/>
                    </w:rPr>
                    <w:t>一般固废暂存区</w:t>
                  </w:r>
                </w:p>
              </w:tc>
              <w:tc>
                <w:tcPr>
                  <w:tcW w:w="950" w:type="dxa"/>
                  <w:vAlign w:val="center"/>
                </w:tcPr>
                <w:p>
                  <w:pPr>
                    <w:pStyle w:val="10"/>
                    <w:jc w:val="center"/>
                    <w:rPr>
                      <w:color w:val="auto"/>
                      <w:sz w:val="21"/>
                      <w:szCs w:val="21"/>
                    </w:rPr>
                  </w:pPr>
                  <w:r>
                    <w:rPr>
                      <w:color w:val="auto"/>
                      <w:sz w:val="21"/>
                      <w:szCs w:val="21"/>
                    </w:rPr>
                    <w:t>一般固废暂存区</w:t>
                  </w:r>
                </w:p>
              </w:tc>
              <w:tc>
                <w:tcPr>
                  <w:tcW w:w="894" w:type="dxa"/>
                  <w:vAlign w:val="center"/>
                </w:tcPr>
                <w:p>
                  <w:pPr>
                    <w:jc w:val="center"/>
                    <w:rPr>
                      <w:bCs/>
                      <w:color w:val="auto"/>
                      <w:sz w:val="21"/>
                      <w:szCs w:val="21"/>
                    </w:rPr>
                  </w:pPr>
                  <w:r>
                    <w:rPr>
                      <w:bCs/>
                      <w:color w:val="auto"/>
                      <w:sz w:val="21"/>
                      <w:szCs w:val="21"/>
                    </w:rPr>
                    <w:t>垃圾桶</w:t>
                  </w:r>
                </w:p>
              </w:tc>
              <w:tc>
                <w:tcPr>
                  <w:tcW w:w="1056" w:type="dxa"/>
                  <w:vAlign w:val="center"/>
                </w:tcPr>
                <w:p>
                  <w:pPr>
                    <w:jc w:val="center"/>
                    <w:rPr>
                      <w:bCs/>
                      <w:color w:val="auto"/>
                      <w:sz w:val="21"/>
                      <w:szCs w:val="21"/>
                    </w:rPr>
                  </w:pPr>
                  <w:r>
                    <w:rPr>
                      <w:bCs/>
                      <w:color w:val="auto"/>
                      <w:sz w:val="21"/>
                      <w:szCs w:val="21"/>
                    </w:rPr>
                    <w:t>危废暂存间</w:t>
                  </w:r>
                </w:p>
              </w:tc>
              <w:tc>
                <w:tcPr>
                  <w:tcW w:w="1056" w:type="dxa"/>
                  <w:vAlign w:val="center"/>
                </w:tcPr>
                <w:p>
                  <w:pPr>
                    <w:jc w:val="center"/>
                    <w:rPr>
                      <w:bCs/>
                      <w:color w:val="auto"/>
                      <w:sz w:val="21"/>
                      <w:szCs w:val="21"/>
                    </w:rPr>
                  </w:pPr>
                  <w:r>
                    <w:rPr>
                      <w:bCs/>
                      <w:color w:val="auto"/>
                      <w:sz w:val="21"/>
                      <w:szCs w:val="21"/>
                    </w:rPr>
                    <w:t>危废暂存间</w:t>
                  </w:r>
                </w:p>
              </w:tc>
              <w:tc>
                <w:tcPr>
                  <w:tcW w:w="1056" w:type="dxa"/>
                  <w:vAlign w:val="center"/>
                </w:tcPr>
                <w:p>
                  <w:pPr>
                    <w:jc w:val="center"/>
                    <w:rPr>
                      <w:bCs/>
                      <w:color w:val="auto"/>
                      <w:sz w:val="21"/>
                      <w:szCs w:val="21"/>
                    </w:rPr>
                  </w:pPr>
                  <w:r>
                    <w:rPr>
                      <w:bCs/>
                      <w:color w:val="auto"/>
                      <w:sz w:val="21"/>
                      <w:szCs w:val="21"/>
                    </w:rPr>
                    <w:t>危废暂存间</w:t>
                  </w:r>
                </w:p>
              </w:tc>
              <w:tc>
                <w:tcPr>
                  <w:tcW w:w="1056" w:type="dxa"/>
                  <w:vAlign w:val="center"/>
                </w:tcPr>
                <w:p>
                  <w:pPr>
                    <w:jc w:val="center"/>
                    <w:rPr>
                      <w:bCs/>
                      <w:color w:val="auto"/>
                      <w:sz w:val="21"/>
                      <w:szCs w:val="21"/>
                    </w:rPr>
                  </w:pPr>
                  <w:r>
                    <w:rPr>
                      <w:bCs/>
                      <w:color w:val="auto"/>
                      <w:sz w:val="21"/>
                      <w:szCs w:val="21"/>
                    </w:rPr>
                    <w:t>危废暂存间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1" w:type="dxa"/>
                  <w:vAlign w:val="center"/>
                </w:tcPr>
                <w:p>
                  <w:pPr>
                    <w:jc w:val="center"/>
                    <w:rPr>
                      <w:bCs/>
                      <w:color w:val="auto"/>
                      <w:sz w:val="21"/>
                      <w:szCs w:val="21"/>
                    </w:rPr>
                  </w:pPr>
                  <w:r>
                    <w:rPr>
                      <w:bCs/>
                      <w:color w:val="auto"/>
                      <w:sz w:val="21"/>
                      <w:szCs w:val="21"/>
                    </w:rPr>
                    <w:t>利用处置方式和去向</w:t>
                  </w:r>
                </w:p>
              </w:tc>
              <w:tc>
                <w:tcPr>
                  <w:tcW w:w="1020" w:type="dxa"/>
                  <w:vAlign w:val="center"/>
                </w:tcPr>
                <w:p>
                  <w:pPr>
                    <w:jc w:val="center"/>
                    <w:rPr>
                      <w:bCs/>
                      <w:color w:val="auto"/>
                      <w:sz w:val="21"/>
                      <w:szCs w:val="21"/>
                    </w:rPr>
                  </w:pPr>
                  <w:r>
                    <w:rPr>
                      <w:color w:val="auto"/>
                      <w:sz w:val="21"/>
                      <w:szCs w:val="21"/>
                    </w:rPr>
                    <w:t>返回</w:t>
                  </w:r>
                  <w:r>
                    <w:rPr>
                      <w:rFonts w:hint="eastAsia"/>
                      <w:color w:val="auto"/>
                      <w:sz w:val="21"/>
                      <w:szCs w:val="21"/>
                    </w:rPr>
                    <w:t>造粒工序</w:t>
                  </w:r>
                  <w:r>
                    <w:rPr>
                      <w:color w:val="auto"/>
                      <w:sz w:val="21"/>
                      <w:szCs w:val="21"/>
                    </w:rPr>
                    <w:t>作为原料</w:t>
                  </w:r>
                  <w:r>
                    <w:rPr>
                      <w:rFonts w:hint="eastAsia"/>
                      <w:color w:val="auto"/>
                      <w:sz w:val="21"/>
                      <w:szCs w:val="21"/>
                    </w:rPr>
                    <w:t>使用</w:t>
                  </w:r>
                </w:p>
              </w:tc>
              <w:tc>
                <w:tcPr>
                  <w:tcW w:w="950" w:type="dxa"/>
                  <w:vAlign w:val="center"/>
                </w:tcPr>
                <w:p>
                  <w:pPr>
                    <w:jc w:val="center"/>
                    <w:rPr>
                      <w:bCs/>
                      <w:color w:val="auto"/>
                      <w:sz w:val="21"/>
                      <w:szCs w:val="21"/>
                    </w:rPr>
                  </w:pPr>
                  <w:r>
                    <w:rPr>
                      <w:rFonts w:hint="eastAsia"/>
                      <w:bCs/>
                      <w:color w:val="auto"/>
                      <w:sz w:val="21"/>
                      <w:szCs w:val="21"/>
                    </w:rPr>
                    <w:t>外售回收商回收利用</w:t>
                  </w:r>
                </w:p>
              </w:tc>
              <w:tc>
                <w:tcPr>
                  <w:tcW w:w="894" w:type="dxa"/>
                  <w:vAlign w:val="center"/>
                </w:tcPr>
                <w:p>
                  <w:pPr>
                    <w:jc w:val="center"/>
                    <w:rPr>
                      <w:bCs/>
                      <w:color w:val="auto"/>
                      <w:sz w:val="21"/>
                      <w:szCs w:val="21"/>
                    </w:rPr>
                  </w:pPr>
                  <w:r>
                    <w:rPr>
                      <w:bCs/>
                      <w:color w:val="auto"/>
                      <w:sz w:val="21"/>
                      <w:szCs w:val="21"/>
                    </w:rPr>
                    <w:t>环卫部门处置</w:t>
                  </w:r>
                </w:p>
              </w:tc>
              <w:tc>
                <w:tcPr>
                  <w:tcW w:w="1056" w:type="dxa"/>
                  <w:vAlign w:val="center"/>
                </w:tcPr>
                <w:p>
                  <w:pPr>
                    <w:jc w:val="center"/>
                    <w:rPr>
                      <w:bCs/>
                      <w:color w:val="auto"/>
                      <w:sz w:val="21"/>
                      <w:szCs w:val="21"/>
                    </w:rPr>
                  </w:pPr>
                  <w:r>
                    <w:rPr>
                      <w:bCs/>
                      <w:color w:val="auto"/>
                      <w:sz w:val="21"/>
                      <w:szCs w:val="21"/>
                    </w:rPr>
                    <w:t>有危废处置资质的单位处置</w:t>
                  </w:r>
                </w:p>
              </w:tc>
              <w:tc>
                <w:tcPr>
                  <w:tcW w:w="1056" w:type="dxa"/>
                  <w:vAlign w:val="center"/>
                </w:tcPr>
                <w:p>
                  <w:pPr>
                    <w:jc w:val="center"/>
                    <w:rPr>
                      <w:bCs/>
                      <w:color w:val="auto"/>
                      <w:sz w:val="21"/>
                      <w:szCs w:val="21"/>
                    </w:rPr>
                  </w:pPr>
                  <w:r>
                    <w:rPr>
                      <w:bCs/>
                      <w:color w:val="auto"/>
                      <w:sz w:val="21"/>
                      <w:szCs w:val="21"/>
                    </w:rPr>
                    <w:t>有危废处置资质的单位处置</w:t>
                  </w:r>
                </w:p>
              </w:tc>
              <w:tc>
                <w:tcPr>
                  <w:tcW w:w="1056" w:type="dxa"/>
                  <w:vAlign w:val="center"/>
                </w:tcPr>
                <w:p>
                  <w:pPr>
                    <w:jc w:val="center"/>
                    <w:rPr>
                      <w:bCs/>
                      <w:color w:val="auto"/>
                      <w:sz w:val="21"/>
                      <w:szCs w:val="21"/>
                    </w:rPr>
                  </w:pPr>
                  <w:r>
                    <w:rPr>
                      <w:bCs/>
                      <w:color w:val="auto"/>
                      <w:sz w:val="21"/>
                      <w:szCs w:val="21"/>
                    </w:rPr>
                    <w:t>有危废处置资质的单位处置</w:t>
                  </w:r>
                </w:p>
              </w:tc>
              <w:tc>
                <w:tcPr>
                  <w:tcW w:w="1056" w:type="dxa"/>
                  <w:vAlign w:val="center"/>
                </w:tcPr>
                <w:p>
                  <w:pPr>
                    <w:jc w:val="center"/>
                    <w:rPr>
                      <w:bCs/>
                      <w:color w:val="auto"/>
                      <w:sz w:val="21"/>
                      <w:szCs w:val="21"/>
                    </w:rPr>
                  </w:pPr>
                  <w:r>
                    <w:rPr>
                      <w:bCs/>
                      <w:color w:val="auto"/>
                      <w:sz w:val="21"/>
                      <w:szCs w:val="21"/>
                    </w:rPr>
                    <w:t>有危废处置资质的单位处置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1" w:type="dxa"/>
                  <w:vAlign w:val="center"/>
                </w:tcPr>
                <w:p>
                  <w:pPr>
                    <w:jc w:val="center"/>
                    <w:rPr>
                      <w:bCs/>
                      <w:color w:val="auto"/>
                      <w:sz w:val="21"/>
                      <w:szCs w:val="21"/>
                    </w:rPr>
                  </w:pPr>
                  <w:r>
                    <w:rPr>
                      <w:bCs/>
                      <w:color w:val="auto"/>
                      <w:sz w:val="21"/>
                      <w:szCs w:val="21"/>
                    </w:rPr>
                    <w:t>利用或处置量</w:t>
                  </w:r>
                </w:p>
              </w:tc>
              <w:tc>
                <w:tcPr>
                  <w:tcW w:w="1020" w:type="dxa"/>
                  <w:vAlign w:val="center"/>
                </w:tcPr>
                <w:p>
                  <w:pPr>
                    <w:jc w:val="center"/>
                    <w:rPr>
                      <w:bCs/>
                      <w:color w:val="auto"/>
                      <w:sz w:val="21"/>
                      <w:szCs w:val="21"/>
                    </w:rPr>
                  </w:pPr>
                  <w:r>
                    <w:rPr>
                      <w:rFonts w:hint="eastAsia"/>
                      <w:bCs/>
                      <w:color w:val="auto"/>
                      <w:sz w:val="21"/>
                      <w:szCs w:val="21"/>
                      <w:lang w:val="en-US" w:eastAsia="zh-CN"/>
                    </w:rPr>
                    <w:t>535.5</w:t>
                  </w:r>
                  <w:r>
                    <w:rPr>
                      <w:color w:val="auto"/>
                      <w:sz w:val="21"/>
                      <w:szCs w:val="21"/>
                      <w:lang w:bidi="ar"/>
                    </w:rPr>
                    <w:t>t/a</w:t>
                  </w:r>
                </w:p>
              </w:tc>
              <w:tc>
                <w:tcPr>
                  <w:tcW w:w="950" w:type="dxa"/>
                  <w:vAlign w:val="center"/>
                </w:tcPr>
                <w:p>
                  <w:pPr>
                    <w:jc w:val="center"/>
                    <w:rPr>
                      <w:bCs/>
                      <w:color w:val="auto"/>
                      <w:sz w:val="21"/>
                      <w:szCs w:val="21"/>
                    </w:rPr>
                  </w:pPr>
                  <w:r>
                    <w:rPr>
                      <w:rFonts w:hint="eastAsia"/>
                      <w:bCs/>
                      <w:color w:val="auto"/>
                      <w:sz w:val="21"/>
                      <w:szCs w:val="21"/>
                      <w:lang w:val="en-US" w:eastAsia="zh-CN"/>
                    </w:rPr>
                    <w:t>2250</w:t>
                  </w:r>
                  <w:r>
                    <w:rPr>
                      <w:rFonts w:hint="eastAsia"/>
                      <w:bCs/>
                      <w:color w:val="auto"/>
                      <w:sz w:val="21"/>
                      <w:szCs w:val="21"/>
                    </w:rPr>
                    <w:t>t/a</w:t>
                  </w:r>
                </w:p>
              </w:tc>
              <w:tc>
                <w:tcPr>
                  <w:tcW w:w="894" w:type="dxa"/>
                  <w:vAlign w:val="center"/>
                </w:tcPr>
                <w:p>
                  <w:pPr>
                    <w:jc w:val="center"/>
                    <w:rPr>
                      <w:color w:val="auto"/>
                      <w:sz w:val="21"/>
                      <w:szCs w:val="21"/>
                    </w:rPr>
                  </w:pPr>
                  <w:r>
                    <w:rPr>
                      <w:rFonts w:hint="eastAsia"/>
                      <w:color w:val="auto"/>
                      <w:sz w:val="21"/>
                      <w:szCs w:val="21"/>
                    </w:rPr>
                    <w:t>1.</w:t>
                  </w:r>
                  <w:r>
                    <w:rPr>
                      <w:rFonts w:hint="eastAsia"/>
                      <w:color w:val="auto"/>
                      <w:sz w:val="21"/>
                      <w:szCs w:val="21"/>
                      <w:lang w:val="en-US" w:eastAsia="zh-CN"/>
                    </w:rPr>
                    <w:t>5</w:t>
                  </w:r>
                  <w:r>
                    <w:rPr>
                      <w:color w:val="auto"/>
                      <w:sz w:val="21"/>
                      <w:szCs w:val="21"/>
                    </w:rPr>
                    <w:t>t/a</w:t>
                  </w:r>
                </w:p>
              </w:tc>
              <w:tc>
                <w:tcPr>
                  <w:tcW w:w="1056" w:type="dxa"/>
                  <w:vAlign w:val="center"/>
                </w:tcPr>
                <w:p>
                  <w:pPr>
                    <w:jc w:val="center"/>
                    <w:rPr>
                      <w:color w:val="auto"/>
                      <w:sz w:val="21"/>
                      <w:szCs w:val="21"/>
                    </w:rPr>
                  </w:pPr>
                  <w:r>
                    <w:rPr>
                      <w:rFonts w:hint="eastAsia"/>
                      <w:color w:val="auto"/>
                      <w:sz w:val="21"/>
                      <w:szCs w:val="21"/>
                      <w:lang w:val="en-US" w:eastAsia="zh-CN"/>
                    </w:rPr>
                    <w:t>1.0</w:t>
                  </w:r>
                  <w:r>
                    <w:rPr>
                      <w:color w:val="auto"/>
                      <w:sz w:val="21"/>
                      <w:szCs w:val="21"/>
                    </w:rPr>
                    <w:t>t/a</w:t>
                  </w:r>
                </w:p>
              </w:tc>
              <w:tc>
                <w:tcPr>
                  <w:tcW w:w="1056" w:type="dxa"/>
                  <w:vAlign w:val="center"/>
                </w:tcPr>
                <w:p>
                  <w:pPr>
                    <w:jc w:val="center"/>
                    <w:rPr>
                      <w:bCs/>
                      <w:color w:val="auto"/>
                      <w:sz w:val="21"/>
                      <w:szCs w:val="21"/>
                    </w:rPr>
                  </w:pPr>
                  <w:r>
                    <w:rPr>
                      <w:rFonts w:hint="eastAsia"/>
                      <w:color w:val="auto"/>
                      <w:sz w:val="21"/>
                      <w:szCs w:val="21"/>
                      <w:lang w:val="en-US" w:eastAsia="zh-CN"/>
                    </w:rPr>
                    <w:t>7.5</w:t>
                  </w:r>
                  <w:r>
                    <w:rPr>
                      <w:color w:val="auto"/>
                      <w:sz w:val="21"/>
                      <w:szCs w:val="21"/>
                    </w:rPr>
                    <w:t>t/a</w:t>
                  </w:r>
                </w:p>
              </w:tc>
              <w:tc>
                <w:tcPr>
                  <w:tcW w:w="1056" w:type="dxa"/>
                  <w:vAlign w:val="center"/>
                </w:tcPr>
                <w:p>
                  <w:pPr>
                    <w:jc w:val="center"/>
                    <w:rPr>
                      <w:color w:val="auto"/>
                      <w:sz w:val="21"/>
                      <w:szCs w:val="21"/>
                    </w:rPr>
                  </w:pPr>
                  <w:r>
                    <w:rPr>
                      <w:rFonts w:hint="eastAsia"/>
                      <w:bCs/>
                      <w:color w:val="auto"/>
                      <w:kern w:val="0"/>
                      <w:sz w:val="21"/>
                      <w:szCs w:val="21"/>
                      <w:lang w:val="en-US" w:eastAsia="zh-CN" w:bidi="ar"/>
                    </w:rPr>
                    <w:t>0.15</w:t>
                  </w:r>
                  <w:r>
                    <w:rPr>
                      <w:rFonts w:hint="eastAsia"/>
                      <w:bCs/>
                      <w:color w:val="auto"/>
                      <w:kern w:val="0"/>
                      <w:sz w:val="21"/>
                      <w:szCs w:val="21"/>
                      <w:lang w:bidi="ar"/>
                    </w:rPr>
                    <w:t>t/a</w:t>
                  </w:r>
                </w:p>
              </w:tc>
              <w:tc>
                <w:tcPr>
                  <w:tcW w:w="1056" w:type="dxa"/>
                  <w:vAlign w:val="center"/>
                </w:tcPr>
                <w:p>
                  <w:pPr>
                    <w:jc w:val="center"/>
                    <w:rPr>
                      <w:rFonts w:hint="eastAsia"/>
                      <w:bCs/>
                      <w:color w:val="auto"/>
                      <w:kern w:val="0"/>
                      <w:sz w:val="21"/>
                      <w:szCs w:val="21"/>
                      <w:lang w:bidi="ar"/>
                    </w:rPr>
                  </w:pPr>
                  <w:r>
                    <w:rPr>
                      <w:rFonts w:hint="eastAsia"/>
                      <w:bCs/>
                      <w:color w:val="auto"/>
                      <w:kern w:val="0"/>
                      <w:sz w:val="21"/>
                      <w:szCs w:val="21"/>
                      <w:lang w:val="en-US" w:eastAsia="zh-CN" w:bidi="ar"/>
                    </w:rPr>
                    <w:t>19.2</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1" w:type="dxa"/>
                  <w:vAlign w:val="center"/>
                </w:tcPr>
                <w:p>
                  <w:pPr>
                    <w:jc w:val="center"/>
                    <w:rPr>
                      <w:bCs/>
                      <w:color w:val="auto"/>
                      <w:sz w:val="21"/>
                      <w:szCs w:val="21"/>
                    </w:rPr>
                  </w:pPr>
                  <w:r>
                    <w:rPr>
                      <w:bCs/>
                      <w:color w:val="auto"/>
                      <w:sz w:val="21"/>
                      <w:szCs w:val="21"/>
                    </w:rPr>
                    <w:t>环境管理要求</w:t>
                  </w:r>
                </w:p>
              </w:tc>
              <w:tc>
                <w:tcPr>
                  <w:tcW w:w="1020" w:type="dxa"/>
                  <w:vAlign w:val="center"/>
                </w:tcPr>
                <w:p>
                  <w:pPr>
                    <w:jc w:val="center"/>
                    <w:rPr>
                      <w:bCs/>
                      <w:color w:val="auto"/>
                      <w:sz w:val="21"/>
                      <w:szCs w:val="21"/>
                    </w:rPr>
                  </w:pPr>
                  <w:r>
                    <w:rPr>
                      <w:bCs/>
                      <w:color w:val="auto"/>
                      <w:sz w:val="21"/>
                      <w:szCs w:val="21"/>
                    </w:rPr>
                    <w:t>建立台账</w:t>
                  </w:r>
                </w:p>
              </w:tc>
              <w:tc>
                <w:tcPr>
                  <w:tcW w:w="950" w:type="dxa"/>
                  <w:vAlign w:val="center"/>
                </w:tcPr>
                <w:p>
                  <w:pPr>
                    <w:jc w:val="center"/>
                    <w:rPr>
                      <w:bCs/>
                      <w:color w:val="auto"/>
                      <w:sz w:val="21"/>
                      <w:szCs w:val="21"/>
                    </w:rPr>
                  </w:pPr>
                  <w:r>
                    <w:rPr>
                      <w:bCs/>
                      <w:color w:val="auto"/>
                      <w:sz w:val="21"/>
                      <w:szCs w:val="21"/>
                    </w:rPr>
                    <w:t>建立台账</w:t>
                  </w:r>
                </w:p>
              </w:tc>
              <w:tc>
                <w:tcPr>
                  <w:tcW w:w="894" w:type="dxa"/>
                  <w:vAlign w:val="center"/>
                </w:tcPr>
                <w:p>
                  <w:pPr>
                    <w:jc w:val="center"/>
                    <w:rPr>
                      <w:bCs/>
                      <w:color w:val="auto"/>
                      <w:sz w:val="21"/>
                      <w:szCs w:val="21"/>
                    </w:rPr>
                  </w:pPr>
                  <w:r>
                    <w:rPr>
                      <w:bCs/>
                      <w:color w:val="auto"/>
                      <w:sz w:val="21"/>
                      <w:szCs w:val="21"/>
                    </w:rPr>
                    <w:t>/</w:t>
                  </w:r>
                </w:p>
              </w:tc>
              <w:tc>
                <w:tcPr>
                  <w:tcW w:w="4224" w:type="dxa"/>
                  <w:gridSpan w:val="4"/>
                  <w:vAlign w:val="center"/>
                </w:tcPr>
                <w:p>
                  <w:pPr>
                    <w:jc w:val="center"/>
                    <w:rPr>
                      <w:bCs/>
                      <w:color w:val="auto"/>
                      <w:sz w:val="21"/>
                      <w:szCs w:val="21"/>
                    </w:rPr>
                  </w:pPr>
                  <w:r>
                    <w:rPr>
                      <w:bCs/>
                      <w:color w:val="auto"/>
                      <w:sz w:val="21"/>
                      <w:szCs w:val="21"/>
                    </w:rPr>
                    <w:t>危废间暂存，建立台账及危废管理制度</w:t>
                  </w:r>
                </w:p>
              </w:tc>
            </w:tr>
          </w:tbl>
          <w:p>
            <w:pPr>
              <w:pStyle w:val="20"/>
              <w:widowControl w:val="0"/>
              <w:spacing w:before="120" w:beforeLines="50" w:beforeAutospacing="0" w:after="0" w:afterAutospacing="0" w:line="360" w:lineRule="auto"/>
              <w:ind w:firstLine="482" w:firstLineChars="200"/>
              <w:jc w:val="both"/>
              <w:rPr>
                <w:rFonts w:ascii="Times New Roman" w:hAnsi="Times New Roman"/>
                <w:b/>
                <w:color w:val="auto"/>
                <w:sz w:val="24"/>
                <w:szCs w:val="24"/>
              </w:rPr>
            </w:pPr>
            <w:r>
              <w:rPr>
                <w:rFonts w:ascii="Times New Roman" w:hAnsi="Times New Roman"/>
                <w:b/>
                <w:color w:val="auto"/>
                <w:sz w:val="24"/>
                <w:szCs w:val="24"/>
              </w:rPr>
              <w:t>（1）一般工业固废的收集、暂存、处置要求：</w:t>
            </w:r>
          </w:p>
          <w:p>
            <w:pPr>
              <w:pStyle w:val="20"/>
              <w:widowControl w:val="0"/>
              <w:spacing w:before="0" w:beforeAutospacing="0" w:after="0" w:afterAutospacing="0" w:line="360" w:lineRule="auto"/>
              <w:ind w:firstLine="480" w:firstLineChars="200"/>
              <w:jc w:val="both"/>
              <w:rPr>
                <w:rFonts w:ascii="Times New Roman" w:hAnsi="Times New Roman"/>
                <w:color w:val="auto"/>
                <w:sz w:val="24"/>
                <w:szCs w:val="24"/>
              </w:rPr>
            </w:pPr>
            <w:r>
              <w:rPr>
                <w:rFonts w:ascii="Times New Roman" w:hAnsi="Times New Roman"/>
                <w:color w:val="auto"/>
                <w:sz w:val="24"/>
                <w:szCs w:val="24"/>
              </w:rPr>
              <w:t>本次评价要求建设一般工业固废暂存区，</w:t>
            </w:r>
            <w:r>
              <w:rPr>
                <w:rFonts w:hint="eastAsia" w:ascii="Times New Roman" w:hAnsi="Times New Roman"/>
                <w:color w:val="auto"/>
                <w:sz w:val="24"/>
                <w:szCs w:val="24"/>
              </w:rPr>
              <w:t>可</w:t>
            </w:r>
            <w:r>
              <w:rPr>
                <w:rFonts w:ascii="Times New Roman" w:hAnsi="Times New Roman"/>
                <w:color w:val="auto"/>
                <w:sz w:val="24"/>
                <w:szCs w:val="24"/>
              </w:rPr>
              <w:t>利用现有厂房进行建设，占地面积为</w:t>
            </w:r>
            <w:r>
              <w:rPr>
                <w:rFonts w:hint="eastAsia" w:ascii="Times New Roman" w:hAnsi="Times New Roman"/>
                <w:color w:val="auto"/>
                <w:sz w:val="24"/>
                <w:szCs w:val="24"/>
              </w:rPr>
              <w:t>100</w:t>
            </w:r>
            <w:r>
              <w:rPr>
                <w:rFonts w:ascii="Times New Roman" w:hAnsi="Times New Roman"/>
                <w:color w:val="auto"/>
                <w:sz w:val="24"/>
                <w:szCs w:val="24"/>
              </w:rPr>
              <w:t>m</w:t>
            </w:r>
            <w:r>
              <w:rPr>
                <w:rFonts w:ascii="Times New Roman" w:hAnsi="Times New Roman"/>
                <w:color w:val="auto"/>
                <w:sz w:val="24"/>
                <w:szCs w:val="24"/>
                <w:vertAlign w:val="superscript"/>
              </w:rPr>
              <w:t>2</w:t>
            </w:r>
            <w:r>
              <w:rPr>
                <w:rFonts w:ascii="Times New Roman" w:hAnsi="Times New Roman"/>
                <w:color w:val="auto"/>
                <w:sz w:val="24"/>
                <w:szCs w:val="24"/>
              </w:rPr>
              <w:t>。</w:t>
            </w:r>
            <w:bookmarkStart w:id="20" w:name="OLE_LINK12"/>
            <w:r>
              <w:rPr>
                <w:rFonts w:cs="Cambria Math"/>
                <w:color w:val="auto"/>
                <w:sz w:val="24"/>
                <w:szCs w:val="24"/>
              </w:rPr>
              <w:t>①</w:t>
            </w:r>
            <w:r>
              <w:rPr>
                <w:rFonts w:ascii="Times New Roman" w:hAnsi="Times New Roman"/>
                <w:color w:val="auto"/>
                <w:sz w:val="24"/>
                <w:szCs w:val="24"/>
              </w:rPr>
              <w:t>按照《一般工业固体废物贮存和填埋污染控制标准》（GB18599-2020）中的防渗要求进行建设，</w:t>
            </w:r>
            <w:r>
              <w:rPr>
                <w:rFonts w:ascii="Times New Roman" w:hAnsi="Times New Roman"/>
                <w:bCs/>
                <w:color w:val="auto"/>
                <w:sz w:val="24"/>
                <w:szCs w:val="24"/>
              </w:rPr>
              <w:t>第Ⅰ类一般工业固废暂存区需满足：</w:t>
            </w:r>
            <w:r>
              <w:rPr>
                <w:rFonts w:ascii="Times New Roman" w:hAnsi="Times New Roman"/>
                <w:color w:val="auto"/>
                <w:sz w:val="24"/>
                <w:szCs w:val="24"/>
              </w:rPr>
              <w:t>当天然基础层饱和渗透系数不大于1.0×10</w:t>
            </w:r>
            <w:r>
              <w:rPr>
                <w:rFonts w:hint="eastAsia" w:ascii="Times New Roman" w:hAnsi="Times New Roman"/>
                <w:color w:val="auto"/>
                <w:sz w:val="24"/>
                <w:szCs w:val="24"/>
                <w:vertAlign w:val="superscript"/>
                <w:lang w:val="en-US" w:eastAsia="zh-CN"/>
              </w:rPr>
              <w:t>-</w:t>
            </w:r>
            <w:r>
              <w:rPr>
                <w:rFonts w:ascii="Times New Roman" w:hAnsi="Times New Roman"/>
                <w:color w:val="auto"/>
                <w:sz w:val="24"/>
                <w:szCs w:val="24"/>
                <w:vertAlign w:val="superscript"/>
              </w:rPr>
              <w:t>5</w:t>
            </w:r>
            <w:r>
              <w:rPr>
                <w:rFonts w:ascii="Times New Roman" w:hAnsi="Times New Roman"/>
                <w:color w:val="auto"/>
                <w:sz w:val="24"/>
                <w:szCs w:val="24"/>
              </w:rPr>
              <w:t>cm/s，且厚度不小于0.75m时，可采用天然基础层作为防渗衬层；当天然基础层不能满足上述防渗要求时，可采用改性压实粘土类衬层或具有同等以上隔水效力的其他材料防渗衬层，其防渗性能应至少相当于渗透系数为1.0×10</w:t>
            </w:r>
            <w:r>
              <w:rPr>
                <w:rFonts w:hint="eastAsia" w:ascii="Times New Roman" w:hAnsi="Times New Roman"/>
                <w:color w:val="auto"/>
                <w:sz w:val="24"/>
                <w:szCs w:val="24"/>
                <w:vertAlign w:val="superscript"/>
                <w:lang w:val="en-US" w:eastAsia="zh-CN"/>
              </w:rPr>
              <w:t>-</w:t>
            </w:r>
            <w:r>
              <w:rPr>
                <w:rFonts w:ascii="Times New Roman" w:hAnsi="Times New Roman"/>
                <w:color w:val="auto"/>
                <w:sz w:val="24"/>
                <w:szCs w:val="24"/>
                <w:vertAlign w:val="superscript"/>
              </w:rPr>
              <w:t>5</w:t>
            </w:r>
            <w:r>
              <w:rPr>
                <w:rFonts w:ascii="Times New Roman" w:hAnsi="Times New Roman"/>
                <w:color w:val="auto"/>
                <w:sz w:val="24"/>
                <w:szCs w:val="24"/>
              </w:rPr>
              <w:t>cm/s且厚度为0.75m的天然基础层。</w:t>
            </w:r>
            <w:r>
              <w:rPr>
                <w:rFonts w:cs="Cambria Math"/>
                <w:color w:val="auto"/>
                <w:sz w:val="24"/>
                <w:szCs w:val="24"/>
              </w:rPr>
              <w:t>②</w:t>
            </w:r>
            <w:r>
              <w:rPr>
                <w:rFonts w:ascii="Times New Roman" w:hAnsi="Times New Roman"/>
                <w:color w:val="auto"/>
                <w:sz w:val="24"/>
                <w:szCs w:val="24"/>
              </w:rPr>
              <w:t>按《环境保护图形标志</w:t>
            </w:r>
            <w:r>
              <w:rPr>
                <w:rFonts w:hint="eastAsia" w:ascii="Times New Roman" w:hAnsi="Times New Roman"/>
                <w:color w:val="auto"/>
                <w:sz w:val="24"/>
                <w:szCs w:val="24"/>
                <w:lang w:eastAsia="zh-CN"/>
              </w:rPr>
              <w:t>－</w:t>
            </w:r>
            <w:r>
              <w:rPr>
                <w:rFonts w:ascii="Times New Roman" w:hAnsi="Times New Roman"/>
                <w:color w:val="auto"/>
                <w:sz w:val="24"/>
                <w:szCs w:val="24"/>
              </w:rPr>
              <w:t>固体废物贮存（处置）场》（GB15562.2-1995）设立警示标志。</w:t>
            </w:r>
            <w:r>
              <w:rPr>
                <w:rFonts w:cs="Cambria Math"/>
                <w:color w:val="auto"/>
                <w:sz w:val="24"/>
                <w:szCs w:val="24"/>
              </w:rPr>
              <w:t>③</w:t>
            </w:r>
            <w:r>
              <w:rPr>
                <w:rFonts w:ascii="Times New Roman" w:hAnsi="Times New Roman"/>
                <w:color w:val="auto"/>
                <w:sz w:val="24"/>
                <w:szCs w:val="24"/>
              </w:rPr>
              <w:t>按照《一般工业固体废物管理台账制定指南（试行）》（公告2021年第82号）的要求建立一般工业固废管理台账。</w:t>
            </w:r>
            <w:bookmarkEnd w:id="20"/>
          </w:p>
          <w:p>
            <w:pPr>
              <w:pStyle w:val="20"/>
              <w:widowControl w:val="0"/>
              <w:spacing w:before="0" w:beforeAutospacing="0" w:after="0" w:afterAutospacing="0" w:line="360" w:lineRule="auto"/>
              <w:ind w:firstLine="482" w:firstLineChars="200"/>
              <w:jc w:val="both"/>
              <w:rPr>
                <w:rFonts w:ascii="Times New Roman" w:hAnsi="Times New Roman"/>
                <w:b/>
                <w:color w:val="auto"/>
                <w:kern w:val="0"/>
                <w:sz w:val="24"/>
                <w:szCs w:val="24"/>
              </w:rPr>
            </w:pPr>
            <w:r>
              <w:rPr>
                <w:rFonts w:ascii="Times New Roman" w:hAnsi="Times New Roman"/>
                <w:b/>
                <w:color w:val="auto"/>
                <w:sz w:val="24"/>
                <w:szCs w:val="24"/>
              </w:rPr>
              <w:t>（2）危险废物的收集、暂存、处置要求：</w:t>
            </w:r>
          </w:p>
          <w:p>
            <w:pPr>
              <w:pStyle w:val="80"/>
              <w:widowControl w:val="0"/>
              <w:spacing w:line="360" w:lineRule="auto"/>
              <w:ind w:firstLine="480" w:firstLineChars="200"/>
              <w:rPr>
                <w:color w:val="auto"/>
                <w:sz w:val="24"/>
                <w:szCs w:val="24"/>
              </w:rPr>
            </w:pPr>
            <w:r>
              <w:rPr>
                <w:color w:val="auto"/>
                <w:sz w:val="24"/>
                <w:szCs w:val="24"/>
              </w:rPr>
              <w:t>本次评价要求</w:t>
            </w:r>
            <w:r>
              <w:rPr>
                <w:color w:val="auto"/>
                <w:sz w:val="24"/>
                <w:szCs w:val="24"/>
                <w:lang w:bidi="ar"/>
              </w:rPr>
              <w:t>建设单位</w:t>
            </w:r>
            <w:r>
              <w:rPr>
                <w:color w:val="auto"/>
                <w:sz w:val="24"/>
                <w:szCs w:val="24"/>
              </w:rPr>
              <w:t>建设1间危废暂存间，</w:t>
            </w:r>
            <w:r>
              <w:rPr>
                <w:rFonts w:hint="eastAsia"/>
                <w:color w:val="auto"/>
                <w:sz w:val="24"/>
                <w:szCs w:val="24"/>
              </w:rPr>
              <w:t>可</w:t>
            </w:r>
            <w:r>
              <w:rPr>
                <w:color w:val="auto"/>
                <w:sz w:val="24"/>
                <w:szCs w:val="24"/>
              </w:rPr>
              <w:t>利用厂区现有构筑物进行建设，占地面积为5m</w:t>
            </w:r>
            <w:r>
              <w:rPr>
                <w:color w:val="auto"/>
                <w:sz w:val="24"/>
                <w:szCs w:val="24"/>
                <w:vertAlign w:val="superscript"/>
              </w:rPr>
              <w:t>2</w:t>
            </w:r>
            <w:r>
              <w:rPr>
                <w:color w:val="auto"/>
                <w:sz w:val="24"/>
                <w:szCs w:val="24"/>
              </w:rPr>
              <w:t>。危废暂存间应按照《危险废物贮存污染物控制标准》（GB18597-2023）要求规范建设，</w:t>
            </w:r>
            <w:r>
              <w:rPr>
                <w:color w:val="auto"/>
                <w:sz w:val="24"/>
                <w:szCs w:val="24"/>
                <w:lang w:bidi="ar"/>
              </w:rPr>
              <w:t>对危险废物进行分类收集，不同类别危废需分区堆存于危废暂存间内，</w:t>
            </w:r>
            <w:r>
              <w:rPr>
                <w:color w:val="auto"/>
                <w:sz w:val="24"/>
                <w:szCs w:val="24"/>
              </w:rPr>
              <w:t>定期委托有资质单位进行清运处理。</w:t>
            </w:r>
          </w:p>
          <w:p>
            <w:pPr>
              <w:pStyle w:val="20"/>
              <w:widowControl w:val="0"/>
              <w:spacing w:before="0" w:beforeAutospacing="0" w:after="0" w:afterAutospacing="0" w:line="360" w:lineRule="auto"/>
              <w:ind w:firstLine="480" w:firstLineChars="200"/>
              <w:jc w:val="both"/>
              <w:rPr>
                <w:rFonts w:ascii="Times New Roman" w:hAnsi="Times New Roman"/>
                <w:color w:val="auto"/>
                <w:sz w:val="24"/>
                <w:szCs w:val="24"/>
              </w:rPr>
            </w:pPr>
            <w:r>
              <w:rPr>
                <w:rFonts w:cs="Cambria Math"/>
                <w:color w:val="auto"/>
                <w:sz w:val="24"/>
                <w:szCs w:val="24"/>
              </w:rPr>
              <w:t>①</w:t>
            </w:r>
            <w:r>
              <w:rPr>
                <w:rFonts w:ascii="Times New Roman" w:hAnsi="Times New Roman"/>
                <w:color w:val="auto"/>
                <w:sz w:val="24"/>
                <w:szCs w:val="24"/>
              </w:rPr>
              <w:t>应建造专用的危险废物贮存设施，也可利用厂房构筑物改建成危险废物贮存设施。要防风、防雨、防晒、防腐、防渗、防漏，不允许有其他杂物；要上锁防盗，防止无关人员进入。仓库内要有安全照明设施和观察窗口。</w:t>
            </w:r>
          </w:p>
          <w:p>
            <w:pPr>
              <w:autoSpaceDE w:val="0"/>
              <w:autoSpaceDN w:val="0"/>
              <w:adjustRightInd w:val="0"/>
              <w:snapToGrid w:val="0"/>
              <w:spacing w:line="360" w:lineRule="auto"/>
              <w:ind w:firstLine="480" w:firstLineChars="200"/>
              <w:rPr>
                <w:color w:val="auto"/>
                <w:sz w:val="24"/>
                <w:szCs w:val="24"/>
              </w:rPr>
            </w:pPr>
            <w:r>
              <w:rPr>
                <w:rFonts w:ascii="宋体" w:hAnsi="宋体" w:cs="Cambria Math"/>
                <w:color w:val="auto"/>
                <w:sz w:val="24"/>
                <w:szCs w:val="24"/>
              </w:rPr>
              <w:t>②</w:t>
            </w:r>
            <w:r>
              <w:rPr>
                <w:color w:val="auto"/>
                <w:sz w:val="24"/>
                <w:szCs w:val="24"/>
              </w:rPr>
              <w:t>贮存设施应根据危险废物的类别、数量、形态、物理化学性质和污染防治等要求设置必要的贮存分区，避免不相容的危险废物接触、混合。</w:t>
            </w:r>
          </w:p>
          <w:p>
            <w:pPr>
              <w:autoSpaceDE w:val="0"/>
              <w:autoSpaceDN w:val="0"/>
              <w:adjustRightInd w:val="0"/>
              <w:snapToGrid w:val="0"/>
              <w:spacing w:line="360" w:lineRule="auto"/>
              <w:ind w:firstLine="480" w:firstLineChars="200"/>
              <w:rPr>
                <w:color w:val="auto"/>
                <w:sz w:val="24"/>
                <w:szCs w:val="24"/>
              </w:rPr>
            </w:pPr>
            <w:r>
              <w:rPr>
                <w:rFonts w:ascii="宋体" w:hAnsi="宋体" w:cs="Cambria Math"/>
                <w:color w:val="auto"/>
                <w:sz w:val="24"/>
                <w:szCs w:val="24"/>
              </w:rPr>
              <w:t>③</w:t>
            </w:r>
            <w:r>
              <w:rPr>
                <w:color w:val="auto"/>
                <w:sz w:val="24"/>
                <w:szCs w:val="24"/>
              </w:rPr>
              <w:t>贮存设施或贮存分区内地面、墙面裙脚、堵截泄漏的围堰、接触危险废物的隔板和墙体等应采用坚固的材料建造，表面无裂缝。</w:t>
            </w:r>
          </w:p>
          <w:p>
            <w:pPr>
              <w:autoSpaceDE w:val="0"/>
              <w:autoSpaceDN w:val="0"/>
              <w:adjustRightInd w:val="0"/>
              <w:snapToGrid w:val="0"/>
              <w:spacing w:line="360" w:lineRule="auto"/>
              <w:ind w:firstLine="480" w:firstLineChars="200"/>
              <w:rPr>
                <w:color w:val="auto"/>
                <w:sz w:val="24"/>
                <w:szCs w:val="24"/>
              </w:rPr>
            </w:pPr>
            <w:r>
              <w:rPr>
                <w:rFonts w:ascii="宋体" w:hAnsi="宋体" w:cs="Cambria Math"/>
                <w:color w:val="auto"/>
                <w:sz w:val="24"/>
                <w:szCs w:val="24"/>
              </w:rPr>
              <w:t>④</w:t>
            </w:r>
            <w:r>
              <w:rPr>
                <w:color w:val="auto"/>
                <w:sz w:val="24"/>
                <w:szCs w:val="24"/>
              </w:rPr>
              <w:t>贮存设施地面与裙脚应采取表面防渗措施；表面防渗材料应与所接触的物料或污染物相容，可采用抗渗混凝土、高密度聚乙烯膜、钠基膨润土防水毯或其他防渗性能等效的材料。若贮存的危险废物直接接触地面的，还应进行基础防渗，防渗层为至少1m厚黏土层（渗透系数不大于10</w:t>
            </w:r>
            <w:r>
              <w:rPr>
                <w:rFonts w:hint="eastAsia" w:ascii="Times New Roman" w:hAnsi="Times New Roman"/>
                <w:color w:val="auto"/>
                <w:sz w:val="24"/>
                <w:szCs w:val="24"/>
                <w:vertAlign w:val="superscript"/>
                <w:lang w:val="en-US" w:eastAsia="zh-CN"/>
              </w:rPr>
              <w:t>-</w:t>
            </w:r>
            <w:r>
              <w:rPr>
                <w:color w:val="auto"/>
                <w:sz w:val="24"/>
                <w:szCs w:val="24"/>
                <w:vertAlign w:val="superscript"/>
              </w:rPr>
              <w:t>7</w:t>
            </w:r>
            <w:r>
              <w:rPr>
                <w:color w:val="auto"/>
                <w:sz w:val="24"/>
                <w:szCs w:val="24"/>
              </w:rPr>
              <w:t>cm/s），或至少2mm厚高密度聚乙烯膜等人工防渗材料（渗透系数不大于10</w:t>
            </w:r>
            <w:r>
              <w:rPr>
                <w:rFonts w:hint="eastAsia" w:ascii="Times New Roman" w:hAnsi="Times New Roman"/>
                <w:color w:val="auto"/>
                <w:sz w:val="24"/>
                <w:szCs w:val="24"/>
                <w:vertAlign w:val="superscript"/>
                <w:lang w:val="en-US" w:eastAsia="zh-CN"/>
              </w:rPr>
              <w:t>-</w:t>
            </w:r>
            <w:r>
              <w:rPr>
                <w:color w:val="auto"/>
                <w:sz w:val="24"/>
                <w:szCs w:val="24"/>
                <w:vertAlign w:val="superscript"/>
              </w:rPr>
              <w:t>10</w:t>
            </w:r>
            <w:r>
              <w:rPr>
                <w:color w:val="auto"/>
                <w:sz w:val="24"/>
                <w:szCs w:val="24"/>
              </w:rPr>
              <w:t>cm/s），或其他防渗性能等效的材料。</w:t>
            </w:r>
          </w:p>
          <w:p>
            <w:pPr>
              <w:pStyle w:val="80"/>
              <w:widowControl w:val="0"/>
              <w:spacing w:line="360" w:lineRule="auto"/>
              <w:ind w:firstLine="480" w:firstLineChars="200"/>
              <w:rPr>
                <w:color w:val="auto"/>
                <w:sz w:val="24"/>
                <w:szCs w:val="24"/>
              </w:rPr>
            </w:pPr>
            <w:r>
              <w:rPr>
                <w:rFonts w:ascii="宋体" w:hAnsi="宋体"/>
                <w:color w:val="auto"/>
                <w:sz w:val="24"/>
                <w:szCs w:val="24"/>
              </w:rPr>
              <w:t>⑤</w:t>
            </w:r>
            <w:r>
              <w:rPr>
                <w:color w:val="auto"/>
                <w:sz w:val="24"/>
                <w:szCs w:val="24"/>
              </w:rPr>
              <w:t>同一贮存设施宜采用相同的防渗、防腐工艺（包括防渗、防腐结构或材料），防渗、防腐材料应覆盖所有可能与废物及其渗滤液、渗漏液等接触的构筑物表面；采用不同防渗、防腐工艺应分别建设贮存分区。</w:t>
            </w:r>
          </w:p>
          <w:p>
            <w:pPr>
              <w:autoSpaceDE w:val="0"/>
              <w:autoSpaceDN w:val="0"/>
              <w:adjustRightInd w:val="0"/>
              <w:snapToGrid w:val="0"/>
              <w:spacing w:line="360" w:lineRule="auto"/>
              <w:ind w:firstLine="480" w:firstLineChars="200"/>
              <w:rPr>
                <w:color w:val="auto"/>
                <w:sz w:val="24"/>
                <w:szCs w:val="24"/>
              </w:rPr>
            </w:pPr>
            <w:r>
              <w:rPr>
                <w:rFonts w:ascii="宋体" w:hAnsi="宋体"/>
                <w:color w:val="auto"/>
                <w:sz w:val="24"/>
                <w:szCs w:val="24"/>
              </w:rPr>
              <w:t>⑥</w:t>
            </w:r>
            <w:r>
              <w:rPr>
                <w:color w:val="auto"/>
                <w:sz w:val="24"/>
                <w:szCs w:val="24"/>
              </w:rPr>
              <w:t>贮存库内不同贮存分区之间应采取隔离措施。隔离措施可根据危险废物特性采用过道、隔板或隔墙等方式。</w:t>
            </w:r>
          </w:p>
          <w:p>
            <w:pPr>
              <w:autoSpaceDE w:val="0"/>
              <w:autoSpaceDN w:val="0"/>
              <w:adjustRightInd w:val="0"/>
              <w:snapToGrid w:val="0"/>
              <w:spacing w:line="360" w:lineRule="auto"/>
              <w:ind w:firstLine="480" w:firstLineChars="200"/>
              <w:rPr>
                <w:color w:val="auto"/>
                <w:sz w:val="24"/>
                <w:szCs w:val="24"/>
              </w:rPr>
            </w:pPr>
            <w:r>
              <w:rPr>
                <w:rFonts w:ascii="宋体" w:hAnsi="宋体"/>
                <w:color w:val="auto"/>
                <w:sz w:val="24"/>
                <w:szCs w:val="24"/>
              </w:rPr>
              <w:t>⑦</w:t>
            </w:r>
            <w:r>
              <w:rPr>
                <w:color w:val="auto"/>
                <w:sz w:val="24"/>
                <w:szCs w:val="24"/>
              </w:rPr>
              <w:t>在贮存库内或通过贮存分区方式贮存液态危险废物的，应具有液体泄漏堵截设施，如防渗漏托盘，堵截设施最小容积不应低于对应贮存区域最大液态废物容器容积或液态废物总储量1/10（二者取较大者）；用于贮存可能产生渗滤液的危险废物的贮存库或贮存分区应设计渗滤液收集设施，收集设施容积应满足渗滤液的收集要求。</w:t>
            </w:r>
          </w:p>
          <w:p>
            <w:pPr>
              <w:pStyle w:val="80"/>
              <w:widowControl w:val="0"/>
              <w:spacing w:line="360" w:lineRule="auto"/>
              <w:ind w:firstLine="480" w:firstLineChars="200"/>
              <w:rPr>
                <w:color w:val="auto"/>
                <w:sz w:val="24"/>
                <w:szCs w:val="24"/>
              </w:rPr>
            </w:pPr>
            <w:r>
              <w:rPr>
                <w:rFonts w:ascii="宋体" w:hAnsi="宋体"/>
                <w:color w:val="auto"/>
                <w:sz w:val="24"/>
                <w:szCs w:val="24"/>
              </w:rPr>
              <w:t>⑧</w:t>
            </w:r>
            <w:bookmarkStart w:id="21" w:name="OLE_LINK13"/>
            <w:r>
              <w:rPr>
                <w:color w:val="auto"/>
                <w:sz w:val="24"/>
                <w:szCs w:val="24"/>
              </w:rPr>
              <w:t>危废暂存间、危废收集容器和包装物按照《危险废物识别标志设置技术规范》（</w:t>
            </w:r>
            <w:r>
              <w:rPr>
                <w:color w:val="auto"/>
                <w:sz w:val="24"/>
                <w:szCs w:val="24"/>
                <w:shd w:val="clear" w:color="auto" w:fill="FFFFFF"/>
              </w:rPr>
              <w:t>HJ1276-2022）</w:t>
            </w:r>
            <w:r>
              <w:rPr>
                <w:color w:val="auto"/>
                <w:sz w:val="24"/>
                <w:szCs w:val="24"/>
              </w:rPr>
              <w:t>要求设置危险废物贮存设施或场所标志、危险废物贮存分区标志和危险废物标签等危险废物识别标志</w:t>
            </w:r>
            <w:bookmarkEnd w:id="21"/>
            <w:r>
              <w:rPr>
                <w:color w:val="auto"/>
                <w:sz w:val="24"/>
                <w:szCs w:val="24"/>
              </w:rPr>
              <w:t>。</w:t>
            </w:r>
          </w:p>
          <w:p>
            <w:pPr>
              <w:pStyle w:val="20"/>
              <w:widowControl w:val="0"/>
              <w:spacing w:before="0" w:beforeAutospacing="0" w:after="0" w:afterAutospacing="0" w:line="360" w:lineRule="auto"/>
              <w:ind w:firstLine="480" w:firstLineChars="200"/>
              <w:jc w:val="both"/>
              <w:rPr>
                <w:rFonts w:ascii="Times New Roman" w:hAnsi="Times New Roman"/>
                <w:color w:val="auto"/>
                <w:sz w:val="24"/>
                <w:szCs w:val="24"/>
              </w:rPr>
            </w:pPr>
            <w:r>
              <w:rPr>
                <w:color w:val="auto"/>
                <w:sz w:val="24"/>
                <w:szCs w:val="24"/>
              </w:rPr>
              <w:t>⑨</w:t>
            </w:r>
            <w:r>
              <w:rPr>
                <w:rFonts w:ascii="Times New Roman" w:hAnsi="Times New Roman"/>
                <w:color w:val="auto"/>
                <w:sz w:val="24"/>
                <w:szCs w:val="24"/>
              </w:rPr>
              <w:t>容器和包装物材质、内衬应与盛装的危险废物相容。在常温常压下不易水解、不易挥发的固态危险废物可分类堆放贮存，其他固态危险废物应装入容器或包装物内贮存；液态危险废物应装入容器内贮存，或直接采用贮存池、贮存罐区贮存；半固态危险废物应装入容器或包装袋内贮存，或直接采用贮存池贮存。</w:t>
            </w:r>
          </w:p>
          <w:p>
            <w:pPr>
              <w:pStyle w:val="80"/>
              <w:widowControl w:val="0"/>
              <w:spacing w:line="360" w:lineRule="auto"/>
              <w:ind w:firstLine="480" w:firstLineChars="200"/>
              <w:rPr>
                <w:color w:val="auto"/>
                <w:sz w:val="24"/>
                <w:szCs w:val="24"/>
              </w:rPr>
            </w:pPr>
            <w:r>
              <w:rPr>
                <w:rFonts w:ascii="宋体" w:hAnsi="宋体" w:cs="Cambria Math"/>
                <w:color w:val="auto"/>
                <w:sz w:val="24"/>
                <w:szCs w:val="24"/>
              </w:rPr>
              <w:t>⑩</w:t>
            </w:r>
            <w:r>
              <w:rPr>
                <w:color w:val="auto"/>
                <w:sz w:val="24"/>
                <w:szCs w:val="24"/>
              </w:rPr>
              <w:t>危险废物转移</w:t>
            </w:r>
            <w:r>
              <w:rPr>
                <w:rFonts w:hint="eastAsia"/>
                <w:color w:val="auto"/>
                <w:sz w:val="24"/>
                <w:szCs w:val="24"/>
                <w:lang w:eastAsia="zh-CN"/>
              </w:rPr>
              <w:t>须</w:t>
            </w:r>
            <w:r>
              <w:rPr>
                <w:color w:val="auto"/>
                <w:sz w:val="24"/>
                <w:szCs w:val="24"/>
              </w:rPr>
              <w:t>严格执行《危险废物转移管理办法》（部令第23号）的相关规定。转移危险废物的，应当通过国家危险废物信息管理系统填写、运行危险废物电子转移联单，并依照国家有关规定公开危险废物转移相关污染环境防治信息。危险废物移出人应对承运人或者接受人的主体资格和技术能力进行核实，依法签订书面合同，并在合同中约定运输、贮存、利用、处置危险废物的污染防治要求及相关责任；制定危险废物管理计划，明确拟转移危险废物的种类、重量（数量）和流向等信息；参照《危险废物管理计划和管理台账制定技术导则》（HJ 1259-2022）制定危险废物管理计划和管理台账，对转移的危险废物进行计量称重，如实记录、妥善保管转移危险废物的种类、重量（数量）和接受人等相关信息。危废台账和货单在危险废物回取后应继续保留五年。</w:t>
            </w:r>
          </w:p>
          <w:p>
            <w:pPr>
              <w:pStyle w:val="20"/>
              <w:widowControl w:val="0"/>
              <w:spacing w:before="0" w:beforeAutospacing="0" w:after="0" w:afterAutospacing="0" w:line="360" w:lineRule="auto"/>
              <w:ind w:firstLine="482" w:firstLineChars="200"/>
              <w:jc w:val="both"/>
              <w:rPr>
                <w:rFonts w:ascii="Times New Roman" w:hAnsi="Times New Roman"/>
                <w:color w:val="auto"/>
                <w:sz w:val="24"/>
                <w:szCs w:val="24"/>
              </w:rPr>
            </w:pPr>
            <w:r>
              <w:rPr>
                <w:rFonts w:ascii="Times New Roman" w:hAnsi="Times New Roman"/>
                <w:b/>
                <w:color w:val="auto"/>
                <w:sz w:val="24"/>
                <w:szCs w:val="24"/>
              </w:rPr>
              <w:t>5、地下水</w:t>
            </w:r>
          </w:p>
          <w:p>
            <w:pPr>
              <w:pStyle w:val="80"/>
              <w:widowControl w:val="0"/>
              <w:spacing w:line="360" w:lineRule="auto"/>
              <w:ind w:firstLine="480" w:firstLineChars="200"/>
              <w:rPr>
                <w:color w:val="auto"/>
                <w:sz w:val="24"/>
                <w:szCs w:val="24"/>
              </w:rPr>
            </w:pPr>
            <w:r>
              <w:rPr>
                <w:color w:val="auto"/>
                <w:sz w:val="24"/>
                <w:szCs w:val="24"/>
              </w:rPr>
              <w:t>本项目属于</w:t>
            </w:r>
            <w:r>
              <w:rPr>
                <w:rFonts w:hint="eastAsia"/>
                <w:color w:val="auto"/>
                <w:sz w:val="24"/>
                <w:szCs w:val="24"/>
              </w:rPr>
              <w:t>造纸产业废渣废料资源化利用项目</w:t>
            </w:r>
            <w:r>
              <w:rPr>
                <w:color w:val="auto"/>
                <w:sz w:val="24"/>
                <w:szCs w:val="24"/>
              </w:rPr>
              <w:t>，根据《环境影响评价技术导则 地下水环境》（HJ 610-2016）附录A“地下水环境影响评价行业分类表”，项目属于类别为Ⅳ项目，不开展地下水环境影响评价。</w:t>
            </w:r>
          </w:p>
          <w:p>
            <w:pPr>
              <w:pStyle w:val="20"/>
              <w:widowControl w:val="0"/>
              <w:spacing w:before="0" w:beforeAutospacing="0" w:after="0" w:afterAutospacing="0" w:line="360" w:lineRule="auto"/>
              <w:ind w:firstLine="480" w:firstLineChars="200"/>
              <w:jc w:val="both"/>
              <w:rPr>
                <w:rFonts w:ascii="Times New Roman" w:hAnsi="Times New Roman"/>
                <w:color w:val="auto"/>
                <w:sz w:val="24"/>
                <w:szCs w:val="24"/>
              </w:rPr>
            </w:pPr>
            <w:r>
              <w:rPr>
                <w:rFonts w:ascii="Times New Roman" w:hAnsi="Times New Roman"/>
                <w:color w:val="auto"/>
                <w:sz w:val="24"/>
                <w:szCs w:val="24"/>
              </w:rPr>
              <w:t>项目区地下水主要靠大气降水补给，危废暂存间等在未作防渗处理、发生泄漏的情况下，可能对区域地下水造成影响。为防止对地下水造成污染，本次评价要求危废暂存间采取进一步的防渗措施。具体如下：贮存设施地面与裙脚采取表面防渗措施，表面防渗材料应与所接触的物料或污染物相容，可采用抗渗混凝土、高密度聚乙烯膜、钠基膨润土防水毯或其他防渗性能等效的材料；设置专用危废桶收集废润滑油等危废，设置防渗漏托盘。</w:t>
            </w:r>
          </w:p>
          <w:p>
            <w:pPr>
              <w:pStyle w:val="20"/>
              <w:widowControl w:val="0"/>
              <w:spacing w:before="0" w:beforeAutospacing="0" w:after="0" w:afterAutospacing="0" w:line="360" w:lineRule="auto"/>
              <w:ind w:firstLine="480" w:firstLineChars="200"/>
              <w:jc w:val="both"/>
              <w:rPr>
                <w:rFonts w:ascii="Times New Roman" w:hAnsi="Times New Roman"/>
                <w:color w:val="auto"/>
                <w:sz w:val="24"/>
                <w:szCs w:val="24"/>
              </w:rPr>
            </w:pPr>
            <w:r>
              <w:rPr>
                <w:rFonts w:ascii="Times New Roman" w:hAnsi="Times New Roman"/>
                <w:color w:val="auto"/>
                <w:sz w:val="24"/>
                <w:szCs w:val="24"/>
              </w:rPr>
              <w:t>通过上述措施，可大大减少污染物进入地下水的可能性。</w:t>
            </w:r>
          </w:p>
          <w:p>
            <w:pPr>
              <w:snapToGrid w:val="0"/>
              <w:spacing w:line="360" w:lineRule="auto"/>
              <w:ind w:firstLine="482"/>
              <w:rPr>
                <w:b/>
                <w:color w:val="auto"/>
                <w:sz w:val="24"/>
                <w:szCs w:val="24"/>
              </w:rPr>
            </w:pPr>
            <w:r>
              <w:rPr>
                <w:b/>
                <w:color w:val="auto"/>
                <w:sz w:val="24"/>
                <w:szCs w:val="24"/>
              </w:rPr>
              <w:t>6、土壤</w:t>
            </w:r>
          </w:p>
          <w:p>
            <w:pPr>
              <w:snapToGrid w:val="0"/>
              <w:spacing w:line="360" w:lineRule="auto"/>
              <w:ind w:firstLine="482"/>
              <w:rPr>
                <w:color w:val="auto"/>
                <w:sz w:val="24"/>
                <w:szCs w:val="24"/>
              </w:rPr>
            </w:pPr>
            <w:r>
              <w:rPr>
                <w:color w:val="auto"/>
                <w:sz w:val="24"/>
                <w:szCs w:val="24"/>
              </w:rPr>
              <w:t>本项目属于</w:t>
            </w:r>
            <w:r>
              <w:rPr>
                <w:rFonts w:hint="eastAsia"/>
                <w:color w:val="auto"/>
                <w:sz w:val="24"/>
                <w:szCs w:val="24"/>
              </w:rPr>
              <w:t>造纸产业废渣废料资源化利用项目</w:t>
            </w:r>
            <w:r>
              <w:rPr>
                <w:color w:val="auto"/>
                <w:sz w:val="24"/>
                <w:szCs w:val="24"/>
              </w:rPr>
              <w:t>，根据《环境影响评价技术导则</w:t>
            </w:r>
            <w:r>
              <w:rPr>
                <w:rFonts w:hint="eastAsia"/>
                <w:color w:val="auto"/>
                <w:sz w:val="24"/>
                <w:szCs w:val="24"/>
                <w:lang w:eastAsia="zh-CN"/>
              </w:rPr>
              <w:t>－</w:t>
            </w:r>
            <w:r>
              <w:rPr>
                <w:color w:val="auto"/>
                <w:sz w:val="24"/>
                <w:szCs w:val="24"/>
              </w:rPr>
              <w:t>土壤环境》（HJ964-2018）附录A“土壤环境影响评价项目类别”，项目属于“其他行业”，项目类别为Ⅳ项目，不开展土壤环境影响评价工作。</w:t>
            </w:r>
          </w:p>
          <w:p>
            <w:pPr>
              <w:pStyle w:val="20"/>
              <w:widowControl w:val="0"/>
              <w:spacing w:before="0" w:beforeAutospacing="0" w:after="0" w:afterAutospacing="0" w:line="360" w:lineRule="auto"/>
              <w:ind w:firstLine="482" w:firstLineChars="200"/>
              <w:jc w:val="both"/>
              <w:rPr>
                <w:rFonts w:ascii="Times New Roman" w:hAnsi="Times New Roman"/>
                <w:b/>
                <w:color w:val="auto"/>
                <w:sz w:val="24"/>
                <w:szCs w:val="24"/>
              </w:rPr>
            </w:pPr>
            <w:r>
              <w:rPr>
                <w:rFonts w:ascii="Times New Roman" w:hAnsi="Times New Roman"/>
                <w:b/>
                <w:color w:val="auto"/>
                <w:sz w:val="24"/>
                <w:szCs w:val="24"/>
              </w:rPr>
              <w:t>7、环境风险</w:t>
            </w:r>
          </w:p>
          <w:p>
            <w:pPr>
              <w:pStyle w:val="20"/>
              <w:widowControl w:val="0"/>
              <w:spacing w:before="0" w:beforeAutospacing="0" w:after="0" w:afterAutospacing="0" w:line="360" w:lineRule="auto"/>
              <w:ind w:firstLine="482" w:firstLineChars="200"/>
              <w:jc w:val="both"/>
              <w:rPr>
                <w:rFonts w:ascii="Times New Roman" w:hAnsi="Times New Roman"/>
                <w:b/>
                <w:bCs/>
                <w:color w:val="auto"/>
                <w:sz w:val="24"/>
                <w:szCs w:val="24"/>
              </w:rPr>
            </w:pPr>
            <w:r>
              <w:rPr>
                <w:rFonts w:ascii="Times New Roman" w:hAnsi="Times New Roman"/>
                <w:b/>
                <w:bCs/>
                <w:color w:val="auto"/>
                <w:sz w:val="24"/>
                <w:szCs w:val="24"/>
              </w:rPr>
              <w:t>（1）风险调查、风险潜势初判</w:t>
            </w:r>
          </w:p>
          <w:p>
            <w:pPr>
              <w:pStyle w:val="20"/>
              <w:widowControl w:val="0"/>
              <w:spacing w:before="0" w:beforeAutospacing="0" w:after="0" w:afterAutospacing="0" w:line="360" w:lineRule="auto"/>
              <w:ind w:firstLine="480" w:firstLineChars="200"/>
              <w:jc w:val="both"/>
              <w:rPr>
                <w:rFonts w:ascii="Times New Roman" w:hAnsi="Times New Roman"/>
                <w:color w:val="auto"/>
                <w:sz w:val="24"/>
                <w:szCs w:val="24"/>
              </w:rPr>
            </w:pPr>
            <w:r>
              <w:rPr>
                <w:color w:val="auto"/>
                <w:sz w:val="24"/>
                <w:szCs w:val="24"/>
              </w:rPr>
              <w:t>本项目属于</w:t>
            </w:r>
            <w:r>
              <w:rPr>
                <w:rFonts w:hint="eastAsia"/>
                <w:color w:val="auto"/>
                <w:sz w:val="24"/>
                <w:szCs w:val="24"/>
              </w:rPr>
              <w:t>造纸产业废渣废料资源化利用项目</w:t>
            </w:r>
            <w:r>
              <w:rPr>
                <w:rFonts w:ascii="Times New Roman" w:hAnsi="Times New Roman"/>
                <w:color w:val="auto"/>
                <w:sz w:val="24"/>
                <w:szCs w:val="24"/>
              </w:rPr>
              <w:t>，不涉及使用有毒有害原辅料。</w:t>
            </w:r>
            <w:r>
              <w:rPr>
                <w:color w:val="auto"/>
                <w:sz w:val="24"/>
                <w:szCs w:val="24"/>
              </w:rPr>
              <w:t>项目运营期涉及的风险物质主要为</w:t>
            </w:r>
            <w:r>
              <w:rPr>
                <w:rFonts w:hint="eastAsia"/>
                <w:color w:val="auto"/>
                <w:sz w:val="24"/>
                <w:szCs w:val="24"/>
              </w:rPr>
              <w:t>废</w:t>
            </w:r>
            <w:r>
              <w:rPr>
                <w:rFonts w:hint="eastAsia"/>
                <w:bCs/>
                <w:color w:val="auto"/>
                <w:sz w:val="24"/>
                <w:szCs w:val="24"/>
              </w:rPr>
              <w:t>润滑油、</w:t>
            </w:r>
            <w:r>
              <w:rPr>
                <w:color w:val="auto"/>
                <w:sz w:val="24"/>
                <w:szCs w:val="24"/>
              </w:rPr>
              <w:t>废活性炭</w:t>
            </w:r>
            <w:r>
              <w:rPr>
                <w:rFonts w:hint="eastAsia"/>
                <w:color w:val="auto"/>
                <w:sz w:val="24"/>
                <w:szCs w:val="24"/>
              </w:rPr>
              <w:t>、废过滤棉等危废，风险单元为危废暂存间。</w:t>
            </w:r>
            <w:r>
              <w:rPr>
                <w:rFonts w:ascii="Times New Roman" w:hAnsi="Times New Roman"/>
                <w:color w:val="auto"/>
                <w:sz w:val="24"/>
                <w:szCs w:val="24"/>
              </w:rPr>
              <w:t>项目涉及废润滑油等危险物质储存，最大</w:t>
            </w:r>
            <w:r>
              <w:rPr>
                <w:rFonts w:ascii="Times New Roman" w:hAnsi="Times New Roman"/>
                <w:color w:val="auto"/>
                <w:sz w:val="24"/>
                <w:szCs w:val="24"/>
                <w:lang w:bidi="ar"/>
              </w:rPr>
              <w:t>存储量约为</w:t>
            </w:r>
            <w:r>
              <w:rPr>
                <w:rFonts w:hint="eastAsia" w:ascii="Times New Roman" w:hAnsi="Times New Roman"/>
                <w:color w:val="auto"/>
                <w:sz w:val="24"/>
                <w:szCs w:val="24"/>
                <w:lang w:val="en-US" w:eastAsia="zh-CN" w:bidi="ar"/>
              </w:rPr>
              <w:t>1.0</w:t>
            </w:r>
            <w:r>
              <w:rPr>
                <w:rFonts w:ascii="Times New Roman" w:hAnsi="Times New Roman"/>
                <w:bCs/>
                <w:color w:val="auto"/>
                <w:sz w:val="24"/>
                <w:szCs w:val="24"/>
                <w:lang w:bidi="ar"/>
              </w:rPr>
              <w:t>t</w:t>
            </w:r>
            <w:r>
              <w:rPr>
                <w:rFonts w:hint="eastAsia" w:ascii="Times New Roman" w:hAnsi="Times New Roman"/>
                <w:bCs/>
                <w:color w:val="auto"/>
                <w:sz w:val="24"/>
                <w:szCs w:val="24"/>
                <w:lang w:bidi="ar"/>
              </w:rPr>
              <w:t>，</w:t>
            </w:r>
            <w:r>
              <w:rPr>
                <w:rFonts w:ascii="Times New Roman" w:hAnsi="Times New Roman"/>
                <w:color w:val="auto"/>
                <w:sz w:val="24"/>
                <w:szCs w:val="24"/>
              </w:rPr>
              <w:t>根据《建设项目环境风险评价技术导则》（HJ 169-2018）附录B和附录C，废矿物油</w:t>
            </w:r>
            <w:r>
              <w:rPr>
                <w:rFonts w:ascii="Times New Roman" w:hAnsi="Times New Roman"/>
                <w:color w:val="auto"/>
                <w:sz w:val="24"/>
                <w:szCs w:val="24"/>
                <w:lang w:bidi="ar"/>
              </w:rPr>
              <w:t>临界量为2500t，则计算得</w:t>
            </w:r>
            <w:r>
              <w:rPr>
                <w:rFonts w:ascii="Times New Roman" w:hAnsi="Times New Roman"/>
                <w:color w:val="auto"/>
                <w:sz w:val="24"/>
                <w:szCs w:val="24"/>
              </w:rPr>
              <w:t>Q=</w:t>
            </w:r>
            <w:r>
              <w:rPr>
                <w:rFonts w:ascii="Times New Roman" w:hAnsi="Times New Roman"/>
                <w:color w:val="auto"/>
                <w:sz w:val="24"/>
                <w:szCs w:val="24"/>
                <w:lang w:val="zh-CN"/>
              </w:rPr>
              <w:t>0.000</w:t>
            </w:r>
            <w:r>
              <w:rPr>
                <w:rFonts w:hint="eastAsia" w:ascii="Times New Roman" w:hAnsi="Times New Roman"/>
                <w:color w:val="auto"/>
                <w:sz w:val="24"/>
                <w:szCs w:val="24"/>
                <w:lang w:val="en-US" w:eastAsia="zh-CN"/>
              </w:rPr>
              <w:t>4</w:t>
            </w:r>
            <w:r>
              <w:rPr>
                <w:rFonts w:ascii="Times New Roman" w:hAnsi="Times New Roman"/>
                <w:color w:val="auto"/>
                <w:sz w:val="24"/>
                <w:szCs w:val="24"/>
              </w:rPr>
              <w:t>＜1，因此确定本次风险评价工作等级为简单分析。</w:t>
            </w:r>
          </w:p>
          <w:p>
            <w:pPr>
              <w:pStyle w:val="20"/>
              <w:widowControl w:val="0"/>
              <w:spacing w:before="0" w:beforeAutospacing="0" w:after="0" w:afterAutospacing="0" w:line="360" w:lineRule="auto"/>
              <w:ind w:firstLine="482" w:firstLineChars="200"/>
              <w:jc w:val="both"/>
              <w:rPr>
                <w:rFonts w:ascii="Times New Roman" w:hAnsi="Times New Roman"/>
                <w:b/>
                <w:bCs/>
                <w:color w:val="auto"/>
                <w:sz w:val="24"/>
                <w:szCs w:val="24"/>
              </w:rPr>
            </w:pPr>
            <w:r>
              <w:rPr>
                <w:rFonts w:hint="eastAsia" w:ascii="Times New Roman" w:hAnsi="Times New Roman"/>
                <w:b/>
                <w:bCs/>
                <w:color w:val="auto"/>
                <w:sz w:val="24"/>
                <w:szCs w:val="24"/>
              </w:rPr>
              <w:t>（2）环境风险识别</w:t>
            </w:r>
          </w:p>
          <w:p>
            <w:pPr>
              <w:pStyle w:val="20"/>
              <w:widowControl w:val="0"/>
              <w:spacing w:before="0" w:beforeAutospacing="0" w:after="0" w:afterAutospacing="0" w:line="360" w:lineRule="auto"/>
              <w:ind w:firstLine="480" w:firstLineChars="200"/>
              <w:jc w:val="both"/>
              <w:rPr>
                <w:rFonts w:ascii="Times New Roman" w:hAnsi="Times New Roman"/>
                <w:color w:val="auto"/>
                <w:sz w:val="24"/>
                <w:szCs w:val="24"/>
              </w:rPr>
            </w:pPr>
            <w:r>
              <w:rPr>
                <w:rFonts w:hint="eastAsia"/>
                <w:color w:val="auto"/>
                <w:sz w:val="24"/>
                <w:szCs w:val="24"/>
              </w:rPr>
              <w:t>①</w:t>
            </w:r>
            <w:r>
              <w:rPr>
                <w:rFonts w:hint="eastAsia" w:ascii="Times New Roman" w:hAnsi="Times New Roman"/>
                <w:color w:val="auto"/>
                <w:sz w:val="24"/>
                <w:szCs w:val="24"/>
              </w:rPr>
              <w:t>物质</w:t>
            </w:r>
            <w:r>
              <w:rPr>
                <w:rFonts w:hint="eastAsia"/>
                <w:color w:val="auto"/>
                <w:sz w:val="24"/>
                <w:szCs w:val="24"/>
              </w:rPr>
              <w:t>危险性识别</w:t>
            </w:r>
          </w:p>
          <w:p>
            <w:pPr>
              <w:pStyle w:val="14"/>
              <w:adjustRightInd w:val="0"/>
              <w:snapToGrid w:val="0"/>
              <w:spacing w:line="276" w:lineRule="auto"/>
              <w:jc w:val="center"/>
              <w:rPr>
                <w:rFonts w:ascii="Times New Roman" w:hAnsi="Times New Roman"/>
                <w:b/>
                <w:color w:val="auto"/>
                <w:sz w:val="21"/>
                <w:szCs w:val="21"/>
              </w:rPr>
            </w:pPr>
            <w:r>
              <w:rPr>
                <w:rFonts w:ascii="Times New Roman" w:hAnsi="Times New Roman"/>
                <w:b/>
                <w:color w:val="auto"/>
                <w:sz w:val="24"/>
                <w:szCs w:val="24"/>
              </w:rPr>
              <w:t>表4</w:t>
            </w:r>
            <w:r>
              <w:rPr>
                <w:rFonts w:hint="eastAsia" w:ascii="Times New Roman" w:hAnsi="Times New Roman"/>
                <w:b/>
                <w:color w:val="auto"/>
                <w:sz w:val="24"/>
                <w:szCs w:val="24"/>
                <w:lang w:val="en-US" w:eastAsia="zh-CN"/>
              </w:rPr>
              <w:t>-14</w:t>
            </w:r>
            <w:r>
              <w:rPr>
                <w:rFonts w:ascii="Times New Roman" w:hAnsi="Times New Roman"/>
                <w:b/>
                <w:color w:val="auto"/>
                <w:sz w:val="24"/>
                <w:szCs w:val="24"/>
              </w:rPr>
              <w:t xml:space="preserve">  废矿物油理化性质表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1968"/>
              <w:gridCol w:w="57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 w:type="pc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b/>
                      <w:bCs/>
                      <w:color w:val="auto"/>
                      <w:szCs w:val="21"/>
                    </w:rPr>
                  </w:pPr>
                  <w:r>
                    <w:rPr>
                      <w:b/>
                      <w:bCs/>
                      <w:color w:val="auto"/>
                      <w:szCs w:val="21"/>
                    </w:rPr>
                    <w:t>类别</w:t>
                  </w:r>
                </w:p>
              </w:tc>
              <w:tc>
                <w:tcPr>
                  <w:tcW w:w="1181" w:type="pc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b/>
                      <w:bCs/>
                      <w:color w:val="auto"/>
                      <w:szCs w:val="21"/>
                    </w:rPr>
                  </w:pPr>
                  <w:r>
                    <w:rPr>
                      <w:b/>
                      <w:bCs/>
                      <w:color w:val="auto"/>
                      <w:szCs w:val="21"/>
                    </w:rPr>
                    <w:t>名称</w:t>
                  </w:r>
                </w:p>
              </w:tc>
              <w:tc>
                <w:tcPr>
                  <w:tcW w:w="3427" w:type="pc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b/>
                      <w:bCs/>
                      <w:color w:val="auto"/>
                      <w:szCs w:val="21"/>
                    </w:rPr>
                  </w:pPr>
                  <w:r>
                    <w:rPr>
                      <w:b/>
                      <w:color w:val="auto"/>
                      <w:szCs w:val="21"/>
                    </w:rPr>
                    <w:t>废矿物油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 w:type="pct"/>
                  <w:vMerge w:val="restar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理化性质</w:t>
                  </w:r>
                </w:p>
              </w:tc>
              <w:tc>
                <w:tcPr>
                  <w:tcW w:w="1181" w:type="pc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外观与性状</w:t>
                  </w:r>
                </w:p>
              </w:tc>
              <w:tc>
                <w:tcPr>
                  <w:tcW w:w="3427" w:type="pc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稍有粘性的</w:t>
                  </w:r>
                  <w:r>
                    <w:rPr>
                      <w:rFonts w:hint="eastAsia"/>
                      <w:color w:val="auto"/>
                      <w:szCs w:val="21"/>
                    </w:rPr>
                    <w:t>黑</w:t>
                  </w:r>
                  <w:r>
                    <w:rPr>
                      <w:color w:val="auto"/>
                      <w:szCs w:val="21"/>
                    </w:rPr>
                    <w:t>色液体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 w:type="pct"/>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p>
              </w:tc>
              <w:tc>
                <w:tcPr>
                  <w:tcW w:w="1181" w:type="pc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lang w:bidi="ar"/>
                    </w:rPr>
                    <w:t>闪点（℃）</w:t>
                  </w:r>
                </w:p>
              </w:tc>
              <w:tc>
                <w:tcPr>
                  <w:tcW w:w="3427" w:type="pc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lang w:bidi="ar"/>
                    </w:rPr>
                    <w:t>135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 w:type="pct"/>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p>
              </w:tc>
              <w:tc>
                <w:tcPr>
                  <w:tcW w:w="1181" w:type="pc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lang w:bidi="ar"/>
                    </w:rPr>
                    <w:t>沸点（℃）</w:t>
                  </w:r>
                </w:p>
              </w:tc>
              <w:tc>
                <w:tcPr>
                  <w:tcW w:w="3427" w:type="pc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lang w:bidi="ar"/>
                    </w:rPr>
                    <w:t>179-210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 w:type="pct"/>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p>
              </w:tc>
              <w:tc>
                <w:tcPr>
                  <w:tcW w:w="1181" w:type="pc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相对密度</w:t>
                  </w:r>
                </w:p>
              </w:tc>
              <w:tc>
                <w:tcPr>
                  <w:tcW w:w="3427" w:type="pc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（水=1）0.87</w:t>
                  </w:r>
                  <w:r>
                    <w:rPr>
                      <w:rFonts w:hint="eastAsia"/>
                      <w:color w:val="auto"/>
                      <w:szCs w:val="21"/>
                      <w:lang w:eastAsia="zh-CN"/>
                    </w:rPr>
                    <w:t>～</w:t>
                  </w:r>
                  <w:r>
                    <w:rPr>
                      <w:color w:val="auto"/>
                      <w:szCs w:val="21"/>
                    </w:rPr>
                    <w:t>0.9g/cm</w:t>
                  </w:r>
                  <w:r>
                    <w:rPr>
                      <w:color w:val="auto"/>
                      <w:szCs w:val="21"/>
                      <w:vertAlign w:val="superscript"/>
                    </w:rPr>
                    <w:t>3</w:t>
                  </w:r>
                  <w:r>
                    <w:rPr>
                      <w:color w:val="auto"/>
                      <w:szCs w:val="21"/>
                    </w:rPr>
                    <w:t>；（空气=1）3.38g/cm</w:t>
                  </w:r>
                  <w:r>
                    <w:rPr>
                      <w:color w:val="auto"/>
                      <w:szCs w:val="21"/>
                      <w:vertAlign w:val="superscript"/>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 w:type="pct"/>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p>
              </w:tc>
              <w:tc>
                <w:tcPr>
                  <w:tcW w:w="1181" w:type="pc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溶解性</w:t>
                  </w:r>
                </w:p>
              </w:tc>
              <w:tc>
                <w:tcPr>
                  <w:tcW w:w="3427" w:type="pc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与水混溶，可混溶于乙醇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 w:type="pct"/>
                  <w:vMerge w:val="restar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危险性</w:t>
                  </w:r>
                </w:p>
              </w:tc>
              <w:tc>
                <w:tcPr>
                  <w:tcW w:w="1181" w:type="pc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危险性类别</w:t>
                  </w:r>
                </w:p>
              </w:tc>
              <w:tc>
                <w:tcPr>
                  <w:tcW w:w="3427" w:type="pc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毒性</w:t>
                  </w:r>
                  <w:r>
                    <w:rPr>
                      <w:rFonts w:hint="eastAsia"/>
                      <w:color w:val="auto"/>
                      <w:szCs w:val="21"/>
                    </w:rPr>
                    <w:t>、</w:t>
                  </w:r>
                  <w:r>
                    <w:rPr>
                      <w:color w:val="auto"/>
                      <w:szCs w:val="21"/>
                    </w:rPr>
                    <w:t>易燃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 w:type="pct"/>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p>
              </w:tc>
              <w:tc>
                <w:tcPr>
                  <w:tcW w:w="1181" w:type="pc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 xml:space="preserve">闪点/引燃温度 </w:t>
                  </w:r>
                </w:p>
              </w:tc>
              <w:tc>
                <w:tcPr>
                  <w:tcW w:w="3427" w:type="pc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55℃/257℃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 w:type="pct"/>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p>
              </w:tc>
              <w:tc>
                <w:tcPr>
                  <w:tcW w:w="1181" w:type="pc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爆炸极限（vol%）</w:t>
                  </w:r>
                </w:p>
              </w:tc>
              <w:tc>
                <w:tcPr>
                  <w:tcW w:w="3427" w:type="pc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lang w:bidi="ar"/>
                    </w:rPr>
                  </w:pPr>
                  <w:r>
                    <w:rPr>
                      <w:color w:val="auto"/>
                      <w:szCs w:val="21"/>
                      <w:lang w:bidi="ar"/>
                    </w:rPr>
                    <w:t>爆炸下限（%）：3.8</w:t>
                  </w:r>
                  <w:r>
                    <w:rPr>
                      <w:rFonts w:hint="eastAsia"/>
                      <w:color w:val="auto"/>
                      <w:szCs w:val="21"/>
                      <w:lang w:bidi="ar"/>
                    </w:rPr>
                    <w:t>，</w:t>
                  </w:r>
                  <w:r>
                    <w:rPr>
                      <w:color w:val="auto"/>
                      <w:szCs w:val="21"/>
                      <w:lang w:bidi="ar"/>
                    </w:rPr>
                    <w:t>爆炸上限（%）：10.2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 w:type="pct"/>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p>
              </w:tc>
              <w:tc>
                <w:tcPr>
                  <w:tcW w:w="1181" w:type="pc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color w:val="auto"/>
                      <w:szCs w:val="21"/>
                    </w:rPr>
                    <w:t>危险性</w:t>
                  </w:r>
                </w:p>
              </w:tc>
              <w:tc>
                <w:tcPr>
                  <w:tcW w:w="3427" w:type="pct"/>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color w:val="auto"/>
                      <w:szCs w:val="21"/>
                    </w:rPr>
                  </w:pPr>
                  <w:r>
                    <w:rPr>
                      <w:color w:val="auto"/>
                      <w:szCs w:val="21"/>
                    </w:rPr>
                    <w:t>遇明火、高热或与氧化剂接触，有引起燃烧爆炸的危险。若遇高热，容器内压增大，有开裂和爆炸的危险。</w:t>
                  </w:r>
                </w:p>
                <w:p>
                  <w:pPr>
                    <w:pStyle w:val="22"/>
                    <w:keepNext w:val="0"/>
                    <w:keepLines w:val="0"/>
                    <w:pageBreakBefore w:val="0"/>
                    <w:widowControl w:val="0"/>
                    <w:kinsoku/>
                    <w:wordWrap/>
                    <w:overflowPunct/>
                    <w:topLinePunct w:val="0"/>
                    <w:autoSpaceDE/>
                    <w:autoSpaceDN/>
                    <w:bidi w:val="0"/>
                    <w:spacing w:after="0"/>
                    <w:ind w:left="0" w:leftChars="0" w:firstLine="0" w:firstLineChars="0"/>
                    <w:textAlignment w:val="auto"/>
                    <w:rPr>
                      <w:color w:val="auto"/>
                      <w:szCs w:val="21"/>
                    </w:rPr>
                  </w:pPr>
                  <w:r>
                    <w:rPr>
                      <w:color w:val="auto"/>
                      <w:szCs w:val="21"/>
                      <w:lang w:bidi="ar"/>
                    </w:rPr>
                    <w:t>废矿物油与含矿物油废物含有多环芳烃（PAHs）、苯系物、重金属等多种有毒性物质，如随意倾倒不仅会对水体和土壤造成严重污染，也会对人体健康造成严重危害。如果把废矿物油倒入土壤，可导致植物死亡，被污染土壤内微生物灭绝。废矿物油内的有毒物质可通过人体和动物的表皮渗透到血液中，并在体内积累，会导致各种细胞丧失正常功能，是公认的致癌和致突变化合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73" w:type="pct"/>
                  <w:gridSpan w:val="2"/>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Cs w:val="21"/>
                    </w:rPr>
                  </w:pPr>
                  <w:r>
                    <w:rPr>
                      <w:bCs/>
                      <w:color w:val="auto"/>
                      <w:szCs w:val="21"/>
                    </w:rPr>
                    <w:t>健康危害</w:t>
                  </w:r>
                </w:p>
              </w:tc>
              <w:tc>
                <w:tcPr>
                  <w:tcW w:w="3427" w:type="pct"/>
                  <w:vAlign w:val="center"/>
                </w:tcPr>
                <w:p>
                  <w:pPr>
                    <w:keepNext w:val="0"/>
                    <w:keepLines w:val="0"/>
                    <w:pageBreakBefore w:val="0"/>
                    <w:widowControl w:val="0"/>
                    <w:kinsoku/>
                    <w:wordWrap/>
                    <w:overflowPunct/>
                    <w:topLinePunct w:val="0"/>
                    <w:autoSpaceDE/>
                    <w:autoSpaceDN/>
                    <w:bidi w:val="0"/>
                    <w:ind w:firstLine="0" w:firstLineChars="0"/>
                    <w:textAlignment w:val="auto"/>
                    <w:rPr>
                      <w:color w:val="auto"/>
                      <w:szCs w:val="21"/>
                      <w:lang w:bidi="ar"/>
                    </w:rPr>
                  </w:pPr>
                  <w:r>
                    <w:rPr>
                      <w:color w:val="auto"/>
                      <w:szCs w:val="21"/>
                      <w:lang w:bidi="ar"/>
                    </w:rPr>
                    <w:t>急性吸入，可出现乏力、头晕、头痛、恶心，严重者可引起油脂性肺炎。慢接触者，暴露部位可发生油性痤疮和接触性皮炎。可引起神经衰弱综合征，呼吸道和眼刺激症状及慢性油脂性肺炎。有资料报道，接触石油润滑油类的工人，有致癌的病例报告。</w:t>
                  </w:r>
                </w:p>
                <w:p>
                  <w:pPr>
                    <w:keepNext w:val="0"/>
                    <w:keepLines w:val="0"/>
                    <w:pageBreakBefore w:val="0"/>
                    <w:widowControl w:val="0"/>
                    <w:kinsoku/>
                    <w:wordWrap/>
                    <w:overflowPunct/>
                    <w:topLinePunct w:val="0"/>
                    <w:autoSpaceDE/>
                    <w:autoSpaceDN/>
                    <w:bidi w:val="0"/>
                    <w:ind w:firstLine="0" w:firstLineChars="0"/>
                    <w:textAlignment w:val="auto"/>
                    <w:rPr>
                      <w:color w:val="auto"/>
                      <w:szCs w:val="21"/>
                      <w:lang w:bidi="ar"/>
                    </w:rPr>
                  </w:pPr>
                  <w:r>
                    <w:rPr>
                      <w:color w:val="auto"/>
                      <w:szCs w:val="21"/>
                      <w:lang w:bidi="ar"/>
                    </w:rPr>
                    <w:t>侵入途径：吸入、食入。</w:t>
                  </w:r>
                </w:p>
              </w:tc>
            </w:tr>
          </w:tbl>
          <w:p>
            <w:pPr>
              <w:adjustRightInd w:val="0"/>
              <w:snapToGrid w:val="0"/>
              <w:spacing w:line="360" w:lineRule="auto"/>
              <w:ind w:firstLine="480" w:firstLineChars="200"/>
              <w:rPr>
                <w:rFonts w:hint="eastAsia" w:ascii="宋体" w:hAnsi="宋体"/>
                <w:color w:val="auto"/>
                <w:sz w:val="24"/>
                <w:szCs w:val="24"/>
              </w:rPr>
            </w:pPr>
            <w:r>
              <w:rPr>
                <w:rFonts w:hint="eastAsia" w:ascii="宋体" w:hAnsi="宋体"/>
                <w:color w:val="auto"/>
                <w:sz w:val="24"/>
                <w:szCs w:val="24"/>
              </w:rPr>
              <w:t>②生产系统危险性识别</w:t>
            </w:r>
          </w:p>
          <w:p>
            <w:pPr>
              <w:adjustRightInd w:val="0"/>
              <w:snapToGrid w:val="0"/>
              <w:spacing w:line="360" w:lineRule="auto"/>
              <w:ind w:firstLine="480" w:firstLineChars="200"/>
              <w:rPr>
                <w:rFonts w:hint="eastAsia" w:ascii="宋体" w:hAnsi="宋体"/>
                <w:color w:val="auto"/>
                <w:sz w:val="24"/>
                <w:szCs w:val="24"/>
              </w:rPr>
            </w:pPr>
            <w:r>
              <w:rPr>
                <w:color w:val="auto"/>
                <w:sz w:val="24"/>
                <w:szCs w:val="24"/>
              </w:rPr>
              <w:t>结合项目涉及的</w:t>
            </w:r>
            <w:r>
              <w:rPr>
                <w:rFonts w:hint="eastAsia"/>
                <w:color w:val="auto"/>
                <w:sz w:val="24"/>
                <w:szCs w:val="24"/>
              </w:rPr>
              <w:t>风险</w:t>
            </w:r>
            <w:r>
              <w:rPr>
                <w:color w:val="auto"/>
                <w:sz w:val="24"/>
                <w:szCs w:val="24"/>
              </w:rPr>
              <w:t>物质分布情况对</w:t>
            </w:r>
            <w:r>
              <w:rPr>
                <w:rFonts w:hint="eastAsia"/>
                <w:color w:val="auto"/>
                <w:sz w:val="24"/>
                <w:szCs w:val="24"/>
              </w:rPr>
              <w:t>风险</w:t>
            </w:r>
            <w:r>
              <w:rPr>
                <w:color w:val="auto"/>
                <w:sz w:val="24"/>
                <w:szCs w:val="24"/>
              </w:rPr>
              <w:t>单元进行划分，详见下表</w:t>
            </w:r>
            <w:r>
              <w:rPr>
                <w:rFonts w:hint="eastAsia"/>
                <w:color w:val="auto"/>
                <w:sz w:val="24"/>
                <w:szCs w:val="24"/>
              </w:rPr>
              <w:t>。</w:t>
            </w:r>
          </w:p>
          <w:p>
            <w:pPr>
              <w:snapToGrid w:val="0"/>
              <w:spacing w:line="276" w:lineRule="auto"/>
              <w:jc w:val="center"/>
              <w:rPr>
                <w:b/>
                <w:color w:val="auto"/>
                <w:sz w:val="24"/>
                <w:szCs w:val="24"/>
              </w:rPr>
            </w:pPr>
            <w:r>
              <w:rPr>
                <w:b/>
                <w:color w:val="auto"/>
                <w:sz w:val="24"/>
                <w:szCs w:val="24"/>
              </w:rPr>
              <w:t>表4</w:t>
            </w:r>
            <w:r>
              <w:rPr>
                <w:rFonts w:hint="eastAsia"/>
                <w:b/>
                <w:color w:val="auto"/>
                <w:sz w:val="24"/>
                <w:szCs w:val="24"/>
              </w:rPr>
              <w:t>-</w:t>
            </w:r>
            <w:r>
              <w:rPr>
                <w:rFonts w:hint="eastAsia"/>
                <w:b/>
                <w:color w:val="auto"/>
                <w:sz w:val="24"/>
                <w:szCs w:val="24"/>
                <w:lang w:val="en-US" w:eastAsia="zh-CN"/>
              </w:rPr>
              <w:t>15</w:t>
            </w:r>
            <w:r>
              <w:rPr>
                <w:b/>
                <w:color w:val="auto"/>
                <w:sz w:val="24"/>
                <w:szCs w:val="24"/>
              </w:rPr>
              <w:t xml:space="preserve">  </w:t>
            </w:r>
            <w:r>
              <w:rPr>
                <w:rFonts w:hint="eastAsia"/>
                <w:b/>
                <w:color w:val="auto"/>
                <w:sz w:val="24"/>
                <w:szCs w:val="24"/>
              </w:rPr>
              <w:t>风险</w:t>
            </w:r>
            <w:r>
              <w:rPr>
                <w:b/>
                <w:color w:val="auto"/>
                <w:sz w:val="24"/>
                <w:szCs w:val="24"/>
              </w:rPr>
              <w:t>单元划分结果表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1877"/>
              <w:gridCol w:w="2166"/>
              <w:gridCol w:w="29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3" w:type="pct"/>
                  <w:vAlign w:val="center"/>
                </w:tcPr>
                <w:p>
                  <w:pPr>
                    <w:autoSpaceDE w:val="0"/>
                    <w:autoSpaceDN w:val="0"/>
                    <w:snapToGrid w:val="0"/>
                    <w:jc w:val="center"/>
                    <w:rPr>
                      <w:b/>
                      <w:bCs/>
                      <w:color w:val="auto"/>
                      <w:szCs w:val="21"/>
                      <w:lang w:val="zh-CN"/>
                    </w:rPr>
                  </w:pPr>
                  <w:r>
                    <w:rPr>
                      <w:b/>
                      <w:bCs/>
                      <w:color w:val="auto"/>
                      <w:szCs w:val="21"/>
                      <w:lang w:val="zh-CN"/>
                    </w:rPr>
                    <w:t>风险源</w:t>
                  </w:r>
                </w:p>
              </w:tc>
              <w:tc>
                <w:tcPr>
                  <w:tcW w:w="1126" w:type="pct"/>
                  <w:vAlign w:val="center"/>
                </w:tcPr>
                <w:p>
                  <w:pPr>
                    <w:autoSpaceDE w:val="0"/>
                    <w:autoSpaceDN w:val="0"/>
                    <w:snapToGrid w:val="0"/>
                    <w:jc w:val="center"/>
                    <w:rPr>
                      <w:b/>
                      <w:bCs/>
                      <w:color w:val="auto"/>
                      <w:szCs w:val="21"/>
                    </w:rPr>
                  </w:pPr>
                  <w:r>
                    <w:rPr>
                      <w:b/>
                      <w:bCs/>
                      <w:color w:val="auto"/>
                      <w:szCs w:val="21"/>
                    </w:rPr>
                    <w:t>风险物质</w:t>
                  </w:r>
                </w:p>
              </w:tc>
              <w:tc>
                <w:tcPr>
                  <w:tcW w:w="1300" w:type="pct"/>
                  <w:vAlign w:val="center"/>
                </w:tcPr>
                <w:p>
                  <w:pPr>
                    <w:autoSpaceDE w:val="0"/>
                    <w:autoSpaceDN w:val="0"/>
                    <w:snapToGrid w:val="0"/>
                    <w:jc w:val="center"/>
                    <w:rPr>
                      <w:b/>
                      <w:bCs/>
                      <w:color w:val="auto"/>
                      <w:szCs w:val="21"/>
                      <w:lang w:val="zh-CN"/>
                    </w:rPr>
                  </w:pPr>
                  <w:r>
                    <w:rPr>
                      <w:b/>
                      <w:bCs/>
                      <w:color w:val="auto"/>
                      <w:szCs w:val="21"/>
                      <w:lang w:val="zh-CN"/>
                    </w:rPr>
                    <w:t>可能发生的风险事故</w:t>
                  </w:r>
                </w:p>
              </w:tc>
              <w:tc>
                <w:tcPr>
                  <w:tcW w:w="1781" w:type="pct"/>
                  <w:vAlign w:val="center"/>
                </w:tcPr>
                <w:p>
                  <w:pPr>
                    <w:autoSpaceDE w:val="0"/>
                    <w:autoSpaceDN w:val="0"/>
                    <w:snapToGrid w:val="0"/>
                    <w:jc w:val="center"/>
                    <w:rPr>
                      <w:b/>
                      <w:bCs/>
                      <w:color w:val="auto"/>
                      <w:szCs w:val="21"/>
                      <w:lang w:val="zh-CN"/>
                    </w:rPr>
                  </w:pPr>
                  <w:r>
                    <w:rPr>
                      <w:b/>
                      <w:color w:val="auto"/>
                      <w:szCs w:val="21"/>
                    </w:rPr>
                    <w:t>事故触发条件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3" w:type="pct"/>
                  <w:vAlign w:val="center"/>
                </w:tcPr>
                <w:p>
                  <w:pPr>
                    <w:jc w:val="center"/>
                    <w:rPr>
                      <w:color w:val="auto"/>
                      <w:szCs w:val="21"/>
                    </w:rPr>
                  </w:pPr>
                  <w:r>
                    <w:rPr>
                      <w:rFonts w:hint="eastAsia"/>
                      <w:color w:val="auto"/>
                      <w:szCs w:val="21"/>
                    </w:rPr>
                    <w:t>生产车间产品储存区</w:t>
                  </w:r>
                </w:p>
              </w:tc>
              <w:tc>
                <w:tcPr>
                  <w:tcW w:w="1126" w:type="pct"/>
                  <w:vAlign w:val="center"/>
                </w:tcPr>
                <w:p>
                  <w:pPr>
                    <w:jc w:val="center"/>
                    <w:rPr>
                      <w:bCs/>
                      <w:color w:val="auto"/>
                      <w:szCs w:val="21"/>
                    </w:rPr>
                  </w:pPr>
                  <w:r>
                    <w:rPr>
                      <w:rFonts w:hint="eastAsia"/>
                      <w:color w:val="auto"/>
                      <w:szCs w:val="21"/>
                    </w:rPr>
                    <w:t>再生</w:t>
                  </w:r>
                  <w:r>
                    <w:rPr>
                      <w:color w:val="auto"/>
                      <w:szCs w:val="21"/>
                    </w:rPr>
                    <w:t>塑料颗粒成品（PE、PP）</w:t>
                  </w:r>
                </w:p>
              </w:tc>
              <w:tc>
                <w:tcPr>
                  <w:tcW w:w="1300" w:type="pct"/>
                  <w:vAlign w:val="center"/>
                </w:tcPr>
                <w:p>
                  <w:pPr>
                    <w:snapToGrid w:val="0"/>
                    <w:jc w:val="center"/>
                    <w:rPr>
                      <w:color w:val="auto"/>
                      <w:szCs w:val="21"/>
                    </w:rPr>
                  </w:pPr>
                  <w:r>
                    <w:rPr>
                      <w:color w:val="auto"/>
                      <w:szCs w:val="21"/>
                    </w:rPr>
                    <w:t>火灾</w:t>
                  </w:r>
                </w:p>
              </w:tc>
              <w:tc>
                <w:tcPr>
                  <w:tcW w:w="1781" w:type="pct"/>
                  <w:vAlign w:val="center"/>
                </w:tcPr>
                <w:p>
                  <w:pPr>
                    <w:jc w:val="center"/>
                    <w:rPr>
                      <w:color w:val="auto"/>
                      <w:szCs w:val="21"/>
                    </w:rPr>
                  </w:pPr>
                  <w:r>
                    <w:rPr>
                      <w:color w:val="auto"/>
                      <w:szCs w:val="21"/>
                    </w:rPr>
                    <w:t>遇火源发生火灾事故，燃烧烟气排放对大气环境造成污染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3" w:type="pct"/>
                  <w:vAlign w:val="center"/>
                </w:tcPr>
                <w:p>
                  <w:pPr>
                    <w:jc w:val="center"/>
                    <w:rPr>
                      <w:color w:val="auto"/>
                      <w:szCs w:val="21"/>
                    </w:rPr>
                  </w:pPr>
                  <w:r>
                    <w:rPr>
                      <w:color w:val="auto"/>
                      <w:szCs w:val="21"/>
                    </w:rPr>
                    <w:t>危废暂存间</w:t>
                  </w:r>
                </w:p>
              </w:tc>
              <w:tc>
                <w:tcPr>
                  <w:tcW w:w="1126" w:type="pct"/>
                  <w:vAlign w:val="center"/>
                </w:tcPr>
                <w:p>
                  <w:pPr>
                    <w:jc w:val="center"/>
                    <w:rPr>
                      <w:bCs/>
                      <w:color w:val="auto"/>
                      <w:szCs w:val="21"/>
                    </w:rPr>
                  </w:pPr>
                  <w:r>
                    <w:rPr>
                      <w:color w:val="auto"/>
                      <w:szCs w:val="21"/>
                    </w:rPr>
                    <w:t>废机油</w:t>
                  </w:r>
                </w:p>
              </w:tc>
              <w:tc>
                <w:tcPr>
                  <w:tcW w:w="1300" w:type="pct"/>
                  <w:vAlign w:val="center"/>
                </w:tcPr>
                <w:p>
                  <w:pPr>
                    <w:snapToGrid w:val="0"/>
                    <w:jc w:val="center"/>
                    <w:rPr>
                      <w:color w:val="auto"/>
                      <w:szCs w:val="21"/>
                    </w:rPr>
                  </w:pPr>
                  <w:r>
                    <w:rPr>
                      <w:color w:val="auto"/>
                      <w:szCs w:val="21"/>
                    </w:rPr>
                    <w:t>泄漏和火灾</w:t>
                  </w:r>
                </w:p>
              </w:tc>
              <w:tc>
                <w:tcPr>
                  <w:tcW w:w="1781" w:type="pct"/>
                  <w:vAlign w:val="center"/>
                </w:tcPr>
                <w:p>
                  <w:pPr>
                    <w:jc w:val="center"/>
                    <w:rPr>
                      <w:color w:val="auto"/>
                      <w:szCs w:val="21"/>
                    </w:rPr>
                  </w:pPr>
                  <w:r>
                    <w:rPr>
                      <w:color w:val="auto"/>
                      <w:szCs w:val="21"/>
                    </w:rPr>
                    <w:t>盛装容器破损、遇明火</w:t>
                  </w:r>
                </w:p>
              </w:tc>
            </w:tr>
          </w:tbl>
          <w:p>
            <w:pPr>
              <w:adjustRightInd w:val="0"/>
              <w:snapToGrid w:val="0"/>
              <w:spacing w:line="360" w:lineRule="auto"/>
              <w:ind w:firstLine="480" w:firstLineChars="200"/>
              <w:rPr>
                <w:rFonts w:hint="eastAsia" w:ascii="宋体" w:hAnsi="宋体"/>
                <w:color w:val="auto"/>
                <w:sz w:val="24"/>
                <w:szCs w:val="24"/>
              </w:rPr>
            </w:pPr>
            <w:r>
              <w:rPr>
                <w:rFonts w:hint="eastAsia" w:ascii="宋体" w:hAnsi="宋体"/>
                <w:color w:val="auto"/>
                <w:sz w:val="24"/>
                <w:szCs w:val="24"/>
              </w:rPr>
              <w:t>③</w:t>
            </w:r>
            <w:r>
              <w:rPr>
                <w:rFonts w:ascii="宋体" w:hAnsi="宋体"/>
                <w:color w:val="auto"/>
                <w:sz w:val="24"/>
                <w:szCs w:val="24"/>
              </w:rPr>
              <w:t>环境风险识别</w:t>
            </w:r>
          </w:p>
          <w:p>
            <w:pPr>
              <w:adjustRightInd w:val="0"/>
              <w:snapToGrid w:val="0"/>
              <w:spacing w:line="360" w:lineRule="auto"/>
              <w:ind w:firstLine="480" w:firstLineChars="200"/>
              <w:rPr>
                <w:color w:val="auto"/>
                <w:sz w:val="24"/>
                <w:szCs w:val="24"/>
              </w:rPr>
            </w:pPr>
            <w:r>
              <w:rPr>
                <w:color w:val="auto"/>
                <w:sz w:val="24"/>
                <w:szCs w:val="24"/>
              </w:rPr>
              <w:t>环境风险类型包括</w:t>
            </w:r>
            <w:r>
              <w:rPr>
                <w:rFonts w:hint="eastAsia"/>
                <w:color w:val="auto"/>
                <w:sz w:val="24"/>
                <w:szCs w:val="24"/>
              </w:rPr>
              <w:t>危险</w:t>
            </w:r>
            <w:r>
              <w:rPr>
                <w:color w:val="auto"/>
                <w:sz w:val="24"/>
                <w:szCs w:val="24"/>
              </w:rPr>
              <w:t>物质泄漏</w:t>
            </w:r>
            <w:r>
              <w:rPr>
                <w:rFonts w:hint="eastAsia"/>
                <w:color w:val="auto"/>
                <w:sz w:val="24"/>
                <w:szCs w:val="24"/>
                <w:lang w:eastAsia="zh-CN"/>
              </w:rPr>
              <w:t>，以及</w:t>
            </w:r>
            <w:r>
              <w:rPr>
                <w:color w:val="auto"/>
                <w:sz w:val="24"/>
                <w:szCs w:val="24"/>
              </w:rPr>
              <w:t>火灾、爆炸等引发的伴生/次生污染物排放。结合前述物质危险性识别及生产系统危险性识别结果，对项目涉及的环境风险类型、</w:t>
            </w:r>
            <w:r>
              <w:rPr>
                <w:rFonts w:hint="eastAsia"/>
                <w:color w:val="auto"/>
                <w:sz w:val="24"/>
                <w:szCs w:val="24"/>
              </w:rPr>
              <w:t>风险</w:t>
            </w:r>
            <w:r>
              <w:rPr>
                <w:color w:val="auto"/>
                <w:sz w:val="24"/>
                <w:szCs w:val="24"/>
              </w:rPr>
              <w:t>物质向环境转移的可能途径及影响方式进行识别，识别结果见下表</w:t>
            </w:r>
            <w:r>
              <w:rPr>
                <w:rFonts w:hint="eastAsia"/>
                <w:color w:val="auto"/>
                <w:sz w:val="24"/>
                <w:szCs w:val="24"/>
              </w:rPr>
              <w:t>。</w:t>
            </w:r>
          </w:p>
          <w:p>
            <w:pPr>
              <w:snapToGrid w:val="0"/>
              <w:spacing w:line="276" w:lineRule="auto"/>
              <w:jc w:val="center"/>
              <w:rPr>
                <w:b/>
                <w:color w:val="auto"/>
                <w:sz w:val="24"/>
                <w:szCs w:val="24"/>
              </w:rPr>
            </w:pPr>
            <w:r>
              <w:rPr>
                <w:b/>
                <w:color w:val="auto"/>
                <w:sz w:val="24"/>
                <w:szCs w:val="24"/>
              </w:rPr>
              <w:t>表4</w:t>
            </w:r>
            <w:r>
              <w:rPr>
                <w:rFonts w:hint="eastAsia"/>
                <w:b/>
                <w:color w:val="auto"/>
                <w:sz w:val="24"/>
                <w:szCs w:val="24"/>
              </w:rPr>
              <w:t>-</w:t>
            </w:r>
            <w:r>
              <w:rPr>
                <w:rFonts w:hint="eastAsia"/>
                <w:b/>
                <w:color w:val="auto"/>
                <w:sz w:val="24"/>
                <w:szCs w:val="24"/>
                <w:lang w:val="en-US" w:eastAsia="zh-CN"/>
              </w:rPr>
              <w:t>16</w:t>
            </w:r>
            <w:r>
              <w:rPr>
                <w:b/>
                <w:color w:val="auto"/>
                <w:sz w:val="24"/>
                <w:szCs w:val="24"/>
              </w:rPr>
              <w:t xml:space="preserve">  环境风险识别结果表</w:t>
            </w:r>
          </w:p>
          <w:tbl>
            <w:tblPr>
              <w:tblStyle w:val="23"/>
              <w:tblW w:w="495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7"/>
              <w:gridCol w:w="1798"/>
              <w:gridCol w:w="1859"/>
              <w:gridCol w:w="1548"/>
              <w:gridCol w:w="1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4" w:type="pct"/>
                  <w:vAlign w:val="center"/>
                </w:tcPr>
                <w:p>
                  <w:pPr>
                    <w:autoSpaceDE w:val="0"/>
                    <w:autoSpaceDN w:val="0"/>
                    <w:snapToGrid w:val="0"/>
                    <w:jc w:val="center"/>
                    <w:rPr>
                      <w:b/>
                      <w:bCs/>
                      <w:color w:val="auto"/>
                      <w:szCs w:val="21"/>
                      <w:lang w:val="zh-CN"/>
                    </w:rPr>
                  </w:pPr>
                  <w:r>
                    <w:rPr>
                      <w:b/>
                      <w:bCs/>
                      <w:color w:val="auto"/>
                      <w:szCs w:val="21"/>
                      <w:lang w:val="zh-CN"/>
                    </w:rPr>
                    <w:t>风险源</w:t>
                  </w:r>
                </w:p>
              </w:tc>
              <w:tc>
                <w:tcPr>
                  <w:tcW w:w="1089" w:type="pct"/>
                  <w:vAlign w:val="center"/>
                </w:tcPr>
                <w:p>
                  <w:pPr>
                    <w:autoSpaceDE w:val="0"/>
                    <w:autoSpaceDN w:val="0"/>
                    <w:snapToGrid w:val="0"/>
                    <w:jc w:val="center"/>
                    <w:rPr>
                      <w:b/>
                      <w:bCs/>
                      <w:color w:val="auto"/>
                      <w:szCs w:val="21"/>
                    </w:rPr>
                  </w:pPr>
                  <w:r>
                    <w:rPr>
                      <w:b/>
                      <w:bCs/>
                      <w:color w:val="auto"/>
                      <w:szCs w:val="21"/>
                    </w:rPr>
                    <w:t>风险物质</w:t>
                  </w:r>
                </w:p>
              </w:tc>
              <w:tc>
                <w:tcPr>
                  <w:tcW w:w="1126" w:type="pct"/>
                  <w:vAlign w:val="center"/>
                </w:tcPr>
                <w:p>
                  <w:pPr>
                    <w:autoSpaceDE w:val="0"/>
                    <w:autoSpaceDN w:val="0"/>
                    <w:snapToGrid w:val="0"/>
                    <w:jc w:val="center"/>
                    <w:rPr>
                      <w:b/>
                      <w:bCs/>
                      <w:color w:val="auto"/>
                      <w:szCs w:val="21"/>
                      <w:lang w:val="zh-CN"/>
                    </w:rPr>
                  </w:pPr>
                  <w:r>
                    <w:rPr>
                      <w:b/>
                      <w:bCs/>
                      <w:color w:val="auto"/>
                      <w:szCs w:val="21"/>
                      <w:lang w:val="zh-CN"/>
                    </w:rPr>
                    <w:t>环境风险类型</w:t>
                  </w:r>
                </w:p>
              </w:tc>
              <w:tc>
                <w:tcPr>
                  <w:tcW w:w="937" w:type="pct"/>
                  <w:vAlign w:val="center"/>
                </w:tcPr>
                <w:p>
                  <w:pPr>
                    <w:autoSpaceDE w:val="0"/>
                    <w:autoSpaceDN w:val="0"/>
                    <w:snapToGrid w:val="0"/>
                    <w:jc w:val="center"/>
                    <w:rPr>
                      <w:b/>
                      <w:bCs/>
                      <w:color w:val="auto"/>
                      <w:szCs w:val="21"/>
                      <w:lang w:val="zh-CN"/>
                    </w:rPr>
                  </w:pPr>
                  <w:r>
                    <w:rPr>
                      <w:b/>
                      <w:color w:val="auto"/>
                      <w:szCs w:val="21"/>
                    </w:rPr>
                    <w:t>环境影响途径</w:t>
                  </w:r>
                </w:p>
              </w:tc>
              <w:tc>
                <w:tcPr>
                  <w:tcW w:w="1042" w:type="pct"/>
                  <w:vAlign w:val="center"/>
                </w:tcPr>
                <w:p>
                  <w:pPr>
                    <w:autoSpaceDE w:val="0"/>
                    <w:autoSpaceDN w:val="0"/>
                    <w:snapToGrid w:val="0"/>
                    <w:jc w:val="center"/>
                    <w:rPr>
                      <w:b/>
                      <w:bCs/>
                      <w:color w:val="auto"/>
                      <w:szCs w:val="21"/>
                      <w:lang w:val="zh-CN"/>
                    </w:rPr>
                  </w:pPr>
                  <w:r>
                    <w:rPr>
                      <w:b/>
                      <w:color w:val="auto"/>
                      <w:szCs w:val="21"/>
                    </w:rPr>
                    <w:t>可能受影响的环境敏感目标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4" w:type="pct"/>
                  <w:vAlign w:val="center"/>
                </w:tcPr>
                <w:p>
                  <w:pPr>
                    <w:jc w:val="center"/>
                    <w:rPr>
                      <w:color w:val="auto"/>
                      <w:szCs w:val="21"/>
                    </w:rPr>
                  </w:pPr>
                  <w:r>
                    <w:rPr>
                      <w:rFonts w:hint="eastAsia"/>
                      <w:color w:val="auto"/>
                      <w:szCs w:val="21"/>
                    </w:rPr>
                    <w:t>生产车间产品储存区</w:t>
                  </w:r>
                </w:p>
              </w:tc>
              <w:tc>
                <w:tcPr>
                  <w:tcW w:w="1089" w:type="pct"/>
                  <w:vAlign w:val="center"/>
                </w:tcPr>
                <w:p>
                  <w:pPr>
                    <w:jc w:val="center"/>
                    <w:rPr>
                      <w:b/>
                      <w:color w:val="auto"/>
                      <w:szCs w:val="21"/>
                    </w:rPr>
                  </w:pPr>
                  <w:r>
                    <w:rPr>
                      <w:rFonts w:hint="eastAsia"/>
                      <w:color w:val="auto"/>
                      <w:szCs w:val="21"/>
                    </w:rPr>
                    <w:t>再生</w:t>
                  </w:r>
                  <w:r>
                    <w:rPr>
                      <w:color w:val="auto"/>
                      <w:szCs w:val="21"/>
                    </w:rPr>
                    <w:t>塑料颗粒成品（PE、PP）</w:t>
                  </w:r>
                </w:p>
              </w:tc>
              <w:tc>
                <w:tcPr>
                  <w:tcW w:w="1126" w:type="pct"/>
                  <w:vAlign w:val="center"/>
                </w:tcPr>
                <w:p>
                  <w:pPr>
                    <w:snapToGrid w:val="0"/>
                    <w:jc w:val="center"/>
                    <w:rPr>
                      <w:color w:val="auto"/>
                      <w:szCs w:val="21"/>
                    </w:rPr>
                  </w:pPr>
                  <w:r>
                    <w:rPr>
                      <w:color w:val="auto"/>
                      <w:szCs w:val="21"/>
                    </w:rPr>
                    <w:t>火灾</w:t>
                  </w:r>
                </w:p>
              </w:tc>
              <w:tc>
                <w:tcPr>
                  <w:tcW w:w="937" w:type="pct"/>
                  <w:vMerge w:val="restart"/>
                  <w:vAlign w:val="center"/>
                </w:tcPr>
                <w:p>
                  <w:pPr>
                    <w:jc w:val="center"/>
                    <w:rPr>
                      <w:color w:val="auto"/>
                      <w:szCs w:val="21"/>
                    </w:rPr>
                  </w:pPr>
                  <w:r>
                    <w:rPr>
                      <w:color w:val="auto"/>
                      <w:szCs w:val="21"/>
                    </w:rPr>
                    <w:t>环境空气、地表水、地下水、土壤</w:t>
                  </w:r>
                </w:p>
              </w:tc>
              <w:tc>
                <w:tcPr>
                  <w:tcW w:w="1042" w:type="pct"/>
                  <w:vMerge w:val="restart"/>
                  <w:vAlign w:val="center"/>
                </w:tcPr>
                <w:p>
                  <w:pPr>
                    <w:jc w:val="center"/>
                    <w:rPr>
                      <w:color w:val="auto"/>
                      <w:szCs w:val="21"/>
                    </w:rPr>
                  </w:pPr>
                  <w:r>
                    <w:rPr>
                      <w:color w:val="auto"/>
                      <w:szCs w:val="21"/>
                    </w:rPr>
                    <w:t>厂区地下水、土壤、周边地表水、环境空气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4" w:type="pct"/>
                  <w:vAlign w:val="center"/>
                </w:tcPr>
                <w:p>
                  <w:pPr>
                    <w:jc w:val="center"/>
                    <w:rPr>
                      <w:color w:val="auto"/>
                      <w:szCs w:val="21"/>
                    </w:rPr>
                  </w:pPr>
                  <w:r>
                    <w:rPr>
                      <w:color w:val="auto"/>
                      <w:szCs w:val="21"/>
                    </w:rPr>
                    <w:t>危废暂存间</w:t>
                  </w:r>
                </w:p>
              </w:tc>
              <w:tc>
                <w:tcPr>
                  <w:tcW w:w="1089" w:type="pct"/>
                  <w:vAlign w:val="center"/>
                </w:tcPr>
                <w:p>
                  <w:pPr>
                    <w:jc w:val="center"/>
                    <w:rPr>
                      <w:bCs/>
                      <w:color w:val="auto"/>
                      <w:szCs w:val="21"/>
                    </w:rPr>
                  </w:pPr>
                  <w:r>
                    <w:rPr>
                      <w:color w:val="auto"/>
                      <w:szCs w:val="21"/>
                    </w:rPr>
                    <w:t>废机油</w:t>
                  </w:r>
                </w:p>
              </w:tc>
              <w:tc>
                <w:tcPr>
                  <w:tcW w:w="1126" w:type="pct"/>
                  <w:vAlign w:val="center"/>
                </w:tcPr>
                <w:p>
                  <w:pPr>
                    <w:snapToGrid w:val="0"/>
                    <w:jc w:val="center"/>
                    <w:rPr>
                      <w:rFonts w:hint="eastAsia" w:eastAsia="宋体"/>
                      <w:color w:val="auto"/>
                      <w:szCs w:val="21"/>
                      <w:lang w:eastAsia="zh-CN"/>
                    </w:rPr>
                  </w:pPr>
                  <w:r>
                    <w:rPr>
                      <w:color w:val="auto"/>
                      <w:szCs w:val="21"/>
                    </w:rPr>
                    <w:t>泄漏和火灾</w:t>
                  </w:r>
                  <w:r>
                    <w:rPr>
                      <w:rFonts w:hint="eastAsia"/>
                      <w:color w:val="auto"/>
                      <w:szCs w:val="21"/>
                      <w:lang w:eastAsia="zh-CN"/>
                    </w:rPr>
                    <w:t>、电捕焦油器冲洗液</w:t>
                  </w:r>
                </w:p>
              </w:tc>
              <w:tc>
                <w:tcPr>
                  <w:tcW w:w="937" w:type="pct"/>
                  <w:vMerge w:val="continue"/>
                  <w:vAlign w:val="center"/>
                </w:tcPr>
                <w:p>
                  <w:pPr>
                    <w:jc w:val="center"/>
                    <w:rPr>
                      <w:color w:val="auto"/>
                      <w:szCs w:val="21"/>
                    </w:rPr>
                  </w:pPr>
                </w:p>
              </w:tc>
              <w:tc>
                <w:tcPr>
                  <w:tcW w:w="1042" w:type="pct"/>
                  <w:vMerge w:val="continue"/>
                  <w:vAlign w:val="center"/>
                </w:tcPr>
                <w:p>
                  <w:pPr>
                    <w:jc w:val="center"/>
                    <w:rPr>
                      <w:color w:val="auto"/>
                      <w:szCs w:val="21"/>
                    </w:rPr>
                  </w:pPr>
                </w:p>
              </w:tc>
            </w:tr>
          </w:tbl>
          <w:p>
            <w:pPr>
              <w:pStyle w:val="20"/>
              <w:widowControl w:val="0"/>
              <w:spacing w:before="0" w:beforeAutospacing="0" w:after="0" w:afterAutospacing="0" w:line="360" w:lineRule="auto"/>
              <w:ind w:firstLine="482" w:firstLineChars="200"/>
              <w:jc w:val="both"/>
              <w:rPr>
                <w:rFonts w:ascii="Times New Roman" w:hAnsi="Times New Roman"/>
                <w:b/>
                <w:bCs/>
                <w:color w:val="auto"/>
                <w:sz w:val="24"/>
                <w:szCs w:val="24"/>
              </w:rPr>
            </w:pPr>
            <w:r>
              <w:rPr>
                <w:rFonts w:hint="eastAsia" w:ascii="Times New Roman" w:hAnsi="Times New Roman"/>
                <w:b/>
                <w:bCs/>
                <w:color w:val="auto"/>
                <w:sz w:val="24"/>
                <w:szCs w:val="24"/>
              </w:rPr>
              <w:t>（2）环境风险分析</w:t>
            </w:r>
          </w:p>
          <w:p>
            <w:pPr>
              <w:adjustRightInd w:val="0"/>
              <w:snapToGrid w:val="0"/>
              <w:spacing w:line="360" w:lineRule="auto"/>
              <w:ind w:firstLine="480" w:firstLineChars="200"/>
              <w:rPr>
                <w:color w:val="auto"/>
                <w:sz w:val="24"/>
                <w:szCs w:val="24"/>
              </w:rPr>
            </w:pPr>
            <w:r>
              <w:rPr>
                <w:rFonts w:hint="eastAsia" w:ascii="宋体" w:hAnsi="宋体"/>
                <w:color w:val="auto"/>
                <w:sz w:val="24"/>
                <w:szCs w:val="24"/>
              </w:rPr>
              <w:t>①</w:t>
            </w:r>
            <w:r>
              <w:rPr>
                <w:color w:val="auto"/>
                <w:sz w:val="24"/>
                <w:szCs w:val="24"/>
              </w:rPr>
              <w:t>大气环境风险分析</w:t>
            </w:r>
          </w:p>
          <w:p>
            <w:pPr>
              <w:adjustRightInd w:val="0"/>
              <w:snapToGrid w:val="0"/>
              <w:spacing w:line="360" w:lineRule="auto"/>
              <w:ind w:firstLine="480" w:firstLineChars="200"/>
              <w:rPr>
                <w:color w:val="auto"/>
                <w:sz w:val="24"/>
                <w:szCs w:val="24"/>
              </w:rPr>
            </w:pPr>
            <w:r>
              <w:rPr>
                <w:rFonts w:hint="eastAsia"/>
                <w:color w:val="auto"/>
                <w:sz w:val="24"/>
                <w:szCs w:val="24"/>
              </w:rPr>
              <w:t>项目生产设备</w:t>
            </w:r>
            <w:r>
              <w:rPr>
                <w:color w:val="auto"/>
                <w:sz w:val="24"/>
                <w:szCs w:val="24"/>
              </w:rPr>
              <w:t>机修产生的废</w:t>
            </w:r>
            <w:r>
              <w:rPr>
                <w:rFonts w:hint="eastAsia"/>
                <w:color w:val="auto"/>
                <w:sz w:val="24"/>
                <w:szCs w:val="24"/>
              </w:rPr>
              <w:t>润滑油</w:t>
            </w:r>
            <w:r>
              <w:rPr>
                <w:color w:val="auto"/>
                <w:sz w:val="24"/>
                <w:szCs w:val="24"/>
              </w:rPr>
              <w:t>采用桶装暂存，最大储存量约</w:t>
            </w:r>
            <w:r>
              <w:rPr>
                <w:rFonts w:hint="eastAsia"/>
                <w:color w:val="auto"/>
                <w:sz w:val="24"/>
                <w:szCs w:val="24"/>
                <w:lang w:val="en-US" w:eastAsia="zh-CN"/>
              </w:rPr>
              <w:t>1.0</w:t>
            </w:r>
            <w:r>
              <w:rPr>
                <w:color w:val="auto"/>
                <w:sz w:val="24"/>
                <w:szCs w:val="24"/>
              </w:rPr>
              <w:t>t，产生量较少</w:t>
            </w:r>
            <w:r>
              <w:rPr>
                <w:rFonts w:hint="eastAsia"/>
                <w:color w:val="auto"/>
                <w:sz w:val="24"/>
                <w:szCs w:val="24"/>
              </w:rPr>
              <w:t>，</w:t>
            </w:r>
            <w:r>
              <w:rPr>
                <w:color w:val="auto"/>
                <w:sz w:val="24"/>
                <w:szCs w:val="24"/>
              </w:rPr>
              <w:t>当</w:t>
            </w:r>
            <w:r>
              <w:rPr>
                <w:rFonts w:hint="eastAsia"/>
                <w:color w:val="auto"/>
                <w:sz w:val="24"/>
                <w:szCs w:val="24"/>
              </w:rPr>
              <w:t>油品</w:t>
            </w:r>
            <w:r>
              <w:rPr>
                <w:color w:val="auto"/>
                <w:sz w:val="24"/>
                <w:szCs w:val="24"/>
              </w:rPr>
              <w:t>泄漏时，将会挥发少量有机气体，逸散到空气中对大气环境造成影响。泄漏后的</w:t>
            </w:r>
            <w:r>
              <w:rPr>
                <w:rFonts w:hint="eastAsia"/>
                <w:color w:val="auto"/>
                <w:sz w:val="24"/>
                <w:szCs w:val="24"/>
              </w:rPr>
              <w:t>油品</w:t>
            </w:r>
            <w:r>
              <w:rPr>
                <w:color w:val="auto"/>
                <w:sz w:val="24"/>
                <w:szCs w:val="24"/>
              </w:rPr>
              <w:t>遇明火会发生火灾，火灾事故时会分解产生CO、CO</w:t>
            </w:r>
            <w:r>
              <w:rPr>
                <w:color w:val="auto"/>
                <w:sz w:val="24"/>
                <w:szCs w:val="24"/>
                <w:vertAlign w:val="subscript"/>
              </w:rPr>
              <w:t>2</w:t>
            </w:r>
            <w:r>
              <w:rPr>
                <w:color w:val="auto"/>
                <w:sz w:val="24"/>
                <w:szCs w:val="24"/>
              </w:rPr>
              <w:t>。运营过程中在认真落实风险防范措施，通过加强生产设备日常检修，</w:t>
            </w:r>
            <w:r>
              <w:rPr>
                <w:rFonts w:hint="eastAsia"/>
                <w:color w:val="auto"/>
                <w:sz w:val="24"/>
                <w:szCs w:val="24"/>
              </w:rPr>
              <w:t>危废间</w:t>
            </w:r>
            <w:r>
              <w:rPr>
                <w:color w:val="auto"/>
                <w:sz w:val="24"/>
                <w:szCs w:val="24"/>
              </w:rPr>
              <w:t>设置禁止吸烟、禁止明火等标志，加强员工安全防火意识，</w:t>
            </w:r>
            <w:r>
              <w:rPr>
                <w:rFonts w:hint="eastAsia"/>
                <w:color w:val="auto"/>
                <w:sz w:val="24"/>
                <w:szCs w:val="24"/>
              </w:rPr>
              <w:t>车间</w:t>
            </w:r>
            <w:r>
              <w:rPr>
                <w:color w:val="auto"/>
                <w:sz w:val="24"/>
                <w:szCs w:val="24"/>
              </w:rPr>
              <w:t>设置灭火器等相应防火应急措施后，发生风险概率很小，项目大气环境风险可控，对大气环境影响是可以接受的。</w:t>
            </w:r>
          </w:p>
          <w:p>
            <w:pPr>
              <w:adjustRightInd w:val="0"/>
              <w:snapToGrid w:val="0"/>
              <w:spacing w:line="360" w:lineRule="auto"/>
              <w:ind w:firstLine="480" w:firstLineChars="200"/>
              <w:rPr>
                <w:color w:val="auto"/>
                <w:sz w:val="24"/>
                <w:szCs w:val="24"/>
              </w:rPr>
            </w:pPr>
            <w:r>
              <w:rPr>
                <w:rFonts w:hint="eastAsia" w:ascii="宋体" w:hAnsi="宋体"/>
                <w:color w:val="auto"/>
                <w:sz w:val="24"/>
                <w:szCs w:val="24"/>
              </w:rPr>
              <w:t>②</w:t>
            </w:r>
            <w:r>
              <w:rPr>
                <w:color w:val="auto"/>
                <w:sz w:val="24"/>
                <w:szCs w:val="24"/>
              </w:rPr>
              <w:t>地表水环境风险分析</w:t>
            </w:r>
          </w:p>
          <w:p>
            <w:pPr>
              <w:adjustRightInd w:val="0"/>
              <w:snapToGrid w:val="0"/>
              <w:spacing w:line="360" w:lineRule="auto"/>
              <w:ind w:firstLine="480" w:firstLineChars="200"/>
              <w:rPr>
                <w:color w:val="auto"/>
                <w:sz w:val="24"/>
                <w:szCs w:val="24"/>
              </w:rPr>
            </w:pPr>
            <w:r>
              <w:rPr>
                <w:color w:val="auto"/>
                <w:sz w:val="24"/>
                <w:szCs w:val="24"/>
              </w:rPr>
              <w:t>项目危废暂存间内暂存的废润滑油一旦发生泄漏或人为丢弃进入地表水体，将会对水质造成一定的影响，浓度较高时会导致水体中动植物死亡，造成地表水体污染。项目所在区域最近的地表水体为南盘江，南盘江距离项目</w:t>
            </w:r>
            <w:r>
              <w:rPr>
                <w:rFonts w:hint="eastAsia"/>
                <w:color w:val="auto"/>
                <w:sz w:val="24"/>
                <w:szCs w:val="24"/>
              </w:rPr>
              <w:t>南</w:t>
            </w:r>
            <w:r>
              <w:rPr>
                <w:color w:val="auto"/>
                <w:sz w:val="24"/>
                <w:szCs w:val="24"/>
              </w:rPr>
              <w:t>侧直线距离</w:t>
            </w:r>
            <w:r>
              <w:rPr>
                <w:rFonts w:hint="eastAsia"/>
                <w:color w:val="auto"/>
                <w:sz w:val="24"/>
                <w:szCs w:val="24"/>
                <w:lang w:val="en-US" w:eastAsia="zh-CN"/>
              </w:rPr>
              <w:t>1.53</w:t>
            </w:r>
            <w:r>
              <w:rPr>
                <w:rFonts w:hint="eastAsia"/>
                <w:color w:val="auto"/>
                <w:sz w:val="24"/>
                <w:szCs w:val="24"/>
              </w:rPr>
              <w:t>k</w:t>
            </w:r>
            <w:r>
              <w:rPr>
                <w:color w:val="auto"/>
                <w:sz w:val="24"/>
                <w:szCs w:val="24"/>
              </w:rPr>
              <w:t>m，距离本项目较远，本项目废润滑油储存量不大，采用专用桶收集存放，不易发生泄漏。危废暂存间根据《危险废物贮存污染控制标准》（GB18597-2023）相关要求进行防渗、防雨等，泄漏可控制在危废暂存间内。发生火灾后及时采取应急措施，设置围堵设施，消防废水可控制在厂界内，不会排入南盘江。综上，项目在采取相应</w:t>
            </w:r>
            <w:r>
              <w:rPr>
                <w:rFonts w:hint="eastAsia"/>
                <w:color w:val="auto"/>
                <w:sz w:val="24"/>
                <w:szCs w:val="24"/>
              </w:rPr>
              <w:t>的</w:t>
            </w:r>
            <w:r>
              <w:rPr>
                <w:color w:val="auto"/>
                <w:sz w:val="24"/>
                <w:szCs w:val="24"/>
              </w:rPr>
              <w:t>应急措施后，风险可控。</w:t>
            </w:r>
          </w:p>
          <w:p>
            <w:pPr>
              <w:adjustRightInd w:val="0"/>
              <w:snapToGrid w:val="0"/>
              <w:spacing w:line="360" w:lineRule="auto"/>
              <w:ind w:firstLine="480" w:firstLineChars="200"/>
              <w:rPr>
                <w:color w:val="auto"/>
                <w:sz w:val="24"/>
                <w:szCs w:val="24"/>
              </w:rPr>
            </w:pPr>
            <w:r>
              <w:rPr>
                <w:rFonts w:hint="eastAsia" w:ascii="宋体" w:hAnsi="宋体"/>
                <w:color w:val="auto"/>
                <w:sz w:val="24"/>
                <w:szCs w:val="24"/>
              </w:rPr>
              <w:t>③</w:t>
            </w:r>
            <w:r>
              <w:rPr>
                <w:color w:val="auto"/>
                <w:sz w:val="24"/>
                <w:szCs w:val="24"/>
              </w:rPr>
              <w:t>地下水</w:t>
            </w:r>
            <w:r>
              <w:rPr>
                <w:rFonts w:hint="eastAsia"/>
                <w:color w:val="auto"/>
                <w:sz w:val="24"/>
                <w:szCs w:val="24"/>
              </w:rPr>
              <w:t>、</w:t>
            </w:r>
            <w:r>
              <w:rPr>
                <w:color w:val="auto"/>
                <w:sz w:val="24"/>
                <w:szCs w:val="24"/>
              </w:rPr>
              <w:t>土壤环境风险分析</w:t>
            </w:r>
          </w:p>
          <w:p>
            <w:pPr>
              <w:pStyle w:val="20"/>
              <w:widowControl w:val="0"/>
              <w:spacing w:before="0" w:beforeAutospacing="0" w:after="0" w:afterAutospacing="0" w:line="360" w:lineRule="auto"/>
              <w:ind w:firstLine="480" w:firstLineChars="200"/>
              <w:jc w:val="both"/>
              <w:rPr>
                <w:rFonts w:hint="eastAsia"/>
                <w:color w:val="auto"/>
                <w:sz w:val="24"/>
                <w:szCs w:val="24"/>
              </w:rPr>
            </w:pPr>
            <w:r>
              <w:rPr>
                <w:color w:val="auto"/>
                <w:sz w:val="24"/>
                <w:szCs w:val="24"/>
              </w:rPr>
              <w:t>项目</w:t>
            </w:r>
            <w:r>
              <w:rPr>
                <w:rFonts w:hint="eastAsia"/>
                <w:color w:val="auto"/>
                <w:sz w:val="24"/>
                <w:szCs w:val="24"/>
              </w:rPr>
              <w:t>废</w:t>
            </w:r>
            <w:r>
              <w:rPr>
                <w:color w:val="auto"/>
                <w:sz w:val="24"/>
                <w:szCs w:val="24"/>
              </w:rPr>
              <w:t>润滑油一旦发生泄漏事故，若防渗措施不到位，有可能渗入土壤，最终会引起地下水污染。本次环评提出，危废暂存间应</w:t>
            </w:r>
            <w:r>
              <w:rPr>
                <w:rFonts w:hint="eastAsia"/>
                <w:color w:val="auto"/>
                <w:sz w:val="24"/>
                <w:szCs w:val="24"/>
              </w:rPr>
              <w:t>按照</w:t>
            </w:r>
            <w:r>
              <w:rPr>
                <w:rFonts w:ascii="Times New Roman" w:hAnsi="Times New Roman"/>
                <w:color w:val="auto"/>
                <w:sz w:val="24"/>
                <w:szCs w:val="24"/>
              </w:rPr>
              <w:t>《危险废物贮存污染控制标准》（GB18597-2023）</w:t>
            </w:r>
            <w:r>
              <w:rPr>
                <w:rFonts w:hint="eastAsia" w:ascii="Times New Roman" w:hAnsi="Times New Roman"/>
                <w:color w:val="auto"/>
                <w:sz w:val="24"/>
                <w:szCs w:val="24"/>
              </w:rPr>
              <w:t>要求采取防渗措施，</w:t>
            </w:r>
            <w:r>
              <w:rPr>
                <w:color w:val="auto"/>
                <w:sz w:val="24"/>
                <w:szCs w:val="24"/>
              </w:rPr>
              <w:t>设置应急备用储存设施，若发生泄漏，应派专人及时对其处理，并应做好工作人员的防护。在采取本次环评提出的措施后，可保证危险物质在泄漏事故情况下不会直接进入土壤环境从而渗入地下污染地下水。发生泄漏后若立即采取有效措施，影响是短时间的，环境风险是可控的</w:t>
            </w:r>
            <w:r>
              <w:rPr>
                <w:rFonts w:hint="eastAsia"/>
                <w:color w:val="auto"/>
                <w:sz w:val="24"/>
                <w:szCs w:val="24"/>
              </w:rPr>
              <w:t>。</w:t>
            </w:r>
          </w:p>
          <w:p>
            <w:pPr>
              <w:pStyle w:val="20"/>
              <w:widowControl w:val="0"/>
              <w:spacing w:before="0" w:beforeAutospacing="0" w:after="0" w:afterAutospacing="0" w:line="360" w:lineRule="auto"/>
              <w:ind w:firstLine="482" w:firstLineChars="200"/>
              <w:jc w:val="both"/>
              <w:rPr>
                <w:rFonts w:ascii="Times New Roman" w:hAnsi="Times New Roman"/>
                <w:b/>
                <w:bCs/>
                <w:color w:val="auto"/>
                <w:sz w:val="24"/>
                <w:szCs w:val="24"/>
              </w:rPr>
            </w:pPr>
            <w:r>
              <w:rPr>
                <w:rFonts w:hint="eastAsia" w:ascii="Times New Roman" w:hAnsi="Times New Roman"/>
                <w:b/>
                <w:bCs/>
                <w:color w:val="auto"/>
                <w:sz w:val="24"/>
                <w:szCs w:val="24"/>
              </w:rPr>
              <w:t>（3）环境风险防范措施</w:t>
            </w:r>
          </w:p>
          <w:p>
            <w:pPr>
              <w:pStyle w:val="20"/>
              <w:widowControl w:val="0"/>
              <w:spacing w:before="0" w:beforeAutospacing="0" w:after="0" w:afterAutospacing="0" w:line="360" w:lineRule="auto"/>
              <w:ind w:firstLine="480" w:firstLineChars="200"/>
              <w:jc w:val="both"/>
              <w:rPr>
                <w:rFonts w:ascii="Times New Roman" w:hAnsi="Times New Roman"/>
                <w:color w:val="auto"/>
                <w:sz w:val="24"/>
                <w:szCs w:val="24"/>
              </w:rPr>
            </w:pPr>
            <w:r>
              <w:rPr>
                <w:rFonts w:hint="eastAsia"/>
                <w:color w:val="auto"/>
                <w:sz w:val="24"/>
                <w:szCs w:val="24"/>
              </w:rPr>
              <w:t>①</w:t>
            </w:r>
            <w:r>
              <w:rPr>
                <w:rFonts w:ascii="Times New Roman" w:hAnsi="Times New Roman"/>
                <w:color w:val="auto"/>
                <w:sz w:val="24"/>
                <w:szCs w:val="24"/>
              </w:rPr>
              <w:t>废润滑油储存于危废暂存间内，危废暂存间按照《危险废物贮存污染控制标准》（GB18597-2023）及本环评提出的要求进行建设，做好防腐蚀、防渗漏、防流失，且委托有资质的危险废物处置单位清运处置。</w:t>
            </w:r>
          </w:p>
          <w:p>
            <w:pPr>
              <w:pStyle w:val="20"/>
              <w:widowControl w:val="0"/>
              <w:spacing w:before="0" w:beforeAutospacing="0" w:after="0" w:afterAutospacing="0" w:line="360" w:lineRule="auto"/>
              <w:ind w:firstLine="480" w:firstLineChars="200"/>
              <w:jc w:val="both"/>
              <w:rPr>
                <w:rFonts w:ascii="Times New Roman" w:hAnsi="Times New Roman"/>
                <w:color w:val="auto"/>
                <w:sz w:val="24"/>
                <w:szCs w:val="24"/>
              </w:rPr>
            </w:pPr>
            <w:r>
              <w:rPr>
                <w:rFonts w:hint="eastAsia"/>
                <w:color w:val="auto"/>
                <w:sz w:val="24"/>
                <w:szCs w:val="24"/>
              </w:rPr>
              <w:t>②再生</w:t>
            </w:r>
            <w:r>
              <w:rPr>
                <w:rFonts w:ascii="Times New Roman" w:hAnsi="Times New Roman"/>
                <w:color w:val="auto"/>
                <w:sz w:val="24"/>
                <w:szCs w:val="24"/>
              </w:rPr>
              <w:t>塑料颗粒成品（PE、PP）存放于仓库内，远离火源、热源</w:t>
            </w:r>
            <w:r>
              <w:rPr>
                <w:rFonts w:hint="eastAsia" w:ascii="Times New Roman" w:hAnsi="Times New Roman"/>
                <w:color w:val="auto"/>
                <w:sz w:val="24"/>
                <w:szCs w:val="24"/>
              </w:rPr>
              <w:t>。</w:t>
            </w:r>
          </w:p>
          <w:p>
            <w:pPr>
              <w:pStyle w:val="20"/>
              <w:widowControl w:val="0"/>
              <w:spacing w:before="0" w:beforeAutospacing="0" w:after="0" w:afterAutospacing="0" w:line="360" w:lineRule="auto"/>
              <w:ind w:firstLine="480" w:firstLineChars="200"/>
              <w:jc w:val="both"/>
              <w:rPr>
                <w:rFonts w:ascii="Times New Roman" w:hAnsi="Times New Roman"/>
                <w:color w:val="auto"/>
                <w:sz w:val="24"/>
                <w:szCs w:val="24"/>
              </w:rPr>
            </w:pPr>
            <w:r>
              <w:rPr>
                <w:rFonts w:hint="eastAsia"/>
                <w:color w:val="auto"/>
                <w:sz w:val="24"/>
                <w:szCs w:val="24"/>
              </w:rPr>
              <w:t>③按照消防要求</w:t>
            </w:r>
            <w:r>
              <w:rPr>
                <w:color w:val="auto"/>
                <w:sz w:val="24"/>
                <w:szCs w:val="24"/>
              </w:rPr>
              <w:t>配备消防设施，如灭火器、消防沙等，并定期检查，确保</w:t>
            </w:r>
            <w:r>
              <w:rPr>
                <w:rFonts w:hint="eastAsia"/>
                <w:color w:val="auto"/>
                <w:sz w:val="24"/>
                <w:szCs w:val="24"/>
                <w:lang w:eastAsia="zh-CN"/>
              </w:rPr>
              <w:t>消防设施</w:t>
            </w:r>
            <w:r>
              <w:rPr>
                <w:color w:val="auto"/>
                <w:sz w:val="24"/>
                <w:szCs w:val="24"/>
              </w:rPr>
              <w:t>有效使用</w:t>
            </w:r>
            <w:r>
              <w:rPr>
                <w:rFonts w:hint="eastAsia"/>
                <w:color w:val="auto"/>
                <w:sz w:val="24"/>
                <w:szCs w:val="24"/>
              </w:rPr>
              <w:t>。</w:t>
            </w:r>
          </w:p>
          <w:p>
            <w:pPr>
              <w:adjustRightInd w:val="0"/>
              <w:snapToGrid w:val="0"/>
              <w:spacing w:line="360" w:lineRule="auto"/>
              <w:ind w:firstLine="480" w:firstLineChars="200"/>
              <w:rPr>
                <w:color w:val="auto"/>
                <w:sz w:val="24"/>
                <w:szCs w:val="24"/>
              </w:rPr>
            </w:pPr>
            <w:r>
              <w:rPr>
                <w:rFonts w:hint="eastAsia" w:ascii="宋体" w:hAnsi="宋体"/>
                <w:color w:val="auto"/>
                <w:sz w:val="24"/>
                <w:szCs w:val="24"/>
              </w:rPr>
              <w:t>④</w:t>
            </w:r>
            <w:r>
              <w:rPr>
                <w:color w:val="auto"/>
                <w:sz w:val="24"/>
                <w:szCs w:val="24"/>
              </w:rPr>
              <w:t>加强管理，定期对员工进行培训教育，定期对装置或设施进行检修维护。</w:t>
            </w:r>
          </w:p>
          <w:p>
            <w:pPr>
              <w:pStyle w:val="20"/>
              <w:widowControl w:val="0"/>
              <w:spacing w:before="0" w:beforeAutospacing="0" w:after="0" w:afterAutospacing="0" w:line="360" w:lineRule="auto"/>
              <w:ind w:firstLine="480" w:firstLineChars="200"/>
              <w:jc w:val="both"/>
              <w:rPr>
                <w:rFonts w:hint="eastAsia"/>
                <w:color w:val="auto"/>
                <w:sz w:val="24"/>
                <w:szCs w:val="24"/>
              </w:rPr>
            </w:pPr>
            <w:r>
              <w:rPr>
                <w:rFonts w:hint="eastAsia"/>
                <w:color w:val="auto"/>
                <w:sz w:val="24"/>
                <w:szCs w:val="24"/>
              </w:rPr>
              <w:t>⑤</w:t>
            </w:r>
            <w:r>
              <w:rPr>
                <w:color w:val="auto"/>
                <w:sz w:val="24"/>
                <w:szCs w:val="24"/>
              </w:rPr>
              <w:t>管理人员必须清楚消防通道、消防设施所在地点，保持道路畅通，要会报警、会使用、保养灭火器</w:t>
            </w:r>
            <w:r>
              <w:rPr>
                <w:rFonts w:hint="eastAsia"/>
                <w:color w:val="auto"/>
                <w:sz w:val="24"/>
                <w:szCs w:val="24"/>
              </w:rPr>
              <w:t>。</w:t>
            </w:r>
          </w:p>
          <w:p>
            <w:pPr>
              <w:pStyle w:val="20"/>
              <w:widowControl w:val="0"/>
              <w:spacing w:before="0" w:beforeAutospacing="0" w:after="0" w:afterAutospacing="0" w:line="360" w:lineRule="auto"/>
              <w:ind w:firstLine="480" w:firstLineChars="200"/>
              <w:jc w:val="both"/>
              <w:rPr>
                <w:rFonts w:hint="eastAsia"/>
                <w:color w:val="auto"/>
                <w:sz w:val="24"/>
                <w:szCs w:val="24"/>
              </w:rPr>
            </w:pPr>
            <w:r>
              <w:rPr>
                <w:rFonts w:hint="eastAsia"/>
                <w:color w:val="auto"/>
                <w:sz w:val="24"/>
                <w:szCs w:val="24"/>
              </w:rPr>
              <w:t>⑥日常派专人检查废气、废水治理设施，确保设施正常稳定运行，若发生废气事故排放、废水泄漏等事故，立即停产检修。</w:t>
            </w:r>
          </w:p>
          <w:p>
            <w:pPr>
              <w:pStyle w:val="20"/>
              <w:widowControl w:val="0"/>
              <w:spacing w:before="0" w:beforeAutospacing="0" w:after="0" w:afterAutospacing="0" w:line="360" w:lineRule="auto"/>
              <w:ind w:firstLine="480" w:firstLineChars="200"/>
              <w:jc w:val="both"/>
              <w:rPr>
                <w:rFonts w:ascii="Times New Roman" w:hAnsi="Times New Roman"/>
                <w:color w:val="auto"/>
                <w:sz w:val="24"/>
                <w:szCs w:val="24"/>
              </w:rPr>
            </w:pPr>
            <w:r>
              <w:rPr>
                <w:rFonts w:hint="eastAsia"/>
                <w:color w:val="auto"/>
                <w:sz w:val="24"/>
                <w:szCs w:val="24"/>
              </w:rPr>
              <w:t>⑦</w:t>
            </w:r>
            <w:r>
              <w:rPr>
                <w:rFonts w:ascii="Times New Roman" w:hAnsi="Times New Roman"/>
                <w:color w:val="auto"/>
                <w:sz w:val="24"/>
                <w:szCs w:val="24"/>
              </w:rPr>
              <w:t>原料、产品运输管理要求：采用密闭运输车辆进行运输，运输过程中车厢密闭装置完好，防止物料泄漏污染道路；装载和卸载物料时有人指挥，物料装</w:t>
            </w:r>
            <w:r>
              <w:rPr>
                <w:rFonts w:hint="eastAsia" w:ascii="Times New Roman" w:hAnsi="Times New Roman"/>
                <w:color w:val="auto"/>
                <w:sz w:val="24"/>
                <w:szCs w:val="24"/>
              </w:rPr>
              <w:t>平</w:t>
            </w:r>
            <w:r>
              <w:rPr>
                <w:rFonts w:ascii="Times New Roman" w:hAnsi="Times New Roman"/>
                <w:color w:val="auto"/>
                <w:sz w:val="24"/>
                <w:szCs w:val="24"/>
              </w:rPr>
              <w:t>，严禁超重。</w:t>
            </w:r>
          </w:p>
          <w:p>
            <w:pPr>
              <w:pStyle w:val="20"/>
              <w:widowControl w:val="0"/>
              <w:spacing w:before="0" w:beforeAutospacing="0" w:after="0" w:afterAutospacing="0" w:line="360" w:lineRule="auto"/>
              <w:ind w:firstLine="480" w:firstLineChars="200"/>
              <w:jc w:val="both"/>
              <w:rPr>
                <w:rFonts w:hint="eastAsia"/>
                <w:color w:val="auto"/>
                <w:sz w:val="24"/>
                <w:szCs w:val="24"/>
              </w:rPr>
            </w:pPr>
            <w:r>
              <w:rPr>
                <w:rFonts w:hint="eastAsia"/>
                <w:color w:val="auto"/>
                <w:sz w:val="24"/>
                <w:szCs w:val="24"/>
              </w:rPr>
              <w:t>⑧针对项目可能发生的突发环境事件，为了将风险事故率降到最低，项目建成后，建设单位应按《关于印发</w:t>
            </w:r>
            <w:r>
              <w:rPr>
                <w:rFonts w:hint="eastAsia"/>
                <w:color w:val="auto"/>
                <w:sz w:val="24"/>
                <w:szCs w:val="24"/>
                <w:lang w:eastAsia="zh-CN"/>
              </w:rPr>
              <w:t>〈</w:t>
            </w:r>
            <w:r>
              <w:rPr>
                <w:rFonts w:hint="eastAsia"/>
                <w:color w:val="auto"/>
                <w:sz w:val="24"/>
                <w:szCs w:val="24"/>
              </w:rPr>
              <w:t>企业事业单位突发环境事件应急预案管理办法（试行）</w:t>
            </w:r>
            <w:r>
              <w:rPr>
                <w:rFonts w:hint="eastAsia"/>
                <w:color w:val="auto"/>
                <w:sz w:val="24"/>
                <w:szCs w:val="24"/>
                <w:lang w:eastAsia="zh-CN"/>
              </w:rPr>
              <w:t>〉的通知》</w:t>
            </w:r>
            <w:r>
              <w:rPr>
                <w:rFonts w:hint="eastAsia"/>
                <w:color w:val="auto"/>
                <w:sz w:val="24"/>
                <w:szCs w:val="24"/>
              </w:rPr>
              <w:t>及时编制应急预案并报送当地生态环境部门备案，应急预案发布实施后及时公示并开展</w:t>
            </w:r>
            <w:r>
              <w:rPr>
                <w:rFonts w:hint="eastAsia" w:ascii="Times New Roman" w:hAnsi="Times New Roman"/>
                <w:color w:val="auto"/>
                <w:sz w:val="24"/>
                <w:szCs w:val="24"/>
              </w:rPr>
              <w:t>演练。在出现突发环境事件时，有一定计划进行抢险、救险，使事故产生的影响范围得以减小，把财产损失率及人员伤亡率降到最低，使企业生产影响降到最低。</w:t>
            </w:r>
          </w:p>
          <w:p>
            <w:pPr>
              <w:pStyle w:val="20"/>
              <w:widowControl w:val="0"/>
              <w:spacing w:before="0" w:beforeAutospacing="0" w:after="0" w:afterAutospacing="0" w:line="360" w:lineRule="auto"/>
              <w:ind w:firstLine="482" w:firstLineChars="200"/>
              <w:jc w:val="both"/>
              <w:rPr>
                <w:rFonts w:ascii="Times New Roman" w:hAnsi="Times New Roman"/>
                <w:b/>
                <w:bCs/>
                <w:color w:val="auto"/>
                <w:sz w:val="24"/>
                <w:szCs w:val="24"/>
              </w:rPr>
            </w:pPr>
            <w:r>
              <w:rPr>
                <w:rFonts w:hint="eastAsia" w:ascii="Times New Roman" w:hAnsi="Times New Roman"/>
                <w:b/>
                <w:bCs/>
                <w:color w:val="auto"/>
                <w:sz w:val="24"/>
                <w:szCs w:val="24"/>
              </w:rPr>
              <w:t>（4）分析结论</w:t>
            </w:r>
          </w:p>
          <w:p>
            <w:pPr>
              <w:pStyle w:val="20"/>
              <w:widowControl w:val="0"/>
              <w:spacing w:before="0" w:beforeAutospacing="0" w:after="0" w:afterAutospacing="0" w:line="360" w:lineRule="auto"/>
              <w:ind w:firstLine="480" w:firstLineChars="200"/>
              <w:jc w:val="both"/>
              <w:rPr>
                <w:rFonts w:hint="eastAsia"/>
                <w:color w:val="auto"/>
                <w:sz w:val="24"/>
                <w:szCs w:val="24"/>
              </w:rPr>
            </w:pPr>
            <w:r>
              <w:rPr>
                <w:rFonts w:hint="eastAsia"/>
                <w:color w:val="auto"/>
                <w:sz w:val="24"/>
                <w:szCs w:val="24"/>
              </w:rPr>
              <w:t>通过加强风险防范措施，可以有效</w:t>
            </w:r>
            <w:r>
              <w:rPr>
                <w:rFonts w:hint="eastAsia"/>
                <w:color w:val="auto"/>
                <w:sz w:val="24"/>
                <w:szCs w:val="24"/>
                <w:lang w:eastAsia="zh-CN"/>
              </w:rPr>
              <w:t>地</w:t>
            </w:r>
            <w:r>
              <w:rPr>
                <w:rFonts w:hint="eastAsia"/>
                <w:color w:val="auto"/>
                <w:sz w:val="24"/>
                <w:szCs w:val="24"/>
              </w:rPr>
              <w:t>防范风险事故的发生和处置，本项目发生的环境风险可以控制在较低的水平，建设项目的事故风险值处于可接受水平，风险防范措施和应急预案有效可靠，从环境风险角度分析该项目建设可行。</w:t>
            </w:r>
          </w:p>
          <w:p>
            <w:pPr>
              <w:pStyle w:val="20"/>
              <w:widowControl w:val="0"/>
              <w:spacing w:before="0" w:beforeAutospacing="0" w:after="0" w:afterAutospacing="0" w:line="360" w:lineRule="auto"/>
              <w:ind w:firstLine="480" w:firstLineChars="200"/>
              <w:jc w:val="both"/>
              <w:rPr>
                <w:rFonts w:ascii="Times New Roman" w:hAnsi="Times New Roman"/>
                <w:b/>
                <w:bCs/>
                <w:color w:val="auto"/>
                <w:sz w:val="21"/>
                <w:szCs w:val="21"/>
              </w:rPr>
            </w:pPr>
            <w:r>
              <w:rPr>
                <w:rFonts w:hint="eastAsia" w:ascii="Times New Roman" w:hAnsi="Times New Roman"/>
                <w:color w:val="auto"/>
                <w:sz w:val="24"/>
                <w:szCs w:val="24"/>
              </w:rPr>
              <w:t>本项目环境风险影响仅进行简单分析，简单分析主要内容见下表。</w:t>
            </w:r>
          </w:p>
          <w:p>
            <w:pPr>
              <w:adjustRightInd w:val="0"/>
              <w:snapToGrid w:val="0"/>
              <w:spacing w:line="276" w:lineRule="auto"/>
              <w:jc w:val="center"/>
              <w:rPr>
                <w:bCs/>
                <w:color w:val="auto"/>
                <w:sz w:val="24"/>
                <w:szCs w:val="24"/>
              </w:rPr>
            </w:pPr>
            <w:r>
              <w:rPr>
                <w:b/>
                <w:color w:val="auto"/>
                <w:sz w:val="24"/>
                <w:szCs w:val="24"/>
              </w:rPr>
              <w:t>表4-</w:t>
            </w:r>
            <w:r>
              <w:rPr>
                <w:rFonts w:hint="eastAsia"/>
                <w:b/>
                <w:color w:val="auto"/>
                <w:sz w:val="24"/>
                <w:szCs w:val="24"/>
                <w:lang w:val="en-US" w:eastAsia="zh-CN"/>
              </w:rPr>
              <w:t>17</w:t>
            </w:r>
            <w:r>
              <w:rPr>
                <w:b/>
                <w:color w:val="auto"/>
                <w:sz w:val="24"/>
                <w:szCs w:val="24"/>
              </w:rPr>
              <w:t xml:space="preserve">  建设项目环境风险简单分析内容表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4"/>
              <w:gridCol w:w="990"/>
              <w:gridCol w:w="2050"/>
              <w:gridCol w:w="723"/>
              <w:gridCol w:w="2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6" w:type="pct"/>
                  <w:vAlign w:val="center"/>
                </w:tcPr>
                <w:p>
                  <w:pPr>
                    <w:jc w:val="center"/>
                    <w:rPr>
                      <w:color w:val="auto"/>
                      <w:szCs w:val="21"/>
                    </w:rPr>
                  </w:pPr>
                  <w:r>
                    <w:rPr>
                      <w:b/>
                      <w:color w:val="auto"/>
                      <w:szCs w:val="21"/>
                    </w:rPr>
                    <w:t>建设项目名称</w:t>
                  </w:r>
                </w:p>
              </w:tc>
              <w:tc>
                <w:tcPr>
                  <w:tcW w:w="3953" w:type="pct"/>
                  <w:gridSpan w:val="4"/>
                  <w:vAlign w:val="center"/>
                </w:tcPr>
                <w:p>
                  <w:pPr>
                    <w:snapToGrid w:val="0"/>
                    <w:jc w:val="center"/>
                    <w:rPr>
                      <w:rFonts w:hint="eastAsia" w:eastAsia="宋体"/>
                      <w:color w:val="auto"/>
                      <w:szCs w:val="21"/>
                      <w:lang w:eastAsia="zh-CN"/>
                    </w:rPr>
                  </w:pPr>
                  <w:r>
                    <w:rPr>
                      <w:rFonts w:hint="eastAsia"/>
                      <w:color w:val="auto"/>
                      <w:szCs w:val="21"/>
                      <w:lang w:eastAsia="zh-CN"/>
                    </w:rPr>
                    <w:t>昆明温嘉环保科技有限公司年处理9万吨废塑料综合利用建设项目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1046" w:type="pct"/>
                  <w:vAlign w:val="center"/>
                </w:tcPr>
                <w:p>
                  <w:pPr>
                    <w:jc w:val="center"/>
                    <w:rPr>
                      <w:color w:val="auto"/>
                      <w:szCs w:val="21"/>
                    </w:rPr>
                  </w:pPr>
                  <w:r>
                    <w:rPr>
                      <w:b/>
                      <w:color w:val="auto"/>
                      <w:szCs w:val="21"/>
                    </w:rPr>
                    <w:t>建设地点</w:t>
                  </w:r>
                </w:p>
              </w:tc>
              <w:tc>
                <w:tcPr>
                  <w:tcW w:w="3953" w:type="pct"/>
                  <w:gridSpan w:val="4"/>
                  <w:vAlign w:val="center"/>
                </w:tcPr>
                <w:p>
                  <w:pPr>
                    <w:snapToGrid w:val="0"/>
                    <w:jc w:val="center"/>
                    <w:rPr>
                      <w:color w:val="auto"/>
                      <w:szCs w:val="21"/>
                    </w:rPr>
                  </w:pPr>
                  <w:r>
                    <w:rPr>
                      <w:rFonts w:hint="eastAsia"/>
                      <w:color w:val="auto"/>
                      <w:sz w:val="21"/>
                      <w:szCs w:val="21"/>
                    </w:rPr>
                    <w:t>宜良产业园区云南宝塑塑料管业有限公司厂房内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046" w:type="pct"/>
                  <w:vAlign w:val="center"/>
                </w:tcPr>
                <w:p>
                  <w:pPr>
                    <w:jc w:val="center"/>
                    <w:rPr>
                      <w:color w:val="auto"/>
                      <w:szCs w:val="21"/>
                    </w:rPr>
                  </w:pPr>
                  <w:r>
                    <w:rPr>
                      <w:b/>
                      <w:color w:val="auto"/>
                      <w:szCs w:val="21"/>
                    </w:rPr>
                    <w:t>地理坐标</w:t>
                  </w:r>
                </w:p>
              </w:tc>
              <w:tc>
                <w:tcPr>
                  <w:tcW w:w="593" w:type="pct"/>
                  <w:vAlign w:val="center"/>
                </w:tcPr>
                <w:p>
                  <w:pPr>
                    <w:snapToGrid w:val="0"/>
                    <w:jc w:val="center"/>
                    <w:rPr>
                      <w:color w:val="auto"/>
                      <w:szCs w:val="21"/>
                    </w:rPr>
                  </w:pPr>
                  <w:r>
                    <w:rPr>
                      <w:color w:val="auto"/>
                      <w:szCs w:val="21"/>
                    </w:rPr>
                    <w:t>经度</w:t>
                  </w:r>
                </w:p>
              </w:tc>
              <w:tc>
                <w:tcPr>
                  <w:tcW w:w="1230" w:type="pct"/>
                  <w:vAlign w:val="center"/>
                </w:tcPr>
                <w:p>
                  <w:pPr>
                    <w:snapToGrid w:val="0"/>
                    <w:jc w:val="center"/>
                    <w:rPr>
                      <w:color w:val="auto"/>
                      <w:szCs w:val="21"/>
                    </w:rPr>
                  </w:pPr>
                  <w:r>
                    <w:rPr>
                      <w:color w:val="auto"/>
                      <w:szCs w:val="21"/>
                    </w:rPr>
                    <w:t>东经</w:t>
                  </w:r>
                  <w:r>
                    <w:rPr>
                      <w:rFonts w:hint="eastAsia"/>
                      <w:color w:val="auto"/>
                      <w:szCs w:val="21"/>
                    </w:rPr>
                    <w:t>103度12分45.761秒</w:t>
                  </w:r>
                </w:p>
              </w:tc>
              <w:tc>
                <w:tcPr>
                  <w:tcW w:w="433" w:type="pct"/>
                  <w:vAlign w:val="center"/>
                </w:tcPr>
                <w:p>
                  <w:pPr>
                    <w:snapToGrid w:val="0"/>
                    <w:jc w:val="center"/>
                    <w:rPr>
                      <w:color w:val="auto"/>
                      <w:szCs w:val="21"/>
                    </w:rPr>
                  </w:pPr>
                  <w:r>
                    <w:rPr>
                      <w:color w:val="auto"/>
                      <w:szCs w:val="21"/>
                    </w:rPr>
                    <w:t>纬度</w:t>
                  </w:r>
                </w:p>
              </w:tc>
              <w:tc>
                <w:tcPr>
                  <w:tcW w:w="1695" w:type="pct"/>
                  <w:vAlign w:val="center"/>
                </w:tcPr>
                <w:p>
                  <w:pPr>
                    <w:snapToGrid w:val="0"/>
                    <w:jc w:val="center"/>
                    <w:rPr>
                      <w:color w:val="auto"/>
                      <w:szCs w:val="21"/>
                    </w:rPr>
                  </w:pPr>
                  <w:r>
                    <w:rPr>
                      <w:color w:val="auto"/>
                      <w:szCs w:val="21"/>
                    </w:rPr>
                    <w:t>北纬</w:t>
                  </w:r>
                  <w:r>
                    <w:rPr>
                      <w:rFonts w:hint="eastAsia"/>
                      <w:color w:val="auto"/>
                      <w:szCs w:val="21"/>
                    </w:rPr>
                    <w:t>25度0分24.163秒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046" w:type="pct"/>
                  <w:vAlign w:val="center"/>
                </w:tcPr>
                <w:p>
                  <w:pPr>
                    <w:snapToGrid w:val="0"/>
                    <w:jc w:val="center"/>
                    <w:rPr>
                      <w:b/>
                      <w:color w:val="auto"/>
                      <w:szCs w:val="21"/>
                    </w:rPr>
                  </w:pPr>
                  <w:r>
                    <w:rPr>
                      <w:b/>
                      <w:color w:val="auto"/>
                      <w:szCs w:val="21"/>
                    </w:rPr>
                    <w:t>主要危险物质和风险源分布情况</w:t>
                  </w:r>
                </w:p>
              </w:tc>
              <w:tc>
                <w:tcPr>
                  <w:tcW w:w="3953" w:type="pct"/>
                  <w:gridSpan w:val="4"/>
                  <w:vAlign w:val="center"/>
                </w:tcPr>
                <w:p>
                  <w:pPr>
                    <w:snapToGrid w:val="0"/>
                    <w:rPr>
                      <w:color w:val="auto"/>
                      <w:szCs w:val="21"/>
                    </w:rPr>
                  </w:pPr>
                  <w:r>
                    <w:rPr>
                      <w:color w:val="auto"/>
                      <w:szCs w:val="21"/>
                    </w:rPr>
                    <w:t>本项目主要危险物质为废润滑油，属于易燃物质，储存于危废暂存间内；以及</w:t>
                  </w:r>
                  <w:r>
                    <w:rPr>
                      <w:rFonts w:hint="eastAsia"/>
                      <w:color w:val="auto"/>
                      <w:szCs w:val="21"/>
                    </w:rPr>
                    <w:t>成品堆放区</w:t>
                  </w:r>
                  <w:r>
                    <w:rPr>
                      <w:color w:val="auto"/>
                      <w:szCs w:val="21"/>
                    </w:rPr>
                    <w:t>的</w:t>
                  </w:r>
                  <w:r>
                    <w:rPr>
                      <w:rFonts w:hint="eastAsia"/>
                      <w:color w:val="auto"/>
                      <w:szCs w:val="21"/>
                    </w:rPr>
                    <w:t>再生</w:t>
                  </w:r>
                  <w:r>
                    <w:rPr>
                      <w:color w:val="auto"/>
                      <w:szCs w:val="21"/>
                    </w:rPr>
                    <w:t>塑料</w:t>
                  </w:r>
                  <w:r>
                    <w:rPr>
                      <w:rFonts w:hint="eastAsia"/>
                      <w:color w:val="auto"/>
                      <w:szCs w:val="21"/>
                    </w:rPr>
                    <w:t>颗粒</w:t>
                  </w:r>
                  <w:r>
                    <w:rPr>
                      <w:color w:val="auto"/>
                      <w:szCs w:val="21"/>
                    </w:rPr>
                    <w:t>，</w:t>
                  </w:r>
                  <w:r>
                    <w:rPr>
                      <w:rFonts w:hint="eastAsia"/>
                      <w:color w:val="auto"/>
                      <w:szCs w:val="21"/>
                    </w:rPr>
                    <w:t>主要成分为</w:t>
                  </w:r>
                  <w:r>
                    <w:rPr>
                      <w:color w:val="auto"/>
                      <w:szCs w:val="21"/>
                    </w:rPr>
                    <w:t>PE、PP等</w:t>
                  </w:r>
                  <w:r>
                    <w:rPr>
                      <w:rFonts w:hint="eastAsia"/>
                      <w:color w:val="auto"/>
                      <w:szCs w:val="21"/>
                    </w:rPr>
                    <w:t>，</w:t>
                  </w:r>
                  <w:r>
                    <w:rPr>
                      <w:color w:val="auto"/>
                      <w:szCs w:val="21"/>
                    </w:rPr>
                    <w:t>属于易燃物质。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6" w:type="pct"/>
                  <w:vAlign w:val="center"/>
                </w:tcPr>
                <w:p>
                  <w:pPr>
                    <w:snapToGrid w:val="0"/>
                    <w:jc w:val="center"/>
                    <w:rPr>
                      <w:b/>
                      <w:color w:val="auto"/>
                      <w:szCs w:val="21"/>
                    </w:rPr>
                  </w:pPr>
                  <w:r>
                    <w:rPr>
                      <w:b/>
                      <w:color w:val="auto"/>
                      <w:szCs w:val="21"/>
                    </w:rPr>
                    <w:t>环境影响途径及危害后果（大气、地表水、地下水等）</w:t>
                  </w:r>
                </w:p>
              </w:tc>
              <w:tc>
                <w:tcPr>
                  <w:tcW w:w="3953" w:type="pct"/>
                  <w:gridSpan w:val="4"/>
                  <w:vAlign w:val="center"/>
                </w:tcPr>
                <w:p>
                  <w:pPr>
                    <w:snapToGrid w:val="0"/>
                    <w:rPr>
                      <w:color w:val="auto"/>
                      <w:szCs w:val="21"/>
                    </w:rPr>
                  </w:pPr>
                  <w:r>
                    <w:rPr>
                      <w:rFonts w:ascii="宋体" w:hAnsi="宋体" w:cs="Cambria Math"/>
                      <w:color w:val="auto"/>
                      <w:szCs w:val="21"/>
                    </w:rPr>
                    <w:t>①</w:t>
                  </w:r>
                  <w:r>
                    <w:rPr>
                      <w:color w:val="auto"/>
                      <w:szCs w:val="21"/>
                    </w:rPr>
                    <w:t>废润滑油</w:t>
                  </w:r>
                  <w:r>
                    <w:rPr>
                      <w:rFonts w:hint="eastAsia"/>
                      <w:color w:val="auto"/>
                      <w:szCs w:val="21"/>
                      <w:lang w:eastAsia="zh-CN"/>
                    </w:rPr>
                    <w:t>、电捕焦油器冲洗液</w:t>
                  </w:r>
                  <w:r>
                    <w:rPr>
                      <w:color w:val="auto"/>
                      <w:szCs w:val="21"/>
                    </w:rPr>
                    <w:t>发生泄漏、火灾事故引发的伴生/次生污染物排放对大气、地表水、地下水、土壤的影响；</w:t>
                  </w:r>
                </w:p>
                <w:p>
                  <w:pPr>
                    <w:snapToGrid w:val="0"/>
                    <w:rPr>
                      <w:rFonts w:ascii="Cambria Math" w:hAnsi="Cambria Math" w:cs="Cambria Math"/>
                      <w:color w:val="auto"/>
                      <w:szCs w:val="21"/>
                    </w:rPr>
                  </w:pPr>
                  <w:r>
                    <w:rPr>
                      <w:rFonts w:ascii="宋体" w:hAnsi="宋体" w:cs="Cambria Math"/>
                      <w:color w:val="auto"/>
                      <w:szCs w:val="21"/>
                    </w:rPr>
                    <w:t>②</w:t>
                  </w:r>
                  <w:r>
                    <w:rPr>
                      <w:rFonts w:hint="eastAsia" w:ascii="宋体" w:hAnsi="宋体" w:cs="Cambria Math"/>
                      <w:color w:val="auto"/>
                      <w:szCs w:val="21"/>
                    </w:rPr>
                    <w:t>再生</w:t>
                  </w:r>
                  <w:r>
                    <w:rPr>
                      <w:rFonts w:hint="eastAsia"/>
                      <w:color w:val="auto"/>
                      <w:szCs w:val="21"/>
                    </w:rPr>
                    <w:t>塑料颗粒成品（</w:t>
                  </w:r>
                  <w:r>
                    <w:rPr>
                      <w:color w:val="auto"/>
                      <w:szCs w:val="21"/>
                    </w:rPr>
                    <w:t>PE、PP</w:t>
                  </w:r>
                  <w:r>
                    <w:rPr>
                      <w:rFonts w:hint="eastAsia"/>
                      <w:color w:val="auto"/>
                      <w:szCs w:val="21"/>
                    </w:rPr>
                    <w:t>）</w:t>
                  </w:r>
                  <w:r>
                    <w:rPr>
                      <w:color w:val="auto"/>
                      <w:szCs w:val="21"/>
                    </w:rPr>
                    <w:t>如储存或管理不当，遇火源发生火灾事故，燃烧烟气排放对大气环境造成污染。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6" w:type="pct"/>
                  <w:vMerge w:val="restart"/>
                  <w:vAlign w:val="center"/>
                </w:tcPr>
                <w:p>
                  <w:pPr>
                    <w:snapToGrid w:val="0"/>
                    <w:jc w:val="center"/>
                    <w:rPr>
                      <w:b/>
                      <w:color w:val="auto"/>
                      <w:szCs w:val="21"/>
                    </w:rPr>
                  </w:pPr>
                  <w:r>
                    <w:rPr>
                      <w:b/>
                      <w:color w:val="auto"/>
                      <w:szCs w:val="21"/>
                    </w:rPr>
                    <w:t>风险防范措施要求</w:t>
                  </w:r>
                </w:p>
              </w:tc>
              <w:tc>
                <w:tcPr>
                  <w:tcW w:w="3953" w:type="pct"/>
                  <w:gridSpan w:val="4"/>
                  <w:vAlign w:val="center"/>
                </w:tcPr>
                <w:p>
                  <w:pPr>
                    <w:snapToGrid w:val="0"/>
                    <w:rPr>
                      <w:color w:val="auto"/>
                      <w:szCs w:val="21"/>
                    </w:rPr>
                  </w:pPr>
                  <w:r>
                    <w:rPr>
                      <w:color w:val="auto"/>
                      <w:szCs w:val="21"/>
                    </w:rPr>
                    <w:t>废润滑油</w:t>
                  </w:r>
                  <w:r>
                    <w:rPr>
                      <w:rFonts w:hint="eastAsia"/>
                      <w:color w:val="auto"/>
                      <w:szCs w:val="21"/>
                      <w:lang w:eastAsia="zh-CN"/>
                    </w:rPr>
                    <w:t>、</w:t>
                  </w:r>
                  <w:r>
                    <w:rPr>
                      <w:color w:val="auto"/>
                      <w:szCs w:val="21"/>
                    </w:rPr>
                    <w:t>储存于危废暂存间内，危废暂存间按照《危险废物贮存污染控制标准》（GB18597-2023）及本环评提出的要求进行建设，做好防腐蚀、防渗漏、防流失，且委托有资质的危险废物处置单位清运处置。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6" w:type="pct"/>
                  <w:vMerge w:val="continue"/>
                  <w:vAlign w:val="center"/>
                </w:tcPr>
                <w:p>
                  <w:pPr>
                    <w:snapToGrid w:val="0"/>
                    <w:jc w:val="center"/>
                    <w:rPr>
                      <w:b/>
                      <w:color w:val="auto"/>
                      <w:szCs w:val="21"/>
                    </w:rPr>
                  </w:pPr>
                </w:p>
              </w:tc>
              <w:tc>
                <w:tcPr>
                  <w:tcW w:w="3953" w:type="pct"/>
                  <w:gridSpan w:val="4"/>
                  <w:vAlign w:val="center"/>
                </w:tcPr>
                <w:p>
                  <w:pPr>
                    <w:snapToGrid w:val="0"/>
                    <w:rPr>
                      <w:color w:val="auto"/>
                      <w:szCs w:val="21"/>
                    </w:rPr>
                  </w:pPr>
                  <w:r>
                    <w:rPr>
                      <w:rFonts w:hint="eastAsia"/>
                      <w:color w:val="auto"/>
                      <w:szCs w:val="21"/>
                    </w:rPr>
                    <w:t>塑料颗粒成品（</w:t>
                  </w:r>
                  <w:r>
                    <w:rPr>
                      <w:color w:val="auto"/>
                      <w:szCs w:val="21"/>
                    </w:rPr>
                    <w:t>PE、PP</w:t>
                  </w:r>
                  <w:r>
                    <w:rPr>
                      <w:rFonts w:hint="eastAsia"/>
                      <w:color w:val="auto"/>
                      <w:szCs w:val="21"/>
                    </w:rPr>
                    <w:t>）</w:t>
                  </w:r>
                  <w:r>
                    <w:rPr>
                      <w:color w:val="auto"/>
                      <w:szCs w:val="21"/>
                    </w:rPr>
                    <w:t>存放于</w:t>
                  </w:r>
                  <w:r>
                    <w:rPr>
                      <w:rFonts w:hint="eastAsia"/>
                      <w:color w:val="auto"/>
                      <w:szCs w:val="21"/>
                    </w:rPr>
                    <w:t>成品堆放区</w:t>
                  </w:r>
                  <w:r>
                    <w:rPr>
                      <w:color w:val="auto"/>
                      <w:szCs w:val="21"/>
                    </w:rPr>
                    <w:t>内，远离火源、热源，生产车间布置灭火器</w:t>
                  </w:r>
                  <w:r>
                    <w:rPr>
                      <w:rFonts w:hint="eastAsia"/>
                      <w:color w:val="auto"/>
                      <w:szCs w:val="21"/>
                    </w:rPr>
                    <w:t>等消防器材</w:t>
                  </w:r>
                  <w:r>
                    <w:rPr>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6" w:type="pct"/>
                  <w:vAlign w:val="center"/>
                </w:tcPr>
                <w:p>
                  <w:pPr>
                    <w:snapToGrid w:val="0"/>
                    <w:jc w:val="center"/>
                    <w:rPr>
                      <w:b/>
                      <w:color w:val="auto"/>
                      <w:szCs w:val="21"/>
                    </w:rPr>
                  </w:pPr>
                  <w:r>
                    <w:rPr>
                      <w:b/>
                      <w:color w:val="auto"/>
                      <w:szCs w:val="21"/>
                    </w:rPr>
                    <w:t>填表说明</w:t>
                  </w:r>
                </w:p>
              </w:tc>
              <w:tc>
                <w:tcPr>
                  <w:tcW w:w="3953" w:type="pct"/>
                  <w:gridSpan w:val="4"/>
                  <w:vAlign w:val="center"/>
                </w:tcPr>
                <w:p>
                  <w:pPr>
                    <w:autoSpaceDE w:val="0"/>
                    <w:autoSpaceDN w:val="0"/>
                    <w:snapToGrid w:val="0"/>
                    <w:rPr>
                      <w:color w:val="auto"/>
                      <w:szCs w:val="21"/>
                    </w:rPr>
                  </w:pPr>
                  <w:r>
                    <w:rPr>
                      <w:color w:val="auto"/>
                      <w:szCs w:val="21"/>
                    </w:rPr>
                    <w:t>本项目主要风险源为废润滑油，项目风险物质最大储存量较低，计算出的危险物质总量与其临界量比值Q=</w:t>
                  </w:r>
                  <w:r>
                    <w:rPr>
                      <w:color w:val="auto"/>
                      <w:szCs w:val="21"/>
                      <w:lang w:val="zh-CN"/>
                    </w:rPr>
                    <w:t>0.0002</w:t>
                  </w:r>
                  <w:r>
                    <w:rPr>
                      <w:color w:val="auto"/>
                      <w:szCs w:val="21"/>
                    </w:rPr>
                    <w:t>&lt;1，即环境风险潜势为I，展开简单分析即可，只要严格按照本环评要求进行风险防范，项目风险在可控可接受范围之内。</w:t>
                  </w:r>
                </w:p>
              </w:tc>
            </w:tr>
          </w:tbl>
          <w:p>
            <w:pPr>
              <w:adjustRightInd w:val="0"/>
              <w:snapToGrid w:val="0"/>
              <w:ind w:firstLine="422" w:firstLineChars="200"/>
              <w:rPr>
                <w:b/>
                <w:bCs/>
                <w:color w:val="auto"/>
                <w:szCs w:val="21"/>
              </w:rPr>
            </w:pPr>
          </w:p>
          <w:p>
            <w:pPr>
              <w:autoSpaceDE w:val="0"/>
              <w:autoSpaceDN w:val="0"/>
              <w:adjustRightInd w:val="0"/>
              <w:snapToGrid w:val="0"/>
              <w:spacing w:line="360" w:lineRule="auto"/>
              <w:jc w:val="left"/>
              <w:rPr>
                <w:b/>
                <w:bCs/>
                <w:color w:val="auto"/>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adjustRightInd w:val="0"/>
              <w:snapToGrid w:val="0"/>
              <w:spacing w:line="360" w:lineRule="auto"/>
              <w:rPr>
                <w:color w:val="auto"/>
                <w:kern w:val="1"/>
                <w:szCs w:val="21"/>
              </w:rPr>
            </w:pPr>
          </w:p>
          <w:p>
            <w:pPr>
              <w:rPr>
                <w:b/>
                <w:bCs/>
                <w:color w:val="auto"/>
                <w:szCs w:val="21"/>
              </w:rPr>
            </w:pPr>
          </w:p>
          <w:p>
            <w:pPr>
              <w:rPr>
                <w:b/>
                <w:bCs/>
                <w:color w:val="auto"/>
                <w:szCs w:val="21"/>
              </w:rPr>
            </w:pPr>
          </w:p>
          <w:p>
            <w:pPr>
              <w:rPr>
                <w:b/>
                <w:bCs/>
                <w:color w:val="auto"/>
                <w:szCs w:val="21"/>
              </w:rPr>
            </w:pPr>
          </w:p>
          <w:p>
            <w:pPr>
              <w:rPr>
                <w:b/>
                <w:bCs/>
                <w:color w:val="auto"/>
                <w:szCs w:val="21"/>
              </w:rPr>
            </w:pPr>
          </w:p>
          <w:p>
            <w:pPr>
              <w:rPr>
                <w:b/>
                <w:bCs/>
                <w:color w:val="auto"/>
                <w:szCs w:val="21"/>
              </w:rPr>
            </w:pPr>
          </w:p>
          <w:p>
            <w:pPr>
              <w:rPr>
                <w:b/>
                <w:bCs/>
                <w:color w:val="auto"/>
                <w:szCs w:val="21"/>
              </w:rPr>
            </w:pPr>
          </w:p>
          <w:p>
            <w:pPr>
              <w:rPr>
                <w:b/>
                <w:bCs/>
                <w:color w:val="auto"/>
                <w:szCs w:val="21"/>
              </w:rPr>
            </w:pPr>
          </w:p>
          <w:p>
            <w:pPr>
              <w:rPr>
                <w:b/>
                <w:bCs/>
                <w:color w:val="auto"/>
                <w:szCs w:val="21"/>
              </w:rPr>
            </w:pPr>
          </w:p>
          <w:p>
            <w:pPr>
              <w:pStyle w:val="18"/>
              <w:rPr>
                <w:color w:val="auto"/>
              </w:rPr>
            </w:pPr>
          </w:p>
        </w:tc>
      </w:tr>
    </w:tbl>
    <w:p>
      <w:pPr>
        <w:adjustRightInd w:val="0"/>
        <w:snapToGrid w:val="0"/>
        <w:spacing w:line="360" w:lineRule="auto"/>
        <w:rPr>
          <w:b/>
          <w:color w:val="auto"/>
          <w:kern w:val="0"/>
          <w:sz w:val="28"/>
          <w:szCs w:val="28"/>
        </w:rPr>
        <w:sectPr>
          <w:pgSz w:w="11907" w:h="16840"/>
          <w:pgMar w:top="2127" w:right="1531" w:bottom="1701" w:left="1531" w:header="851" w:footer="851" w:gutter="0"/>
          <w:cols w:space="720" w:num="1"/>
          <w:docGrid w:linePitch="312" w:charSpace="0"/>
        </w:sectPr>
      </w:pPr>
    </w:p>
    <w:p>
      <w:pPr>
        <w:pStyle w:val="20"/>
        <w:jc w:val="center"/>
        <w:outlineLvl w:val="0"/>
        <w:rPr>
          <w:rFonts w:ascii="Times New Roman" w:hAnsi="Times New Roman" w:eastAsia="黑体"/>
          <w:snapToGrid w:val="0"/>
          <w:color w:val="auto"/>
          <w:sz w:val="30"/>
          <w:szCs w:val="30"/>
        </w:rPr>
      </w:pPr>
      <w:bookmarkStart w:id="22" w:name="_Toc163725997"/>
      <w:r>
        <w:rPr>
          <w:rFonts w:ascii="Times New Roman" w:hAnsi="Times New Roman" w:eastAsia="黑体"/>
          <w:snapToGrid w:val="0"/>
          <w:color w:val="auto"/>
          <w:sz w:val="30"/>
          <w:szCs w:val="30"/>
        </w:rPr>
        <w:t>五、</w:t>
      </w:r>
      <w:bookmarkStart w:id="23" w:name="_Hlk54167917"/>
      <w:r>
        <w:rPr>
          <w:rFonts w:ascii="Times New Roman" w:hAnsi="Times New Roman" w:eastAsia="黑体"/>
          <w:snapToGrid w:val="0"/>
          <w:color w:val="auto"/>
          <w:sz w:val="30"/>
          <w:szCs w:val="30"/>
        </w:rPr>
        <w:t>环境保护措施监督检查清单</w:t>
      </w:r>
      <w:bookmarkEnd w:id="22"/>
      <w:bookmarkEnd w:id="23"/>
    </w:p>
    <w:tbl>
      <w:tblPr>
        <w:tblStyle w:val="2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81"/>
        <w:gridCol w:w="1744"/>
        <w:gridCol w:w="1276"/>
        <w:gridCol w:w="2243"/>
        <w:gridCol w:w="214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1" w:type="dxa"/>
            <w:tcBorders>
              <w:tl2br w:val="single" w:color="auto" w:sz="4" w:space="0"/>
            </w:tcBorders>
          </w:tcPr>
          <w:p>
            <w:pPr>
              <w:adjustRightInd w:val="0"/>
              <w:snapToGrid w:val="0"/>
              <w:spacing w:line="360" w:lineRule="auto"/>
              <w:jc w:val="right"/>
              <w:rPr>
                <w:b/>
                <w:bCs/>
                <w:color w:val="auto"/>
                <w:sz w:val="24"/>
                <w:szCs w:val="24"/>
              </w:rPr>
            </w:pPr>
            <w:r>
              <w:rPr>
                <w:b/>
                <w:bCs/>
                <w:color w:val="auto"/>
                <w:sz w:val="24"/>
                <w:szCs w:val="24"/>
              </w:rPr>
              <w:t>内容</w:t>
            </w:r>
          </w:p>
          <w:p>
            <w:pPr>
              <w:adjustRightInd w:val="0"/>
              <w:snapToGrid w:val="0"/>
              <w:spacing w:line="360" w:lineRule="auto"/>
              <w:rPr>
                <w:b/>
                <w:bCs/>
                <w:color w:val="auto"/>
                <w:sz w:val="24"/>
                <w:szCs w:val="24"/>
              </w:rPr>
            </w:pPr>
            <w:r>
              <w:rPr>
                <w:b/>
                <w:bCs/>
                <w:color w:val="auto"/>
                <w:sz w:val="24"/>
                <w:szCs w:val="24"/>
              </w:rPr>
              <w:t>要素</w:t>
            </w:r>
          </w:p>
        </w:tc>
        <w:tc>
          <w:tcPr>
            <w:tcW w:w="1744" w:type="dxa"/>
            <w:vAlign w:val="center"/>
          </w:tcPr>
          <w:p>
            <w:pPr>
              <w:adjustRightInd w:val="0"/>
              <w:snapToGrid w:val="0"/>
              <w:spacing w:line="360" w:lineRule="auto"/>
              <w:jc w:val="center"/>
              <w:rPr>
                <w:b/>
                <w:bCs/>
                <w:color w:val="auto"/>
                <w:sz w:val="24"/>
                <w:szCs w:val="24"/>
              </w:rPr>
            </w:pPr>
            <w:r>
              <w:rPr>
                <w:b/>
                <w:bCs/>
                <w:color w:val="auto"/>
                <w:sz w:val="24"/>
                <w:szCs w:val="24"/>
              </w:rPr>
              <w:t>排放口</w:t>
            </w:r>
            <w:r>
              <w:rPr>
                <w:rFonts w:hint="eastAsia"/>
                <w:b/>
                <w:bCs/>
                <w:color w:val="auto"/>
                <w:sz w:val="24"/>
                <w:szCs w:val="24"/>
                <w:lang w:eastAsia="zh-CN"/>
              </w:rPr>
              <w:t>（</w:t>
            </w:r>
            <w:r>
              <w:rPr>
                <w:b/>
                <w:bCs/>
                <w:color w:val="auto"/>
                <w:sz w:val="24"/>
                <w:szCs w:val="24"/>
              </w:rPr>
              <w:t>编号、名称</w:t>
            </w:r>
            <w:r>
              <w:rPr>
                <w:rFonts w:hint="eastAsia"/>
                <w:b/>
                <w:bCs/>
                <w:color w:val="auto"/>
                <w:sz w:val="24"/>
                <w:szCs w:val="24"/>
                <w:lang w:eastAsia="zh-CN"/>
              </w:rPr>
              <w:t>）</w:t>
            </w:r>
            <w:r>
              <w:rPr>
                <w:b/>
                <w:bCs/>
                <w:color w:val="auto"/>
                <w:sz w:val="24"/>
                <w:szCs w:val="24"/>
              </w:rPr>
              <w:t>/污染源</w:t>
            </w:r>
          </w:p>
        </w:tc>
        <w:tc>
          <w:tcPr>
            <w:tcW w:w="1276" w:type="dxa"/>
            <w:vAlign w:val="center"/>
          </w:tcPr>
          <w:p>
            <w:pPr>
              <w:adjustRightInd w:val="0"/>
              <w:snapToGrid w:val="0"/>
              <w:spacing w:line="360" w:lineRule="auto"/>
              <w:jc w:val="center"/>
              <w:rPr>
                <w:b/>
                <w:bCs/>
                <w:color w:val="auto"/>
                <w:sz w:val="24"/>
                <w:szCs w:val="24"/>
              </w:rPr>
            </w:pPr>
            <w:r>
              <w:rPr>
                <w:b/>
                <w:bCs/>
                <w:color w:val="auto"/>
                <w:sz w:val="24"/>
                <w:szCs w:val="24"/>
              </w:rPr>
              <w:t>污染物项目</w:t>
            </w:r>
          </w:p>
        </w:tc>
        <w:tc>
          <w:tcPr>
            <w:tcW w:w="2243" w:type="dxa"/>
            <w:vAlign w:val="center"/>
          </w:tcPr>
          <w:p>
            <w:pPr>
              <w:adjustRightInd w:val="0"/>
              <w:snapToGrid w:val="0"/>
              <w:spacing w:line="360" w:lineRule="auto"/>
              <w:jc w:val="center"/>
              <w:rPr>
                <w:b/>
                <w:bCs/>
                <w:color w:val="auto"/>
                <w:sz w:val="24"/>
                <w:szCs w:val="24"/>
              </w:rPr>
            </w:pPr>
            <w:r>
              <w:rPr>
                <w:b/>
                <w:bCs/>
                <w:color w:val="auto"/>
                <w:sz w:val="24"/>
                <w:szCs w:val="24"/>
              </w:rPr>
              <w:t>环境保护措施</w:t>
            </w:r>
          </w:p>
        </w:tc>
        <w:tc>
          <w:tcPr>
            <w:tcW w:w="2147" w:type="dxa"/>
            <w:vAlign w:val="center"/>
          </w:tcPr>
          <w:p>
            <w:pPr>
              <w:adjustRightInd w:val="0"/>
              <w:snapToGrid w:val="0"/>
              <w:spacing w:line="360" w:lineRule="auto"/>
              <w:jc w:val="center"/>
              <w:rPr>
                <w:b/>
                <w:bCs/>
                <w:color w:val="auto"/>
                <w:sz w:val="24"/>
                <w:szCs w:val="24"/>
              </w:rPr>
            </w:pPr>
            <w:r>
              <w:rPr>
                <w:b/>
                <w:bCs/>
                <w:color w:val="auto"/>
                <w:sz w:val="24"/>
                <w:szCs w:val="24"/>
              </w:rPr>
              <w:t>执行标准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1081" w:type="dxa"/>
            <w:vMerge w:val="restart"/>
            <w:vAlign w:val="center"/>
          </w:tcPr>
          <w:p>
            <w:pPr>
              <w:adjustRightInd w:val="0"/>
              <w:snapToGrid w:val="0"/>
              <w:spacing w:line="240" w:lineRule="auto"/>
              <w:jc w:val="center"/>
              <w:rPr>
                <w:color w:val="auto"/>
                <w:sz w:val="24"/>
                <w:szCs w:val="24"/>
              </w:rPr>
            </w:pPr>
            <w:r>
              <w:rPr>
                <w:color w:val="auto"/>
                <w:sz w:val="24"/>
                <w:szCs w:val="24"/>
              </w:rPr>
              <w:t>大气环境</w:t>
            </w:r>
          </w:p>
        </w:tc>
        <w:tc>
          <w:tcPr>
            <w:tcW w:w="1744" w:type="dxa"/>
            <w:vMerge w:val="restart"/>
            <w:vAlign w:val="center"/>
          </w:tcPr>
          <w:p>
            <w:pPr>
              <w:adjustRightInd w:val="0"/>
              <w:snapToGrid w:val="0"/>
              <w:spacing w:line="240" w:lineRule="auto"/>
              <w:jc w:val="center"/>
              <w:rPr>
                <w:color w:val="auto"/>
                <w:sz w:val="24"/>
                <w:szCs w:val="24"/>
              </w:rPr>
            </w:pPr>
            <w:r>
              <w:rPr>
                <w:rFonts w:hint="eastAsia"/>
                <w:color w:val="auto"/>
                <w:sz w:val="24"/>
                <w:szCs w:val="24"/>
              </w:rPr>
              <w:t>熔融造粒</w:t>
            </w:r>
            <w:r>
              <w:rPr>
                <w:color w:val="auto"/>
                <w:sz w:val="24"/>
                <w:szCs w:val="24"/>
              </w:rPr>
              <w:t>废气排放口DA001/</w:t>
            </w:r>
            <w:r>
              <w:rPr>
                <w:rFonts w:hint="eastAsia"/>
                <w:color w:val="auto"/>
                <w:sz w:val="24"/>
                <w:szCs w:val="24"/>
              </w:rPr>
              <w:t>熔融挤出造粒</w:t>
            </w:r>
            <w:r>
              <w:rPr>
                <w:bCs/>
                <w:color w:val="auto"/>
                <w:sz w:val="24"/>
                <w:szCs w:val="24"/>
              </w:rPr>
              <w:t>工序</w:t>
            </w:r>
            <w:r>
              <w:rPr>
                <w:color w:val="auto"/>
                <w:sz w:val="24"/>
                <w:szCs w:val="24"/>
              </w:rPr>
              <w:t>废气</w:t>
            </w:r>
          </w:p>
        </w:tc>
        <w:tc>
          <w:tcPr>
            <w:tcW w:w="1276" w:type="dxa"/>
            <w:vAlign w:val="center"/>
          </w:tcPr>
          <w:p>
            <w:pPr>
              <w:adjustRightInd w:val="0"/>
              <w:snapToGrid w:val="0"/>
              <w:spacing w:line="240" w:lineRule="auto"/>
              <w:jc w:val="center"/>
              <w:rPr>
                <w:color w:val="auto"/>
                <w:sz w:val="24"/>
                <w:szCs w:val="24"/>
              </w:rPr>
            </w:pPr>
            <w:r>
              <w:rPr>
                <w:color w:val="auto"/>
                <w:sz w:val="24"/>
                <w:szCs w:val="24"/>
              </w:rPr>
              <w:t>非甲烷总烃</w:t>
            </w:r>
            <w:r>
              <w:rPr>
                <w:rFonts w:hint="eastAsia"/>
                <w:color w:val="auto"/>
                <w:sz w:val="24"/>
                <w:szCs w:val="24"/>
              </w:rPr>
              <w:t>、颗粒物</w:t>
            </w:r>
          </w:p>
        </w:tc>
        <w:tc>
          <w:tcPr>
            <w:tcW w:w="2243" w:type="dxa"/>
            <w:vMerge w:val="restart"/>
            <w:vAlign w:val="center"/>
          </w:tcPr>
          <w:p>
            <w:pPr>
              <w:adjustRightInd w:val="0"/>
              <w:snapToGrid w:val="0"/>
              <w:spacing w:line="240" w:lineRule="auto"/>
              <w:rPr>
                <w:color w:val="auto"/>
                <w:sz w:val="24"/>
                <w:szCs w:val="24"/>
              </w:rPr>
            </w:pPr>
            <w:r>
              <w:rPr>
                <w:rFonts w:hint="eastAsia"/>
                <w:bCs/>
                <w:color w:val="auto"/>
                <w:sz w:val="24"/>
                <w:szCs w:val="24"/>
              </w:rPr>
              <w:t>集气罩+</w:t>
            </w:r>
            <w:r>
              <w:rPr>
                <w:bCs/>
                <w:color w:val="auto"/>
                <w:sz w:val="24"/>
                <w:szCs w:val="24"/>
              </w:rPr>
              <w:t>1套</w:t>
            </w:r>
            <w:r>
              <w:rPr>
                <w:rFonts w:ascii="宋体" w:hAnsi="宋体"/>
                <w:color w:val="auto"/>
                <w:sz w:val="24"/>
                <w:szCs w:val="24"/>
              </w:rPr>
              <w:t>“</w:t>
            </w:r>
            <w:r>
              <w:rPr>
                <w:rFonts w:hint="eastAsia" w:ascii="宋体" w:hAnsi="宋体"/>
                <w:color w:val="auto"/>
                <w:sz w:val="24"/>
                <w:szCs w:val="24"/>
              </w:rPr>
              <w:t>过滤棉+</w:t>
            </w:r>
            <w:r>
              <w:rPr>
                <w:rFonts w:hint="eastAsia"/>
                <w:bCs/>
                <w:color w:val="auto"/>
                <w:sz w:val="24"/>
                <w:szCs w:val="24"/>
                <w:lang w:eastAsia="zh-CN"/>
              </w:rPr>
              <w:t>三级活性炭</w:t>
            </w:r>
            <w:r>
              <w:rPr>
                <w:bCs/>
                <w:color w:val="auto"/>
                <w:sz w:val="24"/>
                <w:szCs w:val="24"/>
              </w:rPr>
              <w:t>吸附装置</w:t>
            </w:r>
            <w:r>
              <w:rPr>
                <w:rFonts w:ascii="宋体" w:hAnsi="宋体"/>
                <w:color w:val="auto"/>
                <w:sz w:val="24"/>
                <w:szCs w:val="24"/>
              </w:rPr>
              <w:t>”</w:t>
            </w:r>
            <w:r>
              <w:rPr>
                <w:color w:val="auto"/>
                <w:sz w:val="24"/>
                <w:szCs w:val="24"/>
              </w:rPr>
              <w:t>+1根</w:t>
            </w:r>
            <w:r>
              <w:rPr>
                <w:rFonts w:hint="eastAsia"/>
                <w:color w:val="auto"/>
                <w:sz w:val="24"/>
                <w:szCs w:val="24"/>
                <w:lang w:eastAsia="zh-CN"/>
              </w:rPr>
              <w:t>15m高</w:t>
            </w:r>
            <w:r>
              <w:rPr>
                <w:rFonts w:hint="eastAsia"/>
                <w:color w:val="auto"/>
                <w:sz w:val="24"/>
                <w:szCs w:val="24"/>
              </w:rPr>
              <w:t>的</w:t>
            </w:r>
            <w:r>
              <w:rPr>
                <w:color w:val="auto"/>
                <w:sz w:val="24"/>
                <w:szCs w:val="24"/>
              </w:rPr>
              <w:t>排气筒</w:t>
            </w:r>
          </w:p>
        </w:tc>
        <w:tc>
          <w:tcPr>
            <w:tcW w:w="2147" w:type="dxa"/>
            <w:vAlign w:val="center"/>
          </w:tcPr>
          <w:p>
            <w:pPr>
              <w:adjustRightInd w:val="0"/>
              <w:snapToGrid w:val="0"/>
              <w:spacing w:line="240" w:lineRule="auto"/>
              <w:jc w:val="center"/>
              <w:rPr>
                <w:color w:val="auto"/>
                <w:sz w:val="24"/>
                <w:szCs w:val="24"/>
              </w:rPr>
            </w:pPr>
            <w:r>
              <w:rPr>
                <w:color w:val="auto"/>
                <w:sz w:val="24"/>
                <w:szCs w:val="24"/>
              </w:rPr>
              <w:t>《大气污染物综合排放标准》（GB16297-1996）表2中的</w:t>
            </w:r>
            <w:r>
              <w:rPr>
                <w:rFonts w:hint="eastAsia"/>
                <w:color w:val="auto"/>
                <w:sz w:val="24"/>
                <w:szCs w:val="24"/>
              </w:rPr>
              <w:t>二级</w:t>
            </w:r>
            <w:r>
              <w:rPr>
                <w:color w:val="auto"/>
                <w:sz w:val="24"/>
                <w:szCs w:val="24"/>
              </w:rPr>
              <w:t>标准限值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1" w:type="dxa"/>
            <w:vMerge w:val="continue"/>
            <w:vAlign w:val="center"/>
          </w:tcPr>
          <w:p>
            <w:pPr>
              <w:adjustRightInd w:val="0"/>
              <w:snapToGrid w:val="0"/>
              <w:spacing w:line="240" w:lineRule="auto"/>
              <w:jc w:val="center"/>
              <w:rPr>
                <w:color w:val="auto"/>
                <w:sz w:val="24"/>
                <w:szCs w:val="24"/>
              </w:rPr>
            </w:pPr>
          </w:p>
        </w:tc>
        <w:tc>
          <w:tcPr>
            <w:tcW w:w="1744" w:type="dxa"/>
            <w:vMerge w:val="continue"/>
            <w:vAlign w:val="center"/>
          </w:tcPr>
          <w:p>
            <w:pPr>
              <w:adjustRightInd w:val="0"/>
              <w:snapToGrid w:val="0"/>
              <w:spacing w:line="240" w:lineRule="auto"/>
              <w:jc w:val="center"/>
              <w:rPr>
                <w:color w:val="auto"/>
                <w:sz w:val="24"/>
                <w:szCs w:val="24"/>
              </w:rPr>
            </w:pPr>
          </w:p>
        </w:tc>
        <w:tc>
          <w:tcPr>
            <w:tcW w:w="1276" w:type="dxa"/>
            <w:vAlign w:val="center"/>
          </w:tcPr>
          <w:p>
            <w:pPr>
              <w:adjustRightInd w:val="0"/>
              <w:snapToGrid w:val="0"/>
              <w:spacing w:line="240" w:lineRule="auto"/>
              <w:jc w:val="center"/>
              <w:rPr>
                <w:color w:val="auto"/>
                <w:sz w:val="24"/>
                <w:szCs w:val="24"/>
              </w:rPr>
            </w:pPr>
            <w:r>
              <w:rPr>
                <w:color w:val="auto"/>
                <w:sz w:val="24"/>
                <w:szCs w:val="24"/>
              </w:rPr>
              <w:t>臭气浓度</w:t>
            </w:r>
          </w:p>
        </w:tc>
        <w:tc>
          <w:tcPr>
            <w:tcW w:w="2243" w:type="dxa"/>
            <w:vMerge w:val="continue"/>
            <w:vAlign w:val="center"/>
          </w:tcPr>
          <w:p>
            <w:pPr>
              <w:adjustRightInd w:val="0"/>
              <w:snapToGrid w:val="0"/>
              <w:spacing w:line="240" w:lineRule="auto"/>
              <w:rPr>
                <w:bCs/>
                <w:color w:val="auto"/>
                <w:sz w:val="24"/>
                <w:szCs w:val="24"/>
              </w:rPr>
            </w:pPr>
          </w:p>
        </w:tc>
        <w:tc>
          <w:tcPr>
            <w:tcW w:w="2147" w:type="dxa"/>
            <w:vAlign w:val="center"/>
          </w:tcPr>
          <w:p>
            <w:pPr>
              <w:adjustRightInd w:val="0"/>
              <w:snapToGrid w:val="0"/>
              <w:spacing w:line="240" w:lineRule="auto"/>
              <w:jc w:val="center"/>
              <w:rPr>
                <w:color w:val="auto"/>
                <w:sz w:val="24"/>
                <w:szCs w:val="24"/>
              </w:rPr>
            </w:pPr>
            <w:r>
              <w:rPr>
                <w:color w:val="auto"/>
                <w:sz w:val="24"/>
                <w:szCs w:val="24"/>
              </w:rPr>
              <w:t>《恶臭污染物排放标准》（GB14554-93）表2标准限值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1" w:type="dxa"/>
            <w:vMerge w:val="continue"/>
            <w:vAlign w:val="center"/>
          </w:tcPr>
          <w:p>
            <w:pPr>
              <w:adjustRightInd w:val="0"/>
              <w:snapToGrid w:val="0"/>
              <w:spacing w:line="240" w:lineRule="auto"/>
              <w:jc w:val="center"/>
              <w:rPr>
                <w:color w:val="auto"/>
                <w:sz w:val="24"/>
                <w:szCs w:val="24"/>
              </w:rPr>
            </w:pPr>
          </w:p>
        </w:tc>
        <w:tc>
          <w:tcPr>
            <w:tcW w:w="1744" w:type="dxa"/>
            <w:vMerge w:val="restart"/>
            <w:vAlign w:val="center"/>
          </w:tcPr>
          <w:p>
            <w:pPr>
              <w:adjustRightInd w:val="0"/>
              <w:snapToGrid w:val="0"/>
              <w:spacing w:line="240" w:lineRule="auto"/>
              <w:jc w:val="center"/>
              <w:rPr>
                <w:color w:val="auto"/>
                <w:sz w:val="24"/>
                <w:szCs w:val="24"/>
              </w:rPr>
            </w:pPr>
            <w:r>
              <w:rPr>
                <w:color w:val="auto"/>
                <w:sz w:val="24"/>
                <w:szCs w:val="24"/>
              </w:rPr>
              <w:t>厂界无组织废气</w:t>
            </w:r>
          </w:p>
        </w:tc>
        <w:tc>
          <w:tcPr>
            <w:tcW w:w="1276" w:type="dxa"/>
            <w:vAlign w:val="center"/>
          </w:tcPr>
          <w:p>
            <w:pPr>
              <w:adjustRightInd w:val="0"/>
              <w:snapToGrid w:val="0"/>
              <w:spacing w:line="240" w:lineRule="auto"/>
              <w:jc w:val="center"/>
              <w:rPr>
                <w:color w:val="auto"/>
                <w:sz w:val="24"/>
                <w:szCs w:val="24"/>
              </w:rPr>
            </w:pPr>
            <w:r>
              <w:rPr>
                <w:color w:val="auto"/>
                <w:sz w:val="24"/>
                <w:szCs w:val="24"/>
              </w:rPr>
              <w:t>非甲烷总烃、颗粒物</w:t>
            </w:r>
          </w:p>
        </w:tc>
        <w:tc>
          <w:tcPr>
            <w:tcW w:w="2243" w:type="dxa"/>
            <w:vMerge w:val="restart"/>
            <w:vAlign w:val="center"/>
          </w:tcPr>
          <w:p>
            <w:pPr>
              <w:adjustRightInd w:val="0"/>
              <w:snapToGrid w:val="0"/>
              <w:spacing w:line="240" w:lineRule="auto"/>
              <w:rPr>
                <w:color w:val="auto"/>
                <w:sz w:val="24"/>
                <w:szCs w:val="24"/>
              </w:rPr>
            </w:pPr>
            <w:r>
              <w:rPr>
                <w:bCs/>
                <w:color w:val="auto"/>
                <w:sz w:val="24"/>
                <w:szCs w:val="24"/>
              </w:rPr>
              <w:t>加强</w:t>
            </w:r>
            <w:r>
              <w:rPr>
                <w:rFonts w:hint="eastAsia"/>
                <w:bCs/>
                <w:color w:val="auto"/>
                <w:sz w:val="24"/>
                <w:szCs w:val="24"/>
              </w:rPr>
              <w:t>生产</w:t>
            </w:r>
            <w:r>
              <w:rPr>
                <w:bCs/>
                <w:color w:val="auto"/>
                <w:sz w:val="24"/>
                <w:szCs w:val="24"/>
              </w:rPr>
              <w:t>车间通风</w:t>
            </w:r>
            <w:r>
              <w:rPr>
                <w:rFonts w:hint="eastAsia"/>
                <w:bCs/>
                <w:color w:val="auto"/>
                <w:sz w:val="24"/>
                <w:szCs w:val="24"/>
              </w:rPr>
              <w:t>、</w:t>
            </w:r>
            <w:r>
              <w:rPr>
                <w:rFonts w:hint="eastAsia"/>
                <w:color w:val="auto"/>
                <w:sz w:val="24"/>
                <w:szCs w:val="24"/>
              </w:rPr>
              <w:t>减少原料的堆放时间、原料堆放区</w:t>
            </w:r>
            <w:r>
              <w:rPr>
                <w:rFonts w:hint="eastAsia"/>
                <w:bCs/>
                <w:color w:val="auto"/>
                <w:sz w:val="24"/>
                <w:szCs w:val="24"/>
              </w:rPr>
              <w:t>及废水处理区</w:t>
            </w:r>
            <w:r>
              <w:rPr>
                <w:rFonts w:hint="eastAsia"/>
                <w:color w:val="auto"/>
                <w:sz w:val="24"/>
                <w:szCs w:val="24"/>
              </w:rPr>
              <w:t>喷洒</w:t>
            </w:r>
            <w:r>
              <w:rPr>
                <w:rFonts w:hint="eastAsia"/>
                <w:bCs/>
                <w:color w:val="auto"/>
                <w:sz w:val="24"/>
                <w:szCs w:val="24"/>
              </w:rPr>
              <w:t>生物</w:t>
            </w:r>
            <w:r>
              <w:rPr>
                <w:rFonts w:hint="eastAsia"/>
                <w:color w:val="auto"/>
                <w:sz w:val="24"/>
                <w:szCs w:val="24"/>
              </w:rPr>
              <w:t>除臭剂</w:t>
            </w:r>
            <w:r>
              <w:rPr>
                <w:rFonts w:hint="eastAsia"/>
                <w:bCs/>
                <w:color w:val="auto"/>
                <w:sz w:val="24"/>
                <w:szCs w:val="24"/>
              </w:rPr>
              <w:t>等</w:t>
            </w:r>
          </w:p>
        </w:tc>
        <w:tc>
          <w:tcPr>
            <w:tcW w:w="2147" w:type="dxa"/>
            <w:vAlign w:val="center"/>
          </w:tcPr>
          <w:p>
            <w:pPr>
              <w:adjustRightInd w:val="0"/>
              <w:snapToGrid w:val="0"/>
              <w:spacing w:line="240" w:lineRule="auto"/>
              <w:jc w:val="center"/>
              <w:rPr>
                <w:color w:val="auto"/>
                <w:sz w:val="24"/>
                <w:szCs w:val="24"/>
              </w:rPr>
            </w:pPr>
            <w:r>
              <w:rPr>
                <w:color w:val="auto"/>
                <w:sz w:val="24"/>
                <w:szCs w:val="24"/>
              </w:rPr>
              <w:t>《大气污染物综合排放标准》（GB16297-1996）表2中的无组织排放监控浓度限值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1" w:type="dxa"/>
            <w:vMerge w:val="continue"/>
            <w:vAlign w:val="center"/>
          </w:tcPr>
          <w:p>
            <w:pPr>
              <w:adjustRightInd w:val="0"/>
              <w:snapToGrid w:val="0"/>
              <w:spacing w:line="240" w:lineRule="auto"/>
              <w:jc w:val="center"/>
              <w:rPr>
                <w:color w:val="auto"/>
                <w:sz w:val="24"/>
                <w:szCs w:val="24"/>
              </w:rPr>
            </w:pPr>
          </w:p>
        </w:tc>
        <w:tc>
          <w:tcPr>
            <w:tcW w:w="1744" w:type="dxa"/>
            <w:vMerge w:val="continue"/>
            <w:vAlign w:val="center"/>
          </w:tcPr>
          <w:p>
            <w:pPr>
              <w:adjustRightInd w:val="0"/>
              <w:snapToGrid w:val="0"/>
              <w:spacing w:line="240" w:lineRule="auto"/>
              <w:jc w:val="center"/>
              <w:rPr>
                <w:color w:val="auto"/>
                <w:sz w:val="24"/>
                <w:szCs w:val="24"/>
              </w:rPr>
            </w:pPr>
          </w:p>
        </w:tc>
        <w:tc>
          <w:tcPr>
            <w:tcW w:w="1276" w:type="dxa"/>
            <w:vAlign w:val="center"/>
          </w:tcPr>
          <w:p>
            <w:pPr>
              <w:adjustRightInd w:val="0"/>
              <w:snapToGrid w:val="0"/>
              <w:spacing w:line="240" w:lineRule="auto"/>
              <w:jc w:val="center"/>
              <w:rPr>
                <w:color w:val="auto"/>
                <w:sz w:val="24"/>
                <w:szCs w:val="24"/>
              </w:rPr>
            </w:pPr>
            <w:r>
              <w:rPr>
                <w:color w:val="auto"/>
                <w:sz w:val="24"/>
                <w:szCs w:val="24"/>
              </w:rPr>
              <w:t>臭气浓度</w:t>
            </w:r>
          </w:p>
        </w:tc>
        <w:tc>
          <w:tcPr>
            <w:tcW w:w="2243" w:type="dxa"/>
            <w:vMerge w:val="continue"/>
            <w:vAlign w:val="center"/>
          </w:tcPr>
          <w:p>
            <w:pPr>
              <w:adjustRightInd w:val="0"/>
              <w:snapToGrid w:val="0"/>
              <w:spacing w:line="240" w:lineRule="auto"/>
              <w:rPr>
                <w:color w:val="auto"/>
                <w:sz w:val="24"/>
                <w:szCs w:val="24"/>
              </w:rPr>
            </w:pPr>
          </w:p>
        </w:tc>
        <w:tc>
          <w:tcPr>
            <w:tcW w:w="2147" w:type="dxa"/>
            <w:vAlign w:val="center"/>
          </w:tcPr>
          <w:p>
            <w:pPr>
              <w:adjustRightInd w:val="0"/>
              <w:snapToGrid w:val="0"/>
              <w:spacing w:line="240" w:lineRule="auto"/>
              <w:jc w:val="center"/>
              <w:rPr>
                <w:color w:val="auto"/>
                <w:sz w:val="24"/>
                <w:szCs w:val="24"/>
              </w:rPr>
            </w:pPr>
            <w:r>
              <w:rPr>
                <w:color w:val="auto"/>
                <w:sz w:val="24"/>
                <w:szCs w:val="24"/>
              </w:rPr>
              <w:t>《恶臭污染物排放标准》（GB14554-93）表1中的二级（新改扩建）标准限值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1" w:type="dxa"/>
            <w:vMerge w:val="continue"/>
            <w:vAlign w:val="center"/>
          </w:tcPr>
          <w:p>
            <w:pPr>
              <w:adjustRightInd w:val="0"/>
              <w:snapToGrid w:val="0"/>
              <w:spacing w:line="240" w:lineRule="auto"/>
              <w:jc w:val="center"/>
              <w:rPr>
                <w:color w:val="auto"/>
                <w:sz w:val="24"/>
                <w:szCs w:val="24"/>
              </w:rPr>
            </w:pPr>
          </w:p>
        </w:tc>
        <w:tc>
          <w:tcPr>
            <w:tcW w:w="1744" w:type="dxa"/>
            <w:vAlign w:val="center"/>
          </w:tcPr>
          <w:p>
            <w:pPr>
              <w:adjustRightInd w:val="0"/>
              <w:snapToGrid w:val="0"/>
              <w:spacing w:line="240" w:lineRule="auto"/>
              <w:jc w:val="center"/>
              <w:rPr>
                <w:color w:val="auto"/>
                <w:sz w:val="24"/>
                <w:szCs w:val="24"/>
              </w:rPr>
            </w:pPr>
            <w:r>
              <w:rPr>
                <w:color w:val="auto"/>
                <w:sz w:val="24"/>
                <w:szCs w:val="24"/>
              </w:rPr>
              <w:t>厂区内</w:t>
            </w:r>
            <w:r>
              <w:rPr>
                <w:bCs/>
                <w:color w:val="auto"/>
                <w:sz w:val="24"/>
                <w:szCs w:val="24"/>
              </w:rPr>
              <w:t>挥发性有机物</w:t>
            </w:r>
          </w:p>
        </w:tc>
        <w:tc>
          <w:tcPr>
            <w:tcW w:w="1276" w:type="dxa"/>
            <w:vAlign w:val="center"/>
          </w:tcPr>
          <w:p>
            <w:pPr>
              <w:adjustRightInd w:val="0"/>
              <w:snapToGrid w:val="0"/>
              <w:spacing w:line="240" w:lineRule="auto"/>
              <w:jc w:val="center"/>
              <w:rPr>
                <w:color w:val="auto"/>
                <w:sz w:val="24"/>
                <w:szCs w:val="24"/>
              </w:rPr>
            </w:pPr>
            <w:r>
              <w:rPr>
                <w:color w:val="auto"/>
                <w:sz w:val="24"/>
                <w:szCs w:val="24"/>
              </w:rPr>
              <w:t>非甲烷总烃</w:t>
            </w:r>
          </w:p>
        </w:tc>
        <w:tc>
          <w:tcPr>
            <w:tcW w:w="2243" w:type="dxa"/>
            <w:vMerge w:val="continue"/>
            <w:vAlign w:val="center"/>
          </w:tcPr>
          <w:p>
            <w:pPr>
              <w:adjustRightInd w:val="0"/>
              <w:snapToGrid w:val="0"/>
              <w:spacing w:line="240" w:lineRule="auto"/>
              <w:rPr>
                <w:bCs/>
                <w:color w:val="auto"/>
                <w:sz w:val="24"/>
                <w:szCs w:val="24"/>
              </w:rPr>
            </w:pPr>
          </w:p>
        </w:tc>
        <w:tc>
          <w:tcPr>
            <w:tcW w:w="2147" w:type="dxa"/>
            <w:vAlign w:val="center"/>
          </w:tcPr>
          <w:p>
            <w:pPr>
              <w:adjustRightInd w:val="0"/>
              <w:snapToGrid w:val="0"/>
              <w:spacing w:line="240" w:lineRule="auto"/>
              <w:jc w:val="center"/>
              <w:rPr>
                <w:color w:val="auto"/>
                <w:sz w:val="24"/>
                <w:szCs w:val="24"/>
              </w:rPr>
            </w:pPr>
            <w:r>
              <w:rPr>
                <w:bCs/>
                <w:color w:val="auto"/>
                <w:sz w:val="24"/>
                <w:szCs w:val="24"/>
              </w:rPr>
              <w:t>《挥发性有机物无组织排放控制标准》（GB37822-2019）表A.1中排放限值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1" w:type="dxa"/>
            <w:vMerge w:val="restart"/>
            <w:vAlign w:val="center"/>
          </w:tcPr>
          <w:p>
            <w:pPr>
              <w:adjustRightInd w:val="0"/>
              <w:snapToGrid w:val="0"/>
              <w:spacing w:line="240" w:lineRule="auto"/>
              <w:jc w:val="center"/>
              <w:rPr>
                <w:color w:val="auto"/>
                <w:sz w:val="24"/>
                <w:szCs w:val="24"/>
              </w:rPr>
            </w:pPr>
            <w:r>
              <w:rPr>
                <w:color w:val="auto"/>
                <w:sz w:val="24"/>
                <w:szCs w:val="24"/>
              </w:rPr>
              <w:t>地表水环境</w:t>
            </w:r>
          </w:p>
        </w:tc>
        <w:tc>
          <w:tcPr>
            <w:tcW w:w="1744" w:type="dxa"/>
            <w:vAlign w:val="center"/>
          </w:tcPr>
          <w:p>
            <w:pPr>
              <w:adjustRightInd w:val="0"/>
              <w:snapToGrid w:val="0"/>
              <w:spacing w:line="240" w:lineRule="auto"/>
              <w:jc w:val="center"/>
              <w:rPr>
                <w:color w:val="auto"/>
                <w:sz w:val="24"/>
                <w:szCs w:val="24"/>
              </w:rPr>
            </w:pPr>
            <w:r>
              <w:rPr>
                <w:color w:val="auto"/>
                <w:sz w:val="24"/>
                <w:szCs w:val="24"/>
              </w:rPr>
              <w:t>/</w:t>
            </w:r>
          </w:p>
        </w:tc>
        <w:tc>
          <w:tcPr>
            <w:tcW w:w="1276" w:type="dxa"/>
            <w:vAlign w:val="center"/>
          </w:tcPr>
          <w:p>
            <w:pPr>
              <w:adjustRightInd w:val="0"/>
              <w:snapToGrid w:val="0"/>
              <w:spacing w:line="240" w:lineRule="auto"/>
              <w:jc w:val="center"/>
              <w:rPr>
                <w:color w:val="auto"/>
                <w:sz w:val="24"/>
                <w:szCs w:val="24"/>
              </w:rPr>
            </w:pPr>
            <w:r>
              <w:rPr>
                <w:rFonts w:hint="eastAsia"/>
                <w:bCs/>
                <w:color w:val="auto"/>
                <w:sz w:val="24"/>
                <w:szCs w:val="24"/>
                <w:lang w:val="en-US" w:eastAsia="zh-CN"/>
              </w:rPr>
              <w:t>循环</w:t>
            </w:r>
            <w:r>
              <w:rPr>
                <w:bCs/>
                <w:color w:val="auto"/>
                <w:sz w:val="24"/>
                <w:szCs w:val="24"/>
              </w:rPr>
              <w:t>冷却水</w:t>
            </w:r>
          </w:p>
        </w:tc>
        <w:tc>
          <w:tcPr>
            <w:tcW w:w="2243" w:type="dxa"/>
            <w:vAlign w:val="center"/>
          </w:tcPr>
          <w:p>
            <w:pPr>
              <w:adjustRightInd w:val="0"/>
              <w:snapToGrid w:val="0"/>
              <w:spacing w:line="240" w:lineRule="auto"/>
              <w:rPr>
                <w:color w:val="auto"/>
                <w:sz w:val="24"/>
                <w:szCs w:val="24"/>
              </w:rPr>
            </w:pPr>
            <w:r>
              <w:rPr>
                <w:rFonts w:hint="eastAsia"/>
                <w:bCs/>
                <w:color w:val="auto"/>
                <w:sz w:val="24"/>
                <w:szCs w:val="24"/>
              </w:rPr>
              <w:t>1</w:t>
            </w:r>
            <w:r>
              <w:rPr>
                <w:bCs/>
                <w:color w:val="auto"/>
                <w:sz w:val="24"/>
                <w:szCs w:val="24"/>
              </w:rPr>
              <w:t>个，容积为</w:t>
            </w:r>
            <w:r>
              <w:rPr>
                <w:rFonts w:hint="eastAsia"/>
                <w:bCs/>
                <w:color w:val="auto"/>
                <w:sz w:val="24"/>
                <w:szCs w:val="24"/>
                <w:lang w:val="en-US" w:eastAsia="zh-CN"/>
              </w:rPr>
              <w:t>5</w:t>
            </w:r>
            <w:r>
              <w:rPr>
                <w:color w:val="auto"/>
                <w:sz w:val="24"/>
                <w:szCs w:val="24"/>
              </w:rPr>
              <w:t>m</w:t>
            </w:r>
            <w:r>
              <w:rPr>
                <w:color w:val="auto"/>
                <w:sz w:val="24"/>
                <w:szCs w:val="24"/>
                <w:vertAlign w:val="superscript"/>
              </w:rPr>
              <w:t>3</w:t>
            </w:r>
            <w:r>
              <w:rPr>
                <w:bCs/>
                <w:color w:val="auto"/>
                <w:sz w:val="24"/>
                <w:szCs w:val="24"/>
              </w:rPr>
              <w:t>，</w:t>
            </w:r>
            <w:r>
              <w:rPr>
                <w:rFonts w:hint="eastAsia"/>
                <w:bCs/>
                <w:color w:val="auto"/>
                <w:sz w:val="24"/>
                <w:szCs w:val="24"/>
              </w:rPr>
              <w:t>用于热熔造粒冷却水收集及循环使用</w:t>
            </w:r>
            <w:r>
              <w:rPr>
                <w:bCs/>
                <w:color w:val="auto"/>
                <w:sz w:val="24"/>
                <w:szCs w:val="24"/>
              </w:rPr>
              <w:t>。</w:t>
            </w:r>
          </w:p>
        </w:tc>
        <w:tc>
          <w:tcPr>
            <w:tcW w:w="2147" w:type="dxa"/>
            <w:vAlign w:val="center"/>
          </w:tcPr>
          <w:p>
            <w:pPr>
              <w:adjustRightInd w:val="0"/>
              <w:snapToGrid w:val="0"/>
              <w:spacing w:line="240" w:lineRule="auto"/>
              <w:jc w:val="center"/>
              <w:rPr>
                <w:color w:val="auto"/>
                <w:sz w:val="24"/>
                <w:szCs w:val="24"/>
              </w:rPr>
            </w:pPr>
            <w:r>
              <w:rPr>
                <w:rFonts w:hint="eastAsia"/>
                <w:color w:val="auto"/>
                <w:sz w:val="24"/>
                <w:szCs w:val="24"/>
              </w:rPr>
              <w:t>循环使用不外排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1" w:type="dxa"/>
            <w:vMerge w:val="continue"/>
            <w:vAlign w:val="center"/>
          </w:tcPr>
          <w:p>
            <w:pPr>
              <w:adjustRightInd w:val="0"/>
              <w:snapToGrid w:val="0"/>
              <w:spacing w:line="240" w:lineRule="auto"/>
              <w:jc w:val="center"/>
              <w:rPr>
                <w:color w:val="auto"/>
                <w:sz w:val="24"/>
                <w:szCs w:val="24"/>
              </w:rPr>
            </w:pPr>
          </w:p>
        </w:tc>
        <w:tc>
          <w:tcPr>
            <w:tcW w:w="1744" w:type="dxa"/>
            <w:vAlign w:val="center"/>
          </w:tcPr>
          <w:p>
            <w:pPr>
              <w:adjustRightInd w:val="0"/>
              <w:snapToGrid w:val="0"/>
              <w:spacing w:line="240" w:lineRule="auto"/>
              <w:jc w:val="center"/>
              <w:rPr>
                <w:color w:val="auto"/>
                <w:sz w:val="24"/>
                <w:szCs w:val="24"/>
              </w:rPr>
            </w:pPr>
            <w:r>
              <w:rPr>
                <w:color w:val="auto"/>
                <w:sz w:val="24"/>
                <w:szCs w:val="24"/>
              </w:rPr>
              <w:t>/</w:t>
            </w:r>
          </w:p>
        </w:tc>
        <w:tc>
          <w:tcPr>
            <w:tcW w:w="1276" w:type="dxa"/>
            <w:vAlign w:val="center"/>
          </w:tcPr>
          <w:p>
            <w:pPr>
              <w:adjustRightInd w:val="0"/>
              <w:snapToGrid w:val="0"/>
              <w:spacing w:line="240" w:lineRule="auto"/>
              <w:jc w:val="center"/>
              <w:rPr>
                <w:color w:val="auto"/>
                <w:sz w:val="24"/>
                <w:szCs w:val="24"/>
              </w:rPr>
            </w:pPr>
            <w:r>
              <w:rPr>
                <w:color w:val="auto"/>
                <w:sz w:val="24"/>
                <w:szCs w:val="24"/>
              </w:rPr>
              <w:t>生活污水（pH值、COD</w:t>
            </w:r>
            <w:r>
              <w:rPr>
                <w:color w:val="auto"/>
                <w:sz w:val="24"/>
                <w:szCs w:val="24"/>
                <w:vertAlign w:val="subscript"/>
              </w:rPr>
              <w:t>cr</w:t>
            </w:r>
            <w:r>
              <w:rPr>
                <w:color w:val="auto"/>
                <w:sz w:val="24"/>
                <w:szCs w:val="24"/>
              </w:rPr>
              <w:t>、BOD</w:t>
            </w:r>
            <w:r>
              <w:rPr>
                <w:color w:val="auto"/>
                <w:sz w:val="24"/>
                <w:szCs w:val="24"/>
                <w:vertAlign w:val="subscript"/>
              </w:rPr>
              <w:t>5</w:t>
            </w:r>
            <w:r>
              <w:rPr>
                <w:color w:val="auto"/>
                <w:sz w:val="24"/>
                <w:szCs w:val="24"/>
              </w:rPr>
              <w:t>、氨氮、总磷、SS）</w:t>
            </w:r>
          </w:p>
        </w:tc>
        <w:tc>
          <w:tcPr>
            <w:tcW w:w="2243" w:type="dxa"/>
            <w:vAlign w:val="center"/>
          </w:tcPr>
          <w:p>
            <w:pPr>
              <w:adjustRightInd w:val="0"/>
              <w:snapToGrid w:val="0"/>
              <w:spacing w:line="240" w:lineRule="auto"/>
              <w:rPr>
                <w:color w:val="auto"/>
                <w:sz w:val="24"/>
                <w:szCs w:val="24"/>
              </w:rPr>
            </w:pPr>
            <w:r>
              <w:rPr>
                <w:rFonts w:hint="eastAsia"/>
                <w:bCs/>
                <w:color w:val="auto"/>
                <w:sz w:val="24"/>
                <w:szCs w:val="24"/>
              </w:rPr>
              <w:t>依托</w:t>
            </w:r>
            <w:r>
              <w:rPr>
                <w:rFonts w:hint="eastAsia"/>
                <w:color w:val="auto"/>
                <w:sz w:val="24"/>
                <w:szCs w:val="24"/>
                <w:lang w:eastAsia="zh-CN"/>
              </w:rPr>
              <w:t>云南宝塑塑料管业有限公司</w:t>
            </w:r>
            <w:r>
              <w:rPr>
                <w:rFonts w:hint="eastAsia"/>
                <w:color w:val="auto"/>
                <w:sz w:val="24"/>
                <w:szCs w:val="24"/>
              </w:rPr>
              <w:t>的化粪池、</w:t>
            </w:r>
            <w:r>
              <w:rPr>
                <w:rFonts w:hint="eastAsia"/>
                <w:color w:val="auto"/>
                <w:sz w:val="24"/>
                <w:szCs w:val="24"/>
                <w:lang w:val="en-US" w:eastAsia="zh-CN"/>
              </w:rPr>
              <w:t>暂存后委托宜良县汇金环境卫生服务部清运</w:t>
            </w:r>
            <w:r>
              <w:rPr>
                <w:rFonts w:hint="eastAsia"/>
                <w:color w:val="auto"/>
                <w:sz w:val="24"/>
                <w:szCs w:val="24"/>
              </w:rPr>
              <w:t>。</w:t>
            </w:r>
          </w:p>
        </w:tc>
        <w:tc>
          <w:tcPr>
            <w:tcW w:w="2147" w:type="dxa"/>
            <w:vAlign w:val="center"/>
          </w:tcPr>
          <w:p>
            <w:pPr>
              <w:adjustRightInd w:val="0"/>
              <w:snapToGrid w:val="0"/>
              <w:spacing w:line="240" w:lineRule="auto"/>
              <w:jc w:val="center"/>
              <w:rPr>
                <w:color w:val="auto"/>
                <w:sz w:val="24"/>
                <w:szCs w:val="24"/>
              </w:rPr>
            </w:pPr>
            <w:r>
              <w:rPr>
                <w:rFonts w:hint="eastAsia"/>
                <w:color w:val="auto"/>
                <w:sz w:val="24"/>
                <w:szCs w:val="24"/>
              </w:rPr>
              <w:t>经处理</w:t>
            </w:r>
            <w:r>
              <w:rPr>
                <w:rFonts w:hint="eastAsia"/>
                <w:color w:val="auto"/>
                <w:sz w:val="24"/>
                <w:szCs w:val="24"/>
                <w:lang w:eastAsia="zh-CN"/>
              </w:rPr>
              <w:t>达到</w:t>
            </w:r>
            <w:r>
              <w:rPr>
                <w:rFonts w:hint="eastAsia"/>
                <w:color w:val="auto"/>
                <w:sz w:val="24"/>
                <w:szCs w:val="24"/>
              </w:rPr>
              <w:t>《污水排入城镇下水道水质标准》（GB/T31962-2015）中A级标准</w:t>
            </w:r>
            <w:r>
              <w:rPr>
                <w:rFonts w:hint="eastAsia"/>
                <w:color w:val="auto"/>
                <w:sz w:val="24"/>
                <w:szCs w:val="24"/>
                <w:lang w:val="en-US" w:eastAsia="zh-CN"/>
              </w:rPr>
              <w:t>后委托环卫部门清掏</w:t>
            </w:r>
            <w:r>
              <w:rPr>
                <w:color w:val="auto"/>
                <w:sz w:val="24"/>
                <w:szCs w:val="24"/>
              </w:rPr>
              <w:t>，不外排。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1" w:type="dxa"/>
            <w:vAlign w:val="center"/>
          </w:tcPr>
          <w:p>
            <w:pPr>
              <w:adjustRightInd w:val="0"/>
              <w:snapToGrid w:val="0"/>
              <w:spacing w:line="240" w:lineRule="auto"/>
              <w:jc w:val="center"/>
              <w:rPr>
                <w:color w:val="auto"/>
                <w:sz w:val="24"/>
                <w:szCs w:val="24"/>
              </w:rPr>
            </w:pPr>
            <w:r>
              <w:rPr>
                <w:color w:val="auto"/>
                <w:sz w:val="24"/>
                <w:szCs w:val="24"/>
              </w:rPr>
              <w:t>声环境</w:t>
            </w:r>
          </w:p>
        </w:tc>
        <w:tc>
          <w:tcPr>
            <w:tcW w:w="1744" w:type="dxa"/>
            <w:vAlign w:val="center"/>
          </w:tcPr>
          <w:p>
            <w:pPr>
              <w:adjustRightInd w:val="0"/>
              <w:snapToGrid w:val="0"/>
              <w:spacing w:line="240" w:lineRule="auto"/>
              <w:jc w:val="center"/>
              <w:rPr>
                <w:color w:val="auto"/>
                <w:sz w:val="24"/>
                <w:szCs w:val="24"/>
              </w:rPr>
            </w:pPr>
            <w:r>
              <w:rPr>
                <w:color w:val="auto"/>
                <w:sz w:val="24"/>
                <w:szCs w:val="24"/>
              </w:rPr>
              <w:t>厂界</w:t>
            </w:r>
          </w:p>
        </w:tc>
        <w:tc>
          <w:tcPr>
            <w:tcW w:w="1276" w:type="dxa"/>
            <w:vAlign w:val="center"/>
          </w:tcPr>
          <w:p>
            <w:pPr>
              <w:adjustRightInd w:val="0"/>
              <w:snapToGrid w:val="0"/>
              <w:spacing w:line="240" w:lineRule="auto"/>
              <w:jc w:val="center"/>
              <w:rPr>
                <w:color w:val="auto"/>
                <w:sz w:val="24"/>
                <w:szCs w:val="24"/>
              </w:rPr>
            </w:pPr>
            <w:r>
              <w:rPr>
                <w:color w:val="auto"/>
                <w:sz w:val="24"/>
                <w:szCs w:val="24"/>
              </w:rPr>
              <w:t>噪声</w:t>
            </w:r>
          </w:p>
        </w:tc>
        <w:tc>
          <w:tcPr>
            <w:tcW w:w="2243" w:type="dxa"/>
            <w:vAlign w:val="center"/>
          </w:tcPr>
          <w:p>
            <w:pPr>
              <w:adjustRightInd w:val="0"/>
              <w:snapToGrid w:val="0"/>
              <w:spacing w:line="240" w:lineRule="auto"/>
              <w:rPr>
                <w:color w:val="auto"/>
                <w:sz w:val="24"/>
                <w:szCs w:val="24"/>
              </w:rPr>
            </w:pPr>
            <w:r>
              <w:rPr>
                <w:color w:val="auto"/>
                <w:sz w:val="24"/>
                <w:szCs w:val="24"/>
              </w:rPr>
              <w:t>设备基础减振、厂房隔声</w:t>
            </w:r>
          </w:p>
        </w:tc>
        <w:tc>
          <w:tcPr>
            <w:tcW w:w="2147" w:type="dxa"/>
            <w:vAlign w:val="center"/>
          </w:tcPr>
          <w:p>
            <w:pPr>
              <w:adjustRightInd w:val="0"/>
              <w:snapToGrid w:val="0"/>
              <w:spacing w:line="240" w:lineRule="auto"/>
              <w:jc w:val="center"/>
              <w:rPr>
                <w:color w:val="auto"/>
                <w:sz w:val="24"/>
                <w:szCs w:val="24"/>
              </w:rPr>
            </w:pPr>
            <w:r>
              <w:rPr>
                <w:color w:val="auto"/>
                <w:sz w:val="24"/>
                <w:szCs w:val="24"/>
              </w:rPr>
              <w:t>《工业企业厂界环境噪声排放标准》（GB12348-2008）3类标准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1" w:type="dxa"/>
            <w:vAlign w:val="center"/>
          </w:tcPr>
          <w:p>
            <w:pPr>
              <w:adjustRightInd w:val="0"/>
              <w:snapToGrid w:val="0"/>
              <w:spacing w:line="360" w:lineRule="auto"/>
              <w:jc w:val="center"/>
              <w:rPr>
                <w:color w:val="auto"/>
                <w:sz w:val="24"/>
                <w:szCs w:val="24"/>
              </w:rPr>
            </w:pPr>
            <w:r>
              <w:rPr>
                <w:color w:val="auto"/>
                <w:sz w:val="24"/>
                <w:szCs w:val="24"/>
              </w:rPr>
              <w:t>电磁辐射</w:t>
            </w:r>
          </w:p>
        </w:tc>
        <w:tc>
          <w:tcPr>
            <w:tcW w:w="1744" w:type="dxa"/>
            <w:vAlign w:val="center"/>
          </w:tcPr>
          <w:p>
            <w:pPr>
              <w:adjustRightInd w:val="0"/>
              <w:snapToGrid w:val="0"/>
              <w:spacing w:line="360" w:lineRule="auto"/>
              <w:jc w:val="center"/>
              <w:rPr>
                <w:color w:val="auto"/>
                <w:sz w:val="24"/>
                <w:szCs w:val="24"/>
              </w:rPr>
            </w:pPr>
            <w:r>
              <w:rPr>
                <w:color w:val="auto"/>
                <w:sz w:val="24"/>
                <w:szCs w:val="24"/>
              </w:rPr>
              <w:t>/</w:t>
            </w:r>
          </w:p>
        </w:tc>
        <w:tc>
          <w:tcPr>
            <w:tcW w:w="1276" w:type="dxa"/>
            <w:vAlign w:val="center"/>
          </w:tcPr>
          <w:p>
            <w:pPr>
              <w:adjustRightInd w:val="0"/>
              <w:snapToGrid w:val="0"/>
              <w:spacing w:line="360" w:lineRule="auto"/>
              <w:jc w:val="center"/>
              <w:rPr>
                <w:color w:val="auto"/>
                <w:sz w:val="24"/>
                <w:szCs w:val="24"/>
              </w:rPr>
            </w:pPr>
            <w:r>
              <w:rPr>
                <w:color w:val="auto"/>
                <w:sz w:val="24"/>
                <w:szCs w:val="24"/>
              </w:rPr>
              <w:t>/</w:t>
            </w:r>
          </w:p>
        </w:tc>
        <w:tc>
          <w:tcPr>
            <w:tcW w:w="2243" w:type="dxa"/>
            <w:vAlign w:val="center"/>
          </w:tcPr>
          <w:p>
            <w:pPr>
              <w:adjustRightInd w:val="0"/>
              <w:snapToGrid w:val="0"/>
              <w:spacing w:line="360" w:lineRule="auto"/>
              <w:jc w:val="center"/>
              <w:rPr>
                <w:color w:val="auto"/>
                <w:sz w:val="24"/>
                <w:szCs w:val="24"/>
              </w:rPr>
            </w:pPr>
            <w:r>
              <w:rPr>
                <w:color w:val="auto"/>
                <w:sz w:val="24"/>
                <w:szCs w:val="24"/>
              </w:rPr>
              <w:t>/</w:t>
            </w:r>
          </w:p>
        </w:tc>
        <w:tc>
          <w:tcPr>
            <w:tcW w:w="2147" w:type="dxa"/>
            <w:vAlign w:val="center"/>
          </w:tcPr>
          <w:p>
            <w:pPr>
              <w:adjustRightInd w:val="0"/>
              <w:snapToGrid w:val="0"/>
              <w:spacing w:line="360" w:lineRule="auto"/>
              <w:jc w:val="center"/>
              <w:rPr>
                <w:color w:val="auto"/>
                <w:sz w:val="24"/>
                <w:szCs w:val="24"/>
              </w:rPr>
            </w:pPr>
            <w:r>
              <w:rPr>
                <w:color w:val="auto"/>
                <w:sz w:val="24"/>
                <w:szCs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081" w:type="dxa"/>
            <w:vAlign w:val="center"/>
          </w:tcPr>
          <w:p>
            <w:pPr>
              <w:adjustRightInd w:val="0"/>
              <w:snapToGrid w:val="0"/>
              <w:spacing w:line="240" w:lineRule="auto"/>
              <w:jc w:val="center"/>
              <w:rPr>
                <w:color w:val="auto"/>
                <w:sz w:val="24"/>
                <w:szCs w:val="24"/>
              </w:rPr>
            </w:pPr>
            <w:r>
              <w:rPr>
                <w:color w:val="auto"/>
                <w:sz w:val="24"/>
                <w:szCs w:val="24"/>
              </w:rPr>
              <w:t>固体废物</w:t>
            </w:r>
          </w:p>
        </w:tc>
        <w:tc>
          <w:tcPr>
            <w:tcW w:w="7410" w:type="dxa"/>
            <w:gridSpan w:val="4"/>
            <w:vAlign w:val="center"/>
          </w:tcPr>
          <w:p>
            <w:pPr>
              <w:spacing w:line="240" w:lineRule="auto"/>
              <w:rPr>
                <w:rFonts w:hint="eastAsia" w:ascii="宋体" w:hAnsi="宋体"/>
                <w:color w:val="auto"/>
                <w:sz w:val="24"/>
                <w:szCs w:val="24"/>
                <w:lang w:bidi="ar"/>
              </w:rPr>
            </w:pPr>
            <w:r>
              <w:rPr>
                <w:rFonts w:ascii="宋体" w:hAnsi="宋体" w:cs="Cambria Math"/>
                <w:color w:val="auto"/>
                <w:sz w:val="24"/>
                <w:szCs w:val="24"/>
              </w:rPr>
              <w:t>①</w:t>
            </w:r>
            <w:r>
              <w:rPr>
                <w:rFonts w:hint="eastAsia" w:ascii="宋体" w:hAnsi="宋体" w:cs="Cambria Math"/>
                <w:bCs/>
                <w:color w:val="auto"/>
                <w:sz w:val="24"/>
                <w:szCs w:val="24"/>
              </w:rPr>
              <w:t>造粒切粒废边角料</w:t>
            </w:r>
            <w:r>
              <w:rPr>
                <w:rFonts w:ascii="宋体" w:hAnsi="宋体"/>
                <w:color w:val="auto"/>
                <w:sz w:val="24"/>
                <w:szCs w:val="24"/>
              </w:rPr>
              <w:t>：返回</w:t>
            </w:r>
            <w:r>
              <w:rPr>
                <w:rFonts w:hint="eastAsia" w:ascii="宋体" w:hAnsi="宋体"/>
                <w:color w:val="auto"/>
                <w:sz w:val="24"/>
                <w:szCs w:val="24"/>
              </w:rPr>
              <w:t>造粒工序</w:t>
            </w:r>
            <w:r>
              <w:rPr>
                <w:rFonts w:ascii="宋体" w:hAnsi="宋体"/>
                <w:color w:val="auto"/>
                <w:sz w:val="24"/>
                <w:szCs w:val="24"/>
              </w:rPr>
              <w:t>作为原料</w:t>
            </w:r>
            <w:r>
              <w:rPr>
                <w:rFonts w:hint="eastAsia" w:ascii="宋体" w:hAnsi="宋体"/>
                <w:color w:val="auto"/>
                <w:sz w:val="24"/>
                <w:szCs w:val="24"/>
              </w:rPr>
              <w:t>使用</w:t>
            </w:r>
            <w:r>
              <w:rPr>
                <w:rFonts w:ascii="宋体" w:hAnsi="宋体"/>
                <w:color w:val="auto"/>
                <w:sz w:val="24"/>
                <w:szCs w:val="24"/>
                <w:lang w:bidi="ar"/>
              </w:rPr>
              <w:t>。</w:t>
            </w:r>
          </w:p>
          <w:p>
            <w:pPr>
              <w:spacing w:line="240" w:lineRule="auto"/>
              <w:rPr>
                <w:rFonts w:hint="eastAsia" w:ascii="宋体" w:hAnsi="宋体"/>
                <w:color w:val="auto"/>
                <w:kern w:val="0"/>
                <w:sz w:val="24"/>
                <w:szCs w:val="24"/>
              </w:rPr>
            </w:pPr>
            <w:r>
              <w:rPr>
                <w:rFonts w:ascii="宋体" w:hAnsi="宋体" w:cs="Cambria Math"/>
                <w:color w:val="auto"/>
                <w:kern w:val="0"/>
                <w:sz w:val="24"/>
                <w:szCs w:val="24"/>
              </w:rPr>
              <w:t>②</w:t>
            </w:r>
            <w:r>
              <w:rPr>
                <w:rFonts w:hint="eastAsia" w:ascii="宋体" w:hAnsi="宋体"/>
                <w:bCs/>
                <w:color w:val="auto"/>
                <w:sz w:val="24"/>
                <w:szCs w:val="24"/>
              </w:rPr>
              <w:t>磁选除铁回收金属：外售回收商资源化利用。</w:t>
            </w:r>
          </w:p>
          <w:p>
            <w:pPr>
              <w:spacing w:line="240" w:lineRule="auto"/>
              <w:rPr>
                <w:color w:val="auto"/>
                <w:kern w:val="0"/>
                <w:sz w:val="24"/>
                <w:szCs w:val="24"/>
              </w:rPr>
            </w:pPr>
            <w:r>
              <w:rPr>
                <w:rFonts w:ascii="宋体" w:hAnsi="宋体" w:cs="Cambria Math"/>
                <w:color w:val="auto"/>
                <w:sz w:val="24"/>
                <w:szCs w:val="24"/>
              </w:rPr>
              <w:t>③</w:t>
            </w:r>
            <w:r>
              <w:rPr>
                <w:rFonts w:ascii="宋体" w:hAnsi="宋体"/>
                <w:color w:val="auto"/>
                <w:sz w:val="24"/>
                <w:szCs w:val="24"/>
              </w:rPr>
              <w:t>生活垃圾：委托环卫部门清运处置</w:t>
            </w:r>
          </w:p>
          <w:p>
            <w:pPr>
              <w:spacing w:line="240" w:lineRule="auto"/>
              <w:rPr>
                <w:rFonts w:ascii="宋体" w:hAnsi="宋体"/>
                <w:color w:val="auto"/>
                <w:sz w:val="24"/>
                <w:szCs w:val="24"/>
              </w:rPr>
            </w:pPr>
            <w:r>
              <w:rPr>
                <w:rFonts w:hint="eastAsia" w:ascii="宋体" w:hAnsi="宋体"/>
                <w:color w:val="auto"/>
                <w:sz w:val="24"/>
                <w:szCs w:val="24"/>
              </w:rPr>
              <w:t>④</w:t>
            </w:r>
            <w:r>
              <w:rPr>
                <w:rFonts w:ascii="宋体" w:hAnsi="宋体"/>
                <w:color w:val="auto"/>
                <w:sz w:val="24"/>
                <w:szCs w:val="24"/>
              </w:rPr>
              <w:t>废润滑油、废活性炭</w:t>
            </w:r>
            <w:r>
              <w:rPr>
                <w:rFonts w:hint="eastAsia" w:ascii="宋体" w:hAnsi="宋体"/>
                <w:color w:val="auto"/>
                <w:sz w:val="24"/>
                <w:szCs w:val="24"/>
              </w:rPr>
              <w:t>、</w:t>
            </w:r>
            <w:r>
              <w:rPr>
                <w:rFonts w:hint="eastAsia"/>
                <w:color w:val="auto"/>
                <w:sz w:val="24"/>
                <w:szCs w:val="24"/>
              </w:rPr>
              <w:t>废过滤棉</w:t>
            </w:r>
            <w:r>
              <w:rPr>
                <w:rFonts w:hint="eastAsia"/>
                <w:color w:val="auto"/>
                <w:sz w:val="24"/>
                <w:szCs w:val="24"/>
                <w:lang w:eastAsia="zh-CN"/>
              </w:rPr>
              <w:t>、电捕焦油器冲洗液</w:t>
            </w:r>
            <w:r>
              <w:rPr>
                <w:rFonts w:ascii="宋体" w:hAnsi="宋体"/>
                <w:color w:val="auto"/>
                <w:sz w:val="24"/>
                <w:szCs w:val="24"/>
              </w:rPr>
              <w:t>：暂存于危废暂存间内，委托有资质的单位清运处置。</w:t>
            </w:r>
          </w:p>
          <w:p>
            <w:pPr>
              <w:spacing w:line="240" w:lineRule="auto"/>
              <w:rPr>
                <w:color w:val="auto"/>
                <w:sz w:val="24"/>
                <w:szCs w:val="24"/>
              </w:rPr>
            </w:pPr>
            <w:r>
              <w:rPr>
                <w:rFonts w:hint="eastAsia" w:ascii="宋体" w:hAnsi="宋体" w:cs="Cambria Math"/>
                <w:color w:val="auto"/>
                <w:sz w:val="24"/>
                <w:szCs w:val="24"/>
                <w:lang w:val="en-US" w:eastAsia="zh-CN"/>
              </w:rPr>
              <w:t>⑤</w:t>
            </w:r>
            <w:r>
              <w:rPr>
                <w:color w:val="auto"/>
                <w:sz w:val="24"/>
                <w:szCs w:val="24"/>
              </w:rPr>
              <w:t>设置一般工业固废暂存区，符合《一般工业固体废物贮存和填埋污染控制标准》（GB18599-2020）要求。</w:t>
            </w:r>
          </w:p>
          <w:p>
            <w:pPr>
              <w:adjustRightInd w:val="0"/>
              <w:snapToGrid w:val="0"/>
              <w:spacing w:line="240" w:lineRule="auto"/>
              <w:rPr>
                <w:color w:val="auto"/>
                <w:sz w:val="24"/>
                <w:szCs w:val="24"/>
              </w:rPr>
            </w:pPr>
            <w:r>
              <w:rPr>
                <w:rFonts w:hint="eastAsia" w:ascii="宋体" w:hAnsi="宋体" w:cs="Cambria Math"/>
                <w:color w:val="auto"/>
                <w:sz w:val="24"/>
                <w:szCs w:val="24"/>
                <w:lang w:val="en-US" w:eastAsia="zh-CN"/>
              </w:rPr>
              <w:t>⑥</w:t>
            </w:r>
            <w:r>
              <w:rPr>
                <w:color w:val="auto"/>
                <w:sz w:val="24"/>
                <w:szCs w:val="24"/>
              </w:rPr>
              <w:t>设置1间危险废物暂存间，危险废物临时贮存应按《危险废物贮存污染物控制标准》（GB18597-2023）进行建设。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081" w:type="dxa"/>
            <w:vAlign w:val="center"/>
          </w:tcPr>
          <w:p>
            <w:pPr>
              <w:adjustRightInd w:val="0"/>
              <w:snapToGrid w:val="0"/>
              <w:spacing w:line="240" w:lineRule="auto"/>
              <w:jc w:val="center"/>
              <w:rPr>
                <w:color w:val="auto"/>
                <w:sz w:val="24"/>
                <w:szCs w:val="24"/>
              </w:rPr>
            </w:pPr>
            <w:r>
              <w:rPr>
                <w:color w:val="auto"/>
                <w:sz w:val="24"/>
                <w:szCs w:val="24"/>
              </w:rPr>
              <w:t>土壤及地下水污染防治措施</w:t>
            </w:r>
          </w:p>
        </w:tc>
        <w:tc>
          <w:tcPr>
            <w:tcW w:w="7410" w:type="dxa"/>
            <w:gridSpan w:val="4"/>
            <w:vAlign w:val="center"/>
          </w:tcPr>
          <w:p>
            <w:pPr>
              <w:adjustRightInd w:val="0"/>
              <w:snapToGrid w:val="0"/>
              <w:spacing w:line="240" w:lineRule="auto"/>
              <w:ind w:firstLine="480" w:firstLineChars="200"/>
              <w:rPr>
                <w:color w:val="auto"/>
                <w:sz w:val="24"/>
                <w:szCs w:val="24"/>
              </w:rPr>
            </w:pPr>
            <w:r>
              <w:rPr>
                <w:rFonts w:hint="eastAsia"/>
                <w:color w:val="auto"/>
                <w:sz w:val="24"/>
                <w:szCs w:val="24"/>
              </w:rPr>
              <w:t>生产车间内部、循环水池均进行水泥硬化处理，</w:t>
            </w:r>
            <w:r>
              <w:rPr>
                <w:bCs/>
                <w:color w:val="auto"/>
                <w:kern w:val="0"/>
                <w:sz w:val="24"/>
                <w:szCs w:val="24"/>
              </w:rPr>
              <w:t>等效黏土防渗层厚度Mb≥1.5m，渗透系数K≤1.0×10</w:t>
            </w:r>
            <w:r>
              <w:rPr>
                <w:bCs/>
                <w:color w:val="auto"/>
                <w:kern w:val="0"/>
                <w:sz w:val="24"/>
                <w:szCs w:val="24"/>
                <w:vertAlign w:val="superscript"/>
              </w:rPr>
              <w:t>-7</w:t>
            </w:r>
            <w:r>
              <w:rPr>
                <w:bCs/>
                <w:color w:val="auto"/>
                <w:kern w:val="0"/>
                <w:sz w:val="24"/>
                <w:szCs w:val="24"/>
              </w:rPr>
              <w:t>cm/s</w:t>
            </w:r>
            <w:r>
              <w:rPr>
                <w:rFonts w:hint="eastAsia"/>
                <w:bCs/>
                <w:color w:val="auto"/>
                <w:kern w:val="0"/>
                <w:sz w:val="24"/>
                <w:szCs w:val="24"/>
              </w:rPr>
              <w:t>，</w:t>
            </w:r>
            <w:r>
              <w:rPr>
                <w:rFonts w:hint="eastAsia"/>
                <w:color w:val="auto"/>
                <w:sz w:val="24"/>
                <w:szCs w:val="24"/>
              </w:rPr>
              <w:t>并设置渗滤液收集地沟用于收集各暂存物料渗滤液。</w:t>
            </w:r>
          </w:p>
          <w:p>
            <w:pPr>
              <w:adjustRightInd w:val="0"/>
              <w:snapToGrid w:val="0"/>
              <w:spacing w:line="240" w:lineRule="auto"/>
              <w:ind w:firstLine="480" w:firstLineChars="200"/>
              <w:rPr>
                <w:color w:val="auto"/>
                <w:sz w:val="24"/>
                <w:szCs w:val="24"/>
              </w:rPr>
            </w:pPr>
            <w:r>
              <w:rPr>
                <w:color w:val="auto"/>
                <w:sz w:val="24"/>
                <w:szCs w:val="24"/>
              </w:rPr>
              <w:t>危废暂存间采取防渗措施，贮存设施地面与裙脚采取表面防渗措施，表面防渗材料应与所接触的物料或污染物相容，可采用抗渗混凝土、高密度聚乙烯膜、钠基膨润土防水毯或其他防渗性能等效的材料</w:t>
            </w:r>
            <w:r>
              <w:rPr>
                <w:rFonts w:hint="eastAsia"/>
                <w:color w:val="auto"/>
                <w:sz w:val="24"/>
                <w:szCs w:val="24"/>
              </w:rPr>
              <w:t>，</w:t>
            </w:r>
            <w:r>
              <w:rPr>
                <w:color w:val="auto"/>
                <w:sz w:val="24"/>
                <w:szCs w:val="24"/>
              </w:rPr>
              <w:t>渗透系数≤10</w:t>
            </w:r>
            <w:r>
              <w:rPr>
                <w:rFonts w:hint="eastAsia"/>
                <w:color w:val="auto"/>
                <w:sz w:val="24"/>
                <w:szCs w:val="24"/>
                <w:lang w:eastAsia="zh-CN"/>
              </w:rPr>
              <w:t>—</w:t>
            </w:r>
            <w:r>
              <w:rPr>
                <w:color w:val="auto"/>
                <w:sz w:val="24"/>
                <w:szCs w:val="24"/>
                <w:vertAlign w:val="superscript"/>
              </w:rPr>
              <w:t>10</w:t>
            </w:r>
            <w:r>
              <w:rPr>
                <w:color w:val="auto"/>
                <w:sz w:val="24"/>
                <w:szCs w:val="24"/>
              </w:rPr>
              <w:t>cm/s；设置专用危废桶收集废润滑油等危废，设置防渗漏托盘。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081" w:type="dxa"/>
            <w:vAlign w:val="center"/>
          </w:tcPr>
          <w:p>
            <w:pPr>
              <w:adjustRightInd w:val="0"/>
              <w:snapToGrid w:val="0"/>
              <w:spacing w:line="240" w:lineRule="auto"/>
              <w:jc w:val="center"/>
              <w:rPr>
                <w:color w:val="auto"/>
                <w:sz w:val="24"/>
                <w:szCs w:val="24"/>
              </w:rPr>
            </w:pPr>
            <w:r>
              <w:rPr>
                <w:color w:val="auto"/>
                <w:sz w:val="24"/>
                <w:szCs w:val="24"/>
              </w:rPr>
              <w:t>生态保护措施</w:t>
            </w:r>
          </w:p>
        </w:tc>
        <w:tc>
          <w:tcPr>
            <w:tcW w:w="7410" w:type="dxa"/>
            <w:gridSpan w:val="4"/>
            <w:vAlign w:val="center"/>
          </w:tcPr>
          <w:p>
            <w:pPr>
              <w:adjustRightInd w:val="0"/>
              <w:snapToGrid w:val="0"/>
              <w:spacing w:line="240" w:lineRule="auto"/>
              <w:jc w:val="center"/>
              <w:rPr>
                <w:color w:val="auto"/>
                <w:sz w:val="24"/>
                <w:szCs w:val="24"/>
              </w:rPr>
            </w:pPr>
            <w:r>
              <w:rPr>
                <w:rFonts w:hint="eastAsia"/>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081" w:type="dxa"/>
            <w:vAlign w:val="center"/>
          </w:tcPr>
          <w:p>
            <w:pPr>
              <w:adjustRightInd w:val="0"/>
              <w:snapToGrid w:val="0"/>
              <w:spacing w:line="240" w:lineRule="auto"/>
              <w:jc w:val="center"/>
              <w:rPr>
                <w:color w:val="auto"/>
                <w:sz w:val="24"/>
                <w:szCs w:val="24"/>
              </w:rPr>
            </w:pPr>
            <w:r>
              <w:rPr>
                <w:color w:val="auto"/>
                <w:sz w:val="24"/>
                <w:szCs w:val="24"/>
              </w:rPr>
              <w:t>环境风险</w:t>
            </w:r>
          </w:p>
          <w:p>
            <w:pPr>
              <w:adjustRightInd w:val="0"/>
              <w:snapToGrid w:val="0"/>
              <w:spacing w:line="240" w:lineRule="auto"/>
              <w:jc w:val="center"/>
              <w:rPr>
                <w:color w:val="auto"/>
                <w:spacing w:val="-8"/>
                <w:sz w:val="24"/>
                <w:szCs w:val="24"/>
              </w:rPr>
            </w:pPr>
            <w:r>
              <w:rPr>
                <w:color w:val="auto"/>
                <w:sz w:val="24"/>
                <w:szCs w:val="24"/>
              </w:rPr>
              <w:t>防范措施</w:t>
            </w:r>
          </w:p>
        </w:tc>
        <w:tc>
          <w:tcPr>
            <w:tcW w:w="7410" w:type="dxa"/>
            <w:gridSpan w:val="4"/>
            <w:vAlign w:val="center"/>
          </w:tcPr>
          <w:p>
            <w:pPr>
              <w:adjustRightInd w:val="0"/>
              <w:snapToGrid w:val="0"/>
              <w:spacing w:line="240" w:lineRule="auto"/>
              <w:ind w:firstLine="480" w:firstLineChars="200"/>
              <w:rPr>
                <w:color w:val="auto"/>
                <w:sz w:val="24"/>
                <w:szCs w:val="24"/>
              </w:rPr>
            </w:pPr>
            <w:r>
              <w:rPr>
                <w:color w:val="auto"/>
                <w:sz w:val="24"/>
                <w:szCs w:val="24"/>
              </w:rPr>
              <w:t>废润滑油储存于危废暂存间内，危废暂存间按照《危险废物贮存污染控制标准》（GB18597-2023）及本环评提出的要求进行建设，做好防腐蚀、防渗漏、防流失，且委托有资质的危险废物处置单位清运处置。</w:t>
            </w:r>
          </w:p>
          <w:p>
            <w:pPr>
              <w:adjustRightInd w:val="0"/>
              <w:snapToGrid w:val="0"/>
              <w:spacing w:line="240" w:lineRule="auto"/>
              <w:ind w:firstLine="480" w:firstLineChars="200"/>
              <w:rPr>
                <w:color w:val="auto"/>
                <w:sz w:val="24"/>
                <w:szCs w:val="24"/>
              </w:rPr>
            </w:pPr>
            <w:r>
              <w:rPr>
                <w:rFonts w:hint="eastAsia"/>
                <w:color w:val="auto"/>
                <w:sz w:val="24"/>
                <w:szCs w:val="24"/>
              </w:rPr>
              <w:t>再生塑料颗粒成品（</w:t>
            </w:r>
            <w:r>
              <w:rPr>
                <w:color w:val="auto"/>
                <w:sz w:val="24"/>
                <w:szCs w:val="24"/>
              </w:rPr>
              <w:t>PE、PP</w:t>
            </w:r>
            <w:r>
              <w:rPr>
                <w:rFonts w:hint="eastAsia"/>
                <w:color w:val="auto"/>
                <w:sz w:val="24"/>
                <w:szCs w:val="24"/>
              </w:rPr>
              <w:t>）</w:t>
            </w:r>
            <w:r>
              <w:rPr>
                <w:color w:val="auto"/>
                <w:sz w:val="24"/>
                <w:szCs w:val="24"/>
              </w:rPr>
              <w:t>存放于仓库内，远离火源、热源，生产车间布置灭火器</w:t>
            </w:r>
            <w:r>
              <w:rPr>
                <w:rFonts w:hint="eastAsia"/>
                <w:color w:val="auto"/>
                <w:sz w:val="24"/>
                <w:szCs w:val="24"/>
              </w:rPr>
              <w:t>等消防器材</w:t>
            </w:r>
            <w:r>
              <w:rPr>
                <w:color w:val="auto"/>
                <w:sz w:val="24"/>
                <w:szCs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081" w:type="dxa"/>
            <w:vAlign w:val="center"/>
          </w:tcPr>
          <w:p>
            <w:pPr>
              <w:adjustRightInd w:val="0"/>
              <w:snapToGrid w:val="0"/>
              <w:spacing w:line="240" w:lineRule="auto"/>
              <w:jc w:val="center"/>
              <w:rPr>
                <w:color w:val="auto"/>
                <w:spacing w:val="-8"/>
                <w:sz w:val="24"/>
                <w:szCs w:val="24"/>
              </w:rPr>
            </w:pPr>
            <w:r>
              <w:rPr>
                <w:color w:val="auto"/>
                <w:spacing w:val="-8"/>
                <w:sz w:val="24"/>
                <w:szCs w:val="24"/>
              </w:rPr>
              <w:t>其他环境管理要求</w:t>
            </w:r>
          </w:p>
        </w:tc>
        <w:tc>
          <w:tcPr>
            <w:tcW w:w="7410" w:type="dxa"/>
            <w:gridSpan w:val="4"/>
            <w:vAlign w:val="center"/>
          </w:tcPr>
          <w:p>
            <w:pPr>
              <w:pStyle w:val="103"/>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一、竣工环境保护验收</w:t>
            </w:r>
          </w:p>
          <w:p>
            <w:pPr>
              <w:pStyle w:val="103"/>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建设项目竣工环境保护验收暂行办法》（国环规环评〔2017〕4号）文件，建设单位作为建设项目竣工环境保护验收的责任主体，应当按照本办法规定的程序和标准，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不得在验收过程中弄虚作假。建设项目配套建设的环境保护设施经验收合格，方可投入生产或者使用；未经验收或者验收不合格的，不得投入生产或者使用。</w:t>
            </w:r>
          </w:p>
          <w:p>
            <w:pPr>
              <w:pStyle w:val="103"/>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二、排污许可</w:t>
            </w:r>
          </w:p>
          <w:p>
            <w:pPr>
              <w:pStyle w:val="103"/>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建设单位须按照《排污许可管理条例》（国务院令第736号）和《固定污染源排污许可分类管理名录》的要求，及时办理排污</w:t>
            </w:r>
            <w:r>
              <w:rPr>
                <w:rFonts w:hint="eastAsia" w:cs="Times New Roman"/>
                <w:color w:val="auto"/>
                <w:sz w:val="24"/>
                <w:szCs w:val="24"/>
                <w:lang w:eastAsia="zh-CN"/>
              </w:rPr>
              <w:t>许可</w:t>
            </w:r>
            <w:r>
              <w:rPr>
                <w:rFonts w:hint="default" w:ascii="Times New Roman" w:hAnsi="Times New Roman" w:eastAsia="宋体" w:cs="Times New Roman"/>
                <w:color w:val="auto"/>
                <w:sz w:val="24"/>
                <w:szCs w:val="24"/>
              </w:rPr>
              <w:t>证的相关手续。</w:t>
            </w:r>
          </w:p>
          <w:p>
            <w:pPr>
              <w:pStyle w:val="103"/>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三、排污口规范化设置</w:t>
            </w:r>
          </w:p>
          <w:p>
            <w:pPr>
              <w:pStyle w:val="103"/>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1、排污口立标</w:t>
            </w:r>
          </w:p>
          <w:p>
            <w:pPr>
              <w:pStyle w:val="103"/>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color w:val="auto"/>
                <w:sz w:val="24"/>
                <w:szCs w:val="24"/>
              </w:rPr>
              <w:t>建设单位在严格进行环境管理的同时还应遵照国家对排污口规范的要求，在场区“三废”及噪声排放点设置明显标志，标志的设置应执行《环境保护图形标志</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排放口（源）》（GB15562.1-1995）</w:t>
            </w:r>
            <w:r>
              <w:rPr>
                <w:rFonts w:hint="eastAsia" w:ascii="Times New Roman" w:hAnsi="Times New Roman" w:eastAsia="宋体" w:cs="Times New Roman"/>
                <w:color w:val="auto"/>
                <w:sz w:val="24"/>
                <w:szCs w:val="24"/>
                <w:lang w:val="en-US" w:eastAsia="zh-CN"/>
              </w:rPr>
              <w:t>及</w:t>
            </w:r>
            <w:r>
              <w:rPr>
                <w:rFonts w:hint="default" w:ascii="Times New Roman" w:hAnsi="Times New Roman" w:eastAsia="宋体" w:cs="Times New Roman"/>
                <w:color w:val="auto"/>
                <w:sz w:val="24"/>
                <w:szCs w:val="24"/>
              </w:rPr>
              <w:t>《环境保护图形</w:t>
            </w:r>
            <w:r>
              <w:rPr>
                <w:rFonts w:hint="eastAsia" w:ascii="Times New Roman" w:hAnsi="Times New Roman" w:eastAsia="宋体" w:cs="Times New Roman"/>
                <w:color w:val="auto"/>
                <w:sz w:val="24"/>
                <w:szCs w:val="24"/>
                <w:lang w:val="en-US" w:eastAsia="zh-CN"/>
              </w:rPr>
              <w:t>标志—</w:t>
            </w:r>
            <w:r>
              <w:rPr>
                <w:rFonts w:hint="default" w:ascii="Times New Roman" w:hAnsi="Times New Roman" w:eastAsia="宋体" w:cs="Times New Roman"/>
                <w:color w:val="auto"/>
                <w:sz w:val="24"/>
                <w:szCs w:val="24"/>
              </w:rPr>
              <w:t>固体废物贮存（处置）场》（GB15562.2-1995）</w:t>
            </w:r>
            <w:r>
              <w:rPr>
                <w:rFonts w:hint="eastAsia" w:ascii="Times New Roman" w:hAnsi="Times New Roman" w:eastAsia="宋体" w:cs="Times New Roman"/>
                <w:color w:val="auto"/>
                <w:sz w:val="24"/>
                <w:szCs w:val="24"/>
                <w:lang w:val="en-US" w:eastAsia="zh-CN"/>
              </w:rPr>
              <w:t>修改单中</w:t>
            </w:r>
            <w:r>
              <w:rPr>
                <w:rFonts w:hint="default" w:ascii="Times New Roman" w:hAnsi="Times New Roman" w:eastAsia="宋体" w:cs="Times New Roman"/>
                <w:color w:val="auto"/>
                <w:sz w:val="24"/>
                <w:szCs w:val="24"/>
              </w:rPr>
              <w:t>有关规定</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排放口图形标志见下表。</w:t>
            </w:r>
          </w:p>
          <w:p>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表5-1排污口图形标志一览表</w:t>
            </w:r>
          </w:p>
          <w:tbl>
            <w:tblPr>
              <w:tblStyle w:val="23"/>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0"/>
              <w:gridCol w:w="1438"/>
              <w:gridCol w:w="1838"/>
              <w:gridCol w:w="1454"/>
              <w:gridCol w:w="18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jc w:val="center"/>
              </w:trPr>
              <w:tc>
                <w:tcPr>
                  <w:tcW w:w="674" w:type="dxa"/>
                  <w:noWrap w:val="0"/>
                  <w:vAlign w:val="center"/>
                </w:tcPr>
                <w:p>
                  <w:pPr>
                    <w:pStyle w:val="104"/>
                    <w:keepNext w:val="0"/>
                    <w:keepLines w:val="0"/>
                    <w:pageBreakBefore w:val="0"/>
                    <w:kinsoku/>
                    <w:wordWrap/>
                    <w:overflowPunct/>
                    <w:topLinePunct w:val="0"/>
                    <w:bidi w:val="0"/>
                    <w:spacing w:line="240" w:lineRule="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排放口</w:t>
                  </w:r>
                </w:p>
              </w:tc>
              <w:tc>
                <w:tcPr>
                  <w:tcW w:w="1539" w:type="dxa"/>
                  <w:noWrap w:val="0"/>
                  <w:vAlign w:val="center"/>
                </w:tcPr>
                <w:p>
                  <w:pPr>
                    <w:pStyle w:val="104"/>
                    <w:keepNext w:val="0"/>
                    <w:keepLines w:val="0"/>
                    <w:pageBreakBefore w:val="0"/>
                    <w:kinsoku/>
                    <w:wordWrap/>
                    <w:overflowPunct/>
                    <w:topLinePunct w:val="0"/>
                    <w:bidi w:val="0"/>
                    <w:spacing w:line="240" w:lineRule="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废气排放口</w:t>
                  </w:r>
                </w:p>
              </w:tc>
              <w:tc>
                <w:tcPr>
                  <w:tcW w:w="1966" w:type="dxa"/>
                  <w:noWrap w:val="0"/>
                  <w:vAlign w:val="center"/>
                </w:tcPr>
                <w:p>
                  <w:pPr>
                    <w:pStyle w:val="104"/>
                    <w:keepNext w:val="0"/>
                    <w:keepLines w:val="0"/>
                    <w:pageBreakBefore w:val="0"/>
                    <w:kinsoku/>
                    <w:wordWrap/>
                    <w:overflowPunct/>
                    <w:topLinePunct w:val="0"/>
                    <w:bidi w:val="0"/>
                    <w:spacing w:line="240" w:lineRule="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噪声源</w:t>
                  </w:r>
                </w:p>
              </w:tc>
              <w:tc>
                <w:tcPr>
                  <w:tcW w:w="1556" w:type="dxa"/>
                  <w:noWrap w:val="0"/>
                  <w:vAlign w:val="center"/>
                </w:tcPr>
                <w:p>
                  <w:pPr>
                    <w:pStyle w:val="104"/>
                    <w:keepNext w:val="0"/>
                    <w:keepLines w:val="0"/>
                    <w:pageBreakBefore w:val="0"/>
                    <w:kinsoku/>
                    <w:wordWrap/>
                    <w:overflowPunct/>
                    <w:topLinePunct w:val="0"/>
                    <w:bidi w:val="0"/>
                    <w:spacing w:line="240" w:lineRule="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固体废物堆场</w:t>
                  </w:r>
                </w:p>
              </w:tc>
              <w:tc>
                <w:tcPr>
                  <w:tcW w:w="1951" w:type="dxa"/>
                  <w:noWrap w:val="0"/>
                  <w:vAlign w:val="center"/>
                </w:tcPr>
                <w:p>
                  <w:pPr>
                    <w:pStyle w:val="104"/>
                    <w:keepNext w:val="0"/>
                    <w:keepLines w:val="0"/>
                    <w:pageBreakBefore w:val="0"/>
                    <w:kinsoku/>
                    <w:wordWrap/>
                    <w:overflowPunct/>
                    <w:topLinePunct w:val="0"/>
                    <w:bidi w:val="0"/>
                    <w:spacing w:line="240" w:lineRule="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危险废物贮存、处置场警告图形符号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0" w:hRule="atLeast"/>
                <w:jc w:val="center"/>
              </w:trPr>
              <w:tc>
                <w:tcPr>
                  <w:tcW w:w="674" w:type="dxa"/>
                  <w:noWrap w:val="0"/>
                  <w:vAlign w:val="center"/>
                </w:tcPr>
                <w:p>
                  <w:pPr>
                    <w:pStyle w:val="104"/>
                    <w:keepNext w:val="0"/>
                    <w:keepLines w:val="0"/>
                    <w:pageBreakBefore w:val="0"/>
                    <w:kinsoku/>
                    <w:wordWrap/>
                    <w:overflowPunct/>
                    <w:topLinePunct w:val="0"/>
                    <w:bidi w:val="0"/>
                    <w:spacing w:line="24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图形</w:t>
                  </w:r>
                </w:p>
                <w:p>
                  <w:pPr>
                    <w:pStyle w:val="104"/>
                    <w:keepNext w:val="0"/>
                    <w:keepLines w:val="0"/>
                    <w:pageBreakBefore w:val="0"/>
                    <w:kinsoku/>
                    <w:wordWrap/>
                    <w:overflowPunct/>
                    <w:topLinePunct w:val="0"/>
                    <w:bidi w:val="0"/>
                    <w:spacing w:line="24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符号</w:t>
                  </w:r>
                </w:p>
              </w:tc>
              <w:tc>
                <w:tcPr>
                  <w:tcW w:w="1539" w:type="dxa"/>
                  <w:noWrap w:val="0"/>
                  <w:vAlign w:val="center"/>
                </w:tcPr>
                <w:p>
                  <w:pPr>
                    <w:pStyle w:val="104"/>
                    <w:keepNext w:val="0"/>
                    <w:keepLines w:val="0"/>
                    <w:pageBreakBefore w:val="0"/>
                    <w:kinsoku/>
                    <w:wordWrap/>
                    <w:overflowPunct/>
                    <w:topLinePunct w:val="0"/>
                    <w:bidi w:val="0"/>
                    <w:spacing w:line="24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drawing>
                      <wp:inline distT="0" distB="0" distL="114300" distR="114300">
                        <wp:extent cx="790575" cy="790575"/>
                        <wp:effectExtent l="0" t="0" r="9525" b="9525"/>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pic:cNvPicPr>
                              </pic:nvPicPr>
                              <pic:blipFill>
                                <a:blip r:embed="rId24"/>
                                <a:stretch>
                                  <a:fillRect/>
                                </a:stretch>
                              </pic:blipFill>
                              <pic:spPr>
                                <a:xfrm>
                                  <a:off x="0" y="0"/>
                                  <a:ext cx="790575" cy="790575"/>
                                </a:xfrm>
                                <a:prstGeom prst="rect">
                                  <a:avLst/>
                                </a:prstGeom>
                                <a:noFill/>
                                <a:ln>
                                  <a:noFill/>
                                </a:ln>
                              </pic:spPr>
                            </pic:pic>
                          </a:graphicData>
                        </a:graphic>
                      </wp:inline>
                    </w:drawing>
                  </w:r>
                </w:p>
              </w:tc>
              <w:tc>
                <w:tcPr>
                  <w:tcW w:w="1966" w:type="dxa"/>
                  <w:noWrap w:val="0"/>
                  <w:vAlign w:val="center"/>
                </w:tcPr>
                <w:p>
                  <w:pPr>
                    <w:pStyle w:val="104"/>
                    <w:keepNext w:val="0"/>
                    <w:keepLines w:val="0"/>
                    <w:pageBreakBefore w:val="0"/>
                    <w:kinsoku/>
                    <w:wordWrap/>
                    <w:overflowPunct/>
                    <w:topLinePunct w:val="0"/>
                    <w:bidi w:val="0"/>
                    <w:spacing w:line="24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drawing>
                      <wp:inline distT="0" distB="0" distL="114300" distR="114300">
                        <wp:extent cx="790575" cy="790575"/>
                        <wp:effectExtent l="0" t="0" r="9525" b="952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25"/>
                                <a:stretch>
                                  <a:fillRect/>
                                </a:stretch>
                              </pic:blipFill>
                              <pic:spPr>
                                <a:xfrm>
                                  <a:off x="0" y="0"/>
                                  <a:ext cx="790575" cy="790575"/>
                                </a:xfrm>
                                <a:prstGeom prst="rect">
                                  <a:avLst/>
                                </a:prstGeom>
                                <a:noFill/>
                                <a:ln>
                                  <a:noFill/>
                                </a:ln>
                              </pic:spPr>
                            </pic:pic>
                          </a:graphicData>
                        </a:graphic>
                      </wp:inline>
                    </w:drawing>
                  </w:r>
                </w:p>
              </w:tc>
              <w:tc>
                <w:tcPr>
                  <w:tcW w:w="1556" w:type="dxa"/>
                  <w:noWrap w:val="0"/>
                  <w:vAlign w:val="center"/>
                </w:tcPr>
                <w:p>
                  <w:pPr>
                    <w:pStyle w:val="104"/>
                    <w:keepNext w:val="0"/>
                    <w:keepLines w:val="0"/>
                    <w:pageBreakBefore w:val="0"/>
                    <w:kinsoku/>
                    <w:wordWrap/>
                    <w:overflowPunct/>
                    <w:topLinePunct w:val="0"/>
                    <w:bidi w:val="0"/>
                    <w:spacing w:line="24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drawing>
                      <wp:inline distT="0" distB="0" distL="114300" distR="114300">
                        <wp:extent cx="790575" cy="790575"/>
                        <wp:effectExtent l="0" t="0" r="9525" b="9525"/>
                        <wp:docPr id="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
                                <pic:cNvPicPr>
                                  <a:picLocks noChangeAspect="1"/>
                                </pic:cNvPicPr>
                              </pic:nvPicPr>
                              <pic:blipFill>
                                <a:blip r:embed="rId26"/>
                                <a:stretch>
                                  <a:fillRect/>
                                </a:stretch>
                              </pic:blipFill>
                              <pic:spPr>
                                <a:xfrm>
                                  <a:off x="0" y="0"/>
                                  <a:ext cx="790575" cy="790575"/>
                                </a:xfrm>
                                <a:prstGeom prst="rect">
                                  <a:avLst/>
                                </a:prstGeom>
                                <a:noFill/>
                                <a:ln>
                                  <a:noFill/>
                                </a:ln>
                              </pic:spPr>
                            </pic:pic>
                          </a:graphicData>
                        </a:graphic>
                      </wp:inline>
                    </w:drawing>
                  </w:r>
                </w:p>
              </w:tc>
              <w:tc>
                <w:tcPr>
                  <w:tcW w:w="1951" w:type="dxa"/>
                  <w:noWrap w:val="0"/>
                  <w:vAlign w:val="center"/>
                </w:tcPr>
                <w:p>
                  <w:pPr>
                    <w:pStyle w:val="104"/>
                    <w:keepNext w:val="0"/>
                    <w:keepLines w:val="0"/>
                    <w:pageBreakBefore w:val="0"/>
                    <w:kinsoku/>
                    <w:wordWrap/>
                    <w:overflowPunct/>
                    <w:topLinePunct w:val="0"/>
                    <w:bidi w:val="0"/>
                    <w:spacing w:line="24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drawing>
                      <wp:inline distT="0" distB="0" distL="114300" distR="114300">
                        <wp:extent cx="995045" cy="830580"/>
                        <wp:effectExtent l="0" t="0" r="14605" b="7620"/>
                        <wp:docPr id="2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
                                <pic:cNvPicPr>
                                  <a:picLocks noChangeAspect="1"/>
                                </pic:cNvPicPr>
                              </pic:nvPicPr>
                              <pic:blipFill>
                                <a:blip r:embed="rId27"/>
                                <a:stretch>
                                  <a:fillRect/>
                                </a:stretch>
                              </pic:blipFill>
                              <pic:spPr>
                                <a:xfrm>
                                  <a:off x="0" y="0"/>
                                  <a:ext cx="995045" cy="830580"/>
                                </a:xfrm>
                                <a:prstGeom prst="rect">
                                  <a:avLst/>
                                </a:prstGeom>
                                <a:noFill/>
                                <a:ln>
                                  <a:noFill/>
                                </a:ln>
                              </pic:spPr>
                            </pic:pic>
                          </a:graphicData>
                        </a:graphic>
                      </wp:inline>
                    </w:drawing>
                  </w:r>
                </w:p>
              </w:tc>
            </w:tr>
          </w:tbl>
          <w:p>
            <w:pPr>
              <w:pStyle w:val="103"/>
              <w:keepNext w:val="0"/>
              <w:keepLines w:val="0"/>
              <w:pageBreakBefore w:val="0"/>
              <w:widowControl w:val="0"/>
              <w:kinsoku/>
              <w:wordWrap/>
              <w:overflowPunct/>
              <w:topLinePunct w:val="0"/>
              <w:autoSpaceDE/>
              <w:autoSpaceDN/>
              <w:bidi w:val="0"/>
              <w:snapToGrid/>
              <w:spacing w:line="24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2、排污口管理</w:t>
            </w:r>
          </w:p>
          <w:p>
            <w:pPr>
              <w:pStyle w:val="103"/>
              <w:keepNext w:val="0"/>
              <w:keepLines w:val="0"/>
              <w:pageBreakBefore w:val="0"/>
              <w:widowControl w:val="0"/>
              <w:kinsoku/>
              <w:wordWrap/>
              <w:overflowPunct/>
              <w:topLinePunct w:val="0"/>
              <w:autoSpaceDE/>
              <w:autoSpaceDN/>
              <w:bidi w:val="0"/>
              <w:snapToGrid/>
              <w:spacing w:line="24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（1）根据排污口管理档案内容要求，项目运行期间应将主要污染物种类、数量、浓度、排放去向、达标情况及设施运转情况记录于档案，</w:t>
            </w:r>
            <w:r>
              <w:rPr>
                <w:rFonts w:hint="eastAsia" w:cs="Times New Roman"/>
                <w:color w:val="auto"/>
                <w:sz w:val="24"/>
                <w:szCs w:val="24"/>
                <w:lang w:eastAsia="zh-CN"/>
              </w:rPr>
              <w:t>并</w:t>
            </w:r>
            <w:r>
              <w:rPr>
                <w:rFonts w:hint="default" w:ascii="Times New Roman" w:hAnsi="Times New Roman" w:eastAsia="宋体" w:cs="Times New Roman"/>
                <w:color w:val="auto"/>
                <w:sz w:val="24"/>
                <w:szCs w:val="24"/>
              </w:rPr>
              <w:t>如实向环保管理部门如实申报。</w:t>
            </w:r>
          </w:p>
          <w:p>
            <w:pPr>
              <w:keepNext w:val="0"/>
              <w:keepLines w:val="0"/>
              <w:pageBreakBefore w:val="0"/>
              <w:widowControl w:val="0"/>
              <w:kinsoku/>
              <w:wordWrap/>
              <w:overflowPunct/>
              <w:topLinePunct w:val="0"/>
              <w:autoSpaceDE/>
              <w:autoSpaceDN/>
              <w:bidi w:val="0"/>
              <w:adjustRightInd w:val="0"/>
              <w:snapToGrid/>
              <w:spacing w:line="24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（2）排污口规范化设置的有关设施属于环境保护设施，建设单位应将其纳入本单位的设备管理中，并选派责任心强、有专业知识和技能的人员对排污口进行管理。</w:t>
            </w:r>
          </w:p>
          <w:p>
            <w:pPr>
              <w:pStyle w:val="105"/>
              <w:keepNext w:val="0"/>
              <w:keepLines w:val="0"/>
              <w:pageBreakBefore w:val="0"/>
              <w:kinsoku/>
              <w:wordWrap/>
              <w:overflowPunct/>
              <w:topLinePunct w:val="0"/>
              <w:bidi w:val="0"/>
              <w:spacing w:line="360" w:lineRule="auto"/>
              <w:ind w:left="0" w:leftChars="0" w:firstLine="0" w:firstLineChars="0"/>
              <w:rPr>
                <w:rFonts w:hint="default" w:ascii="Times New Roman" w:hAnsi="Times New Roman" w:cs="Times New Roman"/>
                <w:color w:val="auto"/>
                <w:sz w:val="24"/>
                <w:szCs w:val="24"/>
              </w:rPr>
            </w:pPr>
          </w:p>
          <w:p>
            <w:pPr>
              <w:pStyle w:val="105"/>
              <w:keepNext w:val="0"/>
              <w:keepLines w:val="0"/>
              <w:pageBreakBefore w:val="0"/>
              <w:kinsoku/>
              <w:wordWrap/>
              <w:overflowPunct/>
              <w:topLinePunct w:val="0"/>
              <w:bidi w:val="0"/>
              <w:spacing w:line="360" w:lineRule="auto"/>
              <w:ind w:left="0" w:leftChars="0" w:firstLine="0" w:firstLineChars="0"/>
              <w:rPr>
                <w:rFonts w:hint="default" w:ascii="Times New Roman" w:hAnsi="Times New Roman" w:cs="Times New Roman"/>
                <w:color w:val="auto"/>
                <w:sz w:val="24"/>
                <w:szCs w:val="24"/>
              </w:rPr>
            </w:pPr>
          </w:p>
          <w:p>
            <w:pPr>
              <w:pStyle w:val="105"/>
              <w:keepNext w:val="0"/>
              <w:keepLines w:val="0"/>
              <w:pageBreakBefore w:val="0"/>
              <w:kinsoku/>
              <w:wordWrap/>
              <w:overflowPunct/>
              <w:topLinePunct w:val="0"/>
              <w:bidi w:val="0"/>
              <w:spacing w:line="360" w:lineRule="auto"/>
              <w:ind w:left="0" w:leftChars="0" w:firstLine="0" w:firstLineChars="0"/>
              <w:rPr>
                <w:rFonts w:hint="default" w:ascii="Times New Roman" w:hAnsi="Times New Roman" w:cs="Times New Roman"/>
                <w:color w:val="auto"/>
                <w:sz w:val="24"/>
                <w:szCs w:val="24"/>
              </w:rPr>
            </w:pPr>
          </w:p>
          <w:p>
            <w:pPr>
              <w:pStyle w:val="105"/>
              <w:keepNext w:val="0"/>
              <w:keepLines w:val="0"/>
              <w:pageBreakBefore w:val="0"/>
              <w:kinsoku/>
              <w:wordWrap/>
              <w:overflowPunct/>
              <w:topLinePunct w:val="0"/>
              <w:bidi w:val="0"/>
              <w:spacing w:line="360" w:lineRule="auto"/>
              <w:ind w:left="0" w:leftChars="0" w:firstLine="0" w:firstLineChars="0"/>
              <w:rPr>
                <w:rFonts w:hint="default" w:ascii="Times New Roman" w:hAnsi="Times New Roman" w:cs="Times New Roman"/>
                <w:color w:val="auto"/>
                <w:sz w:val="24"/>
                <w:szCs w:val="24"/>
              </w:rPr>
            </w:pPr>
          </w:p>
          <w:p>
            <w:pPr>
              <w:pStyle w:val="105"/>
              <w:keepNext w:val="0"/>
              <w:keepLines w:val="0"/>
              <w:pageBreakBefore w:val="0"/>
              <w:kinsoku/>
              <w:wordWrap/>
              <w:overflowPunct/>
              <w:topLinePunct w:val="0"/>
              <w:bidi w:val="0"/>
              <w:spacing w:line="360" w:lineRule="auto"/>
              <w:ind w:left="0" w:leftChars="0" w:firstLine="0" w:firstLineChars="0"/>
              <w:rPr>
                <w:rFonts w:hint="default" w:ascii="Times New Roman" w:hAnsi="Times New Roman" w:cs="Times New Roman"/>
                <w:color w:val="auto"/>
                <w:sz w:val="24"/>
                <w:szCs w:val="24"/>
              </w:rPr>
            </w:pPr>
          </w:p>
          <w:p>
            <w:pPr>
              <w:pStyle w:val="105"/>
              <w:keepNext w:val="0"/>
              <w:keepLines w:val="0"/>
              <w:pageBreakBefore w:val="0"/>
              <w:kinsoku/>
              <w:wordWrap/>
              <w:overflowPunct/>
              <w:topLinePunct w:val="0"/>
              <w:bidi w:val="0"/>
              <w:spacing w:line="360" w:lineRule="auto"/>
              <w:ind w:left="0" w:leftChars="0" w:firstLine="0" w:firstLineChars="0"/>
              <w:rPr>
                <w:rFonts w:hint="default" w:ascii="Times New Roman" w:hAnsi="Times New Roman" w:cs="Times New Roman"/>
                <w:color w:val="auto"/>
                <w:sz w:val="24"/>
                <w:szCs w:val="24"/>
              </w:rPr>
            </w:pPr>
          </w:p>
          <w:p>
            <w:pPr>
              <w:pStyle w:val="105"/>
              <w:keepNext w:val="0"/>
              <w:keepLines w:val="0"/>
              <w:pageBreakBefore w:val="0"/>
              <w:kinsoku/>
              <w:wordWrap/>
              <w:overflowPunct/>
              <w:topLinePunct w:val="0"/>
              <w:bidi w:val="0"/>
              <w:spacing w:line="360" w:lineRule="auto"/>
              <w:ind w:left="0" w:leftChars="0" w:firstLine="0" w:firstLineChars="0"/>
              <w:rPr>
                <w:rFonts w:hint="default" w:ascii="Times New Roman" w:hAnsi="Times New Roman" w:cs="Times New Roman"/>
                <w:color w:val="auto"/>
                <w:sz w:val="24"/>
                <w:szCs w:val="24"/>
              </w:rPr>
            </w:pPr>
          </w:p>
          <w:p>
            <w:pPr>
              <w:pStyle w:val="105"/>
              <w:keepNext w:val="0"/>
              <w:keepLines w:val="0"/>
              <w:pageBreakBefore w:val="0"/>
              <w:kinsoku/>
              <w:wordWrap/>
              <w:overflowPunct/>
              <w:topLinePunct w:val="0"/>
              <w:bidi w:val="0"/>
              <w:spacing w:line="360" w:lineRule="auto"/>
              <w:ind w:left="0" w:leftChars="0" w:firstLine="0" w:firstLineChars="0"/>
              <w:rPr>
                <w:rFonts w:hint="default" w:ascii="Times New Roman" w:hAnsi="Times New Roman" w:cs="Times New Roman"/>
                <w:color w:val="auto"/>
                <w:sz w:val="24"/>
                <w:szCs w:val="24"/>
              </w:rPr>
            </w:pPr>
          </w:p>
          <w:p>
            <w:pPr>
              <w:pStyle w:val="105"/>
              <w:keepNext w:val="0"/>
              <w:keepLines w:val="0"/>
              <w:pageBreakBefore w:val="0"/>
              <w:kinsoku/>
              <w:wordWrap/>
              <w:overflowPunct/>
              <w:topLinePunct w:val="0"/>
              <w:bidi w:val="0"/>
              <w:spacing w:line="360" w:lineRule="auto"/>
              <w:ind w:left="0" w:leftChars="0" w:firstLine="0" w:firstLineChars="0"/>
              <w:rPr>
                <w:rFonts w:hint="default" w:ascii="Times New Roman" w:hAnsi="Times New Roman" w:cs="Times New Roman"/>
                <w:color w:val="auto"/>
                <w:sz w:val="24"/>
                <w:szCs w:val="24"/>
              </w:rPr>
            </w:pPr>
          </w:p>
          <w:p>
            <w:pPr>
              <w:pStyle w:val="105"/>
              <w:keepNext w:val="0"/>
              <w:keepLines w:val="0"/>
              <w:pageBreakBefore w:val="0"/>
              <w:kinsoku/>
              <w:wordWrap/>
              <w:overflowPunct/>
              <w:topLinePunct w:val="0"/>
              <w:bidi w:val="0"/>
              <w:spacing w:line="360" w:lineRule="auto"/>
              <w:ind w:left="0" w:leftChars="0" w:firstLine="0" w:firstLineChars="0"/>
              <w:rPr>
                <w:rFonts w:hint="default" w:ascii="Times New Roman" w:hAnsi="Times New Roman" w:cs="Times New Roman"/>
                <w:color w:val="auto"/>
                <w:sz w:val="24"/>
                <w:szCs w:val="24"/>
              </w:rPr>
            </w:pPr>
          </w:p>
          <w:p>
            <w:pPr>
              <w:adjustRightInd w:val="0"/>
              <w:snapToGrid w:val="0"/>
              <w:spacing w:line="240" w:lineRule="auto"/>
              <w:jc w:val="center"/>
              <w:rPr>
                <w:color w:val="auto"/>
                <w:sz w:val="24"/>
                <w:szCs w:val="24"/>
              </w:rPr>
            </w:pPr>
          </w:p>
        </w:tc>
      </w:tr>
    </w:tbl>
    <w:p>
      <w:pPr>
        <w:pStyle w:val="20"/>
        <w:jc w:val="center"/>
        <w:outlineLvl w:val="0"/>
        <w:rPr>
          <w:rFonts w:ascii="Times New Roman" w:hAnsi="Times New Roman" w:eastAsia="黑体"/>
          <w:snapToGrid w:val="0"/>
          <w:color w:val="auto"/>
          <w:sz w:val="30"/>
          <w:szCs w:val="30"/>
        </w:rPr>
      </w:pPr>
      <w:r>
        <w:rPr>
          <w:rFonts w:ascii="Times New Roman" w:hAnsi="Times New Roman"/>
          <w:snapToGrid w:val="0"/>
          <w:color w:val="auto"/>
        </w:rPr>
        <w:br w:type="page"/>
      </w:r>
      <w:bookmarkStart w:id="24" w:name="_Toc163725998"/>
      <w:r>
        <w:rPr>
          <w:rFonts w:ascii="Times New Roman" w:hAnsi="Times New Roman" w:eastAsia="黑体"/>
          <w:snapToGrid w:val="0"/>
          <w:color w:val="auto"/>
          <w:sz w:val="30"/>
          <w:szCs w:val="30"/>
        </w:rPr>
        <w:t>六、结论</w:t>
      </w:r>
      <w:bookmarkEnd w:id="24"/>
    </w:p>
    <w:tbl>
      <w:tblPr>
        <w:tblStyle w:val="2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vAlign w:val="center"/>
          </w:tcPr>
          <w:p>
            <w:pPr>
              <w:spacing w:line="360" w:lineRule="auto"/>
              <w:ind w:firstLine="480" w:firstLineChars="200"/>
              <w:rPr>
                <w:color w:val="auto"/>
                <w:sz w:val="24"/>
                <w:szCs w:val="24"/>
              </w:rPr>
            </w:pPr>
            <w:r>
              <w:rPr>
                <w:color w:val="auto"/>
                <w:sz w:val="24"/>
                <w:szCs w:val="24"/>
              </w:rPr>
              <w:t>本项目建设符合国家产业政策及</w:t>
            </w:r>
            <w:r>
              <w:rPr>
                <w:rFonts w:hint="eastAsia"/>
                <w:color w:val="auto"/>
                <w:sz w:val="24"/>
                <w:szCs w:val="24"/>
              </w:rPr>
              <w:t>生态环境分区管控</w:t>
            </w:r>
            <w:r>
              <w:rPr>
                <w:color w:val="auto"/>
                <w:sz w:val="24"/>
                <w:szCs w:val="24"/>
              </w:rPr>
              <w:t>要求。产生的环境影响因素包括废气、废水、噪声、固废等，在采取必要的防治措施后，可以得到有效控制，满足国家控制标准，不会对周围环境产生显著的影响。项目在建设过程中严格按“三同时”的原则设计和施工，落实环评报告中提出的治理措施，后期项目投产后需加强环境管理，通过以上分析，从环境影响的角度评价，项目的建设是可行的。</w:t>
            </w:r>
          </w:p>
          <w:p>
            <w:pPr>
              <w:spacing w:line="360" w:lineRule="auto"/>
              <w:ind w:firstLine="480" w:firstLineChars="200"/>
              <w:rPr>
                <w:color w:val="auto"/>
                <w:sz w:val="24"/>
                <w:szCs w:val="24"/>
              </w:rPr>
            </w:pPr>
          </w:p>
          <w:p>
            <w:pPr>
              <w:spacing w:line="360" w:lineRule="auto"/>
              <w:ind w:firstLine="420" w:firstLineChars="200"/>
              <w:rPr>
                <w:color w:val="auto"/>
                <w:szCs w:val="21"/>
              </w:rPr>
            </w:pPr>
          </w:p>
          <w:p>
            <w:pPr>
              <w:spacing w:line="360" w:lineRule="auto"/>
              <w:ind w:firstLine="420" w:firstLineChars="200"/>
              <w:rPr>
                <w:color w:val="auto"/>
                <w:szCs w:val="21"/>
              </w:rPr>
            </w:pPr>
          </w:p>
          <w:p>
            <w:pPr>
              <w:spacing w:line="360" w:lineRule="auto"/>
              <w:ind w:firstLine="420" w:firstLineChars="200"/>
              <w:rPr>
                <w:color w:val="auto"/>
                <w:szCs w:val="21"/>
              </w:rPr>
            </w:pPr>
          </w:p>
          <w:p>
            <w:pPr>
              <w:spacing w:line="360" w:lineRule="auto"/>
              <w:ind w:firstLine="420" w:firstLineChars="200"/>
              <w:rPr>
                <w:color w:val="auto"/>
                <w:szCs w:val="21"/>
              </w:rPr>
            </w:pPr>
          </w:p>
          <w:p>
            <w:pPr>
              <w:spacing w:line="360" w:lineRule="auto"/>
              <w:ind w:firstLine="420" w:firstLineChars="200"/>
              <w:rPr>
                <w:color w:val="auto"/>
                <w:szCs w:val="21"/>
              </w:rPr>
            </w:pPr>
          </w:p>
          <w:p>
            <w:pPr>
              <w:spacing w:line="360" w:lineRule="auto"/>
              <w:ind w:firstLine="420" w:firstLineChars="200"/>
              <w:rPr>
                <w:color w:val="auto"/>
                <w:szCs w:val="21"/>
              </w:rPr>
            </w:pPr>
          </w:p>
          <w:p>
            <w:pPr>
              <w:spacing w:line="360" w:lineRule="auto"/>
              <w:ind w:firstLine="420" w:firstLineChars="200"/>
              <w:rPr>
                <w:color w:val="auto"/>
                <w:szCs w:val="21"/>
              </w:rPr>
            </w:pPr>
          </w:p>
          <w:p>
            <w:pPr>
              <w:spacing w:line="360" w:lineRule="auto"/>
              <w:ind w:firstLine="420" w:firstLineChars="200"/>
              <w:rPr>
                <w:color w:val="auto"/>
                <w:szCs w:val="21"/>
              </w:rPr>
            </w:pPr>
          </w:p>
          <w:p>
            <w:pPr>
              <w:spacing w:line="360" w:lineRule="auto"/>
              <w:ind w:firstLine="420" w:firstLineChars="200"/>
              <w:rPr>
                <w:color w:val="auto"/>
                <w:szCs w:val="21"/>
              </w:rPr>
            </w:pPr>
          </w:p>
          <w:p>
            <w:pPr>
              <w:spacing w:line="360" w:lineRule="auto"/>
              <w:ind w:firstLine="420" w:firstLineChars="200"/>
              <w:rPr>
                <w:color w:val="auto"/>
                <w:szCs w:val="21"/>
              </w:rPr>
            </w:pPr>
          </w:p>
          <w:p>
            <w:pPr>
              <w:spacing w:line="360" w:lineRule="auto"/>
              <w:ind w:firstLine="420" w:firstLineChars="200"/>
              <w:rPr>
                <w:color w:val="auto"/>
                <w:szCs w:val="21"/>
              </w:rPr>
            </w:pPr>
          </w:p>
          <w:p>
            <w:pPr>
              <w:spacing w:line="360" w:lineRule="auto"/>
              <w:ind w:firstLine="420" w:firstLineChars="200"/>
              <w:rPr>
                <w:color w:val="auto"/>
                <w:szCs w:val="21"/>
              </w:rPr>
            </w:pPr>
          </w:p>
          <w:p>
            <w:pPr>
              <w:spacing w:line="360" w:lineRule="auto"/>
              <w:ind w:firstLine="420" w:firstLineChars="200"/>
              <w:rPr>
                <w:color w:val="auto"/>
                <w:szCs w:val="21"/>
              </w:rPr>
            </w:pPr>
          </w:p>
          <w:p>
            <w:pPr>
              <w:spacing w:line="360" w:lineRule="auto"/>
              <w:ind w:firstLine="420" w:firstLineChars="200"/>
              <w:rPr>
                <w:color w:val="auto"/>
                <w:szCs w:val="21"/>
              </w:rPr>
            </w:pPr>
          </w:p>
          <w:p>
            <w:pPr>
              <w:spacing w:line="360" w:lineRule="auto"/>
              <w:ind w:firstLine="420" w:firstLineChars="200"/>
              <w:rPr>
                <w:color w:val="auto"/>
                <w:szCs w:val="21"/>
              </w:rPr>
            </w:pPr>
          </w:p>
          <w:p>
            <w:pPr>
              <w:spacing w:line="360" w:lineRule="auto"/>
              <w:ind w:firstLine="420" w:firstLineChars="200"/>
              <w:rPr>
                <w:color w:val="auto"/>
                <w:szCs w:val="21"/>
              </w:rPr>
            </w:pPr>
          </w:p>
          <w:p>
            <w:pPr>
              <w:spacing w:line="360" w:lineRule="auto"/>
              <w:ind w:firstLine="420" w:firstLineChars="200"/>
              <w:rPr>
                <w:color w:val="auto"/>
                <w:szCs w:val="21"/>
              </w:rPr>
            </w:pPr>
          </w:p>
          <w:p>
            <w:pPr>
              <w:spacing w:line="360" w:lineRule="auto"/>
              <w:ind w:firstLine="420" w:firstLineChars="200"/>
              <w:rPr>
                <w:color w:val="auto"/>
                <w:szCs w:val="21"/>
              </w:rPr>
            </w:pPr>
          </w:p>
          <w:p>
            <w:pPr>
              <w:spacing w:line="360" w:lineRule="auto"/>
              <w:ind w:firstLine="420" w:firstLineChars="200"/>
              <w:rPr>
                <w:color w:val="auto"/>
                <w:szCs w:val="21"/>
              </w:rPr>
            </w:pPr>
          </w:p>
          <w:p>
            <w:pPr>
              <w:spacing w:line="360" w:lineRule="auto"/>
              <w:ind w:firstLine="420" w:firstLineChars="200"/>
              <w:rPr>
                <w:color w:val="auto"/>
                <w:szCs w:val="21"/>
              </w:rPr>
            </w:pPr>
          </w:p>
          <w:p>
            <w:pPr>
              <w:spacing w:line="360" w:lineRule="auto"/>
              <w:ind w:firstLine="420" w:firstLineChars="200"/>
              <w:rPr>
                <w:color w:val="auto"/>
                <w:szCs w:val="21"/>
              </w:rPr>
            </w:pPr>
          </w:p>
          <w:p>
            <w:pPr>
              <w:spacing w:line="360" w:lineRule="auto"/>
              <w:ind w:firstLine="420" w:firstLineChars="200"/>
              <w:rPr>
                <w:color w:val="auto"/>
                <w:szCs w:val="21"/>
              </w:rPr>
            </w:pPr>
          </w:p>
          <w:p>
            <w:pPr>
              <w:spacing w:line="360" w:lineRule="auto"/>
              <w:ind w:firstLine="420" w:firstLineChars="200"/>
              <w:rPr>
                <w:color w:val="auto"/>
                <w:szCs w:val="21"/>
              </w:rPr>
            </w:pPr>
          </w:p>
          <w:p>
            <w:pPr>
              <w:spacing w:line="360" w:lineRule="auto"/>
              <w:ind w:firstLine="420" w:firstLineChars="200"/>
              <w:rPr>
                <w:color w:val="auto"/>
                <w:szCs w:val="21"/>
              </w:rPr>
            </w:pPr>
          </w:p>
          <w:p>
            <w:pPr>
              <w:spacing w:line="360" w:lineRule="auto"/>
              <w:rPr>
                <w:color w:val="auto"/>
                <w:szCs w:val="21"/>
              </w:rPr>
            </w:pPr>
          </w:p>
        </w:tc>
      </w:tr>
    </w:tbl>
    <w:p>
      <w:pPr>
        <w:rPr>
          <w:color w:val="auto"/>
        </w:rPr>
        <w:sectPr>
          <w:pgSz w:w="11906" w:h="16838"/>
          <w:pgMar w:top="1701" w:right="1531" w:bottom="1701" w:left="1531" w:header="851" w:footer="851" w:gutter="0"/>
          <w:cols w:space="720" w:num="1"/>
          <w:docGrid w:linePitch="312" w:charSpace="0"/>
        </w:sectPr>
      </w:pPr>
    </w:p>
    <w:p>
      <w:pPr>
        <w:pStyle w:val="20"/>
        <w:adjustRightInd w:val="0"/>
        <w:snapToGrid w:val="0"/>
        <w:spacing w:before="0" w:beforeAutospacing="0" w:after="0" w:afterAutospacing="0" w:line="360" w:lineRule="auto"/>
        <w:outlineLvl w:val="0"/>
        <w:rPr>
          <w:rFonts w:ascii="Times New Roman" w:hAnsi="Times New Roman" w:eastAsia="黑体"/>
          <w:snapToGrid w:val="0"/>
          <w:color w:val="auto"/>
          <w:sz w:val="32"/>
          <w:szCs w:val="32"/>
        </w:rPr>
      </w:pPr>
      <w:bookmarkStart w:id="25" w:name="_Toc163725999"/>
      <w:r>
        <w:rPr>
          <w:rFonts w:ascii="Times New Roman" w:hAnsi="Times New Roman" w:eastAsia="黑体"/>
          <w:snapToGrid w:val="0"/>
          <w:color w:val="auto"/>
          <w:sz w:val="32"/>
          <w:szCs w:val="32"/>
        </w:rPr>
        <w:t>附表</w:t>
      </w:r>
      <w:bookmarkEnd w:id="25"/>
    </w:p>
    <w:p>
      <w:pPr>
        <w:pStyle w:val="20"/>
        <w:adjustRightInd w:val="0"/>
        <w:snapToGrid w:val="0"/>
        <w:spacing w:before="0" w:beforeAutospacing="0" w:after="0" w:afterAutospacing="0" w:line="360" w:lineRule="auto"/>
        <w:jc w:val="center"/>
        <w:outlineLvl w:val="0"/>
        <w:rPr>
          <w:rFonts w:ascii="Times New Roman" w:hAnsi="Times New Roman" w:eastAsia="方正小标宋_GBK"/>
          <w:snapToGrid w:val="0"/>
          <w:color w:val="auto"/>
          <w:sz w:val="38"/>
          <w:szCs w:val="38"/>
        </w:rPr>
      </w:pPr>
      <w:bookmarkStart w:id="26" w:name="_Toc163726000"/>
      <w:r>
        <w:rPr>
          <w:rFonts w:ascii="Times New Roman" w:hAnsi="Times New Roman" w:eastAsia="方正小标宋_GBK"/>
          <w:snapToGrid w:val="0"/>
          <w:color w:val="auto"/>
          <w:sz w:val="38"/>
          <w:szCs w:val="38"/>
        </w:rPr>
        <w:t>建设项目污染物排放量汇总表</w:t>
      </w:r>
      <w:bookmarkEnd w:id="26"/>
    </w:p>
    <w:tbl>
      <w:tblPr>
        <w:tblStyle w:val="23"/>
        <w:tblW w:w="1377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7"/>
        <w:gridCol w:w="1416"/>
        <w:gridCol w:w="1700"/>
        <w:gridCol w:w="1275"/>
        <w:gridCol w:w="1700"/>
        <w:gridCol w:w="1558"/>
        <w:gridCol w:w="1417"/>
        <w:gridCol w:w="1982"/>
        <w:gridCol w:w="114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587" w:type="dxa"/>
            <w:tcBorders>
              <w:tl2br w:val="single" w:color="auto" w:sz="4" w:space="0"/>
            </w:tcBorders>
            <w:tcMar>
              <w:left w:w="28" w:type="dxa"/>
              <w:right w:w="28" w:type="dxa"/>
            </w:tcMar>
            <w:vAlign w:val="center"/>
          </w:tcPr>
          <w:p>
            <w:pPr>
              <w:pStyle w:val="34"/>
              <w:spacing w:beforeLines="0" w:afterLines="0" w:line="240" w:lineRule="auto"/>
              <w:jc w:val="right"/>
              <w:rPr>
                <w:rFonts w:ascii="Times New Roman" w:hAnsi="Times New Roman"/>
                <w:snapToGrid w:val="0"/>
                <w:color w:val="auto"/>
                <w:spacing w:val="-6"/>
                <w:kern w:val="21"/>
                <w:szCs w:val="21"/>
              </w:rPr>
            </w:pPr>
            <w:r>
              <w:rPr>
                <w:rFonts w:ascii="Times New Roman" w:hAnsi="Times New Roman"/>
                <w:snapToGrid w:val="0"/>
                <w:color w:val="auto"/>
                <w:spacing w:val="-6"/>
                <w:kern w:val="21"/>
                <w:szCs w:val="21"/>
              </w:rPr>
              <w:t>项目</w:t>
            </w:r>
          </w:p>
          <w:p>
            <w:pPr>
              <w:pStyle w:val="34"/>
              <w:spacing w:beforeLines="0" w:afterLines="0" w:line="240" w:lineRule="auto"/>
              <w:jc w:val="left"/>
              <w:rPr>
                <w:rFonts w:ascii="Times New Roman" w:hAnsi="Times New Roman"/>
                <w:snapToGrid w:val="0"/>
                <w:color w:val="auto"/>
                <w:spacing w:val="-6"/>
                <w:kern w:val="21"/>
                <w:szCs w:val="21"/>
              </w:rPr>
            </w:pPr>
            <w:r>
              <w:rPr>
                <w:rFonts w:ascii="Times New Roman" w:hAnsi="Times New Roman"/>
                <w:snapToGrid w:val="0"/>
                <w:color w:val="auto"/>
                <w:spacing w:val="-6"/>
                <w:kern w:val="21"/>
                <w:szCs w:val="21"/>
              </w:rPr>
              <w:t>分类</w:t>
            </w:r>
          </w:p>
        </w:tc>
        <w:tc>
          <w:tcPr>
            <w:tcW w:w="1416" w:type="dxa"/>
            <w:tcMar>
              <w:left w:w="28" w:type="dxa"/>
              <w:right w:w="28" w:type="dxa"/>
            </w:tcMar>
            <w:vAlign w:val="center"/>
          </w:tcPr>
          <w:p>
            <w:pPr>
              <w:pStyle w:val="34"/>
              <w:spacing w:beforeLines="0" w:afterLines="0" w:line="240" w:lineRule="auto"/>
              <w:rPr>
                <w:rFonts w:ascii="Times New Roman" w:hAnsi="Times New Roman"/>
                <w:snapToGrid w:val="0"/>
                <w:color w:val="auto"/>
                <w:kern w:val="21"/>
                <w:szCs w:val="21"/>
              </w:rPr>
            </w:pPr>
            <w:r>
              <w:rPr>
                <w:rFonts w:ascii="Times New Roman" w:hAnsi="Times New Roman"/>
                <w:snapToGrid w:val="0"/>
                <w:color w:val="auto"/>
                <w:kern w:val="21"/>
                <w:szCs w:val="21"/>
              </w:rPr>
              <w:t>污染物名称</w:t>
            </w:r>
          </w:p>
        </w:tc>
        <w:tc>
          <w:tcPr>
            <w:tcW w:w="1700" w:type="dxa"/>
            <w:tcMar>
              <w:left w:w="28" w:type="dxa"/>
              <w:right w:w="28" w:type="dxa"/>
            </w:tcMar>
            <w:vAlign w:val="center"/>
          </w:tcPr>
          <w:p>
            <w:pPr>
              <w:pStyle w:val="34"/>
              <w:spacing w:beforeLines="0" w:afterLines="0" w:line="240" w:lineRule="auto"/>
              <w:rPr>
                <w:rFonts w:ascii="Times New Roman" w:hAnsi="Times New Roman"/>
                <w:snapToGrid w:val="0"/>
                <w:color w:val="auto"/>
                <w:kern w:val="21"/>
                <w:szCs w:val="21"/>
              </w:rPr>
            </w:pPr>
            <w:r>
              <w:rPr>
                <w:rFonts w:ascii="Times New Roman" w:hAnsi="Times New Roman"/>
                <w:snapToGrid w:val="0"/>
                <w:color w:val="auto"/>
                <w:kern w:val="21"/>
                <w:szCs w:val="21"/>
              </w:rPr>
              <w:t>现有工程</w:t>
            </w:r>
          </w:p>
          <w:p>
            <w:pPr>
              <w:pStyle w:val="34"/>
              <w:spacing w:beforeLines="0" w:afterLines="0" w:line="240" w:lineRule="auto"/>
              <w:rPr>
                <w:rFonts w:ascii="Times New Roman" w:hAnsi="Times New Roman"/>
                <w:snapToGrid w:val="0"/>
                <w:color w:val="auto"/>
                <w:kern w:val="21"/>
                <w:szCs w:val="21"/>
              </w:rPr>
            </w:pPr>
            <w:r>
              <w:rPr>
                <w:rFonts w:ascii="Times New Roman" w:hAnsi="Times New Roman"/>
                <w:snapToGrid w:val="0"/>
                <w:color w:val="auto"/>
                <w:kern w:val="21"/>
                <w:szCs w:val="21"/>
              </w:rPr>
              <w:t>排放量（固体废物产生量）</w:t>
            </w:r>
            <w:r>
              <w:rPr>
                <w:rFonts w:ascii="Times New Roman" w:hAnsi="Times New Roman"/>
                <w:snapToGrid w:val="0"/>
                <w:color w:val="auto"/>
                <w:kern w:val="21"/>
                <w:szCs w:val="21"/>
              </w:rPr>
              <w:fldChar w:fldCharType="begin"/>
            </w:r>
            <w:r>
              <w:rPr>
                <w:rFonts w:ascii="Times New Roman" w:hAnsi="Times New Roman"/>
                <w:snapToGrid w:val="0"/>
                <w:color w:val="auto"/>
                <w:kern w:val="21"/>
                <w:szCs w:val="21"/>
              </w:rPr>
              <w:instrText xml:space="preserve"> = 1 \* GB3 \* MERGEFORMAT </w:instrText>
            </w:r>
            <w:r>
              <w:rPr>
                <w:rFonts w:ascii="Times New Roman" w:hAnsi="Times New Roman"/>
                <w:snapToGrid w:val="0"/>
                <w:color w:val="auto"/>
                <w:kern w:val="21"/>
                <w:szCs w:val="21"/>
              </w:rPr>
              <w:fldChar w:fldCharType="separate"/>
            </w:r>
            <w:r>
              <w:rPr>
                <w:rFonts w:ascii="Cambria Math" w:hAnsi="Cambria Math" w:cs="Cambria Math"/>
                <w:color w:val="auto"/>
                <w:szCs w:val="21"/>
              </w:rPr>
              <w:t>①</w:t>
            </w:r>
            <w:r>
              <w:rPr>
                <w:rFonts w:ascii="Times New Roman" w:hAnsi="Times New Roman"/>
                <w:snapToGrid w:val="0"/>
                <w:color w:val="auto"/>
                <w:kern w:val="21"/>
                <w:szCs w:val="21"/>
              </w:rPr>
              <w:fldChar w:fldCharType="end"/>
            </w:r>
          </w:p>
        </w:tc>
        <w:tc>
          <w:tcPr>
            <w:tcW w:w="1275" w:type="dxa"/>
            <w:tcMar>
              <w:left w:w="28" w:type="dxa"/>
              <w:right w:w="28" w:type="dxa"/>
            </w:tcMar>
            <w:vAlign w:val="center"/>
          </w:tcPr>
          <w:p>
            <w:pPr>
              <w:pStyle w:val="34"/>
              <w:spacing w:beforeLines="0" w:afterLines="0" w:line="240" w:lineRule="auto"/>
              <w:rPr>
                <w:rFonts w:ascii="Times New Roman" w:hAnsi="Times New Roman"/>
                <w:snapToGrid w:val="0"/>
                <w:color w:val="auto"/>
                <w:kern w:val="21"/>
                <w:szCs w:val="21"/>
              </w:rPr>
            </w:pPr>
            <w:r>
              <w:rPr>
                <w:rFonts w:ascii="Times New Roman" w:hAnsi="Times New Roman"/>
                <w:snapToGrid w:val="0"/>
                <w:color w:val="auto"/>
                <w:kern w:val="21"/>
                <w:szCs w:val="21"/>
              </w:rPr>
              <w:t>现有工程</w:t>
            </w:r>
          </w:p>
          <w:p>
            <w:pPr>
              <w:pStyle w:val="34"/>
              <w:spacing w:beforeLines="0" w:afterLines="0" w:line="240" w:lineRule="auto"/>
              <w:rPr>
                <w:rFonts w:ascii="Times New Roman" w:hAnsi="Times New Roman"/>
                <w:snapToGrid w:val="0"/>
                <w:color w:val="auto"/>
                <w:kern w:val="21"/>
                <w:szCs w:val="21"/>
              </w:rPr>
            </w:pPr>
            <w:r>
              <w:rPr>
                <w:rFonts w:ascii="Times New Roman" w:hAnsi="Times New Roman"/>
                <w:snapToGrid w:val="0"/>
                <w:color w:val="auto"/>
                <w:kern w:val="21"/>
                <w:szCs w:val="21"/>
              </w:rPr>
              <w:t>许可排放量</w:t>
            </w:r>
          </w:p>
          <w:p>
            <w:pPr>
              <w:pStyle w:val="34"/>
              <w:spacing w:beforeLines="0" w:afterLines="0"/>
              <w:rPr>
                <w:rFonts w:ascii="Times New Roman" w:hAnsi="Times New Roman"/>
                <w:snapToGrid w:val="0"/>
                <w:color w:val="auto"/>
                <w:kern w:val="21"/>
                <w:szCs w:val="21"/>
              </w:rPr>
            </w:pPr>
            <w:r>
              <w:rPr>
                <w:rFonts w:ascii="Times New Roman" w:hAnsi="Times New Roman"/>
                <w:snapToGrid w:val="0"/>
                <w:color w:val="auto"/>
                <w:kern w:val="21"/>
                <w:szCs w:val="21"/>
              </w:rPr>
              <w:fldChar w:fldCharType="begin"/>
            </w:r>
            <w:r>
              <w:rPr>
                <w:rFonts w:ascii="Times New Roman" w:hAnsi="Times New Roman"/>
                <w:snapToGrid w:val="0"/>
                <w:color w:val="auto"/>
                <w:kern w:val="21"/>
                <w:szCs w:val="21"/>
              </w:rPr>
              <w:instrText xml:space="preserve"> = 2 \* GB3 \* MERGEFORMAT </w:instrText>
            </w:r>
            <w:r>
              <w:rPr>
                <w:rFonts w:ascii="Times New Roman" w:hAnsi="Times New Roman"/>
                <w:snapToGrid w:val="0"/>
                <w:color w:val="auto"/>
                <w:kern w:val="21"/>
                <w:szCs w:val="21"/>
              </w:rPr>
              <w:fldChar w:fldCharType="separate"/>
            </w:r>
            <w:r>
              <w:rPr>
                <w:rFonts w:ascii="Cambria Math" w:hAnsi="Cambria Math" w:cs="Cambria Math"/>
                <w:snapToGrid w:val="0"/>
                <w:color w:val="auto"/>
                <w:kern w:val="21"/>
                <w:szCs w:val="21"/>
              </w:rPr>
              <w:t>②</w:t>
            </w:r>
            <w:r>
              <w:rPr>
                <w:rFonts w:ascii="Times New Roman" w:hAnsi="Times New Roman"/>
                <w:snapToGrid w:val="0"/>
                <w:color w:val="auto"/>
                <w:kern w:val="21"/>
                <w:szCs w:val="21"/>
              </w:rPr>
              <w:fldChar w:fldCharType="end"/>
            </w:r>
          </w:p>
        </w:tc>
        <w:tc>
          <w:tcPr>
            <w:tcW w:w="1700" w:type="dxa"/>
            <w:tcMar>
              <w:left w:w="28" w:type="dxa"/>
              <w:right w:w="28" w:type="dxa"/>
            </w:tcMar>
            <w:vAlign w:val="center"/>
          </w:tcPr>
          <w:p>
            <w:pPr>
              <w:pStyle w:val="34"/>
              <w:spacing w:beforeLines="0" w:afterLines="0" w:line="240" w:lineRule="auto"/>
              <w:rPr>
                <w:rFonts w:ascii="Times New Roman" w:hAnsi="Times New Roman"/>
                <w:snapToGrid w:val="0"/>
                <w:color w:val="auto"/>
                <w:kern w:val="21"/>
                <w:szCs w:val="21"/>
              </w:rPr>
            </w:pPr>
            <w:r>
              <w:rPr>
                <w:rFonts w:ascii="Times New Roman" w:hAnsi="Times New Roman"/>
                <w:snapToGrid w:val="0"/>
                <w:color w:val="auto"/>
                <w:kern w:val="21"/>
                <w:szCs w:val="21"/>
              </w:rPr>
              <w:t>在建工程</w:t>
            </w:r>
          </w:p>
          <w:p>
            <w:pPr>
              <w:pStyle w:val="34"/>
              <w:spacing w:beforeLines="0" w:afterLines="0" w:line="240" w:lineRule="auto"/>
              <w:rPr>
                <w:rFonts w:ascii="Times New Roman" w:hAnsi="Times New Roman"/>
                <w:snapToGrid w:val="0"/>
                <w:color w:val="auto"/>
                <w:kern w:val="21"/>
                <w:szCs w:val="21"/>
              </w:rPr>
            </w:pPr>
            <w:r>
              <w:rPr>
                <w:rFonts w:ascii="Times New Roman" w:hAnsi="Times New Roman"/>
                <w:snapToGrid w:val="0"/>
                <w:color w:val="auto"/>
                <w:kern w:val="21"/>
                <w:szCs w:val="21"/>
              </w:rPr>
              <w:t>排放量（固体废物产生量）</w:t>
            </w:r>
            <w:r>
              <w:rPr>
                <w:rFonts w:ascii="Times New Roman" w:hAnsi="Times New Roman"/>
                <w:snapToGrid w:val="0"/>
                <w:color w:val="auto"/>
                <w:kern w:val="21"/>
                <w:szCs w:val="21"/>
              </w:rPr>
              <w:fldChar w:fldCharType="begin"/>
            </w:r>
            <w:r>
              <w:rPr>
                <w:rFonts w:ascii="Times New Roman" w:hAnsi="Times New Roman"/>
                <w:snapToGrid w:val="0"/>
                <w:color w:val="auto"/>
                <w:kern w:val="21"/>
                <w:szCs w:val="21"/>
              </w:rPr>
              <w:instrText xml:space="preserve"> = 3 \* GB3 \* MERGEFORMAT </w:instrText>
            </w:r>
            <w:r>
              <w:rPr>
                <w:rFonts w:ascii="Times New Roman" w:hAnsi="Times New Roman"/>
                <w:snapToGrid w:val="0"/>
                <w:color w:val="auto"/>
                <w:kern w:val="21"/>
                <w:szCs w:val="21"/>
              </w:rPr>
              <w:fldChar w:fldCharType="separate"/>
            </w:r>
            <w:r>
              <w:rPr>
                <w:rFonts w:ascii="Cambria Math" w:hAnsi="Cambria Math" w:cs="Cambria Math"/>
                <w:color w:val="auto"/>
                <w:szCs w:val="21"/>
              </w:rPr>
              <w:t>③</w:t>
            </w:r>
            <w:r>
              <w:rPr>
                <w:rFonts w:ascii="Times New Roman" w:hAnsi="Times New Roman"/>
                <w:snapToGrid w:val="0"/>
                <w:color w:val="auto"/>
                <w:kern w:val="21"/>
                <w:szCs w:val="21"/>
              </w:rPr>
              <w:fldChar w:fldCharType="end"/>
            </w:r>
          </w:p>
        </w:tc>
        <w:tc>
          <w:tcPr>
            <w:tcW w:w="1558" w:type="dxa"/>
            <w:tcMar>
              <w:left w:w="28" w:type="dxa"/>
              <w:right w:w="28" w:type="dxa"/>
            </w:tcMar>
            <w:vAlign w:val="center"/>
          </w:tcPr>
          <w:p>
            <w:pPr>
              <w:pStyle w:val="34"/>
              <w:spacing w:beforeLines="0" w:afterLines="0" w:line="240" w:lineRule="auto"/>
              <w:rPr>
                <w:rFonts w:ascii="Times New Roman" w:hAnsi="Times New Roman"/>
                <w:snapToGrid w:val="0"/>
                <w:color w:val="auto"/>
                <w:kern w:val="21"/>
                <w:szCs w:val="21"/>
              </w:rPr>
            </w:pPr>
            <w:r>
              <w:rPr>
                <w:rFonts w:ascii="Times New Roman" w:hAnsi="Times New Roman"/>
                <w:snapToGrid w:val="0"/>
                <w:color w:val="auto"/>
                <w:kern w:val="21"/>
                <w:szCs w:val="21"/>
              </w:rPr>
              <w:t>本项目排放量（固体废物产生量）</w:t>
            </w:r>
            <w:r>
              <w:rPr>
                <w:rFonts w:ascii="Times New Roman" w:hAnsi="Times New Roman"/>
                <w:snapToGrid w:val="0"/>
                <w:color w:val="auto"/>
                <w:kern w:val="21"/>
                <w:szCs w:val="21"/>
              </w:rPr>
              <w:fldChar w:fldCharType="begin"/>
            </w:r>
            <w:r>
              <w:rPr>
                <w:rFonts w:ascii="Times New Roman" w:hAnsi="Times New Roman"/>
                <w:snapToGrid w:val="0"/>
                <w:color w:val="auto"/>
                <w:kern w:val="21"/>
                <w:szCs w:val="21"/>
              </w:rPr>
              <w:instrText xml:space="preserve"> = 4 \* GB3 \* MERGEFORMAT </w:instrText>
            </w:r>
            <w:r>
              <w:rPr>
                <w:rFonts w:ascii="Times New Roman" w:hAnsi="Times New Roman"/>
                <w:snapToGrid w:val="0"/>
                <w:color w:val="auto"/>
                <w:kern w:val="21"/>
                <w:szCs w:val="21"/>
              </w:rPr>
              <w:fldChar w:fldCharType="separate"/>
            </w:r>
            <w:r>
              <w:rPr>
                <w:rFonts w:ascii="Cambria Math" w:hAnsi="Cambria Math" w:cs="Cambria Math"/>
                <w:color w:val="auto"/>
                <w:szCs w:val="21"/>
              </w:rPr>
              <w:t>④</w:t>
            </w:r>
            <w:r>
              <w:rPr>
                <w:rFonts w:ascii="Times New Roman" w:hAnsi="Times New Roman"/>
                <w:snapToGrid w:val="0"/>
                <w:color w:val="auto"/>
                <w:kern w:val="21"/>
                <w:szCs w:val="21"/>
              </w:rPr>
              <w:fldChar w:fldCharType="end"/>
            </w:r>
          </w:p>
        </w:tc>
        <w:tc>
          <w:tcPr>
            <w:tcW w:w="1417" w:type="dxa"/>
            <w:tcMar>
              <w:left w:w="28" w:type="dxa"/>
              <w:right w:w="28" w:type="dxa"/>
            </w:tcMar>
            <w:vAlign w:val="center"/>
          </w:tcPr>
          <w:p>
            <w:pPr>
              <w:pStyle w:val="34"/>
              <w:spacing w:beforeLines="0" w:afterLines="0" w:line="240" w:lineRule="auto"/>
              <w:rPr>
                <w:rFonts w:ascii="Times New Roman" w:hAnsi="Times New Roman"/>
                <w:snapToGrid w:val="0"/>
                <w:color w:val="auto"/>
                <w:kern w:val="21"/>
                <w:szCs w:val="21"/>
              </w:rPr>
            </w:pPr>
            <w:r>
              <w:rPr>
                <w:rFonts w:ascii="Times New Roman" w:hAnsi="Times New Roman"/>
                <w:snapToGrid w:val="0"/>
                <w:color w:val="auto"/>
                <w:kern w:val="21"/>
                <w:szCs w:val="21"/>
              </w:rPr>
              <w:t>以新带老削减量（新建项目不填）</w:t>
            </w:r>
            <w:r>
              <w:rPr>
                <w:rFonts w:ascii="Times New Roman" w:hAnsi="Times New Roman"/>
                <w:snapToGrid w:val="0"/>
                <w:color w:val="auto"/>
                <w:kern w:val="21"/>
                <w:szCs w:val="21"/>
              </w:rPr>
              <w:fldChar w:fldCharType="begin"/>
            </w:r>
            <w:r>
              <w:rPr>
                <w:rFonts w:ascii="Times New Roman" w:hAnsi="Times New Roman"/>
                <w:snapToGrid w:val="0"/>
                <w:color w:val="auto"/>
                <w:kern w:val="21"/>
                <w:szCs w:val="21"/>
              </w:rPr>
              <w:instrText xml:space="preserve"> = 5 \* GB3 \* MERGEFORMAT </w:instrText>
            </w:r>
            <w:r>
              <w:rPr>
                <w:rFonts w:ascii="Times New Roman" w:hAnsi="Times New Roman"/>
                <w:snapToGrid w:val="0"/>
                <w:color w:val="auto"/>
                <w:kern w:val="21"/>
                <w:szCs w:val="21"/>
              </w:rPr>
              <w:fldChar w:fldCharType="separate"/>
            </w:r>
            <w:r>
              <w:rPr>
                <w:rFonts w:ascii="Cambria Math" w:hAnsi="Cambria Math" w:cs="Cambria Math"/>
                <w:color w:val="auto"/>
                <w:szCs w:val="21"/>
              </w:rPr>
              <w:t>⑤</w:t>
            </w:r>
            <w:r>
              <w:rPr>
                <w:rFonts w:ascii="Times New Roman" w:hAnsi="Times New Roman"/>
                <w:snapToGrid w:val="0"/>
                <w:color w:val="auto"/>
                <w:kern w:val="21"/>
                <w:szCs w:val="21"/>
              </w:rPr>
              <w:fldChar w:fldCharType="end"/>
            </w:r>
          </w:p>
        </w:tc>
        <w:tc>
          <w:tcPr>
            <w:tcW w:w="1982" w:type="dxa"/>
            <w:tcMar>
              <w:left w:w="28" w:type="dxa"/>
              <w:right w:w="28" w:type="dxa"/>
            </w:tcMar>
            <w:vAlign w:val="center"/>
          </w:tcPr>
          <w:p>
            <w:pPr>
              <w:pStyle w:val="34"/>
              <w:spacing w:beforeLines="0" w:afterLines="0" w:line="240" w:lineRule="auto"/>
              <w:rPr>
                <w:rFonts w:ascii="Times New Roman" w:hAnsi="Times New Roman"/>
                <w:snapToGrid w:val="0"/>
                <w:color w:val="auto"/>
                <w:kern w:val="21"/>
                <w:szCs w:val="21"/>
              </w:rPr>
            </w:pPr>
            <w:r>
              <w:rPr>
                <w:rFonts w:ascii="Times New Roman" w:hAnsi="Times New Roman"/>
                <w:snapToGrid w:val="0"/>
                <w:color w:val="auto"/>
                <w:kern w:val="21"/>
                <w:szCs w:val="21"/>
              </w:rPr>
              <w:t>本项目建成后</w:t>
            </w:r>
          </w:p>
          <w:p>
            <w:pPr>
              <w:pStyle w:val="34"/>
              <w:spacing w:beforeLines="0" w:afterLines="0" w:line="240" w:lineRule="auto"/>
              <w:rPr>
                <w:rFonts w:ascii="Times New Roman" w:hAnsi="Times New Roman"/>
                <w:snapToGrid w:val="0"/>
                <w:color w:val="auto"/>
                <w:kern w:val="21"/>
                <w:szCs w:val="21"/>
              </w:rPr>
            </w:pPr>
            <w:r>
              <w:rPr>
                <w:rFonts w:ascii="Times New Roman" w:hAnsi="Times New Roman"/>
                <w:snapToGrid w:val="0"/>
                <w:color w:val="auto"/>
                <w:kern w:val="21"/>
                <w:szCs w:val="21"/>
              </w:rPr>
              <w:t>全厂排放量（固体废物产生量）</w:t>
            </w:r>
            <w:r>
              <w:rPr>
                <w:rFonts w:ascii="Times New Roman" w:hAnsi="Times New Roman"/>
                <w:snapToGrid w:val="0"/>
                <w:color w:val="auto"/>
                <w:kern w:val="21"/>
                <w:szCs w:val="21"/>
              </w:rPr>
              <w:fldChar w:fldCharType="begin"/>
            </w:r>
            <w:r>
              <w:rPr>
                <w:rFonts w:ascii="Times New Roman" w:hAnsi="Times New Roman"/>
                <w:snapToGrid w:val="0"/>
                <w:color w:val="auto"/>
                <w:kern w:val="21"/>
                <w:szCs w:val="21"/>
              </w:rPr>
              <w:instrText xml:space="preserve"> = 6 \* GB3 \* MERGEFORMAT </w:instrText>
            </w:r>
            <w:r>
              <w:rPr>
                <w:rFonts w:ascii="Times New Roman" w:hAnsi="Times New Roman"/>
                <w:snapToGrid w:val="0"/>
                <w:color w:val="auto"/>
                <w:kern w:val="21"/>
                <w:szCs w:val="21"/>
              </w:rPr>
              <w:fldChar w:fldCharType="separate"/>
            </w:r>
            <w:r>
              <w:rPr>
                <w:rFonts w:ascii="Cambria Math" w:hAnsi="Cambria Math" w:cs="Cambria Math"/>
                <w:color w:val="auto"/>
                <w:szCs w:val="21"/>
              </w:rPr>
              <w:t>⑥</w:t>
            </w:r>
            <w:r>
              <w:rPr>
                <w:rFonts w:ascii="Times New Roman" w:hAnsi="Times New Roman"/>
                <w:snapToGrid w:val="0"/>
                <w:color w:val="auto"/>
                <w:kern w:val="21"/>
                <w:szCs w:val="21"/>
              </w:rPr>
              <w:fldChar w:fldCharType="end"/>
            </w:r>
          </w:p>
        </w:tc>
        <w:tc>
          <w:tcPr>
            <w:tcW w:w="1143" w:type="dxa"/>
            <w:tcMar>
              <w:left w:w="28" w:type="dxa"/>
              <w:right w:w="28" w:type="dxa"/>
            </w:tcMar>
            <w:vAlign w:val="center"/>
          </w:tcPr>
          <w:p>
            <w:pPr>
              <w:pStyle w:val="34"/>
              <w:spacing w:beforeLines="0" w:afterLines="0" w:line="240" w:lineRule="auto"/>
              <w:rPr>
                <w:rFonts w:ascii="Times New Roman" w:hAnsi="Times New Roman"/>
                <w:snapToGrid w:val="0"/>
                <w:color w:val="auto"/>
                <w:kern w:val="21"/>
                <w:szCs w:val="21"/>
              </w:rPr>
            </w:pPr>
            <w:r>
              <w:rPr>
                <w:rFonts w:ascii="Times New Roman" w:hAnsi="Times New Roman"/>
                <w:snapToGrid w:val="0"/>
                <w:color w:val="auto"/>
                <w:kern w:val="21"/>
                <w:szCs w:val="21"/>
              </w:rPr>
              <w:t>变化量</w:t>
            </w:r>
          </w:p>
          <w:p>
            <w:pPr>
              <w:pStyle w:val="34"/>
              <w:spacing w:beforeLines="0" w:afterLines="0" w:line="240" w:lineRule="auto"/>
              <w:rPr>
                <w:rFonts w:ascii="Times New Roman" w:hAnsi="Times New Roman"/>
                <w:snapToGrid w:val="0"/>
                <w:color w:val="auto"/>
                <w:kern w:val="21"/>
                <w:szCs w:val="21"/>
              </w:rPr>
            </w:pPr>
            <w:r>
              <w:rPr>
                <w:rFonts w:ascii="Times New Roman" w:hAnsi="Times New Roman"/>
                <w:snapToGrid w:val="0"/>
                <w:color w:val="auto"/>
                <w:kern w:val="21"/>
                <w:szCs w:val="21"/>
              </w:rPr>
              <w:fldChar w:fldCharType="begin"/>
            </w:r>
            <w:r>
              <w:rPr>
                <w:rFonts w:ascii="Times New Roman" w:hAnsi="Times New Roman"/>
                <w:snapToGrid w:val="0"/>
                <w:color w:val="auto"/>
                <w:kern w:val="21"/>
                <w:szCs w:val="21"/>
              </w:rPr>
              <w:instrText xml:space="preserve"> = 7 \* GB3 \* MERGEFORMAT </w:instrText>
            </w:r>
            <w:r>
              <w:rPr>
                <w:rFonts w:ascii="Times New Roman" w:hAnsi="Times New Roman"/>
                <w:snapToGrid w:val="0"/>
                <w:color w:val="auto"/>
                <w:kern w:val="21"/>
                <w:szCs w:val="21"/>
              </w:rPr>
              <w:fldChar w:fldCharType="separate"/>
            </w:r>
            <w:r>
              <w:rPr>
                <w:rFonts w:ascii="Cambria Math" w:hAnsi="Cambria Math" w:cs="Cambria Math"/>
                <w:color w:val="auto"/>
                <w:szCs w:val="21"/>
              </w:rPr>
              <w:t>⑦</w:t>
            </w:r>
            <w:r>
              <w:rPr>
                <w:rFonts w:ascii="Times New Roman" w:hAnsi="Times New Roman"/>
                <w:snapToGrid w:val="0"/>
                <w:color w:val="auto"/>
                <w:kern w:val="21"/>
                <w:szCs w:val="21"/>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1587" w:type="dxa"/>
            <w:vMerge w:val="restart"/>
            <w:vAlign w:val="center"/>
          </w:tcPr>
          <w:p>
            <w:pPr>
              <w:pStyle w:val="34"/>
              <w:spacing w:before="24" w:after="24" w:line="240" w:lineRule="auto"/>
              <w:rPr>
                <w:rFonts w:ascii="Times New Roman" w:hAnsi="Times New Roman"/>
                <w:snapToGrid w:val="0"/>
                <w:color w:val="auto"/>
                <w:kern w:val="21"/>
                <w:szCs w:val="21"/>
              </w:rPr>
            </w:pPr>
            <w:r>
              <w:rPr>
                <w:rFonts w:ascii="Times New Roman" w:hAnsi="Times New Roman"/>
                <w:snapToGrid w:val="0"/>
                <w:color w:val="auto"/>
                <w:kern w:val="21"/>
                <w:szCs w:val="21"/>
              </w:rPr>
              <w:t>废气</w:t>
            </w:r>
          </w:p>
        </w:tc>
        <w:tc>
          <w:tcPr>
            <w:tcW w:w="1416" w:type="dxa"/>
            <w:vAlign w:val="center"/>
          </w:tcPr>
          <w:p>
            <w:pPr>
              <w:pStyle w:val="34"/>
              <w:spacing w:beforeLines="0" w:afterLines="0" w:line="240" w:lineRule="auto"/>
              <w:rPr>
                <w:rFonts w:ascii="Times New Roman" w:hAnsi="Times New Roman"/>
                <w:snapToGrid w:val="0"/>
                <w:color w:val="auto"/>
                <w:kern w:val="21"/>
                <w:szCs w:val="21"/>
              </w:rPr>
            </w:pPr>
            <w:r>
              <w:rPr>
                <w:rFonts w:ascii="Times New Roman" w:hAnsi="Times New Roman"/>
                <w:snapToGrid w:val="0"/>
                <w:color w:val="auto"/>
                <w:kern w:val="21"/>
                <w:szCs w:val="21"/>
              </w:rPr>
              <w:t>废气量</w:t>
            </w:r>
          </w:p>
        </w:tc>
        <w:tc>
          <w:tcPr>
            <w:tcW w:w="1700" w:type="dxa"/>
            <w:vAlign w:val="center"/>
          </w:tcPr>
          <w:p>
            <w:pPr>
              <w:pStyle w:val="34"/>
              <w:spacing w:beforeLines="0" w:afterLines="0" w:line="240" w:lineRule="auto"/>
              <w:rPr>
                <w:rFonts w:ascii="Times New Roman" w:hAnsi="Times New Roman"/>
                <w:snapToGrid w:val="0"/>
                <w:color w:val="auto"/>
                <w:kern w:val="21"/>
                <w:szCs w:val="21"/>
              </w:rPr>
            </w:pPr>
          </w:p>
        </w:tc>
        <w:tc>
          <w:tcPr>
            <w:tcW w:w="1275" w:type="dxa"/>
            <w:vAlign w:val="center"/>
          </w:tcPr>
          <w:p>
            <w:pPr>
              <w:pStyle w:val="34"/>
              <w:spacing w:beforeLines="0" w:afterLines="0" w:line="240" w:lineRule="auto"/>
              <w:rPr>
                <w:rFonts w:ascii="Times New Roman" w:hAnsi="Times New Roman"/>
                <w:snapToGrid w:val="0"/>
                <w:color w:val="auto"/>
                <w:kern w:val="21"/>
                <w:szCs w:val="21"/>
              </w:rPr>
            </w:pPr>
          </w:p>
        </w:tc>
        <w:tc>
          <w:tcPr>
            <w:tcW w:w="1700" w:type="dxa"/>
            <w:vAlign w:val="center"/>
          </w:tcPr>
          <w:p>
            <w:pPr>
              <w:pStyle w:val="34"/>
              <w:spacing w:beforeLines="0" w:afterLines="0" w:line="240" w:lineRule="auto"/>
              <w:rPr>
                <w:rFonts w:ascii="Times New Roman" w:hAnsi="Times New Roman"/>
                <w:snapToGrid w:val="0"/>
                <w:color w:val="auto"/>
                <w:kern w:val="21"/>
                <w:szCs w:val="21"/>
              </w:rPr>
            </w:pPr>
          </w:p>
        </w:tc>
        <w:tc>
          <w:tcPr>
            <w:tcW w:w="1558" w:type="dxa"/>
            <w:vAlign w:val="center"/>
          </w:tcPr>
          <w:p>
            <w:pPr>
              <w:pStyle w:val="34"/>
              <w:spacing w:beforeLines="0" w:afterLines="0" w:line="240" w:lineRule="auto"/>
              <w:rPr>
                <w:rFonts w:ascii="Times New Roman" w:hAnsi="Times New Roman"/>
                <w:color w:val="auto"/>
                <w:szCs w:val="21"/>
              </w:rPr>
            </w:pPr>
            <w:r>
              <w:rPr>
                <w:rFonts w:hint="eastAsia" w:ascii="Times New Roman" w:hAnsi="Times New Roman"/>
                <w:color w:val="auto"/>
                <w:szCs w:val="21"/>
                <w:lang w:val="en-US" w:eastAsia="zh-CN"/>
              </w:rPr>
              <w:t>7200</w:t>
            </w:r>
            <w:r>
              <w:rPr>
                <w:rFonts w:ascii="Times New Roman" w:hAnsi="Times New Roman"/>
                <w:color w:val="auto"/>
                <w:kern w:val="0"/>
                <w:szCs w:val="21"/>
              </w:rPr>
              <w:t>万</w:t>
            </w:r>
            <w:r>
              <w:rPr>
                <w:rFonts w:ascii="Times New Roman" w:hAnsi="Times New Roman"/>
                <w:bCs/>
                <w:color w:val="auto"/>
                <w:szCs w:val="21"/>
              </w:rPr>
              <w:t>m</w:t>
            </w:r>
            <w:r>
              <w:rPr>
                <w:rFonts w:ascii="Times New Roman" w:hAnsi="Times New Roman"/>
                <w:bCs/>
                <w:color w:val="auto"/>
                <w:szCs w:val="21"/>
                <w:vertAlign w:val="superscript"/>
              </w:rPr>
              <w:t>3</w:t>
            </w:r>
            <w:r>
              <w:rPr>
                <w:rFonts w:ascii="Times New Roman" w:hAnsi="Times New Roman"/>
                <w:bCs/>
                <w:color w:val="auto"/>
                <w:szCs w:val="21"/>
              </w:rPr>
              <w:t>/a</w:t>
            </w:r>
          </w:p>
        </w:tc>
        <w:tc>
          <w:tcPr>
            <w:tcW w:w="1417" w:type="dxa"/>
            <w:vAlign w:val="center"/>
          </w:tcPr>
          <w:p>
            <w:pPr>
              <w:pStyle w:val="34"/>
              <w:spacing w:beforeLines="0" w:afterLines="0" w:line="240" w:lineRule="auto"/>
              <w:rPr>
                <w:rFonts w:ascii="Times New Roman" w:hAnsi="Times New Roman"/>
                <w:snapToGrid w:val="0"/>
                <w:color w:val="auto"/>
                <w:kern w:val="21"/>
                <w:szCs w:val="21"/>
              </w:rPr>
            </w:pPr>
            <w:r>
              <w:rPr>
                <w:rFonts w:ascii="Times New Roman" w:hAnsi="Times New Roman"/>
                <w:snapToGrid w:val="0"/>
                <w:color w:val="auto"/>
                <w:kern w:val="21"/>
                <w:szCs w:val="21"/>
              </w:rPr>
              <w:t>0</w:t>
            </w:r>
          </w:p>
        </w:tc>
        <w:tc>
          <w:tcPr>
            <w:tcW w:w="1982" w:type="dxa"/>
            <w:vAlign w:val="center"/>
          </w:tcPr>
          <w:p>
            <w:pPr>
              <w:pStyle w:val="34"/>
              <w:spacing w:beforeLines="0" w:afterLines="0" w:line="240" w:lineRule="auto"/>
              <w:rPr>
                <w:rFonts w:ascii="Times New Roman" w:hAnsi="Times New Roman"/>
                <w:color w:val="auto"/>
                <w:szCs w:val="21"/>
              </w:rPr>
            </w:pPr>
            <w:r>
              <w:rPr>
                <w:rFonts w:hint="eastAsia" w:ascii="Times New Roman" w:hAnsi="Times New Roman"/>
                <w:color w:val="auto"/>
                <w:szCs w:val="21"/>
                <w:lang w:val="en-US" w:eastAsia="zh-CN"/>
              </w:rPr>
              <w:t>7200</w:t>
            </w:r>
            <w:r>
              <w:rPr>
                <w:rFonts w:ascii="Times New Roman" w:hAnsi="Times New Roman"/>
                <w:color w:val="auto"/>
                <w:kern w:val="0"/>
                <w:szCs w:val="21"/>
              </w:rPr>
              <w:t>万</w:t>
            </w:r>
            <w:r>
              <w:rPr>
                <w:rFonts w:ascii="Times New Roman" w:hAnsi="Times New Roman"/>
                <w:bCs/>
                <w:color w:val="auto"/>
                <w:szCs w:val="21"/>
              </w:rPr>
              <w:t>m</w:t>
            </w:r>
            <w:r>
              <w:rPr>
                <w:rFonts w:ascii="Times New Roman" w:hAnsi="Times New Roman"/>
                <w:bCs/>
                <w:color w:val="auto"/>
                <w:szCs w:val="21"/>
                <w:vertAlign w:val="superscript"/>
              </w:rPr>
              <w:t>3</w:t>
            </w:r>
            <w:r>
              <w:rPr>
                <w:rFonts w:ascii="Times New Roman" w:hAnsi="Times New Roman"/>
                <w:bCs/>
                <w:color w:val="auto"/>
                <w:szCs w:val="21"/>
              </w:rPr>
              <w:t>/a</w:t>
            </w:r>
          </w:p>
        </w:tc>
        <w:tc>
          <w:tcPr>
            <w:tcW w:w="1143" w:type="dxa"/>
            <w:vAlign w:val="center"/>
          </w:tcPr>
          <w:p>
            <w:pPr>
              <w:pStyle w:val="34"/>
              <w:spacing w:beforeLines="0" w:afterLines="0" w:line="240" w:lineRule="auto"/>
              <w:rPr>
                <w:rFonts w:ascii="Times New Roman" w:hAnsi="Times New Roman"/>
                <w:snapToGrid w:val="0"/>
                <w:color w:val="auto"/>
                <w:kern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1587" w:type="dxa"/>
            <w:vMerge w:val="continue"/>
            <w:vAlign w:val="center"/>
          </w:tcPr>
          <w:p>
            <w:pPr>
              <w:pStyle w:val="34"/>
              <w:spacing w:beforeLines="0" w:afterLines="0" w:line="240" w:lineRule="auto"/>
              <w:rPr>
                <w:rFonts w:ascii="Times New Roman" w:hAnsi="Times New Roman"/>
                <w:snapToGrid w:val="0"/>
                <w:color w:val="auto"/>
                <w:kern w:val="21"/>
                <w:szCs w:val="21"/>
              </w:rPr>
            </w:pPr>
          </w:p>
        </w:tc>
        <w:tc>
          <w:tcPr>
            <w:tcW w:w="1416" w:type="dxa"/>
            <w:vAlign w:val="center"/>
          </w:tcPr>
          <w:p>
            <w:pPr>
              <w:pStyle w:val="34"/>
              <w:spacing w:beforeLines="0" w:afterLines="0" w:line="240" w:lineRule="auto"/>
              <w:rPr>
                <w:rFonts w:ascii="Times New Roman" w:hAnsi="Times New Roman"/>
                <w:snapToGrid w:val="0"/>
                <w:color w:val="auto"/>
                <w:kern w:val="21"/>
                <w:szCs w:val="21"/>
              </w:rPr>
            </w:pPr>
            <w:r>
              <w:rPr>
                <w:rFonts w:ascii="Times New Roman" w:hAnsi="Times New Roman"/>
                <w:snapToGrid w:val="0"/>
                <w:color w:val="auto"/>
                <w:kern w:val="21"/>
                <w:szCs w:val="21"/>
              </w:rPr>
              <w:t>非甲烷总烃</w:t>
            </w:r>
          </w:p>
        </w:tc>
        <w:tc>
          <w:tcPr>
            <w:tcW w:w="1700" w:type="dxa"/>
            <w:vAlign w:val="center"/>
          </w:tcPr>
          <w:p>
            <w:pPr>
              <w:pStyle w:val="34"/>
              <w:spacing w:beforeLines="0" w:afterLines="0" w:line="240" w:lineRule="auto"/>
              <w:rPr>
                <w:rFonts w:ascii="Times New Roman" w:hAnsi="Times New Roman"/>
                <w:snapToGrid w:val="0"/>
                <w:color w:val="auto"/>
                <w:kern w:val="21"/>
                <w:szCs w:val="21"/>
              </w:rPr>
            </w:pPr>
          </w:p>
        </w:tc>
        <w:tc>
          <w:tcPr>
            <w:tcW w:w="1275" w:type="dxa"/>
            <w:vAlign w:val="center"/>
          </w:tcPr>
          <w:p>
            <w:pPr>
              <w:pStyle w:val="34"/>
              <w:spacing w:beforeLines="0" w:afterLines="0" w:line="240" w:lineRule="auto"/>
              <w:rPr>
                <w:rFonts w:ascii="Times New Roman" w:hAnsi="Times New Roman"/>
                <w:snapToGrid w:val="0"/>
                <w:color w:val="auto"/>
                <w:kern w:val="21"/>
                <w:szCs w:val="21"/>
              </w:rPr>
            </w:pPr>
          </w:p>
        </w:tc>
        <w:tc>
          <w:tcPr>
            <w:tcW w:w="1700" w:type="dxa"/>
            <w:vAlign w:val="center"/>
          </w:tcPr>
          <w:p>
            <w:pPr>
              <w:pStyle w:val="34"/>
              <w:spacing w:beforeLines="0" w:afterLines="0" w:line="240" w:lineRule="auto"/>
              <w:rPr>
                <w:rFonts w:ascii="Times New Roman" w:hAnsi="Times New Roman"/>
                <w:snapToGrid w:val="0"/>
                <w:color w:val="auto"/>
                <w:kern w:val="21"/>
                <w:szCs w:val="21"/>
              </w:rPr>
            </w:pPr>
          </w:p>
        </w:tc>
        <w:tc>
          <w:tcPr>
            <w:tcW w:w="1558" w:type="dxa"/>
            <w:vAlign w:val="center"/>
          </w:tcPr>
          <w:p>
            <w:pPr>
              <w:pStyle w:val="34"/>
              <w:spacing w:beforeLines="0" w:afterLines="0" w:line="240" w:lineRule="auto"/>
              <w:rPr>
                <w:rFonts w:ascii="Times New Roman" w:hAnsi="Times New Roman"/>
                <w:snapToGrid w:val="0"/>
                <w:color w:val="auto"/>
                <w:kern w:val="21"/>
                <w:szCs w:val="21"/>
              </w:rPr>
            </w:pPr>
            <w:r>
              <w:rPr>
                <w:rFonts w:hint="eastAsia" w:ascii="Times New Roman" w:hAnsi="Times New Roman"/>
                <w:color w:val="auto"/>
                <w:szCs w:val="21"/>
                <w:lang w:val="en-US" w:eastAsia="zh-CN"/>
              </w:rPr>
              <w:t>8.82</w:t>
            </w:r>
            <w:r>
              <w:rPr>
                <w:rFonts w:ascii="Times New Roman" w:hAnsi="Times New Roman"/>
                <w:color w:val="auto"/>
                <w:szCs w:val="21"/>
              </w:rPr>
              <w:t>t/a</w:t>
            </w:r>
          </w:p>
        </w:tc>
        <w:tc>
          <w:tcPr>
            <w:tcW w:w="1417" w:type="dxa"/>
            <w:vAlign w:val="center"/>
          </w:tcPr>
          <w:p>
            <w:pPr>
              <w:pStyle w:val="34"/>
              <w:spacing w:beforeLines="0" w:afterLines="0" w:line="240" w:lineRule="auto"/>
              <w:rPr>
                <w:rFonts w:ascii="Times New Roman" w:hAnsi="Times New Roman"/>
                <w:snapToGrid w:val="0"/>
                <w:color w:val="auto"/>
                <w:kern w:val="21"/>
                <w:szCs w:val="21"/>
              </w:rPr>
            </w:pPr>
            <w:r>
              <w:rPr>
                <w:rFonts w:ascii="Times New Roman" w:hAnsi="Times New Roman"/>
                <w:snapToGrid w:val="0"/>
                <w:color w:val="auto"/>
                <w:kern w:val="21"/>
                <w:szCs w:val="21"/>
              </w:rPr>
              <w:t>0</w:t>
            </w:r>
          </w:p>
        </w:tc>
        <w:tc>
          <w:tcPr>
            <w:tcW w:w="1982" w:type="dxa"/>
            <w:vAlign w:val="center"/>
          </w:tcPr>
          <w:p>
            <w:pPr>
              <w:pStyle w:val="34"/>
              <w:spacing w:beforeLines="0" w:afterLines="0" w:line="240" w:lineRule="auto"/>
              <w:rPr>
                <w:rFonts w:ascii="Times New Roman" w:hAnsi="Times New Roman"/>
                <w:snapToGrid w:val="0"/>
                <w:color w:val="auto"/>
                <w:kern w:val="21"/>
                <w:szCs w:val="21"/>
              </w:rPr>
            </w:pPr>
            <w:r>
              <w:rPr>
                <w:rFonts w:hint="eastAsia" w:ascii="Times New Roman" w:hAnsi="Times New Roman"/>
                <w:color w:val="auto"/>
                <w:szCs w:val="21"/>
                <w:lang w:val="en-US" w:eastAsia="zh-CN"/>
              </w:rPr>
              <w:t>8.82</w:t>
            </w:r>
            <w:r>
              <w:rPr>
                <w:rFonts w:ascii="Times New Roman" w:hAnsi="Times New Roman"/>
                <w:color w:val="auto"/>
                <w:szCs w:val="21"/>
              </w:rPr>
              <w:t>t/a</w:t>
            </w:r>
          </w:p>
        </w:tc>
        <w:tc>
          <w:tcPr>
            <w:tcW w:w="1143" w:type="dxa"/>
            <w:vAlign w:val="center"/>
          </w:tcPr>
          <w:p>
            <w:pPr>
              <w:pStyle w:val="34"/>
              <w:spacing w:beforeLines="0" w:afterLines="0" w:line="240" w:lineRule="auto"/>
              <w:rPr>
                <w:rFonts w:ascii="Times New Roman" w:hAnsi="Times New Roman"/>
                <w:snapToGrid w:val="0"/>
                <w:color w:val="auto"/>
                <w:kern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1587" w:type="dxa"/>
            <w:vMerge w:val="continue"/>
            <w:vAlign w:val="center"/>
          </w:tcPr>
          <w:p>
            <w:pPr>
              <w:pStyle w:val="34"/>
              <w:spacing w:beforeLines="0" w:afterLines="0" w:line="240" w:lineRule="auto"/>
              <w:rPr>
                <w:rFonts w:ascii="Times New Roman" w:hAnsi="Times New Roman"/>
                <w:snapToGrid w:val="0"/>
                <w:color w:val="auto"/>
                <w:kern w:val="21"/>
                <w:szCs w:val="21"/>
              </w:rPr>
            </w:pPr>
          </w:p>
        </w:tc>
        <w:tc>
          <w:tcPr>
            <w:tcW w:w="1416" w:type="dxa"/>
            <w:vAlign w:val="center"/>
          </w:tcPr>
          <w:p>
            <w:pPr>
              <w:pStyle w:val="34"/>
              <w:spacing w:beforeLines="0" w:afterLines="0" w:line="240" w:lineRule="auto"/>
              <w:rPr>
                <w:rFonts w:ascii="Times New Roman" w:hAnsi="Times New Roman"/>
                <w:snapToGrid w:val="0"/>
                <w:color w:val="auto"/>
                <w:kern w:val="21"/>
                <w:szCs w:val="21"/>
              </w:rPr>
            </w:pPr>
            <w:r>
              <w:rPr>
                <w:rFonts w:hint="eastAsia" w:ascii="Times New Roman" w:hAnsi="Times New Roman"/>
                <w:snapToGrid w:val="0"/>
                <w:color w:val="auto"/>
                <w:kern w:val="21"/>
                <w:szCs w:val="21"/>
              </w:rPr>
              <w:t>颗粒物</w:t>
            </w:r>
          </w:p>
        </w:tc>
        <w:tc>
          <w:tcPr>
            <w:tcW w:w="1700" w:type="dxa"/>
            <w:vAlign w:val="center"/>
          </w:tcPr>
          <w:p>
            <w:pPr>
              <w:pStyle w:val="34"/>
              <w:spacing w:beforeLines="0" w:afterLines="0" w:line="240" w:lineRule="auto"/>
              <w:rPr>
                <w:rFonts w:ascii="Times New Roman" w:hAnsi="Times New Roman"/>
                <w:snapToGrid w:val="0"/>
                <w:color w:val="auto"/>
                <w:kern w:val="21"/>
                <w:szCs w:val="21"/>
              </w:rPr>
            </w:pPr>
          </w:p>
        </w:tc>
        <w:tc>
          <w:tcPr>
            <w:tcW w:w="1275" w:type="dxa"/>
            <w:vAlign w:val="center"/>
          </w:tcPr>
          <w:p>
            <w:pPr>
              <w:pStyle w:val="34"/>
              <w:spacing w:beforeLines="0" w:afterLines="0" w:line="240" w:lineRule="auto"/>
              <w:rPr>
                <w:rFonts w:ascii="Times New Roman" w:hAnsi="Times New Roman"/>
                <w:snapToGrid w:val="0"/>
                <w:color w:val="auto"/>
                <w:kern w:val="21"/>
                <w:szCs w:val="21"/>
              </w:rPr>
            </w:pPr>
          </w:p>
        </w:tc>
        <w:tc>
          <w:tcPr>
            <w:tcW w:w="1700" w:type="dxa"/>
            <w:vAlign w:val="center"/>
          </w:tcPr>
          <w:p>
            <w:pPr>
              <w:pStyle w:val="34"/>
              <w:spacing w:beforeLines="0" w:afterLines="0" w:line="240" w:lineRule="auto"/>
              <w:rPr>
                <w:rFonts w:ascii="Times New Roman" w:hAnsi="Times New Roman"/>
                <w:snapToGrid w:val="0"/>
                <w:color w:val="auto"/>
                <w:kern w:val="21"/>
                <w:szCs w:val="21"/>
              </w:rPr>
            </w:pPr>
          </w:p>
        </w:tc>
        <w:tc>
          <w:tcPr>
            <w:tcW w:w="1558" w:type="dxa"/>
            <w:vAlign w:val="center"/>
          </w:tcPr>
          <w:p>
            <w:pPr>
              <w:pStyle w:val="34"/>
              <w:spacing w:beforeLines="0" w:afterLines="0" w:line="240" w:lineRule="auto"/>
              <w:rPr>
                <w:rFonts w:ascii="Times New Roman" w:hAnsi="Times New Roman"/>
                <w:color w:val="auto"/>
                <w:szCs w:val="21"/>
              </w:rPr>
            </w:pPr>
            <w:r>
              <w:rPr>
                <w:rFonts w:hint="eastAsia" w:ascii="Times New Roman" w:hAnsi="Times New Roman"/>
                <w:color w:val="auto"/>
                <w:szCs w:val="21"/>
                <w:lang w:val="en-US" w:eastAsia="zh-CN"/>
              </w:rPr>
              <w:t>0.99</w:t>
            </w:r>
            <w:r>
              <w:rPr>
                <w:rFonts w:ascii="Times New Roman" w:hAnsi="Times New Roman"/>
                <w:color w:val="auto"/>
                <w:szCs w:val="21"/>
              </w:rPr>
              <w:t>t/a</w:t>
            </w:r>
          </w:p>
        </w:tc>
        <w:tc>
          <w:tcPr>
            <w:tcW w:w="1417" w:type="dxa"/>
            <w:vAlign w:val="center"/>
          </w:tcPr>
          <w:p>
            <w:pPr>
              <w:pStyle w:val="34"/>
              <w:spacing w:beforeLines="0" w:afterLines="0" w:line="240" w:lineRule="auto"/>
              <w:rPr>
                <w:rFonts w:ascii="Times New Roman" w:hAnsi="Times New Roman"/>
                <w:snapToGrid w:val="0"/>
                <w:color w:val="auto"/>
                <w:kern w:val="21"/>
                <w:szCs w:val="21"/>
              </w:rPr>
            </w:pPr>
            <w:r>
              <w:rPr>
                <w:rFonts w:ascii="Times New Roman" w:hAnsi="Times New Roman"/>
                <w:snapToGrid w:val="0"/>
                <w:color w:val="auto"/>
                <w:kern w:val="21"/>
                <w:szCs w:val="21"/>
              </w:rPr>
              <w:t>0</w:t>
            </w:r>
          </w:p>
        </w:tc>
        <w:tc>
          <w:tcPr>
            <w:tcW w:w="1982" w:type="dxa"/>
            <w:vAlign w:val="center"/>
          </w:tcPr>
          <w:p>
            <w:pPr>
              <w:pStyle w:val="34"/>
              <w:spacing w:beforeLines="0" w:afterLines="0" w:line="240" w:lineRule="auto"/>
              <w:rPr>
                <w:rFonts w:ascii="Times New Roman" w:hAnsi="Times New Roman"/>
                <w:color w:val="auto"/>
                <w:szCs w:val="21"/>
              </w:rPr>
            </w:pPr>
            <w:r>
              <w:rPr>
                <w:rFonts w:hint="eastAsia" w:ascii="Times New Roman" w:hAnsi="Times New Roman"/>
                <w:color w:val="auto"/>
                <w:szCs w:val="21"/>
                <w:lang w:val="en-US" w:eastAsia="zh-CN"/>
              </w:rPr>
              <w:t>0.99</w:t>
            </w:r>
            <w:r>
              <w:rPr>
                <w:rFonts w:ascii="Times New Roman" w:hAnsi="Times New Roman"/>
                <w:color w:val="auto"/>
                <w:szCs w:val="21"/>
              </w:rPr>
              <w:t>t/a</w:t>
            </w:r>
          </w:p>
        </w:tc>
        <w:tc>
          <w:tcPr>
            <w:tcW w:w="1143" w:type="dxa"/>
            <w:vAlign w:val="center"/>
          </w:tcPr>
          <w:p>
            <w:pPr>
              <w:pStyle w:val="34"/>
              <w:spacing w:beforeLines="0" w:afterLines="0" w:line="240" w:lineRule="auto"/>
              <w:rPr>
                <w:rFonts w:ascii="Times New Roman" w:hAnsi="Times New Roman"/>
                <w:color w:val="auto"/>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1587" w:type="dxa"/>
            <w:vMerge w:val="restart"/>
            <w:vAlign w:val="center"/>
          </w:tcPr>
          <w:p>
            <w:pPr>
              <w:pStyle w:val="34"/>
              <w:spacing w:beforeLines="0" w:afterLines="0" w:line="240" w:lineRule="auto"/>
              <w:rPr>
                <w:rFonts w:ascii="Times New Roman" w:hAnsi="Times New Roman"/>
                <w:snapToGrid w:val="0"/>
                <w:color w:val="auto"/>
                <w:kern w:val="21"/>
                <w:szCs w:val="21"/>
              </w:rPr>
            </w:pPr>
            <w:r>
              <w:rPr>
                <w:rFonts w:ascii="Times New Roman" w:hAnsi="Times New Roman"/>
                <w:snapToGrid w:val="0"/>
                <w:color w:val="auto"/>
                <w:kern w:val="21"/>
                <w:szCs w:val="21"/>
              </w:rPr>
              <w:t>废水</w:t>
            </w:r>
          </w:p>
        </w:tc>
        <w:tc>
          <w:tcPr>
            <w:tcW w:w="1416" w:type="dxa"/>
            <w:vAlign w:val="center"/>
          </w:tcPr>
          <w:p>
            <w:pPr>
              <w:pStyle w:val="34"/>
              <w:spacing w:beforeLines="0" w:afterLines="0" w:line="240" w:lineRule="auto"/>
              <w:rPr>
                <w:rFonts w:ascii="Times New Roman" w:hAnsi="Times New Roman"/>
                <w:snapToGrid w:val="0"/>
                <w:color w:val="auto"/>
                <w:kern w:val="21"/>
                <w:szCs w:val="21"/>
              </w:rPr>
            </w:pPr>
            <w:r>
              <w:rPr>
                <w:rFonts w:ascii="Times New Roman" w:hAnsi="Times New Roman"/>
                <w:snapToGrid w:val="0"/>
                <w:color w:val="auto"/>
                <w:kern w:val="21"/>
                <w:szCs w:val="21"/>
              </w:rPr>
              <w:t>废水量</w:t>
            </w:r>
          </w:p>
        </w:tc>
        <w:tc>
          <w:tcPr>
            <w:tcW w:w="1700" w:type="dxa"/>
            <w:vAlign w:val="center"/>
          </w:tcPr>
          <w:p>
            <w:pPr>
              <w:pStyle w:val="34"/>
              <w:spacing w:beforeLines="0" w:afterLines="0" w:line="240" w:lineRule="auto"/>
              <w:rPr>
                <w:rFonts w:ascii="Times New Roman" w:hAnsi="Times New Roman"/>
                <w:snapToGrid w:val="0"/>
                <w:color w:val="auto"/>
                <w:kern w:val="21"/>
                <w:szCs w:val="21"/>
              </w:rPr>
            </w:pPr>
          </w:p>
        </w:tc>
        <w:tc>
          <w:tcPr>
            <w:tcW w:w="1275" w:type="dxa"/>
            <w:vAlign w:val="center"/>
          </w:tcPr>
          <w:p>
            <w:pPr>
              <w:pStyle w:val="34"/>
              <w:spacing w:beforeLines="0" w:afterLines="0" w:line="240" w:lineRule="auto"/>
              <w:rPr>
                <w:rFonts w:ascii="Times New Roman" w:hAnsi="Times New Roman"/>
                <w:snapToGrid w:val="0"/>
                <w:color w:val="auto"/>
                <w:kern w:val="21"/>
                <w:szCs w:val="21"/>
              </w:rPr>
            </w:pPr>
          </w:p>
        </w:tc>
        <w:tc>
          <w:tcPr>
            <w:tcW w:w="1700" w:type="dxa"/>
            <w:vAlign w:val="center"/>
          </w:tcPr>
          <w:p>
            <w:pPr>
              <w:pStyle w:val="34"/>
              <w:spacing w:beforeLines="0" w:afterLines="0" w:line="240" w:lineRule="auto"/>
              <w:rPr>
                <w:rFonts w:ascii="Times New Roman" w:hAnsi="Times New Roman"/>
                <w:snapToGrid w:val="0"/>
                <w:color w:val="auto"/>
                <w:kern w:val="21"/>
                <w:szCs w:val="21"/>
              </w:rPr>
            </w:pPr>
          </w:p>
        </w:tc>
        <w:tc>
          <w:tcPr>
            <w:tcW w:w="1558" w:type="dxa"/>
            <w:vAlign w:val="center"/>
          </w:tcPr>
          <w:p>
            <w:pPr>
              <w:pStyle w:val="34"/>
              <w:spacing w:beforeLines="0" w:afterLines="0" w:line="240" w:lineRule="auto"/>
              <w:rPr>
                <w:rFonts w:ascii="Times New Roman" w:hAnsi="Times New Roman"/>
                <w:snapToGrid w:val="0"/>
                <w:color w:val="auto"/>
                <w:kern w:val="21"/>
                <w:szCs w:val="21"/>
              </w:rPr>
            </w:pPr>
          </w:p>
        </w:tc>
        <w:tc>
          <w:tcPr>
            <w:tcW w:w="1417" w:type="dxa"/>
            <w:vAlign w:val="center"/>
          </w:tcPr>
          <w:p>
            <w:pPr>
              <w:pStyle w:val="34"/>
              <w:spacing w:beforeLines="0" w:afterLines="0" w:line="240" w:lineRule="auto"/>
              <w:rPr>
                <w:rFonts w:ascii="Times New Roman" w:hAnsi="Times New Roman"/>
                <w:snapToGrid w:val="0"/>
                <w:color w:val="auto"/>
                <w:kern w:val="21"/>
                <w:szCs w:val="21"/>
              </w:rPr>
            </w:pPr>
          </w:p>
        </w:tc>
        <w:tc>
          <w:tcPr>
            <w:tcW w:w="1982" w:type="dxa"/>
            <w:vAlign w:val="center"/>
          </w:tcPr>
          <w:p>
            <w:pPr>
              <w:pStyle w:val="34"/>
              <w:spacing w:beforeLines="0" w:afterLines="0" w:line="240" w:lineRule="auto"/>
              <w:rPr>
                <w:rFonts w:ascii="Times New Roman" w:hAnsi="Times New Roman"/>
                <w:snapToGrid w:val="0"/>
                <w:color w:val="auto"/>
                <w:kern w:val="21"/>
                <w:szCs w:val="21"/>
              </w:rPr>
            </w:pPr>
          </w:p>
        </w:tc>
        <w:tc>
          <w:tcPr>
            <w:tcW w:w="1143" w:type="dxa"/>
            <w:vAlign w:val="center"/>
          </w:tcPr>
          <w:p>
            <w:pPr>
              <w:pStyle w:val="34"/>
              <w:spacing w:beforeLines="0" w:afterLines="0" w:line="240" w:lineRule="auto"/>
              <w:rPr>
                <w:rFonts w:ascii="Times New Roman" w:hAnsi="Times New Roman"/>
                <w:snapToGrid w:val="0"/>
                <w:color w:val="auto"/>
                <w:kern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1587" w:type="dxa"/>
            <w:vMerge w:val="continue"/>
            <w:vAlign w:val="center"/>
          </w:tcPr>
          <w:p>
            <w:pPr>
              <w:pStyle w:val="34"/>
              <w:spacing w:beforeLines="0" w:afterLines="0" w:line="240" w:lineRule="auto"/>
              <w:rPr>
                <w:rFonts w:ascii="Times New Roman" w:hAnsi="Times New Roman"/>
                <w:snapToGrid w:val="0"/>
                <w:color w:val="auto"/>
                <w:kern w:val="21"/>
                <w:szCs w:val="21"/>
              </w:rPr>
            </w:pPr>
          </w:p>
        </w:tc>
        <w:tc>
          <w:tcPr>
            <w:tcW w:w="1416" w:type="dxa"/>
            <w:vAlign w:val="center"/>
          </w:tcPr>
          <w:p>
            <w:pPr>
              <w:pStyle w:val="34"/>
              <w:spacing w:beforeLines="0" w:afterLines="0" w:line="240" w:lineRule="auto"/>
              <w:rPr>
                <w:rFonts w:ascii="Times New Roman" w:hAnsi="Times New Roman"/>
                <w:snapToGrid w:val="0"/>
                <w:color w:val="auto"/>
                <w:kern w:val="21"/>
                <w:szCs w:val="21"/>
              </w:rPr>
            </w:pPr>
            <w:r>
              <w:rPr>
                <w:rFonts w:ascii="Times New Roman" w:hAnsi="Times New Roman"/>
                <w:color w:val="auto"/>
                <w:szCs w:val="21"/>
              </w:rPr>
              <w:t>COD</w:t>
            </w:r>
            <w:r>
              <w:rPr>
                <w:rFonts w:ascii="Times New Roman" w:hAnsi="Times New Roman"/>
                <w:color w:val="auto"/>
                <w:szCs w:val="21"/>
                <w:vertAlign w:val="subscript"/>
              </w:rPr>
              <w:t>Cr</w:t>
            </w:r>
          </w:p>
        </w:tc>
        <w:tc>
          <w:tcPr>
            <w:tcW w:w="1700" w:type="dxa"/>
            <w:vAlign w:val="center"/>
          </w:tcPr>
          <w:p>
            <w:pPr>
              <w:pStyle w:val="34"/>
              <w:spacing w:beforeLines="0" w:afterLines="0" w:line="240" w:lineRule="auto"/>
              <w:rPr>
                <w:rFonts w:ascii="Times New Roman" w:hAnsi="Times New Roman"/>
                <w:snapToGrid w:val="0"/>
                <w:color w:val="auto"/>
                <w:kern w:val="21"/>
                <w:szCs w:val="21"/>
              </w:rPr>
            </w:pPr>
          </w:p>
        </w:tc>
        <w:tc>
          <w:tcPr>
            <w:tcW w:w="1275" w:type="dxa"/>
            <w:vAlign w:val="center"/>
          </w:tcPr>
          <w:p>
            <w:pPr>
              <w:pStyle w:val="34"/>
              <w:spacing w:beforeLines="0" w:afterLines="0" w:line="240" w:lineRule="auto"/>
              <w:rPr>
                <w:rFonts w:ascii="Times New Roman" w:hAnsi="Times New Roman"/>
                <w:snapToGrid w:val="0"/>
                <w:color w:val="auto"/>
                <w:kern w:val="21"/>
                <w:szCs w:val="21"/>
              </w:rPr>
            </w:pPr>
          </w:p>
        </w:tc>
        <w:tc>
          <w:tcPr>
            <w:tcW w:w="1700" w:type="dxa"/>
            <w:vAlign w:val="center"/>
          </w:tcPr>
          <w:p>
            <w:pPr>
              <w:pStyle w:val="34"/>
              <w:spacing w:beforeLines="0" w:afterLines="0" w:line="240" w:lineRule="auto"/>
              <w:rPr>
                <w:rFonts w:ascii="Times New Roman" w:hAnsi="Times New Roman"/>
                <w:snapToGrid w:val="0"/>
                <w:color w:val="auto"/>
                <w:kern w:val="21"/>
                <w:szCs w:val="21"/>
              </w:rPr>
            </w:pPr>
          </w:p>
        </w:tc>
        <w:tc>
          <w:tcPr>
            <w:tcW w:w="1558" w:type="dxa"/>
            <w:vAlign w:val="center"/>
          </w:tcPr>
          <w:p>
            <w:pPr>
              <w:pStyle w:val="34"/>
              <w:spacing w:beforeLines="0" w:afterLines="0" w:line="240" w:lineRule="auto"/>
              <w:rPr>
                <w:rFonts w:ascii="Times New Roman" w:hAnsi="Times New Roman"/>
                <w:snapToGrid w:val="0"/>
                <w:color w:val="auto"/>
                <w:kern w:val="21"/>
                <w:szCs w:val="21"/>
              </w:rPr>
            </w:pPr>
          </w:p>
        </w:tc>
        <w:tc>
          <w:tcPr>
            <w:tcW w:w="1417" w:type="dxa"/>
            <w:vAlign w:val="center"/>
          </w:tcPr>
          <w:p>
            <w:pPr>
              <w:pStyle w:val="34"/>
              <w:spacing w:beforeLines="0" w:afterLines="0" w:line="240" w:lineRule="auto"/>
              <w:rPr>
                <w:rFonts w:ascii="Times New Roman" w:hAnsi="Times New Roman"/>
                <w:snapToGrid w:val="0"/>
                <w:color w:val="auto"/>
                <w:kern w:val="21"/>
                <w:szCs w:val="21"/>
              </w:rPr>
            </w:pPr>
          </w:p>
        </w:tc>
        <w:tc>
          <w:tcPr>
            <w:tcW w:w="1982" w:type="dxa"/>
            <w:vAlign w:val="center"/>
          </w:tcPr>
          <w:p>
            <w:pPr>
              <w:pStyle w:val="34"/>
              <w:spacing w:beforeLines="0" w:afterLines="0" w:line="240" w:lineRule="auto"/>
              <w:rPr>
                <w:rFonts w:ascii="Times New Roman" w:hAnsi="Times New Roman"/>
                <w:snapToGrid w:val="0"/>
                <w:color w:val="auto"/>
                <w:kern w:val="21"/>
                <w:szCs w:val="21"/>
              </w:rPr>
            </w:pPr>
          </w:p>
        </w:tc>
        <w:tc>
          <w:tcPr>
            <w:tcW w:w="1143" w:type="dxa"/>
            <w:vAlign w:val="center"/>
          </w:tcPr>
          <w:p>
            <w:pPr>
              <w:pStyle w:val="34"/>
              <w:spacing w:beforeLines="0" w:afterLines="0" w:line="240" w:lineRule="auto"/>
              <w:rPr>
                <w:rFonts w:ascii="Times New Roman" w:hAnsi="Times New Roman"/>
                <w:snapToGrid w:val="0"/>
                <w:color w:val="auto"/>
                <w:kern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1587" w:type="dxa"/>
            <w:vMerge w:val="continue"/>
            <w:vAlign w:val="center"/>
          </w:tcPr>
          <w:p>
            <w:pPr>
              <w:pStyle w:val="34"/>
              <w:spacing w:beforeLines="0" w:afterLines="0" w:line="240" w:lineRule="auto"/>
              <w:rPr>
                <w:rFonts w:ascii="Times New Roman" w:hAnsi="Times New Roman"/>
                <w:snapToGrid w:val="0"/>
                <w:color w:val="auto"/>
                <w:kern w:val="21"/>
                <w:szCs w:val="21"/>
              </w:rPr>
            </w:pPr>
          </w:p>
        </w:tc>
        <w:tc>
          <w:tcPr>
            <w:tcW w:w="1416" w:type="dxa"/>
            <w:vAlign w:val="center"/>
          </w:tcPr>
          <w:p>
            <w:pPr>
              <w:pStyle w:val="34"/>
              <w:spacing w:beforeLines="0" w:afterLines="0" w:line="240" w:lineRule="auto"/>
              <w:rPr>
                <w:rFonts w:ascii="Times New Roman" w:hAnsi="Times New Roman"/>
                <w:color w:val="auto"/>
                <w:kern w:val="0"/>
                <w:szCs w:val="21"/>
              </w:rPr>
            </w:pPr>
            <w:r>
              <w:rPr>
                <w:rFonts w:ascii="Times New Roman" w:hAnsi="Times New Roman"/>
                <w:color w:val="auto"/>
                <w:kern w:val="0"/>
                <w:szCs w:val="21"/>
              </w:rPr>
              <w:t>氨氮</w:t>
            </w:r>
          </w:p>
        </w:tc>
        <w:tc>
          <w:tcPr>
            <w:tcW w:w="1700" w:type="dxa"/>
            <w:vAlign w:val="center"/>
          </w:tcPr>
          <w:p>
            <w:pPr>
              <w:pStyle w:val="34"/>
              <w:spacing w:beforeLines="0" w:afterLines="0" w:line="240" w:lineRule="auto"/>
              <w:rPr>
                <w:rFonts w:ascii="Times New Roman" w:hAnsi="Times New Roman"/>
                <w:snapToGrid w:val="0"/>
                <w:color w:val="auto"/>
                <w:kern w:val="21"/>
                <w:szCs w:val="21"/>
              </w:rPr>
            </w:pPr>
          </w:p>
        </w:tc>
        <w:tc>
          <w:tcPr>
            <w:tcW w:w="1275" w:type="dxa"/>
            <w:vAlign w:val="center"/>
          </w:tcPr>
          <w:p>
            <w:pPr>
              <w:pStyle w:val="34"/>
              <w:spacing w:beforeLines="0" w:afterLines="0" w:line="240" w:lineRule="auto"/>
              <w:rPr>
                <w:rFonts w:ascii="Times New Roman" w:hAnsi="Times New Roman"/>
                <w:snapToGrid w:val="0"/>
                <w:color w:val="auto"/>
                <w:kern w:val="21"/>
                <w:szCs w:val="21"/>
              </w:rPr>
            </w:pPr>
          </w:p>
        </w:tc>
        <w:tc>
          <w:tcPr>
            <w:tcW w:w="1700" w:type="dxa"/>
            <w:vAlign w:val="center"/>
          </w:tcPr>
          <w:p>
            <w:pPr>
              <w:pStyle w:val="34"/>
              <w:spacing w:beforeLines="0" w:afterLines="0" w:line="240" w:lineRule="auto"/>
              <w:rPr>
                <w:rFonts w:ascii="Times New Roman" w:hAnsi="Times New Roman"/>
                <w:snapToGrid w:val="0"/>
                <w:color w:val="auto"/>
                <w:kern w:val="21"/>
                <w:szCs w:val="21"/>
              </w:rPr>
            </w:pPr>
          </w:p>
        </w:tc>
        <w:tc>
          <w:tcPr>
            <w:tcW w:w="1558" w:type="dxa"/>
            <w:vAlign w:val="center"/>
          </w:tcPr>
          <w:p>
            <w:pPr>
              <w:pStyle w:val="34"/>
              <w:spacing w:beforeLines="0" w:afterLines="0" w:line="240" w:lineRule="auto"/>
              <w:rPr>
                <w:rFonts w:ascii="Times New Roman" w:hAnsi="Times New Roman"/>
                <w:snapToGrid w:val="0"/>
                <w:color w:val="auto"/>
                <w:kern w:val="21"/>
                <w:szCs w:val="21"/>
              </w:rPr>
            </w:pPr>
          </w:p>
        </w:tc>
        <w:tc>
          <w:tcPr>
            <w:tcW w:w="1417" w:type="dxa"/>
            <w:vAlign w:val="center"/>
          </w:tcPr>
          <w:p>
            <w:pPr>
              <w:pStyle w:val="34"/>
              <w:spacing w:beforeLines="0" w:afterLines="0" w:line="240" w:lineRule="auto"/>
              <w:rPr>
                <w:rFonts w:ascii="Times New Roman" w:hAnsi="Times New Roman"/>
                <w:snapToGrid w:val="0"/>
                <w:color w:val="auto"/>
                <w:kern w:val="21"/>
                <w:szCs w:val="21"/>
              </w:rPr>
            </w:pPr>
          </w:p>
        </w:tc>
        <w:tc>
          <w:tcPr>
            <w:tcW w:w="1982" w:type="dxa"/>
            <w:vAlign w:val="center"/>
          </w:tcPr>
          <w:p>
            <w:pPr>
              <w:pStyle w:val="34"/>
              <w:spacing w:beforeLines="0" w:afterLines="0" w:line="240" w:lineRule="auto"/>
              <w:rPr>
                <w:rFonts w:ascii="Times New Roman" w:hAnsi="Times New Roman"/>
                <w:snapToGrid w:val="0"/>
                <w:color w:val="auto"/>
                <w:kern w:val="21"/>
                <w:szCs w:val="21"/>
              </w:rPr>
            </w:pPr>
          </w:p>
        </w:tc>
        <w:tc>
          <w:tcPr>
            <w:tcW w:w="1143" w:type="dxa"/>
            <w:vAlign w:val="center"/>
          </w:tcPr>
          <w:p>
            <w:pPr>
              <w:pStyle w:val="34"/>
              <w:spacing w:beforeLines="0" w:afterLines="0" w:line="240" w:lineRule="auto"/>
              <w:rPr>
                <w:rFonts w:ascii="Times New Roman" w:hAnsi="Times New Roman"/>
                <w:snapToGrid w:val="0"/>
                <w:color w:val="auto"/>
                <w:kern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1587" w:type="dxa"/>
            <w:vMerge w:val="continue"/>
            <w:vAlign w:val="center"/>
          </w:tcPr>
          <w:p>
            <w:pPr>
              <w:pStyle w:val="34"/>
              <w:spacing w:beforeLines="0" w:afterLines="0" w:line="240" w:lineRule="auto"/>
              <w:rPr>
                <w:rFonts w:ascii="Times New Roman" w:hAnsi="Times New Roman"/>
                <w:snapToGrid w:val="0"/>
                <w:color w:val="auto"/>
                <w:kern w:val="21"/>
                <w:szCs w:val="21"/>
              </w:rPr>
            </w:pPr>
          </w:p>
        </w:tc>
        <w:tc>
          <w:tcPr>
            <w:tcW w:w="1416" w:type="dxa"/>
            <w:vAlign w:val="center"/>
          </w:tcPr>
          <w:p>
            <w:pPr>
              <w:pStyle w:val="34"/>
              <w:spacing w:beforeLines="0" w:afterLines="0" w:line="240" w:lineRule="auto"/>
              <w:rPr>
                <w:rFonts w:ascii="Times New Roman" w:hAnsi="Times New Roman"/>
                <w:color w:val="auto"/>
                <w:kern w:val="0"/>
                <w:szCs w:val="21"/>
              </w:rPr>
            </w:pPr>
            <w:r>
              <w:rPr>
                <w:rFonts w:ascii="Times New Roman" w:hAnsi="Times New Roman"/>
                <w:color w:val="auto"/>
                <w:kern w:val="0"/>
                <w:szCs w:val="21"/>
              </w:rPr>
              <w:t>总磷</w:t>
            </w:r>
          </w:p>
        </w:tc>
        <w:tc>
          <w:tcPr>
            <w:tcW w:w="1700" w:type="dxa"/>
            <w:vAlign w:val="center"/>
          </w:tcPr>
          <w:p>
            <w:pPr>
              <w:pStyle w:val="34"/>
              <w:spacing w:beforeLines="0" w:afterLines="0" w:line="240" w:lineRule="auto"/>
              <w:rPr>
                <w:rFonts w:ascii="Times New Roman" w:hAnsi="Times New Roman"/>
                <w:snapToGrid w:val="0"/>
                <w:color w:val="auto"/>
                <w:kern w:val="21"/>
                <w:szCs w:val="21"/>
              </w:rPr>
            </w:pPr>
          </w:p>
        </w:tc>
        <w:tc>
          <w:tcPr>
            <w:tcW w:w="1275" w:type="dxa"/>
            <w:vAlign w:val="center"/>
          </w:tcPr>
          <w:p>
            <w:pPr>
              <w:pStyle w:val="34"/>
              <w:spacing w:beforeLines="0" w:afterLines="0" w:line="240" w:lineRule="auto"/>
              <w:rPr>
                <w:rFonts w:ascii="Times New Roman" w:hAnsi="Times New Roman"/>
                <w:snapToGrid w:val="0"/>
                <w:color w:val="auto"/>
                <w:kern w:val="21"/>
                <w:szCs w:val="21"/>
              </w:rPr>
            </w:pPr>
          </w:p>
        </w:tc>
        <w:tc>
          <w:tcPr>
            <w:tcW w:w="1700" w:type="dxa"/>
            <w:vAlign w:val="center"/>
          </w:tcPr>
          <w:p>
            <w:pPr>
              <w:pStyle w:val="34"/>
              <w:spacing w:beforeLines="0" w:afterLines="0" w:line="240" w:lineRule="auto"/>
              <w:rPr>
                <w:rFonts w:ascii="Times New Roman" w:hAnsi="Times New Roman"/>
                <w:snapToGrid w:val="0"/>
                <w:color w:val="auto"/>
                <w:kern w:val="21"/>
                <w:szCs w:val="21"/>
              </w:rPr>
            </w:pPr>
          </w:p>
        </w:tc>
        <w:tc>
          <w:tcPr>
            <w:tcW w:w="1558" w:type="dxa"/>
            <w:vAlign w:val="center"/>
          </w:tcPr>
          <w:p>
            <w:pPr>
              <w:pStyle w:val="34"/>
              <w:spacing w:beforeLines="0" w:afterLines="0" w:line="240" w:lineRule="auto"/>
              <w:rPr>
                <w:rFonts w:ascii="Times New Roman" w:hAnsi="Times New Roman"/>
                <w:color w:val="auto"/>
                <w:szCs w:val="21"/>
              </w:rPr>
            </w:pPr>
          </w:p>
        </w:tc>
        <w:tc>
          <w:tcPr>
            <w:tcW w:w="1417" w:type="dxa"/>
            <w:vAlign w:val="center"/>
          </w:tcPr>
          <w:p>
            <w:pPr>
              <w:pStyle w:val="34"/>
              <w:spacing w:beforeLines="0" w:afterLines="0" w:line="240" w:lineRule="auto"/>
              <w:rPr>
                <w:rFonts w:ascii="Times New Roman" w:hAnsi="Times New Roman"/>
                <w:snapToGrid w:val="0"/>
                <w:color w:val="auto"/>
                <w:kern w:val="21"/>
                <w:szCs w:val="21"/>
              </w:rPr>
            </w:pPr>
          </w:p>
        </w:tc>
        <w:tc>
          <w:tcPr>
            <w:tcW w:w="1982" w:type="dxa"/>
            <w:vAlign w:val="center"/>
          </w:tcPr>
          <w:p>
            <w:pPr>
              <w:pStyle w:val="34"/>
              <w:spacing w:beforeLines="0" w:afterLines="0" w:line="240" w:lineRule="auto"/>
              <w:rPr>
                <w:rFonts w:ascii="Times New Roman" w:hAnsi="Times New Roman"/>
                <w:color w:val="auto"/>
                <w:szCs w:val="21"/>
              </w:rPr>
            </w:pPr>
          </w:p>
        </w:tc>
        <w:tc>
          <w:tcPr>
            <w:tcW w:w="1143" w:type="dxa"/>
            <w:vAlign w:val="center"/>
          </w:tcPr>
          <w:p>
            <w:pPr>
              <w:pStyle w:val="34"/>
              <w:spacing w:beforeLines="0" w:afterLines="0" w:line="240" w:lineRule="auto"/>
              <w:rPr>
                <w:rFonts w:ascii="Times New Roman" w:hAnsi="Times New Roman"/>
                <w:snapToGrid w:val="0"/>
                <w:color w:val="auto"/>
                <w:kern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587" w:type="dxa"/>
            <w:vMerge w:val="restart"/>
            <w:vAlign w:val="center"/>
          </w:tcPr>
          <w:p>
            <w:pPr>
              <w:pStyle w:val="34"/>
              <w:spacing w:beforeLines="0" w:afterLines="0" w:line="240" w:lineRule="auto"/>
              <w:rPr>
                <w:rFonts w:ascii="Times New Roman" w:hAnsi="Times New Roman"/>
                <w:snapToGrid w:val="0"/>
                <w:color w:val="auto"/>
                <w:kern w:val="21"/>
                <w:szCs w:val="21"/>
              </w:rPr>
            </w:pPr>
            <w:r>
              <w:rPr>
                <w:rFonts w:ascii="Times New Roman" w:hAnsi="Times New Roman"/>
                <w:snapToGrid w:val="0"/>
                <w:color w:val="auto"/>
                <w:kern w:val="21"/>
                <w:szCs w:val="21"/>
              </w:rPr>
              <w:t>一般工业</w:t>
            </w:r>
          </w:p>
          <w:p>
            <w:pPr>
              <w:pStyle w:val="34"/>
              <w:spacing w:beforeLines="0" w:afterLines="0" w:line="240" w:lineRule="auto"/>
              <w:rPr>
                <w:rFonts w:ascii="Times New Roman" w:hAnsi="Times New Roman"/>
                <w:snapToGrid w:val="0"/>
                <w:color w:val="auto"/>
                <w:kern w:val="21"/>
                <w:szCs w:val="21"/>
              </w:rPr>
            </w:pPr>
            <w:r>
              <w:rPr>
                <w:rFonts w:ascii="Times New Roman" w:hAnsi="Times New Roman"/>
                <w:snapToGrid w:val="0"/>
                <w:color w:val="auto"/>
                <w:kern w:val="21"/>
                <w:szCs w:val="21"/>
              </w:rPr>
              <w:t>固体废物</w:t>
            </w:r>
          </w:p>
        </w:tc>
        <w:tc>
          <w:tcPr>
            <w:tcW w:w="1416" w:type="dxa"/>
            <w:vAlign w:val="center"/>
          </w:tcPr>
          <w:p>
            <w:pPr>
              <w:pStyle w:val="34"/>
              <w:spacing w:beforeLines="0" w:afterLines="0" w:line="240" w:lineRule="auto"/>
              <w:rPr>
                <w:rFonts w:ascii="Times New Roman" w:hAnsi="Times New Roman"/>
                <w:bCs/>
                <w:snapToGrid w:val="0"/>
                <w:color w:val="auto"/>
                <w:kern w:val="21"/>
                <w:szCs w:val="21"/>
              </w:rPr>
            </w:pPr>
            <w:r>
              <w:rPr>
                <w:rFonts w:ascii="Times New Roman" w:hAnsi="Times New Roman"/>
                <w:bCs/>
                <w:color w:val="auto"/>
                <w:szCs w:val="21"/>
              </w:rPr>
              <w:t>造粒切粒废边角料</w:t>
            </w:r>
          </w:p>
        </w:tc>
        <w:tc>
          <w:tcPr>
            <w:tcW w:w="1700" w:type="dxa"/>
            <w:vAlign w:val="center"/>
          </w:tcPr>
          <w:p>
            <w:pPr>
              <w:pStyle w:val="34"/>
              <w:spacing w:beforeLines="0" w:afterLines="0" w:line="240" w:lineRule="auto"/>
              <w:rPr>
                <w:rFonts w:ascii="Times New Roman" w:hAnsi="Times New Roman"/>
                <w:bCs/>
                <w:snapToGrid w:val="0"/>
                <w:color w:val="auto"/>
                <w:kern w:val="21"/>
                <w:szCs w:val="21"/>
              </w:rPr>
            </w:pPr>
          </w:p>
        </w:tc>
        <w:tc>
          <w:tcPr>
            <w:tcW w:w="1275" w:type="dxa"/>
            <w:vAlign w:val="center"/>
          </w:tcPr>
          <w:p>
            <w:pPr>
              <w:pStyle w:val="34"/>
              <w:spacing w:beforeLines="0" w:afterLines="0" w:line="240" w:lineRule="auto"/>
              <w:rPr>
                <w:rFonts w:ascii="Times New Roman" w:hAnsi="Times New Roman"/>
                <w:bCs/>
                <w:snapToGrid w:val="0"/>
                <w:color w:val="auto"/>
                <w:kern w:val="21"/>
                <w:szCs w:val="21"/>
              </w:rPr>
            </w:pPr>
          </w:p>
        </w:tc>
        <w:tc>
          <w:tcPr>
            <w:tcW w:w="1700" w:type="dxa"/>
            <w:vAlign w:val="center"/>
          </w:tcPr>
          <w:p>
            <w:pPr>
              <w:pStyle w:val="34"/>
              <w:spacing w:beforeLines="0" w:afterLines="0" w:line="240" w:lineRule="auto"/>
              <w:rPr>
                <w:rFonts w:ascii="Times New Roman" w:hAnsi="Times New Roman"/>
                <w:bCs/>
                <w:snapToGrid w:val="0"/>
                <w:color w:val="auto"/>
                <w:kern w:val="21"/>
                <w:szCs w:val="21"/>
              </w:rPr>
            </w:pPr>
          </w:p>
        </w:tc>
        <w:tc>
          <w:tcPr>
            <w:tcW w:w="1558" w:type="dxa"/>
            <w:vAlign w:val="center"/>
          </w:tcPr>
          <w:p>
            <w:pPr>
              <w:pStyle w:val="34"/>
              <w:spacing w:beforeLines="0" w:afterLines="0" w:line="240" w:lineRule="auto"/>
              <w:rPr>
                <w:rFonts w:ascii="Times New Roman" w:hAnsi="Times New Roman"/>
                <w:bCs/>
                <w:snapToGrid w:val="0"/>
                <w:color w:val="auto"/>
                <w:kern w:val="21"/>
                <w:szCs w:val="21"/>
              </w:rPr>
            </w:pPr>
            <w:r>
              <w:rPr>
                <w:rFonts w:hint="eastAsia" w:ascii="Times New Roman" w:hAnsi="Times New Roman"/>
                <w:bCs/>
                <w:color w:val="auto"/>
                <w:szCs w:val="21"/>
                <w:lang w:val="en-US" w:eastAsia="zh-CN" w:bidi="ar"/>
              </w:rPr>
              <w:t>535.5</w:t>
            </w:r>
            <w:r>
              <w:rPr>
                <w:rFonts w:ascii="Times New Roman" w:hAnsi="Times New Roman"/>
                <w:bCs/>
                <w:color w:val="auto"/>
                <w:szCs w:val="21"/>
                <w:lang w:bidi="ar"/>
              </w:rPr>
              <w:t>t/a</w:t>
            </w:r>
          </w:p>
        </w:tc>
        <w:tc>
          <w:tcPr>
            <w:tcW w:w="1417" w:type="dxa"/>
            <w:vAlign w:val="center"/>
          </w:tcPr>
          <w:p>
            <w:pPr>
              <w:pStyle w:val="34"/>
              <w:spacing w:beforeLines="0" w:afterLines="0" w:line="240" w:lineRule="auto"/>
              <w:rPr>
                <w:rFonts w:ascii="Times New Roman" w:hAnsi="Times New Roman"/>
                <w:bCs/>
                <w:snapToGrid w:val="0"/>
                <w:color w:val="auto"/>
                <w:kern w:val="21"/>
                <w:szCs w:val="21"/>
              </w:rPr>
            </w:pPr>
          </w:p>
        </w:tc>
        <w:tc>
          <w:tcPr>
            <w:tcW w:w="1982" w:type="dxa"/>
            <w:shd w:val="clear" w:color="auto" w:fill="auto"/>
            <w:vAlign w:val="center"/>
          </w:tcPr>
          <w:p>
            <w:pPr>
              <w:pStyle w:val="34"/>
              <w:spacing w:beforeLines="0" w:afterLines="0" w:line="240" w:lineRule="auto"/>
              <w:rPr>
                <w:rFonts w:ascii="Times New Roman" w:hAnsi="Times New Roman" w:eastAsia="宋体" w:cs="Times New Roman"/>
                <w:bCs/>
                <w:snapToGrid w:val="0"/>
                <w:color w:val="auto"/>
                <w:kern w:val="21"/>
                <w:sz w:val="21"/>
                <w:szCs w:val="21"/>
                <w:lang w:val="en-US" w:eastAsia="zh-CN" w:bidi="ar-SA"/>
              </w:rPr>
            </w:pPr>
            <w:r>
              <w:rPr>
                <w:rFonts w:hint="eastAsia" w:ascii="Times New Roman" w:hAnsi="Times New Roman"/>
                <w:bCs/>
                <w:color w:val="auto"/>
                <w:szCs w:val="21"/>
                <w:lang w:val="en-US" w:eastAsia="zh-CN" w:bidi="ar"/>
              </w:rPr>
              <w:t>535.5</w:t>
            </w:r>
            <w:r>
              <w:rPr>
                <w:rFonts w:ascii="Times New Roman" w:hAnsi="Times New Roman"/>
                <w:bCs/>
                <w:color w:val="auto"/>
                <w:szCs w:val="21"/>
                <w:lang w:bidi="ar"/>
              </w:rPr>
              <w:t>t/a</w:t>
            </w:r>
          </w:p>
        </w:tc>
        <w:tc>
          <w:tcPr>
            <w:tcW w:w="1143" w:type="dxa"/>
            <w:vAlign w:val="center"/>
          </w:tcPr>
          <w:p>
            <w:pPr>
              <w:pStyle w:val="34"/>
              <w:spacing w:beforeLines="0" w:afterLines="0" w:line="240" w:lineRule="auto"/>
              <w:rPr>
                <w:rFonts w:ascii="Times New Roman" w:hAnsi="Times New Roman"/>
                <w:bCs/>
                <w:snapToGrid w:val="0"/>
                <w:color w:val="auto"/>
                <w:kern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1587" w:type="dxa"/>
            <w:vMerge w:val="continue"/>
            <w:vAlign w:val="center"/>
          </w:tcPr>
          <w:p>
            <w:pPr>
              <w:pStyle w:val="34"/>
              <w:spacing w:beforeLines="0" w:afterLines="0" w:line="240" w:lineRule="auto"/>
              <w:rPr>
                <w:rFonts w:ascii="Times New Roman" w:hAnsi="Times New Roman"/>
                <w:snapToGrid w:val="0"/>
                <w:color w:val="auto"/>
                <w:kern w:val="21"/>
                <w:szCs w:val="21"/>
              </w:rPr>
            </w:pPr>
          </w:p>
        </w:tc>
        <w:tc>
          <w:tcPr>
            <w:tcW w:w="1416" w:type="dxa"/>
            <w:vAlign w:val="center"/>
          </w:tcPr>
          <w:p>
            <w:pPr>
              <w:pStyle w:val="34"/>
              <w:spacing w:beforeLines="0" w:afterLines="0" w:line="240" w:lineRule="auto"/>
              <w:rPr>
                <w:rFonts w:ascii="Times New Roman" w:hAnsi="Times New Roman"/>
                <w:bCs/>
                <w:color w:val="auto"/>
                <w:szCs w:val="21"/>
              </w:rPr>
            </w:pPr>
            <w:r>
              <w:rPr>
                <w:rFonts w:hint="eastAsia" w:ascii="Times New Roman" w:hAnsi="Times New Roman"/>
                <w:bCs/>
                <w:color w:val="auto"/>
                <w:szCs w:val="21"/>
              </w:rPr>
              <w:t>磁选除铁</w:t>
            </w:r>
          </w:p>
        </w:tc>
        <w:tc>
          <w:tcPr>
            <w:tcW w:w="1700" w:type="dxa"/>
            <w:vAlign w:val="center"/>
          </w:tcPr>
          <w:p>
            <w:pPr>
              <w:pStyle w:val="34"/>
              <w:spacing w:beforeLines="0" w:afterLines="0" w:line="240" w:lineRule="auto"/>
              <w:rPr>
                <w:rFonts w:ascii="Times New Roman" w:hAnsi="Times New Roman"/>
                <w:bCs/>
                <w:snapToGrid w:val="0"/>
                <w:color w:val="auto"/>
                <w:kern w:val="21"/>
                <w:szCs w:val="21"/>
              </w:rPr>
            </w:pPr>
          </w:p>
        </w:tc>
        <w:tc>
          <w:tcPr>
            <w:tcW w:w="1275" w:type="dxa"/>
            <w:vAlign w:val="center"/>
          </w:tcPr>
          <w:p>
            <w:pPr>
              <w:pStyle w:val="34"/>
              <w:spacing w:beforeLines="0" w:afterLines="0" w:line="240" w:lineRule="auto"/>
              <w:rPr>
                <w:rFonts w:ascii="Times New Roman" w:hAnsi="Times New Roman"/>
                <w:bCs/>
                <w:snapToGrid w:val="0"/>
                <w:color w:val="auto"/>
                <w:kern w:val="21"/>
                <w:szCs w:val="21"/>
              </w:rPr>
            </w:pPr>
          </w:p>
        </w:tc>
        <w:tc>
          <w:tcPr>
            <w:tcW w:w="1700" w:type="dxa"/>
            <w:vAlign w:val="center"/>
          </w:tcPr>
          <w:p>
            <w:pPr>
              <w:pStyle w:val="34"/>
              <w:spacing w:beforeLines="0" w:afterLines="0" w:line="240" w:lineRule="auto"/>
              <w:rPr>
                <w:rFonts w:ascii="Times New Roman" w:hAnsi="Times New Roman"/>
                <w:bCs/>
                <w:snapToGrid w:val="0"/>
                <w:color w:val="auto"/>
                <w:kern w:val="21"/>
                <w:szCs w:val="21"/>
              </w:rPr>
            </w:pPr>
          </w:p>
        </w:tc>
        <w:tc>
          <w:tcPr>
            <w:tcW w:w="1558" w:type="dxa"/>
            <w:vAlign w:val="center"/>
          </w:tcPr>
          <w:p>
            <w:pPr>
              <w:pStyle w:val="34"/>
              <w:spacing w:beforeLines="0" w:afterLines="0" w:line="240" w:lineRule="auto"/>
              <w:rPr>
                <w:rFonts w:hint="default" w:ascii="Times New Roman" w:hAnsi="Times New Roman" w:eastAsia="宋体"/>
                <w:bCs/>
                <w:color w:val="auto"/>
                <w:szCs w:val="21"/>
                <w:lang w:val="en-US" w:eastAsia="zh-CN"/>
              </w:rPr>
            </w:pPr>
            <w:r>
              <w:rPr>
                <w:rFonts w:hint="eastAsia" w:ascii="Times New Roman" w:hAnsi="Times New Roman"/>
                <w:bCs/>
                <w:color w:val="auto"/>
                <w:szCs w:val="21"/>
                <w:lang w:val="en-US" w:eastAsia="zh-CN"/>
              </w:rPr>
              <w:t>2250</w:t>
            </w:r>
            <w:r>
              <w:rPr>
                <w:rFonts w:ascii="Times New Roman" w:hAnsi="Times New Roman"/>
                <w:bCs/>
                <w:color w:val="auto"/>
                <w:szCs w:val="21"/>
                <w:lang w:bidi="ar"/>
              </w:rPr>
              <w:t>t/a</w:t>
            </w:r>
          </w:p>
        </w:tc>
        <w:tc>
          <w:tcPr>
            <w:tcW w:w="1417" w:type="dxa"/>
            <w:vAlign w:val="center"/>
          </w:tcPr>
          <w:p>
            <w:pPr>
              <w:pStyle w:val="34"/>
              <w:spacing w:beforeLines="0" w:afterLines="0" w:line="240" w:lineRule="auto"/>
              <w:rPr>
                <w:rFonts w:ascii="Times New Roman" w:hAnsi="Times New Roman"/>
                <w:bCs/>
                <w:snapToGrid w:val="0"/>
                <w:color w:val="auto"/>
                <w:kern w:val="21"/>
                <w:szCs w:val="21"/>
              </w:rPr>
            </w:pPr>
          </w:p>
        </w:tc>
        <w:tc>
          <w:tcPr>
            <w:tcW w:w="1982" w:type="dxa"/>
            <w:shd w:val="clear" w:color="auto" w:fill="auto"/>
            <w:vAlign w:val="center"/>
          </w:tcPr>
          <w:p>
            <w:pPr>
              <w:pStyle w:val="34"/>
              <w:spacing w:beforeLines="0" w:afterLines="0" w:line="240" w:lineRule="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bCs/>
                <w:color w:val="auto"/>
                <w:szCs w:val="21"/>
                <w:lang w:val="en-US" w:eastAsia="zh-CN"/>
              </w:rPr>
              <w:t>2250</w:t>
            </w:r>
            <w:r>
              <w:rPr>
                <w:rFonts w:ascii="Times New Roman" w:hAnsi="Times New Roman"/>
                <w:bCs/>
                <w:color w:val="auto"/>
                <w:szCs w:val="21"/>
                <w:lang w:bidi="ar"/>
              </w:rPr>
              <w:t>t/a</w:t>
            </w:r>
          </w:p>
        </w:tc>
        <w:tc>
          <w:tcPr>
            <w:tcW w:w="1143" w:type="dxa"/>
            <w:vAlign w:val="center"/>
          </w:tcPr>
          <w:p>
            <w:pPr>
              <w:pStyle w:val="34"/>
              <w:spacing w:beforeLines="0" w:afterLines="0" w:line="240" w:lineRule="auto"/>
              <w:rPr>
                <w:rFonts w:ascii="Times New Roman" w:hAnsi="Times New Roman"/>
                <w:bCs/>
                <w:snapToGrid w:val="0"/>
                <w:color w:val="auto"/>
                <w:kern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1587" w:type="dxa"/>
            <w:vMerge w:val="continue"/>
            <w:vAlign w:val="center"/>
          </w:tcPr>
          <w:p>
            <w:pPr>
              <w:pStyle w:val="34"/>
              <w:spacing w:beforeLines="0" w:afterLines="0" w:line="240" w:lineRule="auto"/>
              <w:rPr>
                <w:rFonts w:ascii="Times New Roman" w:hAnsi="Times New Roman"/>
                <w:snapToGrid w:val="0"/>
                <w:color w:val="auto"/>
                <w:kern w:val="21"/>
                <w:szCs w:val="21"/>
              </w:rPr>
            </w:pPr>
          </w:p>
        </w:tc>
        <w:tc>
          <w:tcPr>
            <w:tcW w:w="1416" w:type="dxa"/>
            <w:vAlign w:val="center"/>
          </w:tcPr>
          <w:p>
            <w:pPr>
              <w:pStyle w:val="34"/>
              <w:spacing w:beforeLines="0" w:afterLines="0" w:line="240" w:lineRule="auto"/>
              <w:rPr>
                <w:rFonts w:hint="eastAsia" w:ascii="Times New Roman" w:hAnsi="Times New Roman" w:eastAsia="宋体"/>
                <w:bCs/>
                <w:color w:val="auto"/>
                <w:szCs w:val="21"/>
                <w:lang w:val="en-US" w:eastAsia="zh-CN"/>
              </w:rPr>
            </w:pPr>
            <w:r>
              <w:rPr>
                <w:rFonts w:hint="eastAsia" w:ascii="Times New Roman" w:hAnsi="Times New Roman"/>
                <w:bCs/>
                <w:color w:val="auto"/>
                <w:szCs w:val="21"/>
                <w:lang w:val="en-US" w:eastAsia="zh-CN"/>
              </w:rPr>
              <w:t>生活垃圾</w:t>
            </w:r>
          </w:p>
        </w:tc>
        <w:tc>
          <w:tcPr>
            <w:tcW w:w="1700" w:type="dxa"/>
            <w:vAlign w:val="center"/>
          </w:tcPr>
          <w:p>
            <w:pPr>
              <w:pStyle w:val="34"/>
              <w:spacing w:beforeLines="0" w:afterLines="0" w:line="240" w:lineRule="auto"/>
              <w:rPr>
                <w:rFonts w:ascii="Times New Roman" w:hAnsi="Times New Roman"/>
                <w:bCs/>
                <w:snapToGrid w:val="0"/>
                <w:color w:val="auto"/>
                <w:kern w:val="21"/>
                <w:szCs w:val="21"/>
              </w:rPr>
            </w:pPr>
          </w:p>
        </w:tc>
        <w:tc>
          <w:tcPr>
            <w:tcW w:w="1275" w:type="dxa"/>
            <w:vAlign w:val="center"/>
          </w:tcPr>
          <w:p>
            <w:pPr>
              <w:pStyle w:val="34"/>
              <w:spacing w:beforeLines="0" w:afterLines="0" w:line="240" w:lineRule="auto"/>
              <w:rPr>
                <w:rFonts w:ascii="Times New Roman" w:hAnsi="Times New Roman"/>
                <w:bCs/>
                <w:snapToGrid w:val="0"/>
                <w:color w:val="auto"/>
                <w:kern w:val="21"/>
                <w:szCs w:val="21"/>
              </w:rPr>
            </w:pPr>
          </w:p>
        </w:tc>
        <w:tc>
          <w:tcPr>
            <w:tcW w:w="1700" w:type="dxa"/>
            <w:vAlign w:val="center"/>
          </w:tcPr>
          <w:p>
            <w:pPr>
              <w:pStyle w:val="34"/>
              <w:spacing w:beforeLines="0" w:afterLines="0" w:line="240" w:lineRule="auto"/>
              <w:rPr>
                <w:rFonts w:ascii="Times New Roman" w:hAnsi="Times New Roman"/>
                <w:bCs/>
                <w:snapToGrid w:val="0"/>
                <w:color w:val="auto"/>
                <w:kern w:val="21"/>
                <w:szCs w:val="21"/>
              </w:rPr>
            </w:pPr>
          </w:p>
        </w:tc>
        <w:tc>
          <w:tcPr>
            <w:tcW w:w="1558" w:type="dxa"/>
            <w:vAlign w:val="center"/>
          </w:tcPr>
          <w:p>
            <w:pPr>
              <w:pStyle w:val="34"/>
              <w:spacing w:beforeLines="0" w:afterLines="0" w:line="240" w:lineRule="auto"/>
              <w:rPr>
                <w:rFonts w:hint="default" w:ascii="Times New Roman" w:hAnsi="Times New Roman" w:eastAsia="宋体"/>
                <w:bCs/>
                <w:snapToGrid w:val="0"/>
                <w:color w:val="auto"/>
                <w:kern w:val="21"/>
                <w:szCs w:val="21"/>
                <w:lang w:val="en-US" w:eastAsia="zh-CN"/>
              </w:rPr>
            </w:pPr>
            <w:r>
              <w:rPr>
                <w:rFonts w:hint="eastAsia" w:ascii="Times New Roman" w:hAnsi="Times New Roman"/>
                <w:bCs/>
                <w:snapToGrid w:val="0"/>
                <w:color w:val="auto"/>
                <w:kern w:val="21"/>
                <w:szCs w:val="21"/>
                <w:lang w:val="en-US" w:eastAsia="zh-CN"/>
              </w:rPr>
              <w:t>1.5</w:t>
            </w:r>
            <w:r>
              <w:rPr>
                <w:rFonts w:ascii="Times New Roman" w:hAnsi="Times New Roman"/>
                <w:bCs/>
                <w:color w:val="auto"/>
                <w:szCs w:val="21"/>
                <w:lang w:bidi="ar"/>
              </w:rPr>
              <w:t>t/a</w:t>
            </w:r>
          </w:p>
        </w:tc>
        <w:tc>
          <w:tcPr>
            <w:tcW w:w="1417" w:type="dxa"/>
            <w:vAlign w:val="center"/>
          </w:tcPr>
          <w:p>
            <w:pPr>
              <w:pStyle w:val="34"/>
              <w:spacing w:beforeLines="0" w:afterLines="0" w:line="240" w:lineRule="auto"/>
              <w:rPr>
                <w:rFonts w:ascii="Times New Roman" w:hAnsi="Times New Roman"/>
                <w:bCs/>
                <w:snapToGrid w:val="0"/>
                <w:color w:val="auto"/>
                <w:kern w:val="21"/>
                <w:szCs w:val="21"/>
              </w:rPr>
            </w:pPr>
          </w:p>
        </w:tc>
        <w:tc>
          <w:tcPr>
            <w:tcW w:w="1982" w:type="dxa"/>
            <w:shd w:val="clear" w:color="auto" w:fill="auto"/>
            <w:vAlign w:val="center"/>
          </w:tcPr>
          <w:p>
            <w:pPr>
              <w:pStyle w:val="34"/>
              <w:spacing w:beforeLines="0" w:afterLines="0" w:line="240" w:lineRule="auto"/>
              <w:rPr>
                <w:rFonts w:hint="default" w:ascii="Times New Roman" w:hAnsi="Times New Roman" w:eastAsia="宋体" w:cs="Times New Roman"/>
                <w:bCs/>
                <w:snapToGrid w:val="0"/>
                <w:color w:val="auto"/>
                <w:kern w:val="21"/>
                <w:sz w:val="21"/>
                <w:szCs w:val="21"/>
                <w:lang w:val="en-US" w:eastAsia="zh-CN" w:bidi="ar-SA"/>
              </w:rPr>
            </w:pPr>
            <w:r>
              <w:rPr>
                <w:rFonts w:hint="eastAsia" w:ascii="Times New Roman" w:hAnsi="Times New Roman"/>
                <w:bCs/>
                <w:snapToGrid w:val="0"/>
                <w:color w:val="auto"/>
                <w:kern w:val="21"/>
                <w:szCs w:val="21"/>
                <w:lang w:val="en-US" w:eastAsia="zh-CN"/>
              </w:rPr>
              <w:t>1.5</w:t>
            </w:r>
            <w:r>
              <w:rPr>
                <w:rFonts w:ascii="Times New Roman" w:hAnsi="Times New Roman"/>
                <w:bCs/>
                <w:color w:val="auto"/>
                <w:szCs w:val="21"/>
                <w:lang w:bidi="ar"/>
              </w:rPr>
              <w:t>t/a</w:t>
            </w:r>
          </w:p>
        </w:tc>
        <w:tc>
          <w:tcPr>
            <w:tcW w:w="1143" w:type="dxa"/>
            <w:vAlign w:val="center"/>
          </w:tcPr>
          <w:p>
            <w:pPr>
              <w:pStyle w:val="34"/>
              <w:spacing w:beforeLines="0" w:afterLines="0" w:line="240" w:lineRule="auto"/>
              <w:rPr>
                <w:rFonts w:ascii="Times New Roman" w:hAnsi="Times New Roman"/>
                <w:bCs/>
                <w:snapToGrid w:val="0"/>
                <w:color w:val="auto"/>
                <w:kern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1587" w:type="dxa"/>
            <w:vMerge w:val="restart"/>
            <w:vAlign w:val="center"/>
          </w:tcPr>
          <w:p>
            <w:pPr>
              <w:pStyle w:val="34"/>
              <w:spacing w:beforeLines="0" w:afterLines="0" w:line="240" w:lineRule="auto"/>
              <w:rPr>
                <w:rFonts w:ascii="Times New Roman" w:hAnsi="Times New Roman"/>
                <w:snapToGrid w:val="0"/>
                <w:color w:val="auto"/>
                <w:kern w:val="21"/>
                <w:szCs w:val="21"/>
              </w:rPr>
            </w:pPr>
            <w:r>
              <w:rPr>
                <w:rFonts w:ascii="Times New Roman" w:hAnsi="Times New Roman"/>
                <w:snapToGrid w:val="0"/>
                <w:color w:val="auto"/>
                <w:kern w:val="21"/>
                <w:szCs w:val="21"/>
              </w:rPr>
              <w:t>危险废物</w:t>
            </w:r>
          </w:p>
        </w:tc>
        <w:tc>
          <w:tcPr>
            <w:tcW w:w="1416" w:type="dxa"/>
            <w:vAlign w:val="center"/>
          </w:tcPr>
          <w:p>
            <w:pPr>
              <w:pStyle w:val="34"/>
              <w:spacing w:beforeLines="0" w:afterLines="0" w:line="240" w:lineRule="auto"/>
              <w:rPr>
                <w:rFonts w:ascii="Times New Roman" w:hAnsi="Times New Roman"/>
                <w:bCs/>
                <w:snapToGrid w:val="0"/>
                <w:color w:val="auto"/>
                <w:kern w:val="21"/>
                <w:szCs w:val="21"/>
              </w:rPr>
            </w:pPr>
            <w:r>
              <w:rPr>
                <w:rFonts w:ascii="Times New Roman" w:hAnsi="Times New Roman"/>
                <w:bCs/>
                <w:color w:val="auto"/>
                <w:szCs w:val="21"/>
              </w:rPr>
              <w:t>废润滑油</w:t>
            </w:r>
          </w:p>
        </w:tc>
        <w:tc>
          <w:tcPr>
            <w:tcW w:w="1700" w:type="dxa"/>
            <w:vAlign w:val="center"/>
          </w:tcPr>
          <w:p>
            <w:pPr>
              <w:pStyle w:val="34"/>
              <w:spacing w:beforeLines="0" w:afterLines="0" w:line="240" w:lineRule="auto"/>
              <w:rPr>
                <w:rFonts w:ascii="Times New Roman" w:hAnsi="Times New Roman"/>
                <w:bCs/>
                <w:snapToGrid w:val="0"/>
                <w:color w:val="auto"/>
                <w:kern w:val="21"/>
                <w:szCs w:val="21"/>
              </w:rPr>
            </w:pPr>
          </w:p>
        </w:tc>
        <w:tc>
          <w:tcPr>
            <w:tcW w:w="1275" w:type="dxa"/>
            <w:vAlign w:val="center"/>
          </w:tcPr>
          <w:p>
            <w:pPr>
              <w:pStyle w:val="34"/>
              <w:spacing w:beforeLines="0" w:afterLines="0" w:line="240" w:lineRule="auto"/>
              <w:rPr>
                <w:rFonts w:ascii="Times New Roman" w:hAnsi="Times New Roman"/>
                <w:bCs/>
                <w:snapToGrid w:val="0"/>
                <w:color w:val="auto"/>
                <w:kern w:val="21"/>
                <w:szCs w:val="21"/>
              </w:rPr>
            </w:pPr>
          </w:p>
        </w:tc>
        <w:tc>
          <w:tcPr>
            <w:tcW w:w="1700" w:type="dxa"/>
            <w:vAlign w:val="center"/>
          </w:tcPr>
          <w:p>
            <w:pPr>
              <w:pStyle w:val="34"/>
              <w:spacing w:beforeLines="0" w:afterLines="0" w:line="240" w:lineRule="auto"/>
              <w:rPr>
                <w:rFonts w:ascii="Times New Roman" w:hAnsi="Times New Roman"/>
                <w:bCs/>
                <w:snapToGrid w:val="0"/>
                <w:color w:val="auto"/>
                <w:kern w:val="21"/>
                <w:szCs w:val="21"/>
              </w:rPr>
            </w:pPr>
          </w:p>
        </w:tc>
        <w:tc>
          <w:tcPr>
            <w:tcW w:w="1558" w:type="dxa"/>
            <w:vAlign w:val="center"/>
          </w:tcPr>
          <w:p>
            <w:pPr>
              <w:pStyle w:val="34"/>
              <w:spacing w:beforeLines="0" w:afterLines="0" w:line="240" w:lineRule="auto"/>
              <w:rPr>
                <w:rFonts w:ascii="Times New Roman" w:hAnsi="Times New Roman"/>
                <w:bCs/>
                <w:snapToGrid w:val="0"/>
                <w:color w:val="auto"/>
                <w:kern w:val="21"/>
                <w:szCs w:val="21"/>
              </w:rPr>
            </w:pPr>
            <w:r>
              <w:rPr>
                <w:rFonts w:hint="eastAsia" w:ascii="Times New Roman" w:hAnsi="Times New Roman"/>
                <w:bCs/>
                <w:color w:val="auto"/>
                <w:szCs w:val="21"/>
                <w:lang w:val="en-US" w:eastAsia="zh-CN"/>
              </w:rPr>
              <w:t>1.0</w:t>
            </w:r>
            <w:r>
              <w:rPr>
                <w:rFonts w:ascii="Times New Roman" w:hAnsi="Times New Roman"/>
                <w:bCs/>
                <w:color w:val="auto"/>
                <w:szCs w:val="21"/>
              </w:rPr>
              <w:t>t/a</w:t>
            </w:r>
          </w:p>
        </w:tc>
        <w:tc>
          <w:tcPr>
            <w:tcW w:w="1417" w:type="dxa"/>
            <w:vAlign w:val="center"/>
          </w:tcPr>
          <w:p>
            <w:pPr>
              <w:pStyle w:val="34"/>
              <w:spacing w:beforeLines="0" w:afterLines="0" w:line="240" w:lineRule="auto"/>
              <w:rPr>
                <w:rFonts w:ascii="Times New Roman" w:hAnsi="Times New Roman"/>
                <w:bCs/>
                <w:snapToGrid w:val="0"/>
                <w:color w:val="auto"/>
                <w:kern w:val="21"/>
                <w:szCs w:val="21"/>
              </w:rPr>
            </w:pPr>
          </w:p>
        </w:tc>
        <w:tc>
          <w:tcPr>
            <w:tcW w:w="1982" w:type="dxa"/>
            <w:shd w:val="clear" w:color="auto" w:fill="auto"/>
            <w:vAlign w:val="center"/>
          </w:tcPr>
          <w:p>
            <w:pPr>
              <w:pStyle w:val="34"/>
              <w:spacing w:beforeLines="0" w:afterLines="0" w:line="240" w:lineRule="auto"/>
              <w:rPr>
                <w:rFonts w:ascii="Times New Roman" w:hAnsi="Times New Roman" w:eastAsia="宋体" w:cs="Times New Roman"/>
                <w:bCs/>
                <w:snapToGrid w:val="0"/>
                <w:color w:val="auto"/>
                <w:kern w:val="21"/>
                <w:sz w:val="21"/>
                <w:szCs w:val="21"/>
                <w:lang w:val="en-US" w:eastAsia="zh-CN" w:bidi="ar-SA"/>
              </w:rPr>
            </w:pPr>
            <w:r>
              <w:rPr>
                <w:rFonts w:hint="eastAsia" w:ascii="Times New Roman" w:hAnsi="Times New Roman"/>
                <w:bCs/>
                <w:color w:val="auto"/>
                <w:szCs w:val="21"/>
                <w:lang w:val="en-US" w:eastAsia="zh-CN"/>
              </w:rPr>
              <w:t>1.0</w:t>
            </w:r>
            <w:r>
              <w:rPr>
                <w:rFonts w:ascii="Times New Roman" w:hAnsi="Times New Roman"/>
                <w:bCs/>
                <w:color w:val="auto"/>
                <w:szCs w:val="21"/>
              </w:rPr>
              <w:t>t/a</w:t>
            </w:r>
          </w:p>
        </w:tc>
        <w:tc>
          <w:tcPr>
            <w:tcW w:w="1143" w:type="dxa"/>
            <w:vAlign w:val="center"/>
          </w:tcPr>
          <w:p>
            <w:pPr>
              <w:pStyle w:val="34"/>
              <w:spacing w:beforeLines="0" w:afterLines="0" w:line="240" w:lineRule="auto"/>
              <w:rPr>
                <w:rFonts w:ascii="Times New Roman" w:hAnsi="Times New Roman"/>
                <w:bCs/>
                <w:snapToGrid w:val="0"/>
                <w:color w:val="auto"/>
                <w:kern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1587" w:type="dxa"/>
            <w:vMerge w:val="continue"/>
            <w:vAlign w:val="center"/>
          </w:tcPr>
          <w:p>
            <w:pPr>
              <w:pStyle w:val="34"/>
              <w:spacing w:beforeLines="0" w:afterLines="0" w:line="240" w:lineRule="auto"/>
              <w:rPr>
                <w:rFonts w:ascii="Times New Roman" w:hAnsi="Times New Roman"/>
                <w:snapToGrid w:val="0"/>
                <w:color w:val="auto"/>
                <w:kern w:val="21"/>
                <w:szCs w:val="21"/>
              </w:rPr>
            </w:pPr>
          </w:p>
        </w:tc>
        <w:tc>
          <w:tcPr>
            <w:tcW w:w="1416" w:type="dxa"/>
            <w:vAlign w:val="center"/>
          </w:tcPr>
          <w:p>
            <w:pPr>
              <w:pStyle w:val="34"/>
              <w:spacing w:beforeLines="0" w:afterLines="0" w:line="240" w:lineRule="auto"/>
              <w:rPr>
                <w:rFonts w:ascii="Times New Roman" w:hAnsi="Times New Roman"/>
                <w:bCs/>
                <w:snapToGrid w:val="0"/>
                <w:color w:val="auto"/>
                <w:kern w:val="21"/>
                <w:szCs w:val="21"/>
              </w:rPr>
            </w:pPr>
            <w:r>
              <w:rPr>
                <w:rFonts w:ascii="Times New Roman" w:hAnsi="Times New Roman"/>
                <w:bCs/>
                <w:color w:val="auto"/>
                <w:szCs w:val="21"/>
              </w:rPr>
              <w:t>废活性炭</w:t>
            </w:r>
          </w:p>
        </w:tc>
        <w:tc>
          <w:tcPr>
            <w:tcW w:w="1700" w:type="dxa"/>
            <w:vAlign w:val="center"/>
          </w:tcPr>
          <w:p>
            <w:pPr>
              <w:pStyle w:val="34"/>
              <w:spacing w:beforeLines="0" w:afterLines="0" w:line="240" w:lineRule="auto"/>
              <w:rPr>
                <w:rFonts w:ascii="Times New Roman" w:hAnsi="Times New Roman"/>
                <w:bCs/>
                <w:snapToGrid w:val="0"/>
                <w:color w:val="auto"/>
                <w:kern w:val="21"/>
                <w:szCs w:val="21"/>
              </w:rPr>
            </w:pPr>
          </w:p>
        </w:tc>
        <w:tc>
          <w:tcPr>
            <w:tcW w:w="1275" w:type="dxa"/>
            <w:vAlign w:val="center"/>
          </w:tcPr>
          <w:p>
            <w:pPr>
              <w:pStyle w:val="34"/>
              <w:spacing w:beforeLines="0" w:afterLines="0" w:line="240" w:lineRule="auto"/>
              <w:rPr>
                <w:rFonts w:ascii="Times New Roman" w:hAnsi="Times New Roman"/>
                <w:bCs/>
                <w:snapToGrid w:val="0"/>
                <w:color w:val="auto"/>
                <w:kern w:val="21"/>
                <w:szCs w:val="21"/>
              </w:rPr>
            </w:pPr>
          </w:p>
        </w:tc>
        <w:tc>
          <w:tcPr>
            <w:tcW w:w="1700" w:type="dxa"/>
            <w:vAlign w:val="center"/>
          </w:tcPr>
          <w:p>
            <w:pPr>
              <w:pStyle w:val="34"/>
              <w:spacing w:beforeLines="0" w:afterLines="0" w:line="240" w:lineRule="auto"/>
              <w:rPr>
                <w:rFonts w:ascii="Times New Roman" w:hAnsi="Times New Roman"/>
                <w:bCs/>
                <w:snapToGrid w:val="0"/>
                <w:color w:val="auto"/>
                <w:kern w:val="21"/>
                <w:szCs w:val="21"/>
              </w:rPr>
            </w:pPr>
          </w:p>
        </w:tc>
        <w:tc>
          <w:tcPr>
            <w:tcW w:w="1558" w:type="dxa"/>
            <w:vAlign w:val="center"/>
          </w:tcPr>
          <w:p>
            <w:pPr>
              <w:pStyle w:val="34"/>
              <w:spacing w:beforeLines="0" w:afterLines="0" w:line="240" w:lineRule="auto"/>
              <w:rPr>
                <w:rFonts w:ascii="Times New Roman" w:hAnsi="Times New Roman"/>
                <w:bCs/>
                <w:snapToGrid w:val="0"/>
                <w:color w:val="auto"/>
                <w:kern w:val="21"/>
                <w:szCs w:val="21"/>
              </w:rPr>
            </w:pPr>
            <w:r>
              <w:rPr>
                <w:rFonts w:hint="eastAsia" w:ascii="Times New Roman" w:hAnsi="Times New Roman"/>
                <w:bCs/>
                <w:color w:val="auto"/>
                <w:szCs w:val="21"/>
                <w:lang w:val="en-US" w:eastAsia="zh-CN"/>
              </w:rPr>
              <w:t>7.5</w:t>
            </w:r>
            <w:r>
              <w:rPr>
                <w:rFonts w:ascii="Times New Roman" w:hAnsi="Times New Roman"/>
                <w:bCs/>
                <w:color w:val="auto"/>
                <w:szCs w:val="21"/>
              </w:rPr>
              <w:t>t/a</w:t>
            </w:r>
          </w:p>
        </w:tc>
        <w:tc>
          <w:tcPr>
            <w:tcW w:w="1417" w:type="dxa"/>
            <w:vAlign w:val="center"/>
          </w:tcPr>
          <w:p>
            <w:pPr>
              <w:pStyle w:val="34"/>
              <w:spacing w:beforeLines="0" w:afterLines="0" w:line="240" w:lineRule="auto"/>
              <w:rPr>
                <w:rFonts w:ascii="Times New Roman" w:hAnsi="Times New Roman"/>
                <w:bCs/>
                <w:snapToGrid w:val="0"/>
                <w:color w:val="auto"/>
                <w:kern w:val="21"/>
                <w:szCs w:val="21"/>
              </w:rPr>
            </w:pPr>
          </w:p>
        </w:tc>
        <w:tc>
          <w:tcPr>
            <w:tcW w:w="1982" w:type="dxa"/>
            <w:shd w:val="clear" w:color="auto" w:fill="auto"/>
            <w:vAlign w:val="center"/>
          </w:tcPr>
          <w:p>
            <w:pPr>
              <w:pStyle w:val="34"/>
              <w:spacing w:beforeLines="0" w:afterLines="0" w:line="240" w:lineRule="auto"/>
              <w:rPr>
                <w:rFonts w:ascii="Times New Roman" w:hAnsi="Times New Roman" w:eastAsia="宋体" w:cs="Times New Roman"/>
                <w:bCs/>
                <w:snapToGrid w:val="0"/>
                <w:color w:val="auto"/>
                <w:kern w:val="21"/>
                <w:sz w:val="21"/>
                <w:szCs w:val="21"/>
                <w:lang w:val="en-US" w:eastAsia="zh-CN" w:bidi="ar-SA"/>
              </w:rPr>
            </w:pPr>
            <w:r>
              <w:rPr>
                <w:rFonts w:hint="eastAsia" w:ascii="Times New Roman" w:hAnsi="Times New Roman"/>
                <w:bCs/>
                <w:color w:val="auto"/>
                <w:szCs w:val="21"/>
                <w:lang w:val="en-US" w:eastAsia="zh-CN"/>
              </w:rPr>
              <w:t>7.5</w:t>
            </w:r>
            <w:r>
              <w:rPr>
                <w:rFonts w:ascii="Times New Roman" w:hAnsi="Times New Roman"/>
                <w:bCs/>
                <w:color w:val="auto"/>
                <w:szCs w:val="21"/>
              </w:rPr>
              <w:t>t/a</w:t>
            </w:r>
          </w:p>
        </w:tc>
        <w:tc>
          <w:tcPr>
            <w:tcW w:w="1143" w:type="dxa"/>
            <w:vAlign w:val="center"/>
          </w:tcPr>
          <w:p>
            <w:pPr>
              <w:pStyle w:val="34"/>
              <w:spacing w:beforeLines="0" w:afterLines="0" w:line="240" w:lineRule="auto"/>
              <w:rPr>
                <w:rFonts w:ascii="Times New Roman" w:hAnsi="Times New Roman"/>
                <w:bCs/>
                <w:snapToGrid w:val="0"/>
                <w:color w:val="auto"/>
                <w:kern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1587" w:type="dxa"/>
            <w:vMerge w:val="continue"/>
            <w:vAlign w:val="center"/>
          </w:tcPr>
          <w:p>
            <w:pPr>
              <w:pStyle w:val="34"/>
              <w:spacing w:beforeLines="0" w:afterLines="0" w:line="240" w:lineRule="auto"/>
              <w:rPr>
                <w:rFonts w:ascii="Times New Roman" w:hAnsi="Times New Roman"/>
                <w:snapToGrid w:val="0"/>
                <w:color w:val="auto"/>
                <w:kern w:val="21"/>
                <w:szCs w:val="21"/>
              </w:rPr>
            </w:pPr>
          </w:p>
        </w:tc>
        <w:tc>
          <w:tcPr>
            <w:tcW w:w="1416" w:type="dxa"/>
            <w:shd w:val="clear" w:color="auto" w:fill="auto"/>
            <w:vAlign w:val="center"/>
          </w:tcPr>
          <w:p>
            <w:pPr>
              <w:pStyle w:val="34"/>
              <w:spacing w:beforeLines="0" w:afterLines="0" w:line="240" w:lineRule="auto"/>
              <w:rPr>
                <w:rFonts w:hint="eastAsia" w:ascii="Times New Roman" w:hAnsi="Times New Roman" w:eastAsia="宋体" w:cs="Times New Roman"/>
                <w:bCs/>
                <w:color w:val="auto"/>
                <w:kern w:val="2"/>
                <w:sz w:val="21"/>
                <w:szCs w:val="21"/>
                <w:lang w:val="en-US" w:eastAsia="zh-CN" w:bidi="ar-SA"/>
              </w:rPr>
            </w:pPr>
            <w:r>
              <w:rPr>
                <w:rFonts w:hint="eastAsia"/>
                <w:color w:val="auto"/>
                <w:szCs w:val="21"/>
              </w:rPr>
              <w:t>废过滤棉</w:t>
            </w:r>
          </w:p>
        </w:tc>
        <w:tc>
          <w:tcPr>
            <w:tcW w:w="1700" w:type="dxa"/>
            <w:shd w:val="clear" w:color="auto" w:fill="auto"/>
            <w:vAlign w:val="center"/>
          </w:tcPr>
          <w:p>
            <w:pPr>
              <w:pStyle w:val="34"/>
              <w:spacing w:beforeLines="0" w:afterLines="0" w:line="240" w:lineRule="auto"/>
              <w:rPr>
                <w:rFonts w:ascii="Times New Roman" w:hAnsi="Times New Roman" w:eastAsia="宋体" w:cs="Times New Roman"/>
                <w:bCs/>
                <w:snapToGrid w:val="0"/>
                <w:color w:val="auto"/>
                <w:kern w:val="21"/>
                <w:sz w:val="21"/>
                <w:szCs w:val="21"/>
                <w:lang w:val="en-US" w:eastAsia="zh-CN" w:bidi="ar-SA"/>
              </w:rPr>
            </w:pPr>
          </w:p>
        </w:tc>
        <w:tc>
          <w:tcPr>
            <w:tcW w:w="1275" w:type="dxa"/>
            <w:shd w:val="clear" w:color="auto" w:fill="auto"/>
            <w:vAlign w:val="center"/>
          </w:tcPr>
          <w:p>
            <w:pPr>
              <w:pStyle w:val="34"/>
              <w:spacing w:beforeLines="0" w:afterLines="0" w:line="240" w:lineRule="auto"/>
              <w:rPr>
                <w:rFonts w:ascii="Times New Roman" w:hAnsi="Times New Roman" w:eastAsia="宋体" w:cs="Times New Roman"/>
                <w:bCs/>
                <w:snapToGrid w:val="0"/>
                <w:color w:val="auto"/>
                <w:kern w:val="21"/>
                <w:sz w:val="21"/>
                <w:szCs w:val="21"/>
                <w:lang w:val="en-US" w:eastAsia="zh-CN" w:bidi="ar-SA"/>
              </w:rPr>
            </w:pPr>
          </w:p>
        </w:tc>
        <w:tc>
          <w:tcPr>
            <w:tcW w:w="1700" w:type="dxa"/>
            <w:shd w:val="clear" w:color="auto" w:fill="auto"/>
            <w:vAlign w:val="center"/>
          </w:tcPr>
          <w:p>
            <w:pPr>
              <w:pStyle w:val="34"/>
              <w:spacing w:beforeLines="0" w:afterLines="0" w:line="240" w:lineRule="auto"/>
              <w:rPr>
                <w:rFonts w:ascii="Times New Roman" w:hAnsi="Times New Roman" w:eastAsia="宋体" w:cs="Times New Roman"/>
                <w:bCs/>
                <w:snapToGrid w:val="0"/>
                <w:color w:val="auto"/>
                <w:kern w:val="21"/>
                <w:sz w:val="21"/>
                <w:szCs w:val="21"/>
                <w:lang w:val="en-US" w:eastAsia="zh-CN" w:bidi="ar-SA"/>
              </w:rPr>
            </w:pPr>
          </w:p>
        </w:tc>
        <w:tc>
          <w:tcPr>
            <w:tcW w:w="1558" w:type="dxa"/>
            <w:shd w:val="clear" w:color="auto" w:fill="auto"/>
            <w:vAlign w:val="center"/>
          </w:tcPr>
          <w:p>
            <w:pPr>
              <w:pStyle w:val="34"/>
              <w:spacing w:beforeLines="0" w:afterLines="0" w:line="240" w:lineRule="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bCs/>
                <w:color w:val="auto"/>
                <w:szCs w:val="21"/>
                <w:lang w:val="en-US" w:eastAsia="zh-CN"/>
              </w:rPr>
              <w:t>0.15</w:t>
            </w:r>
            <w:r>
              <w:rPr>
                <w:rFonts w:hint="eastAsia" w:ascii="Times New Roman" w:hAnsi="Times New Roman"/>
                <w:bCs/>
                <w:color w:val="auto"/>
                <w:szCs w:val="21"/>
              </w:rPr>
              <w:t>t/a</w:t>
            </w:r>
          </w:p>
        </w:tc>
        <w:tc>
          <w:tcPr>
            <w:tcW w:w="1417" w:type="dxa"/>
            <w:shd w:val="clear" w:color="auto" w:fill="auto"/>
            <w:vAlign w:val="center"/>
          </w:tcPr>
          <w:p>
            <w:pPr>
              <w:pStyle w:val="34"/>
              <w:spacing w:beforeLines="0" w:afterLines="0" w:line="240" w:lineRule="auto"/>
              <w:rPr>
                <w:rFonts w:ascii="Times New Roman" w:hAnsi="Times New Roman" w:eastAsia="宋体" w:cs="Times New Roman"/>
                <w:bCs/>
                <w:snapToGrid w:val="0"/>
                <w:color w:val="auto"/>
                <w:kern w:val="21"/>
                <w:sz w:val="21"/>
                <w:szCs w:val="21"/>
                <w:lang w:val="en-US" w:eastAsia="zh-CN" w:bidi="ar-SA"/>
              </w:rPr>
            </w:pPr>
          </w:p>
        </w:tc>
        <w:tc>
          <w:tcPr>
            <w:tcW w:w="1982" w:type="dxa"/>
            <w:shd w:val="clear" w:color="auto" w:fill="auto"/>
            <w:vAlign w:val="center"/>
          </w:tcPr>
          <w:p>
            <w:pPr>
              <w:pStyle w:val="34"/>
              <w:spacing w:beforeLines="0" w:afterLines="0" w:line="240" w:lineRule="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bCs/>
                <w:color w:val="auto"/>
                <w:szCs w:val="21"/>
                <w:lang w:val="en-US" w:eastAsia="zh-CN"/>
              </w:rPr>
              <w:t>0.15</w:t>
            </w:r>
            <w:r>
              <w:rPr>
                <w:rFonts w:hint="eastAsia" w:ascii="Times New Roman" w:hAnsi="Times New Roman"/>
                <w:bCs/>
                <w:color w:val="auto"/>
                <w:szCs w:val="21"/>
              </w:rPr>
              <w:t>t/a</w:t>
            </w:r>
          </w:p>
        </w:tc>
        <w:tc>
          <w:tcPr>
            <w:tcW w:w="1143" w:type="dxa"/>
            <w:shd w:val="clear" w:color="auto" w:fill="auto"/>
            <w:vAlign w:val="center"/>
          </w:tcPr>
          <w:p>
            <w:pPr>
              <w:pStyle w:val="34"/>
              <w:spacing w:beforeLines="0" w:afterLines="0" w:line="240" w:lineRule="auto"/>
              <w:rPr>
                <w:rFonts w:ascii="Times New Roman" w:hAnsi="Times New Roman" w:eastAsia="宋体" w:cs="Times New Roman"/>
                <w:bCs/>
                <w:color w:val="auto"/>
                <w:kern w:val="2"/>
                <w:sz w:val="21"/>
                <w:szCs w:val="21"/>
                <w:lang w:val="en-US" w:eastAsia="zh-CN" w:bidi="ar"/>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587" w:type="dxa"/>
            <w:vMerge w:val="continue"/>
            <w:vAlign w:val="center"/>
          </w:tcPr>
          <w:p>
            <w:pPr>
              <w:pStyle w:val="34"/>
              <w:spacing w:beforeLines="0" w:afterLines="0" w:line="240" w:lineRule="auto"/>
              <w:rPr>
                <w:rFonts w:ascii="Times New Roman" w:hAnsi="Times New Roman"/>
                <w:snapToGrid w:val="0"/>
                <w:color w:val="auto"/>
                <w:kern w:val="21"/>
                <w:szCs w:val="21"/>
              </w:rPr>
            </w:pPr>
          </w:p>
        </w:tc>
        <w:tc>
          <w:tcPr>
            <w:tcW w:w="1416" w:type="dxa"/>
            <w:vAlign w:val="center"/>
          </w:tcPr>
          <w:p>
            <w:pPr>
              <w:pStyle w:val="34"/>
              <w:spacing w:beforeLines="0" w:afterLines="0" w:line="240" w:lineRule="auto"/>
              <w:rPr>
                <w:rFonts w:ascii="Times New Roman" w:hAnsi="Times New Roman"/>
                <w:bCs/>
                <w:color w:val="auto"/>
                <w:szCs w:val="21"/>
              </w:rPr>
            </w:pPr>
            <w:r>
              <w:rPr>
                <w:rFonts w:hint="eastAsia" w:ascii="宋体" w:eastAsia="宋体" w:cs="Times New Roman"/>
                <w:color w:val="auto"/>
                <w:szCs w:val="21"/>
              </w:rPr>
              <w:t>电捕焦油器冲洗液</w:t>
            </w:r>
          </w:p>
        </w:tc>
        <w:tc>
          <w:tcPr>
            <w:tcW w:w="1700" w:type="dxa"/>
            <w:vAlign w:val="center"/>
          </w:tcPr>
          <w:p>
            <w:pPr>
              <w:pStyle w:val="34"/>
              <w:spacing w:beforeLines="0" w:afterLines="0" w:line="240" w:lineRule="auto"/>
              <w:rPr>
                <w:rFonts w:ascii="Times New Roman" w:hAnsi="Times New Roman"/>
                <w:bCs/>
                <w:snapToGrid w:val="0"/>
                <w:color w:val="auto"/>
                <w:kern w:val="21"/>
                <w:szCs w:val="21"/>
              </w:rPr>
            </w:pPr>
          </w:p>
        </w:tc>
        <w:tc>
          <w:tcPr>
            <w:tcW w:w="1275" w:type="dxa"/>
            <w:vAlign w:val="center"/>
          </w:tcPr>
          <w:p>
            <w:pPr>
              <w:pStyle w:val="34"/>
              <w:spacing w:beforeLines="0" w:afterLines="0" w:line="240" w:lineRule="auto"/>
              <w:rPr>
                <w:rFonts w:ascii="Times New Roman" w:hAnsi="Times New Roman"/>
                <w:bCs/>
                <w:snapToGrid w:val="0"/>
                <w:color w:val="auto"/>
                <w:kern w:val="21"/>
                <w:szCs w:val="21"/>
              </w:rPr>
            </w:pPr>
          </w:p>
        </w:tc>
        <w:tc>
          <w:tcPr>
            <w:tcW w:w="1700" w:type="dxa"/>
            <w:vAlign w:val="center"/>
          </w:tcPr>
          <w:p>
            <w:pPr>
              <w:pStyle w:val="34"/>
              <w:spacing w:beforeLines="0" w:afterLines="0" w:line="240" w:lineRule="auto"/>
              <w:rPr>
                <w:rFonts w:ascii="Times New Roman" w:hAnsi="Times New Roman"/>
                <w:bCs/>
                <w:snapToGrid w:val="0"/>
                <w:color w:val="auto"/>
                <w:kern w:val="21"/>
                <w:szCs w:val="21"/>
              </w:rPr>
            </w:pPr>
          </w:p>
        </w:tc>
        <w:tc>
          <w:tcPr>
            <w:tcW w:w="1558" w:type="dxa"/>
            <w:vAlign w:val="center"/>
          </w:tcPr>
          <w:p>
            <w:pPr>
              <w:pStyle w:val="34"/>
              <w:spacing w:beforeLines="0" w:afterLines="0" w:line="240" w:lineRule="auto"/>
              <w:rPr>
                <w:rFonts w:ascii="Times New Roman" w:hAnsi="Times New Roman"/>
                <w:bCs/>
                <w:color w:val="auto"/>
                <w:szCs w:val="21"/>
              </w:rPr>
            </w:pPr>
            <w:r>
              <w:rPr>
                <w:rFonts w:hint="eastAsia" w:ascii="Times New Roman" w:hAnsi="Times New Roman"/>
                <w:bCs/>
                <w:color w:val="auto"/>
                <w:szCs w:val="21"/>
                <w:lang w:val="en-US" w:eastAsia="zh-CN"/>
              </w:rPr>
              <w:t>19.2</w:t>
            </w:r>
            <w:r>
              <w:rPr>
                <w:rFonts w:hint="default" w:ascii="Times New Roman" w:hAnsi="Times New Roman"/>
                <w:bCs/>
                <w:color w:val="auto"/>
                <w:szCs w:val="21"/>
              </w:rPr>
              <w:t>m</w:t>
            </w:r>
            <w:r>
              <w:rPr>
                <w:rFonts w:hint="default" w:ascii="Times New Roman" w:hAnsi="Times New Roman"/>
                <w:bCs/>
                <w:color w:val="auto"/>
                <w:szCs w:val="21"/>
                <w:vertAlign w:val="superscript"/>
              </w:rPr>
              <w:t>3</w:t>
            </w:r>
            <w:r>
              <w:rPr>
                <w:rFonts w:hint="default" w:ascii="Times New Roman" w:hAnsi="Times New Roman"/>
                <w:bCs/>
                <w:color w:val="auto"/>
                <w:szCs w:val="21"/>
              </w:rPr>
              <w:t>/a</w:t>
            </w:r>
          </w:p>
        </w:tc>
        <w:tc>
          <w:tcPr>
            <w:tcW w:w="1417" w:type="dxa"/>
            <w:vAlign w:val="center"/>
          </w:tcPr>
          <w:p>
            <w:pPr>
              <w:pStyle w:val="34"/>
              <w:spacing w:beforeLines="0" w:afterLines="0" w:line="240" w:lineRule="auto"/>
              <w:rPr>
                <w:rFonts w:ascii="Times New Roman" w:hAnsi="Times New Roman"/>
                <w:bCs/>
                <w:snapToGrid w:val="0"/>
                <w:color w:val="auto"/>
                <w:kern w:val="21"/>
                <w:szCs w:val="21"/>
              </w:rPr>
            </w:pPr>
          </w:p>
        </w:tc>
        <w:tc>
          <w:tcPr>
            <w:tcW w:w="1982" w:type="dxa"/>
            <w:shd w:val="clear" w:color="auto" w:fill="auto"/>
            <w:vAlign w:val="center"/>
          </w:tcPr>
          <w:p>
            <w:pPr>
              <w:pStyle w:val="34"/>
              <w:spacing w:beforeLines="0" w:afterLines="0" w:line="240" w:lineRule="auto"/>
              <w:rPr>
                <w:rFonts w:ascii="Times New Roman" w:hAnsi="Times New Roman" w:eastAsia="宋体" w:cs="Times New Roman"/>
                <w:bCs/>
                <w:color w:val="auto"/>
                <w:kern w:val="2"/>
                <w:sz w:val="21"/>
                <w:szCs w:val="21"/>
                <w:lang w:val="en-US" w:eastAsia="zh-CN" w:bidi="ar-SA"/>
              </w:rPr>
            </w:pPr>
            <w:r>
              <w:rPr>
                <w:rFonts w:hint="eastAsia" w:ascii="Times New Roman" w:hAnsi="Times New Roman"/>
                <w:bCs/>
                <w:color w:val="auto"/>
                <w:szCs w:val="21"/>
                <w:lang w:val="en-US" w:eastAsia="zh-CN"/>
              </w:rPr>
              <w:t>19.2</w:t>
            </w:r>
            <w:r>
              <w:rPr>
                <w:rFonts w:hint="default" w:ascii="Times New Roman" w:hAnsi="Times New Roman"/>
                <w:bCs/>
                <w:color w:val="auto"/>
                <w:szCs w:val="21"/>
              </w:rPr>
              <w:t>m</w:t>
            </w:r>
            <w:r>
              <w:rPr>
                <w:rFonts w:hint="default" w:ascii="Times New Roman" w:hAnsi="Times New Roman"/>
                <w:bCs/>
                <w:color w:val="auto"/>
                <w:szCs w:val="21"/>
                <w:vertAlign w:val="superscript"/>
              </w:rPr>
              <w:t>3</w:t>
            </w:r>
            <w:r>
              <w:rPr>
                <w:rFonts w:hint="default" w:ascii="Times New Roman" w:hAnsi="Times New Roman"/>
                <w:bCs/>
                <w:color w:val="auto"/>
                <w:szCs w:val="21"/>
              </w:rPr>
              <w:t>/a</w:t>
            </w:r>
          </w:p>
        </w:tc>
        <w:tc>
          <w:tcPr>
            <w:tcW w:w="1143" w:type="dxa"/>
            <w:vAlign w:val="center"/>
          </w:tcPr>
          <w:p>
            <w:pPr>
              <w:pStyle w:val="34"/>
              <w:spacing w:beforeLines="0" w:afterLines="0" w:line="240" w:lineRule="auto"/>
              <w:rPr>
                <w:rFonts w:ascii="Times New Roman" w:hAnsi="Times New Roman"/>
                <w:bCs/>
                <w:color w:val="auto"/>
                <w:szCs w:val="21"/>
                <w:lang w:bidi="ar"/>
              </w:rPr>
            </w:pPr>
          </w:p>
        </w:tc>
      </w:tr>
    </w:tbl>
    <w:p>
      <w:pPr>
        <w:pStyle w:val="34"/>
        <w:spacing w:before="192" w:beforeLines="80" w:after="24"/>
        <w:jc w:val="left"/>
        <w:rPr>
          <w:color w:val="auto"/>
        </w:rPr>
      </w:pPr>
      <w:r>
        <w:rPr>
          <w:rFonts w:ascii="Times New Roman" w:hAnsi="Times New Roman"/>
          <w:snapToGrid w:val="0"/>
          <w:color w:val="auto"/>
          <w:kern w:val="21"/>
          <w:szCs w:val="21"/>
        </w:rPr>
        <w:t>注：</w:t>
      </w:r>
      <w:r>
        <w:rPr>
          <w:rFonts w:ascii="Times New Roman" w:hAnsi="Times New Roman"/>
          <w:snapToGrid w:val="0"/>
          <w:color w:val="auto"/>
          <w:spacing w:val="-16"/>
          <w:kern w:val="21"/>
          <w:szCs w:val="21"/>
        </w:rPr>
        <w:fldChar w:fldCharType="begin"/>
      </w:r>
      <w:r>
        <w:rPr>
          <w:rFonts w:ascii="Times New Roman" w:hAnsi="Times New Roman"/>
          <w:snapToGrid w:val="0"/>
          <w:color w:val="auto"/>
          <w:spacing w:val="-16"/>
          <w:kern w:val="21"/>
          <w:szCs w:val="21"/>
        </w:rPr>
        <w:instrText xml:space="preserve"> = 6 \* GB3 \* MERGEFORMAT </w:instrText>
      </w:r>
      <w:r>
        <w:rPr>
          <w:rFonts w:ascii="Times New Roman" w:hAnsi="Times New Roman"/>
          <w:snapToGrid w:val="0"/>
          <w:color w:val="auto"/>
          <w:spacing w:val="-16"/>
          <w:kern w:val="21"/>
          <w:szCs w:val="21"/>
        </w:rPr>
        <w:fldChar w:fldCharType="separate"/>
      </w:r>
      <w:r>
        <w:rPr>
          <w:rFonts w:ascii="Cambria Math" w:hAnsi="Cambria Math" w:cs="Cambria Math"/>
          <w:color w:val="auto"/>
          <w:szCs w:val="21"/>
        </w:rPr>
        <w:t>⑥</w:t>
      </w:r>
      <w:r>
        <w:rPr>
          <w:rFonts w:ascii="Times New Roman" w:hAnsi="Times New Roman"/>
          <w:snapToGrid w:val="0"/>
          <w:color w:val="auto"/>
          <w:spacing w:val="-16"/>
          <w:kern w:val="21"/>
          <w:szCs w:val="21"/>
        </w:rPr>
        <w:fldChar w:fldCharType="end"/>
      </w:r>
      <w:r>
        <w:rPr>
          <w:rFonts w:ascii="Times New Roman" w:hAnsi="Times New Roman"/>
          <w:snapToGrid w:val="0"/>
          <w:color w:val="auto"/>
          <w:spacing w:val="-16"/>
          <w:kern w:val="21"/>
          <w:szCs w:val="21"/>
        </w:rPr>
        <w:t>=</w:t>
      </w:r>
      <w:r>
        <w:rPr>
          <w:rFonts w:ascii="Times New Roman" w:hAnsi="Times New Roman"/>
          <w:snapToGrid w:val="0"/>
          <w:color w:val="auto"/>
          <w:spacing w:val="-6"/>
          <w:kern w:val="21"/>
          <w:szCs w:val="21"/>
        </w:rPr>
        <w:fldChar w:fldCharType="begin"/>
      </w:r>
      <w:r>
        <w:rPr>
          <w:rFonts w:ascii="Times New Roman" w:hAnsi="Times New Roman"/>
          <w:snapToGrid w:val="0"/>
          <w:color w:val="auto"/>
          <w:spacing w:val="-6"/>
          <w:kern w:val="21"/>
          <w:szCs w:val="21"/>
        </w:rPr>
        <w:instrText xml:space="preserve"> = 1 \* GB3 \* MERGEFORMAT </w:instrText>
      </w:r>
      <w:r>
        <w:rPr>
          <w:rFonts w:ascii="Times New Roman" w:hAnsi="Times New Roman"/>
          <w:snapToGrid w:val="0"/>
          <w:color w:val="auto"/>
          <w:spacing w:val="-6"/>
          <w:kern w:val="21"/>
          <w:szCs w:val="21"/>
        </w:rPr>
        <w:fldChar w:fldCharType="separate"/>
      </w:r>
      <w:r>
        <w:rPr>
          <w:rFonts w:ascii="Cambria Math" w:hAnsi="Cambria Math" w:cs="Cambria Math"/>
          <w:color w:val="auto"/>
          <w:szCs w:val="21"/>
        </w:rPr>
        <w:t>①</w:t>
      </w:r>
      <w:r>
        <w:rPr>
          <w:rFonts w:ascii="Times New Roman" w:hAnsi="Times New Roman"/>
          <w:snapToGrid w:val="0"/>
          <w:color w:val="auto"/>
          <w:spacing w:val="-6"/>
          <w:kern w:val="21"/>
          <w:szCs w:val="21"/>
        </w:rPr>
        <w:fldChar w:fldCharType="end"/>
      </w:r>
      <w:r>
        <w:rPr>
          <w:rFonts w:ascii="Times New Roman" w:hAnsi="Times New Roman"/>
          <w:snapToGrid w:val="0"/>
          <w:color w:val="auto"/>
          <w:spacing w:val="-6"/>
          <w:kern w:val="21"/>
          <w:szCs w:val="21"/>
        </w:rPr>
        <w:t>+</w:t>
      </w:r>
      <w:r>
        <w:rPr>
          <w:rFonts w:ascii="Times New Roman" w:hAnsi="Times New Roman"/>
          <w:snapToGrid w:val="0"/>
          <w:color w:val="auto"/>
          <w:spacing w:val="-6"/>
          <w:kern w:val="21"/>
          <w:szCs w:val="21"/>
        </w:rPr>
        <w:fldChar w:fldCharType="begin"/>
      </w:r>
      <w:r>
        <w:rPr>
          <w:rFonts w:ascii="Times New Roman" w:hAnsi="Times New Roman"/>
          <w:snapToGrid w:val="0"/>
          <w:color w:val="auto"/>
          <w:spacing w:val="-6"/>
          <w:kern w:val="21"/>
          <w:szCs w:val="21"/>
        </w:rPr>
        <w:instrText xml:space="preserve"> = 3 \* GB3 \* MERGEFORMAT </w:instrText>
      </w:r>
      <w:r>
        <w:rPr>
          <w:rFonts w:ascii="Times New Roman" w:hAnsi="Times New Roman"/>
          <w:snapToGrid w:val="0"/>
          <w:color w:val="auto"/>
          <w:spacing w:val="-6"/>
          <w:kern w:val="21"/>
          <w:szCs w:val="21"/>
        </w:rPr>
        <w:fldChar w:fldCharType="separate"/>
      </w:r>
      <w:r>
        <w:rPr>
          <w:rFonts w:ascii="Cambria Math" w:hAnsi="Cambria Math" w:cs="Cambria Math"/>
          <w:color w:val="auto"/>
          <w:szCs w:val="21"/>
        </w:rPr>
        <w:t>③</w:t>
      </w:r>
      <w:r>
        <w:rPr>
          <w:rFonts w:ascii="Times New Roman" w:hAnsi="Times New Roman"/>
          <w:snapToGrid w:val="0"/>
          <w:color w:val="auto"/>
          <w:spacing w:val="-6"/>
          <w:kern w:val="21"/>
          <w:szCs w:val="21"/>
        </w:rPr>
        <w:fldChar w:fldCharType="end"/>
      </w:r>
      <w:r>
        <w:rPr>
          <w:rFonts w:ascii="Times New Roman" w:hAnsi="Times New Roman"/>
          <w:snapToGrid w:val="0"/>
          <w:color w:val="auto"/>
          <w:spacing w:val="-6"/>
          <w:kern w:val="21"/>
          <w:szCs w:val="21"/>
        </w:rPr>
        <w:t>+</w:t>
      </w:r>
      <w:r>
        <w:rPr>
          <w:rFonts w:ascii="Times New Roman" w:hAnsi="Times New Roman"/>
          <w:snapToGrid w:val="0"/>
          <w:color w:val="auto"/>
          <w:spacing w:val="-6"/>
          <w:kern w:val="21"/>
          <w:szCs w:val="21"/>
        </w:rPr>
        <w:fldChar w:fldCharType="begin"/>
      </w:r>
      <w:r>
        <w:rPr>
          <w:rFonts w:ascii="Times New Roman" w:hAnsi="Times New Roman"/>
          <w:snapToGrid w:val="0"/>
          <w:color w:val="auto"/>
          <w:spacing w:val="-6"/>
          <w:kern w:val="21"/>
          <w:szCs w:val="21"/>
        </w:rPr>
        <w:instrText xml:space="preserve"> = 4 \* GB3 \* MERGEFORMAT </w:instrText>
      </w:r>
      <w:r>
        <w:rPr>
          <w:rFonts w:ascii="Times New Roman" w:hAnsi="Times New Roman"/>
          <w:snapToGrid w:val="0"/>
          <w:color w:val="auto"/>
          <w:spacing w:val="-6"/>
          <w:kern w:val="21"/>
          <w:szCs w:val="21"/>
        </w:rPr>
        <w:fldChar w:fldCharType="separate"/>
      </w:r>
      <w:r>
        <w:rPr>
          <w:rFonts w:ascii="Cambria Math" w:hAnsi="Cambria Math" w:cs="Cambria Math"/>
          <w:color w:val="auto"/>
          <w:szCs w:val="21"/>
        </w:rPr>
        <w:t>④</w:t>
      </w:r>
      <w:r>
        <w:rPr>
          <w:rFonts w:ascii="Times New Roman" w:hAnsi="Times New Roman"/>
          <w:snapToGrid w:val="0"/>
          <w:color w:val="auto"/>
          <w:spacing w:val="-6"/>
          <w:kern w:val="21"/>
          <w:szCs w:val="21"/>
        </w:rPr>
        <w:fldChar w:fldCharType="end"/>
      </w:r>
      <w:r>
        <w:rPr>
          <w:rFonts w:ascii="Times New Roman" w:hAnsi="Times New Roman"/>
          <w:snapToGrid w:val="0"/>
          <w:color w:val="auto"/>
          <w:spacing w:val="-6"/>
          <w:kern w:val="21"/>
          <w:szCs w:val="21"/>
        </w:rPr>
        <w:t>-</w:t>
      </w:r>
      <w:r>
        <w:rPr>
          <w:rFonts w:ascii="Times New Roman" w:hAnsi="Times New Roman"/>
          <w:snapToGrid w:val="0"/>
          <w:color w:val="auto"/>
          <w:spacing w:val="-16"/>
          <w:kern w:val="21"/>
          <w:szCs w:val="21"/>
        </w:rPr>
        <w:fldChar w:fldCharType="begin"/>
      </w:r>
      <w:r>
        <w:rPr>
          <w:rFonts w:ascii="Times New Roman" w:hAnsi="Times New Roman"/>
          <w:snapToGrid w:val="0"/>
          <w:color w:val="auto"/>
          <w:spacing w:val="-16"/>
          <w:kern w:val="21"/>
          <w:szCs w:val="21"/>
        </w:rPr>
        <w:instrText xml:space="preserve"> = 5 \* GB3 \* MERGEFORMAT </w:instrText>
      </w:r>
      <w:r>
        <w:rPr>
          <w:rFonts w:ascii="Times New Roman" w:hAnsi="Times New Roman"/>
          <w:snapToGrid w:val="0"/>
          <w:color w:val="auto"/>
          <w:spacing w:val="-16"/>
          <w:kern w:val="21"/>
          <w:szCs w:val="21"/>
        </w:rPr>
        <w:fldChar w:fldCharType="separate"/>
      </w:r>
      <w:r>
        <w:rPr>
          <w:rFonts w:ascii="Cambria Math" w:hAnsi="Cambria Math" w:cs="Cambria Math"/>
          <w:color w:val="auto"/>
          <w:szCs w:val="21"/>
        </w:rPr>
        <w:t>⑤</w:t>
      </w:r>
      <w:r>
        <w:rPr>
          <w:rFonts w:ascii="Times New Roman" w:hAnsi="Times New Roman"/>
          <w:snapToGrid w:val="0"/>
          <w:color w:val="auto"/>
          <w:spacing w:val="-16"/>
          <w:kern w:val="21"/>
          <w:szCs w:val="21"/>
        </w:rPr>
        <w:fldChar w:fldCharType="end"/>
      </w:r>
      <w:r>
        <w:rPr>
          <w:rFonts w:ascii="Times New Roman" w:hAnsi="Times New Roman"/>
          <w:snapToGrid w:val="0"/>
          <w:color w:val="auto"/>
          <w:spacing w:val="-16"/>
          <w:kern w:val="21"/>
          <w:szCs w:val="21"/>
        </w:rPr>
        <w:t>；</w:t>
      </w:r>
      <w:r>
        <w:rPr>
          <w:rFonts w:ascii="Times New Roman" w:hAnsi="Times New Roman"/>
          <w:snapToGrid w:val="0"/>
          <w:color w:val="auto"/>
          <w:spacing w:val="-6"/>
          <w:kern w:val="21"/>
          <w:szCs w:val="21"/>
        </w:rPr>
        <w:fldChar w:fldCharType="begin"/>
      </w:r>
      <w:r>
        <w:rPr>
          <w:rFonts w:ascii="Times New Roman" w:hAnsi="Times New Roman"/>
          <w:snapToGrid w:val="0"/>
          <w:color w:val="auto"/>
          <w:spacing w:val="-6"/>
          <w:kern w:val="21"/>
          <w:szCs w:val="21"/>
        </w:rPr>
        <w:instrText xml:space="preserve"> = 7 \* GB3 \* MERGEFORMAT </w:instrText>
      </w:r>
      <w:r>
        <w:rPr>
          <w:rFonts w:ascii="Times New Roman" w:hAnsi="Times New Roman"/>
          <w:snapToGrid w:val="0"/>
          <w:color w:val="auto"/>
          <w:spacing w:val="-6"/>
          <w:kern w:val="21"/>
          <w:szCs w:val="21"/>
        </w:rPr>
        <w:fldChar w:fldCharType="separate"/>
      </w:r>
      <w:r>
        <w:rPr>
          <w:rFonts w:ascii="Cambria Math" w:hAnsi="Cambria Math" w:cs="Cambria Math"/>
          <w:color w:val="auto"/>
          <w:szCs w:val="21"/>
        </w:rPr>
        <w:t>⑦</w:t>
      </w:r>
      <w:r>
        <w:rPr>
          <w:rFonts w:ascii="Times New Roman" w:hAnsi="Times New Roman"/>
          <w:snapToGrid w:val="0"/>
          <w:color w:val="auto"/>
          <w:spacing w:val="-6"/>
          <w:kern w:val="21"/>
          <w:szCs w:val="21"/>
        </w:rPr>
        <w:fldChar w:fldCharType="end"/>
      </w:r>
      <w:r>
        <w:rPr>
          <w:rFonts w:ascii="Times New Roman" w:hAnsi="Times New Roman"/>
          <w:snapToGrid w:val="0"/>
          <w:color w:val="auto"/>
          <w:spacing w:val="-6"/>
          <w:kern w:val="21"/>
          <w:szCs w:val="21"/>
        </w:rPr>
        <w:t>=</w:t>
      </w:r>
      <w:r>
        <w:rPr>
          <w:rFonts w:ascii="Times New Roman" w:hAnsi="Times New Roman"/>
          <w:snapToGrid w:val="0"/>
          <w:color w:val="auto"/>
          <w:spacing w:val="-16"/>
          <w:kern w:val="21"/>
          <w:szCs w:val="21"/>
        </w:rPr>
        <w:fldChar w:fldCharType="begin"/>
      </w:r>
      <w:r>
        <w:rPr>
          <w:rFonts w:ascii="Times New Roman" w:hAnsi="Times New Roman"/>
          <w:snapToGrid w:val="0"/>
          <w:color w:val="auto"/>
          <w:spacing w:val="-16"/>
          <w:kern w:val="21"/>
          <w:szCs w:val="21"/>
        </w:rPr>
        <w:instrText xml:space="preserve"> = 6 \* GB3 \* MERGEFORMAT </w:instrText>
      </w:r>
      <w:r>
        <w:rPr>
          <w:rFonts w:ascii="Times New Roman" w:hAnsi="Times New Roman"/>
          <w:snapToGrid w:val="0"/>
          <w:color w:val="auto"/>
          <w:spacing w:val="-16"/>
          <w:kern w:val="21"/>
          <w:szCs w:val="21"/>
        </w:rPr>
        <w:fldChar w:fldCharType="separate"/>
      </w:r>
      <w:r>
        <w:rPr>
          <w:rFonts w:ascii="Cambria Math" w:hAnsi="Cambria Math" w:cs="Cambria Math"/>
          <w:color w:val="auto"/>
          <w:szCs w:val="21"/>
        </w:rPr>
        <w:t>⑥</w:t>
      </w:r>
      <w:r>
        <w:rPr>
          <w:rFonts w:ascii="Times New Roman" w:hAnsi="Times New Roman"/>
          <w:snapToGrid w:val="0"/>
          <w:color w:val="auto"/>
          <w:spacing w:val="-16"/>
          <w:kern w:val="21"/>
          <w:szCs w:val="21"/>
        </w:rPr>
        <w:fldChar w:fldCharType="end"/>
      </w:r>
      <w:r>
        <w:rPr>
          <w:rFonts w:ascii="Times New Roman" w:hAnsi="Times New Roman"/>
          <w:snapToGrid w:val="0"/>
          <w:color w:val="auto"/>
          <w:spacing w:val="-16"/>
          <w:kern w:val="21"/>
          <w:szCs w:val="21"/>
        </w:rPr>
        <w:t>-</w:t>
      </w:r>
      <w:r>
        <w:rPr>
          <w:rFonts w:ascii="Times New Roman" w:hAnsi="Times New Roman"/>
          <w:snapToGrid w:val="0"/>
          <w:color w:val="auto"/>
          <w:spacing w:val="-6"/>
          <w:kern w:val="21"/>
          <w:szCs w:val="21"/>
        </w:rPr>
        <w:fldChar w:fldCharType="begin"/>
      </w:r>
      <w:r>
        <w:rPr>
          <w:rFonts w:ascii="Times New Roman" w:hAnsi="Times New Roman"/>
          <w:snapToGrid w:val="0"/>
          <w:color w:val="auto"/>
          <w:spacing w:val="-6"/>
          <w:kern w:val="21"/>
          <w:szCs w:val="21"/>
        </w:rPr>
        <w:instrText xml:space="preserve"> = 1 \* GB3 \* MERGEFORMAT </w:instrText>
      </w:r>
      <w:r>
        <w:rPr>
          <w:rFonts w:ascii="Times New Roman" w:hAnsi="Times New Roman"/>
          <w:snapToGrid w:val="0"/>
          <w:color w:val="auto"/>
          <w:spacing w:val="-6"/>
          <w:kern w:val="21"/>
          <w:szCs w:val="21"/>
        </w:rPr>
        <w:fldChar w:fldCharType="separate"/>
      </w:r>
      <w:r>
        <w:rPr>
          <w:rFonts w:ascii="Cambria Math" w:hAnsi="Cambria Math" w:cs="Cambria Math"/>
          <w:color w:val="auto"/>
          <w:szCs w:val="21"/>
        </w:rPr>
        <w:t>①</w:t>
      </w:r>
      <w:r>
        <w:rPr>
          <w:rFonts w:ascii="Times New Roman" w:hAnsi="Times New Roman"/>
          <w:snapToGrid w:val="0"/>
          <w:color w:val="auto"/>
          <w:spacing w:val="-6"/>
          <w:kern w:val="21"/>
          <w:szCs w:val="21"/>
        </w:rPr>
        <w:fldChar w:fldCharType="end"/>
      </w:r>
    </w:p>
    <w:sectPr>
      <w:footerReference r:id="rId6" w:type="default"/>
      <w:pgSz w:w="16838" w:h="11906" w:orient="landscape"/>
      <w:pgMar w:top="1531" w:right="1701" w:bottom="1531" w:left="1701"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TimesNewRoman">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Wingdings 2">
    <w:altName w:val="Symbol"/>
    <w:panose1 w:val="05020102010507070707"/>
    <w:charset w:val="02"/>
    <w:family w:val="roman"/>
    <w:pitch w:val="default"/>
    <w:sig w:usb0="00000000" w:usb1="00000000" w:usb2="00000000" w:usb3="00000000" w:csb0="80000000" w:csb1="00000000"/>
  </w:font>
  <w:font w:name="TimesNewRomanPSMT">
    <w:altName w:val="Times New Roman"/>
    <w:panose1 w:val="00000000000000000000"/>
    <w:charset w:val="86"/>
    <w:family w:val="auto"/>
    <w:pitch w:val="default"/>
    <w:sig w:usb0="00000000" w:usb1="00000000" w:usb2="00000010" w:usb3="00000000" w:csb0="00040000"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margin" w:xAlign="center" w:y="1"/>
      <w:rPr>
        <w:rStyle w:val="27"/>
      </w:rPr>
    </w:pPr>
    <w:r>
      <w:fldChar w:fldCharType="begin"/>
    </w:r>
    <w:r>
      <w:rPr>
        <w:rStyle w:val="27"/>
      </w:rPr>
      <w:instrText xml:space="preserve">PAGE  </w:instrText>
    </w:r>
    <w:r>
      <w:fldChar w:fldCharType="end"/>
    </w:r>
  </w:p>
  <w:p>
    <w:pPr>
      <w:pStyle w:val="1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margin" w:xAlign="outside" w:y="1"/>
      <w:rPr>
        <w:rStyle w:val="27"/>
        <w:rFonts w:hint="eastAsia" w:ascii="宋体" w:hAnsi="宋体"/>
        <w:sz w:val="28"/>
        <w:szCs w:val="28"/>
      </w:rPr>
    </w:pPr>
    <w:r>
      <w:rPr>
        <w:rStyle w:val="27"/>
        <w:rFonts w:hint="eastAsia" w:ascii="宋体" w:hAnsi="宋体"/>
        <w:sz w:val="28"/>
        <w:szCs w:val="28"/>
      </w:rPr>
      <w:t>—</w:t>
    </w:r>
    <w:r>
      <w:rPr>
        <w:rStyle w:val="27"/>
        <w:rFonts w:hint="eastAsia" w:ascii="宋体" w:hAnsi="宋体"/>
        <w:sz w:val="20"/>
      </w:rPr>
      <w:t xml:space="preserve">  </w:t>
    </w:r>
    <w:r>
      <w:rPr>
        <w:rStyle w:val="27"/>
        <w:rFonts w:ascii="宋体" w:hAnsi="宋体"/>
        <w:sz w:val="26"/>
        <w:szCs w:val="26"/>
      </w:rPr>
      <w:fldChar w:fldCharType="begin"/>
    </w:r>
    <w:r>
      <w:rPr>
        <w:rStyle w:val="27"/>
        <w:rFonts w:ascii="宋体" w:hAnsi="宋体"/>
        <w:sz w:val="26"/>
        <w:szCs w:val="26"/>
      </w:rPr>
      <w:instrText xml:space="preserve">PAGE  </w:instrText>
    </w:r>
    <w:r>
      <w:rPr>
        <w:rStyle w:val="27"/>
        <w:rFonts w:ascii="宋体" w:hAnsi="宋体"/>
        <w:sz w:val="26"/>
        <w:szCs w:val="26"/>
      </w:rPr>
      <w:fldChar w:fldCharType="separate"/>
    </w:r>
    <w:r>
      <w:rPr>
        <w:rStyle w:val="27"/>
        <w:rFonts w:ascii="宋体" w:hAnsi="宋体"/>
        <w:sz w:val="26"/>
        <w:szCs w:val="26"/>
      </w:rPr>
      <w:t>18</w:t>
    </w:r>
    <w:r>
      <w:rPr>
        <w:rStyle w:val="27"/>
        <w:rFonts w:ascii="宋体" w:hAnsi="宋体"/>
        <w:sz w:val="26"/>
        <w:szCs w:val="26"/>
      </w:rPr>
      <w:fldChar w:fldCharType="end"/>
    </w:r>
    <w:r>
      <w:rPr>
        <w:rStyle w:val="27"/>
        <w:rFonts w:hint="eastAsia" w:ascii="宋体" w:hAnsi="宋体"/>
        <w:sz w:val="20"/>
      </w:rPr>
      <w:t xml:space="preserve">  </w:t>
    </w:r>
    <w:r>
      <w:rPr>
        <w:rStyle w:val="27"/>
        <w:rFonts w:hint="eastAsia" w:ascii="宋体" w:hAnsi="宋体"/>
        <w:sz w:val="28"/>
        <w:szCs w:val="28"/>
      </w:rPr>
      <w:t>—</w:t>
    </w:r>
  </w:p>
  <w:p>
    <w:pPr>
      <w:pStyle w:val="16"/>
      <w:ind w:right="360"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margin" w:xAlign="outside" w:y="1"/>
      <w:rPr>
        <w:rStyle w:val="27"/>
        <w:rFonts w:hint="eastAsia" w:ascii="宋体" w:hAnsi="宋体"/>
        <w:sz w:val="28"/>
        <w:szCs w:val="28"/>
      </w:rPr>
    </w:pPr>
    <w:r>
      <w:rPr>
        <w:rStyle w:val="27"/>
        <w:rFonts w:hint="eastAsia" w:ascii="宋体" w:hAnsi="宋体"/>
        <w:sz w:val="28"/>
        <w:szCs w:val="28"/>
      </w:rPr>
      <w:t>—</w:t>
    </w:r>
    <w:r>
      <w:rPr>
        <w:rStyle w:val="27"/>
        <w:rFonts w:hint="eastAsia" w:ascii="宋体" w:hAnsi="宋体"/>
        <w:sz w:val="20"/>
      </w:rPr>
      <w:t xml:space="preserve">  </w:t>
    </w:r>
    <w:r>
      <w:rPr>
        <w:rStyle w:val="27"/>
        <w:rFonts w:ascii="宋体" w:hAnsi="宋体"/>
        <w:sz w:val="26"/>
        <w:szCs w:val="26"/>
      </w:rPr>
      <w:fldChar w:fldCharType="begin"/>
    </w:r>
    <w:r>
      <w:rPr>
        <w:rStyle w:val="27"/>
        <w:rFonts w:ascii="宋体" w:hAnsi="宋体"/>
        <w:sz w:val="26"/>
        <w:szCs w:val="26"/>
      </w:rPr>
      <w:instrText xml:space="preserve">PAGE  </w:instrText>
    </w:r>
    <w:r>
      <w:rPr>
        <w:rStyle w:val="27"/>
        <w:rFonts w:ascii="宋体" w:hAnsi="宋体"/>
        <w:sz w:val="26"/>
        <w:szCs w:val="26"/>
      </w:rPr>
      <w:fldChar w:fldCharType="separate"/>
    </w:r>
    <w:r>
      <w:rPr>
        <w:rStyle w:val="27"/>
        <w:rFonts w:ascii="宋体" w:hAnsi="宋体"/>
        <w:sz w:val="26"/>
        <w:szCs w:val="26"/>
      </w:rPr>
      <w:t>58</w:t>
    </w:r>
    <w:r>
      <w:rPr>
        <w:rStyle w:val="27"/>
        <w:rFonts w:ascii="宋体" w:hAnsi="宋体"/>
        <w:sz w:val="26"/>
        <w:szCs w:val="26"/>
      </w:rPr>
      <w:fldChar w:fldCharType="end"/>
    </w:r>
    <w:r>
      <w:rPr>
        <w:rStyle w:val="27"/>
        <w:rFonts w:hint="eastAsia" w:ascii="宋体" w:hAnsi="宋体"/>
        <w:sz w:val="20"/>
      </w:rPr>
      <w:t xml:space="preserve">  </w:t>
    </w:r>
    <w:r>
      <w:rPr>
        <w:rStyle w:val="27"/>
        <w:rFonts w:hint="eastAsia" w:ascii="宋体" w:hAnsi="宋体"/>
        <w:sz w:val="28"/>
        <w:szCs w:val="28"/>
      </w:rPr>
      <w:t>—</w:t>
    </w:r>
  </w:p>
  <w:p>
    <w:pPr>
      <w:pStyle w:val="16"/>
      <w:ind w:right="360" w:firstLine="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052F66"/>
    <w:multiLevelType w:val="singleLevel"/>
    <w:tmpl w:val="8E052F66"/>
    <w:lvl w:ilvl="0" w:tentative="0">
      <w:start w:val="2"/>
      <w:numFmt w:val="decimal"/>
      <w:suff w:val="nothing"/>
      <w:lvlText w:val="（%1）"/>
      <w:lvlJc w:val="left"/>
    </w:lvl>
  </w:abstractNum>
  <w:abstractNum w:abstractNumId="1">
    <w:nsid w:val="BA85A04C"/>
    <w:multiLevelType w:val="singleLevel"/>
    <w:tmpl w:val="BA85A04C"/>
    <w:lvl w:ilvl="0" w:tentative="0">
      <w:start w:val="2"/>
      <w:numFmt w:val="chineseCounting"/>
      <w:suff w:val="nothing"/>
      <w:lvlText w:val="（%1）"/>
      <w:lvlJc w:val="left"/>
      <w:pPr>
        <w:ind w:left="0" w:firstLine="0"/>
      </w:pPr>
    </w:lvl>
  </w:abstractNum>
  <w:abstractNum w:abstractNumId="2">
    <w:nsid w:val="1BD8FD52"/>
    <w:multiLevelType w:val="multilevel"/>
    <w:tmpl w:val="1BD8FD52"/>
    <w:lvl w:ilvl="0" w:tentative="0">
      <w:start w:val="1"/>
      <w:numFmt w:val="decimal"/>
      <w:lvlText w:val="%1."/>
      <w:lvlJc w:val="left"/>
      <w:pPr>
        <w:ind w:left="425" w:hanging="425"/>
      </w:pPr>
      <w:rPr>
        <w:rFonts w:hint="default"/>
      </w:rPr>
    </w:lvl>
    <w:lvl w:ilvl="1" w:tentative="0">
      <w:start w:val="1"/>
      <w:numFmt w:val="decimal"/>
      <w:pStyle w:val="68"/>
      <w:lvlText w:val="表%1-%2"/>
      <w:lvlJc w:val="left"/>
      <w:pPr>
        <w:ind w:left="567" w:hanging="567"/>
      </w:pPr>
      <w:rPr>
        <w:rFonts w:hint="default" w:ascii="Times New Roman" w:hAnsi="Times New Roman" w:eastAsia="宋体" w:cs="Times New Roman"/>
        <w:sz w:val="24"/>
        <w:szCs w:val="24"/>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3">
    <w:nsid w:val="56607B0E"/>
    <w:multiLevelType w:val="multilevel"/>
    <w:tmpl w:val="56607B0E"/>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2"/>
  </w:num>
  <w:num w:numId="2">
    <w:abstractNumId w:val="1"/>
    <w:lvlOverride w:ilvl="0">
      <w:startOverride w:val="2"/>
    </w:lvlOverride>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1CA"/>
    <w:rsid w:val="000001D2"/>
    <w:rsid w:val="00002008"/>
    <w:rsid w:val="00002B4A"/>
    <w:rsid w:val="0000394F"/>
    <w:rsid w:val="00003BDB"/>
    <w:rsid w:val="00003F08"/>
    <w:rsid w:val="000045C3"/>
    <w:rsid w:val="0000494A"/>
    <w:rsid w:val="00004F67"/>
    <w:rsid w:val="00005053"/>
    <w:rsid w:val="00006776"/>
    <w:rsid w:val="00006EC5"/>
    <w:rsid w:val="00007018"/>
    <w:rsid w:val="000077F8"/>
    <w:rsid w:val="00007F48"/>
    <w:rsid w:val="000102EA"/>
    <w:rsid w:val="00010B04"/>
    <w:rsid w:val="00010B88"/>
    <w:rsid w:val="00010D58"/>
    <w:rsid w:val="000116E4"/>
    <w:rsid w:val="00011FF2"/>
    <w:rsid w:val="00014198"/>
    <w:rsid w:val="000149C7"/>
    <w:rsid w:val="000149FA"/>
    <w:rsid w:val="00015A1F"/>
    <w:rsid w:val="00015E4B"/>
    <w:rsid w:val="00015EC8"/>
    <w:rsid w:val="00016127"/>
    <w:rsid w:val="000163BC"/>
    <w:rsid w:val="00016DC4"/>
    <w:rsid w:val="000177B2"/>
    <w:rsid w:val="00017A70"/>
    <w:rsid w:val="00017E83"/>
    <w:rsid w:val="0002174C"/>
    <w:rsid w:val="00021D22"/>
    <w:rsid w:val="0002244D"/>
    <w:rsid w:val="0002288A"/>
    <w:rsid w:val="000229E8"/>
    <w:rsid w:val="00022E5F"/>
    <w:rsid w:val="0002336B"/>
    <w:rsid w:val="00023EB8"/>
    <w:rsid w:val="00024C39"/>
    <w:rsid w:val="00025193"/>
    <w:rsid w:val="00025371"/>
    <w:rsid w:val="00025915"/>
    <w:rsid w:val="00025F07"/>
    <w:rsid w:val="00026A08"/>
    <w:rsid w:val="00026A4C"/>
    <w:rsid w:val="00026C00"/>
    <w:rsid w:val="00027301"/>
    <w:rsid w:val="000273D2"/>
    <w:rsid w:val="0003029A"/>
    <w:rsid w:val="00030400"/>
    <w:rsid w:val="0003054A"/>
    <w:rsid w:val="00030B81"/>
    <w:rsid w:val="00031059"/>
    <w:rsid w:val="00031615"/>
    <w:rsid w:val="00031751"/>
    <w:rsid w:val="00031C6C"/>
    <w:rsid w:val="00031E33"/>
    <w:rsid w:val="00031E90"/>
    <w:rsid w:val="00032264"/>
    <w:rsid w:val="00032978"/>
    <w:rsid w:val="0003419A"/>
    <w:rsid w:val="00034DAE"/>
    <w:rsid w:val="00035B28"/>
    <w:rsid w:val="00035C81"/>
    <w:rsid w:val="0003614C"/>
    <w:rsid w:val="000362A9"/>
    <w:rsid w:val="0003666C"/>
    <w:rsid w:val="00036C06"/>
    <w:rsid w:val="00037465"/>
    <w:rsid w:val="000406AF"/>
    <w:rsid w:val="00041223"/>
    <w:rsid w:val="00041B55"/>
    <w:rsid w:val="0004330C"/>
    <w:rsid w:val="00043ECE"/>
    <w:rsid w:val="00045EEE"/>
    <w:rsid w:val="0004786A"/>
    <w:rsid w:val="00047919"/>
    <w:rsid w:val="0005075F"/>
    <w:rsid w:val="00050E25"/>
    <w:rsid w:val="00051C89"/>
    <w:rsid w:val="00052F9C"/>
    <w:rsid w:val="000535B7"/>
    <w:rsid w:val="000539D4"/>
    <w:rsid w:val="000549A6"/>
    <w:rsid w:val="00054D40"/>
    <w:rsid w:val="0005603F"/>
    <w:rsid w:val="00056199"/>
    <w:rsid w:val="00057A81"/>
    <w:rsid w:val="000603CA"/>
    <w:rsid w:val="000608CF"/>
    <w:rsid w:val="0006179A"/>
    <w:rsid w:val="000618F5"/>
    <w:rsid w:val="00061A9B"/>
    <w:rsid w:val="00061EC8"/>
    <w:rsid w:val="00063693"/>
    <w:rsid w:val="0006399F"/>
    <w:rsid w:val="00065163"/>
    <w:rsid w:val="00065AB4"/>
    <w:rsid w:val="00065FFB"/>
    <w:rsid w:val="000668A6"/>
    <w:rsid w:val="000672E1"/>
    <w:rsid w:val="00067F6A"/>
    <w:rsid w:val="000703DE"/>
    <w:rsid w:val="00070772"/>
    <w:rsid w:val="000708D5"/>
    <w:rsid w:val="00070B03"/>
    <w:rsid w:val="000710F4"/>
    <w:rsid w:val="00071288"/>
    <w:rsid w:val="00071B68"/>
    <w:rsid w:val="00071F6E"/>
    <w:rsid w:val="00072D9F"/>
    <w:rsid w:val="000737A6"/>
    <w:rsid w:val="000742C4"/>
    <w:rsid w:val="00074B1E"/>
    <w:rsid w:val="00074FBD"/>
    <w:rsid w:val="000756C7"/>
    <w:rsid w:val="00075C1B"/>
    <w:rsid w:val="00076F75"/>
    <w:rsid w:val="00077109"/>
    <w:rsid w:val="0007736C"/>
    <w:rsid w:val="00080305"/>
    <w:rsid w:val="00080AC5"/>
    <w:rsid w:val="00081696"/>
    <w:rsid w:val="0008173C"/>
    <w:rsid w:val="000819E2"/>
    <w:rsid w:val="0008226F"/>
    <w:rsid w:val="00082568"/>
    <w:rsid w:val="000833EA"/>
    <w:rsid w:val="00083898"/>
    <w:rsid w:val="0008465F"/>
    <w:rsid w:val="00085572"/>
    <w:rsid w:val="000857AE"/>
    <w:rsid w:val="00085A57"/>
    <w:rsid w:val="0008778C"/>
    <w:rsid w:val="00091F9C"/>
    <w:rsid w:val="00092D36"/>
    <w:rsid w:val="00092DB2"/>
    <w:rsid w:val="00092E66"/>
    <w:rsid w:val="0009416B"/>
    <w:rsid w:val="000945A9"/>
    <w:rsid w:val="00094885"/>
    <w:rsid w:val="00095068"/>
    <w:rsid w:val="00095152"/>
    <w:rsid w:val="000A022D"/>
    <w:rsid w:val="000A0245"/>
    <w:rsid w:val="000A039D"/>
    <w:rsid w:val="000A03B5"/>
    <w:rsid w:val="000A1109"/>
    <w:rsid w:val="000A1A7F"/>
    <w:rsid w:val="000A1C3E"/>
    <w:rsid w:val="000A2EF4"/>
    <w:rsid w:val="000A3449"/>
    <w:rsid w:val="000A3A34"/>
    <w:rsid w:val="000A4359"/>
    <w:rsid w:val="000A448E"/>
    <w:rsid w:val="000A4D51"/>
    <w:rsid w:val="000A4F42"/>
    <w:rsid w:val="000A528B"/>
    <w:rsid w:val="000A5496"/>
    <w:rsid w:val="000A56BB"/>
    <w:rsid w:val="000A62CC"/>
    <w:rsid w:val="000A6A86"/>
    <w:rsid w:val="000A7836"/>
    <w:rsid w:val="000B1003"/>
    <w:rsid w:val="000B1327"/>
    <w:rsid w:val="000B2506"/>
    <w:rsid w:val="000B38D6"/>
    <w:rsid w:val="000B3DBE"/>
    <w:rsid w:val="000B4A12"/>
    <w:rsid w:val="000B51C1"/>
    <w:rsid w:val="000B5D3A"/>
    <w:rsid w:val="000B6354"/>
    <w:rsid w:val="000B6703"/>
    <w:rsid w:val="000B74EB"/>
    <w:rsid w:val="000B7639"/>
    <w:rsid w:val="000B7ACB"/>
    <w:rsid w:val="000B7C34"/>
    <w:rsid w:val="000C0CF2"/>
    <w:rsid w:val="000C108C"/>
    <w:rsid w:val="000C13A7"/>
    <w:rsid w:val="000C1DE0"/>
    <w:rsid w:val="000C2998"/>
    <w:rsid w:val="000C2B32"/>
    <w:rsid w:val="000C312D"/>
    <w:rsid w:val="000C31D2"/>
    <w:rsid w:val="000C3A6B"/>
    <w:rsid w:val="000C3EED"/>
    <w:rsid w:val="000C4818"/>
    <w:rsid w:val="000C49E3"/>
    <w:rsid w:val="000C4B2F"/>
    <w:rsid w:val="000C4F6E"/>
    <w:rsid w:val="000C50EB"/>
    <w:rsid w:val="000C517F"/>
    <w:rsid w:val="000C5CC7"/>
    <w:rsid w:val="000C6934"/>
    <w:rsid w:val="000C6FA4"/>
    <w:rsid w:val="000C6FF4"/>
    <w:rsid w:val="000D1979"/>
    <w:rsid w:val="000D1F6E"/>
    <w:rsid w:val="000D2590"/>
    <w:rsid w:val="000D3822"/>
    <w:rsid w:val="000D4389"/>
    <w:rsid w:val="000D4D0F"/>
    <w:rsid w:val="000D4E85"/>
    <w:rsid w:val="000D5860"/>
    <w:rsid w:val="000D5E27"/>
    <w:rsid w:val="000D5EC8"/>
    <w:rsid w:val="000D6595"/>
    <w:rsid w:val="000D660C"/>
    <w:rsid w:val="000D6BE8"/>
    <w:rsid w:val="000D6DA8"/>
    <w:rsid w:val="000D77FE"/>
    <w:rsid w:val="000E1A26"/>
    <w:rsid w:val="000E248F"/>
    <w:rsid w:val="000E26E6"/>
    <w:rsid w:val="000E2F16"/>
    <w:rsid w:val="000E3A91"/>
    <w:rsid w:val="000E3B78"/>
    <w:rsid w:val="000E3C83"/>
    <w:rsid w:val="000E4B8C"/>
    <w:rsid w:val="000E4E3D"/>
    <w:rsid w:val="000E4FC3"/>
    <w:rsid w:val="000E5285"/>
    <w:rsid w:val="000E564F"/>
    <w:rsid w:val="000E5C45"/>
    <w:rsid w:val="000E62A3"/>
    <w:rsid w:val="000E64FD"/>
    <w:rsid w:val="000E6B62"/>
    <w:rsid w:val="000E70D1"/>
    <w:rsid w:val="000E71AA"/>
    <w:rsid w:val="000F000E"/>
    <w:rsid w:val="000F1F04"/>
    <w:rsid w:val="000F3637"/>
    <w:rsid w:val="000F39B5"/>
    <w:rsid w:val="000F3BAF"/>
    <w:rsid w:val="000F59E6"/>
    <w:rsid w:val="000F5DC0"/>
    <w:rsid w:val="000F5F8C"/>
    <w:rsid w:val="000F6F68"/>
    <w:rsid w:val="000F7500"/>
    <w:rsid w:val="000F7E8A"/>
    <w:rsid w:val="001006C4"/>
    <w:rsid w:val="0010133E"/>
    <w:rsid w:val="00101E8D"/>
    <w:rsid w:val="00102D30"/>
    <w:rsid w:val="00103DE4"/>
    <w:rsid w:val="001044CE"/>
    <w:rsid w:val="00104C1C"/>
    <w:rsid w:val="00104F5B"/>
    <w:rsid w:val="00105401"/>
    <w:rsid w:val="001068DA"/>
    <w:rsid w:val="00106DCE"/>
    <w:rsid w:val="00106E61"/>
    <w:rsid w:val="001075B3"/>
    <w:rsid w:val="0011035C"/>
    <w:rsid w:val="001106E6"/>
    <w:rsid w:val="00110EFE"/>
    <w:rsid w:val="0011126C"/>
    <w:rsid w:val="00112C05"/>
    <w:rsid w:val="00113C85"/>
    <w:rsid w:val="00113DEC"/>
    <w:rsid w:val="00114134"/>
    <w:rsid w:val="001143B9"/>
    <w:rsid w:val="00114E14"/>
    <w:rsid w:val="00115BF3"/>
    <w:rsid w:val="00117276"/>
    <w:rsid w:val="001174B7"/>
    <w:rsid w:val="00117B4E"/>
    <w:rsid w:val="00117CCC"/>
    <w:rsid w:val="001206E9"/>
    <w:rsid w:val="001209E9"/>
    <w:rsid w:val="001226CC"/>
    <w:rsid w:val="001226FD"/>
    <w:rsid w:val="00125DF9"/>
    <w:rsid w:val="00126723"/>
    <w:rsid w:val="00126AB4"/>
    <w:rsid w:val="00126EF2"/>
    <w:rsid w:val="00127087"/>
    <w:rsid w:val="0012713F"/>
    <w:rsid w:val="00127268"/>
    <w:rsid w:val="00127AFA"/>
    <w:rsid w:val="001328CA"/>
    <w:rsid w:val="001336EE"/>
    <w:rsid w:val="001337FF"/>
    <w:rsid w:val="00133866"/>
    <w:rsid w:val="0013398B"/>
    <w:rsid w:val="00133A1F"/>
    <w:rsid w:val="00133D92"/>
    <w:rsid w:val="00134075"/>
    <w:rsid w:val="001348C8"/>
    <w:rsid w:val="00134BC1"/>
    <w:rsid w:val="00134D41"/>
    <w:rsid w:val="001356E0"/>
    <w:rsid w:val="00135898"/>
    <w:rsid w:val="00135DC5"/>
    <w:rsid w:val="00135E82"/>
    <w:rsid w:val="001361FB"/>
    <w:rsid w:val="00136339"/>
    <w:rsid w:val="001363C0"/>
    <w:rsid w:val="001403D1"/>
    <w:rsid w:val="00140735"/>
    <w:rsid w:val="00140916"/>
    <w:rsid w:val="00141BAC"/>
    <w:rsid w:val="001427D7"/>
    <w:rsid w:val="00142A4B"/>
    <w:rsid w:val="00142C1D"/>
    <w:rsid w:val="00142DDE"/>
    <w:rsid w:val="00143B77"/>
    <w:rsid w:val="001445AE"/>
    <w:rsid w:val="00144AA8"/>
    <w:rsid w:val="00144C9E"/>
    <w:rsid w:val="001456B5"/>
    <w:rsid w:val="00145C3F"/>
    <w:rsid w:val="00146018"/>
    <w:rsid w:val="00147D3B"/>
    <w:rsid w:val="00150301"/>
    <w:rsid w:val="001513D3"/>
    <w:rsid w:val="001519CB"/>
    <w:rsid w:val="00151BD3"/>
    <w:rsid w:val="00151DBB"/>
    <w:rsid w:val="001527B2"/>
    <w:rsid w:val="00152C30"/>
    <w:rsid w:val="001535B3"/>
    <w:rsid w:val="00153659"/>
    <w:rsid w:val="0015382A"/>
    <w:rsid w:val="00153CA7"/>
    <w:rsid w:val="00153CB7"/>
    <w:rsid w:val="00154036"/>
    <w:rsid w:val="001542C9"/>
    <w:rsid w:val="001542CB"/>
    <w:rsid w:val="00154459"/>
    <w:rsid w:val="0015632E"/>
    <w:rsid w:val="001565E0"/>
    <w:rsid w:val="0015669A"/>
    <w:rsid w:val="001568EF"/>
    <w:rsid w:val="001569F2"/>
    <w:rsid w:val="00157CF9"/>
    <w:rsid w:val="00160060"/>
    <w:rsid w:val="00160126"/>
    <w:rsid w:val="00160C8A"/>
    <w:rsid w:val="00161A2F"/>
    <w:rsid w:val="00161EAD"/>
    <w:rsid w:val="001628BD"/>
    <w:rsid w:val="00162EF3"/>
    <w:rsid w:val="00164036"/>
    <w:rsid w:val="001641CC"/>
    <w:rsid w:val="00164209"/>
    <w:rsid w:val="001643E0"/>
    <w:rsid w:val="00165BAA"/>
    <w:rsid w:val="001662C1"/>
    <w:rsid w:val="00167064"/>
    <w:rsid w:val="001671BC"/>
    <w:rsid w:val="00167E09"/>
    <w:rsid w:val="00170117"/>
    <w:rsid w:val="001704E1"/>
    <w:rsid w:val="00170AE2"/>
    <w:rsid w:val="00171553"/>
    <w:rsid w:val="001722D1"/>
    <w:rsid w:val="00172557"/>
    <w:rsid w:val="00172598"/>
    <w:rsid w:val="001725B3"/>
    <w:rsid w:val="0017363F"/>
    <w:rsid w:val="00174008"/>
    <w:rsid w:val="00174160"/>
    <w:rsid w:val="00174967"/>
    <w:rsid w:val="001751CA"/>
    <w:rsid w:val="00175226"/>
    <w:rsid w:val="00177BC1"/>
    <w:rsid w:val="001807C3"/>
    <w:rsid w:val="001818B6"/>
    <w:rsid w:val="00181A7D"/>
    <w:rsid w:val="001820E1"/>
    <w:rsid w:val="001830B4"/>
    <w:rsid w:val="00183E41"/>
    <w:rsid w:val="00184251"/>
    <w:rsid w:val="0018488D"/>
    <w:rsid w:val="0018516F"/>
    <w:rsid w:val="0018519B"/>
    <w:rsid w:val="0018569B"/>
    <w:rsid w:val="00185F1D"/>
    <w:rsid w:val="00186868"/>
    <w:rsid w:val="00186B8E"/>
    <w:rsid w:val="00186DBF"/>
    <w:rsid w:val="00186E37"/>
    <w:rsid w:val="001878B6"/>
    <w:rsid w:val="00187ECA"/>
    <w:rsid w:val="00190293"/>
    <w:rsid w:val="0019052C"/>
    <w:rsid w:val="00190D42"/>
    <w:rsid w:val="00191856"/>
    <w:rsid w:val="001920E9"/>
    <w:rsid w:val="001925CF"/>
    <w:rsid w:val="00192F88"/>
    <w:rsid w:val="00193176"/>
    <w:rsid w:val="00193894"/>
    <w:rsid w:val="00193AE6"/>
    <w:rsid w:val="00193E28"/>
    <w:rsid w:val="00193ECC"/>
    <w:rsid w:val="00194071"/>
    <w:rsid w:val="00194D2C"/>
    <w:rsid w:val="00194FEE"/>
    <w:rsid w:val="00195AF8"/>
    <w:rsid w:val="00195D4A"/>
    <w:rsid w:val="0019694E"/>
    <w:rsid w:val="00197AB3"/>
    <w:rsid w:val="001A0307"/>
    <w:rsid w:val="001A04B7"/>
    <w:rsid w:val="001A0F57"/>
    <w:rsid w:val="001A0FC8"/>
    <w:rsid w:val="001A1122"/>
    <w:rsid w:val="001A1D9F"/>
    <w:rsid w:val="001A320E"/>
    <w:rsid w:val="001A3793"/>
    <w:rsid w:val="001A4F08"/>
    <w:rsid w:val="001A5231"/>
    <w:rsid w:val="001A5471"/>
    <w:rsid w:val="001A5733"/>
    <w:rsid w:val="001A6FCB"/>
    <w:rsid w:val="001A7A93"/>
    <w:rsid w:val="001B0600"/>
    <w:rsid w:val="001B14B2"/>
    <w:rsid w:val="001B165C"/>
    <w:rsid w:val="001B1E6C"/>
    <w:rsid w:val="001B2159"/>
    <w:rsid w:val="001B2644"/>
    <w:rsid w:val="001B2E92"/>
    <w:rsid w:val="001B2EAA"/>
    <w:rsid w:val="001B3007"/>
    <w:rsid w:val="001B378D"/>
    <w:rsid w:val="001B3BEF"/>
    <w:rsid w:val="001B4605"/>
    <w:rsid w:val="001B4962"/>
    <w:rsid w:val="001B52F9"/>
    <w:rsid w:val="001B559C"/>
    <w:rsid w:val="001B60A6"/>
    <w:rsid w:val="001B669B"/>
    <w:rsid w:val="001B74C6"/>
    <w:rsid w:val="001B7823"/>
    <w:rsid w:val="001C0532"/>
    <w:rsid w:val="001C0A5A"/>
    <w:rsid w:val="001C0D13"/>
    <w:rsid w:val="001C1651"/>
    <w:rsid w:val="001C1AC5"/>
    <w:rsid w:val="001C1B58"/>
    <w:rsid w:val="001C33F2"/>
    <w:rsid w:val="001C3973"/>
    <w:rsid w:val="001C3F5E"/>
    <w:rsid w:val="001C4BB5"/>
    <w:rsid w:val="001C4D5D"/>
    <w:rsid w:val="001C50B2"/>
    <w:rsid w:val="001C59DD"/>
    <w:rsid w:val="001C5C79"/>
    <w:rsid w:val="001C6114"/>
    <w:rsid w:val="001C64A6"/>
    <w:rsid w:val="001C6CE9"/>
    <w:rsid w:val="001C7371"/>
    <w:rsid w:val="001D09D9"/>
    <w:rsid w:val="001D2E19"/>
    <w:rsid w:val="001D3A98"/>
    <w:rsid w:val="001D3BA3"/>
    <w:rsid w:val="001D3E06"/>
    <w:rsid w:val="001D41DD"/>
    <w:rsid w:val="001D440D"/>
    <w:rsid w:val="001D45A4"/>
    <w:rsid w:val="001D5CFC"/>
    <w:rsid w:val="001D6546"/>
    <w:rsid w:val="001D688C"/>
    <w:rsid w:val="001D6E7F"/>
    <w:rsid w:val="001D7C64"/>
    <w:rsid w:val="001D7E17"/>
    <w:rsid w:val="001E01D2"/>
    <w:rsid w:val="001E0BAC"/>
    <w:rsid w:val="001E0F4C"/>
    <w:rsid w:val="001E0F4D"/>
    <w:rsid w:val="001E1AB7"/>
    <w:rsid w:val="001E257D"/>
    <w:rsid w:val="001E2A4C"/>
    <w:rsid w:val="001E2B04"/>
    <w:rsid w:val="001E2B06"/>
    <w:rsid w:val="001E2E38"/>
    <w:rsid w:val="001E32BE"/>
    <w:rsid w:val="001E34D8"/>
    <w:rsid w:val="001E3A4D"/>
    <w:rsid w:val="001E5A52"/>
    <w:rsid w:val="001E6997"/>
    <w:rsid w:val="001E6FF3"/>
    <w:rsid w:val="001E7B84"/>
    <w:rsid w:val="001F004C"/>
    <w:rsid w:val="001F01A5"/>
    <w:rsid w:val="001F1219"/>
    <w:rsid w:val="001F2536"/>
    <w:rsid w:val="001F28C5"/>
    <w:rsid w:val="001F3615"/>
    <w:rsid w:val="001F43BE"/>
    <w:rsid w:val="001F44B1"/>
    <w:rsid w:val="001F4B13"/>
    <w:rsid w:val="001F4BDE"/>
    <w:rsid w:val="001F5AE9"/>
    <w:rsid w:val="001F62EE"/>
    <w:rsid w:val="001F688D"/>
    <w:rsid w:val="001F7CCD"/>
    <w:rsid w:val="002002BA"/>
    <w:rsid w:val="00200603"/>
    <w:rsid w:val="0020076E"/>
    <w:rsid w:val="002009EA"/>
    <w:rsid w:val="00200CA7"/>
    <w:rsid w:val="00200D0A"/>
    <w:rsid w:val="00203102"/>
    <w:rsid w:val="00203450"/>
    <w:rsid w:val="002042FE"/>
    <w:rsid w:val="0020462B"/>
    <w:rsid w:val="002048DD"/>
    <w:rsid w:val="00204C92"/>
    <w:rsid w:val="0020592E"/>
    <w:rsid w:val="00205BD9"/>
    <w:rsid w:val="00205F98"/>
    <w:rsid w:val="002060CE"/>
    <w:rsid w:val="002068BB"/>
    <w:rsid w:val="00207123"/>
    <w:rsid w:val="00207CC7"/>
    <w:rsid w:val="00207CFF"/>
    <w:rsid w:val="00210906"/>
    <w:rsid w:val="00211213"/>
    <w:rsid w:val="002113BF"/>
    <w:rsid w:val="00211C12"/>
    <w:rsid w:val="00213CD9"/>
    <w:rsid w:val="002143C0"/>
    <w:rsid w:val="00214B5F"/>
    <w:rsid w:val="00214E6B"/>
    <w:rsid w:val="00215DD8"/>
    <w:rsid w:val="0021648C"/>
    <w:rsid w:val="0021654C"/>
    <w:rsid w:val="00216ADB"/>
    <w:rsid w:val="00216AED"/>
    <w:rsid w:val="00216D48"/>
    <w:rsid w:val="00216DDD"/>
    <w:rsid w:val="002179BB"/>
    <w:rsid w:val="00217A9E"/>
    <w:rsid w:val="00220303"/>
    <w:rsid w:val="0022066A"/>
    <w:rsid w:val="0022148B"/>
    <w:rsid w:val="0022178C"/>
    <w:rsid w:val="00221B0A"/>
    <w:rsid w:val="002221EF"/>
    <w:rsid w:val="002231D2"/>
    <w:rsid w:val="0022453E"/>
    <w:rsid w:val="00224843"/>
    <w:rsid w:val="00224A64"/>
    <w:rsid w:val="00224E86"/>
    <w:rsid w:val="002258AB"/>
    <w:rsid w:val="0022608B"/>
    <w:rsid w:val="00226DB0"/>
    <w:rsid w:val="00227AA1"/>
    <w:rsid w:val="0023041E"/>
    <w:rsid w:val="002308FA"/>
    <w:rsid w:val="002315DD"/>
    <w:rsid w:val="002319A4"/>
    <w:rsid w:val="0023270E"/>
    <w:rsid w:val="00232E77"/>
    <w:rsid w:val="00232F62"/>
    <w:rsid w:val="00233A7C"/>
    <w:rsid w:val="00234822"/>
    <w:rsid w:val="00235B40"/>
    <w:rsid w:val="002364AE"/>
    <w:rsid w:val="00237850"/>
    <w:rsid w:val="002414C1"/>
    <w:rsid w:val="00241813"/>
    <w:rsid w:val="00241956"/>
    <w:rsid w:val="00241C81"/>
    <w:rsid w:val="002426D3"/>
    <w:rsid w:val="00242BF1"/>
    <w:rsid w:val="002437D8"/>
    <w:rsid w:val="0024478C"/>
    <w:rsid w:val="00244935"/>
    <w:rsid w:val="00244C82"/>
    <w:rsid w:val="00244F01"/>
    <w:rsid w:val="00244F82"/>
    <w:rsid w:val="0024564B"/>
    <w:rsid w:val="0024607D"/>
    <w:rsid w:val="00246B05"/>
    <w:rsid w:val="00246BCE"/>
    <w:rsid w:val="00246E01"/>
    <w:rsid w:val="00247403"/>
    <w:rsid w:val="00247461"/>
    <w:rsid w:val="0025023E"/>
    <w:rsid w:val="00251498"/>
    <w:rsid w:val="0025233A"/>
    <w:rsid w:val="00253E4F"/>
    <w:rsid w:val="00253FA7"/>
    <w:rsid w:val="0025522B"/>
    <w:rsid w:val="00257413"/>
    <w:rsid w:val="002577C7"/>
    <w:rsid w:val="00257AB6"/>
    <w:rsid w:val="00257E1F"/>
    <w:rsid w:val="00257F26"/>
    <w:rsid w:val="002601EC"/>
    <w:rsid w:val="00260234"/>
    <w:rsid w:val="0026064A"/>
    <w:rsid w:val="00260CAA"/>
    <w:rsid w:val="002617C4"/>
    <w:rsid w:val="00261B61"/>
    <w:rsid w:val="0026203C"/>
    <w:rsid w:val="00262A03"/>
    <w:rsid w:val="00263636"/>
    <w:rsid w:val="00263655"/>
    <w:rsid w:val="00263F24"/>
    <w:rsid w:val="002641B7"/>
    <w:rsid w:val="00264946"/>
    <w:rsid w:val="00265293"/>
    <w:rsid w:val="00265BF4"/>
    <w:rsid w:val="00265D36"/>
    <w:rsid w:val="0026627F"/>
    <w:rsid w:val="0026633E"/>
    <w:rsid w:val="00267165"/>
    <w:rsid w:val="0026768E"/>
    <w:rsid w:val="0027008F"/>
    <w:rsid w:val="00271699"/>
    <w:rsid w:val="002721E4"/>
    <w:rsid w:val="0027235D"/>
    <w:rsid w:val="00272EEA"/>
    <w:rsid w:val="00273AB6"/>
    <w:rsid w:val="00274E66"/>
    <w:rsid w:val="002758CD"/>
    <w:rsid w:val="00275B13"/>
    <w:rsid w:val="002768F3"/>
    <w:rsid w:val="00276935"/>
    <w:rsid w:val="00277418"/>
    <w:rsid w:val="002775D4"/>
    <w:rsid w:val="0027781F"/>
    <w:rsid w:val="002778C4"/>
    <w:rsid w:val="00277CBB"/>
    <w:rsid w:val="00277CF5"/>
    <w:rsid w:val="00280135"/>
    <w:rsid w:val="002809EC"/>
    <w:rsid w:val="00280FDD"/>
    <w:rsid w:val="00280FF1"/>
    <w:rsid w:val="00281589"/>
    <w:rsid w:val="00282873"/>
    <w:rsid w:val="0028291A"/>
    <w:rsid w:val="002832E4"/>
    <w:rsid w:val="002833FF"/>
    <w:rsid w:val="00283603"/>
    <w:rsid w:val="002842E6"/>
    <w:rsid w:val="00284591"/>
    <w:rsid w:val="00284C3C"/>
    <w:rsid w:val="002850C4"/>
    <w:rsid w:val="00285263"/>
    <w:rsid w:val="00285905"/>
    <w:rsid w:val="002861C8"/>
    <w:rsid w:val="002861CC"/>
    <w:rsid w:val="00286C71"/>
    <w:rsid w:val="00287331"/>
    <w:rsid w:val="00287A26"/>
    <w:rsid w:val="00287B3B"/>
    <w:rsid w:val="00290429"/>
    <w:rsid w:val="00290852"/>
    <w:rsid w:val="002914E1"/>
    <w:rsid w:val="002920E7"/>
    <w:rsid w:val="0029294D"/>
    <w:rsid w:val="00293BE4"/>
    <w:rsid w:val="00293FBA"/>
    <w:rsid w:val="002941CA"/>
    <w:rsid w:val="002958F5"/>
    <w:rsid w:val="00295B19"/>
    <w:rsid w:val="002962CE"/>
    <w:rsid w:val="0029661E"/>
    <w:rsid w:val="002978CF"/>
    <w:rsid w:val="00297DEF"/>
    <w:rsid w:val="002A0333"/>
    <w:rsid w:val="002A0CD7"/>
    <w:rsid w:val="002A0DC4"/>
    <w:rsid w:val="002A14CC"/>
    <w:rsid w:val="002A220C"/>
    <w:rsid w:val="002A3CA6"/>
    <w:rsid w:val="002A405E"/>
    <w:rsid w:val="002A406D"/>
    <w:rsid w:val="002A42F4"/>
    <w:rsid w:val="002A4A62"/>
    <w:rsid w:val="002A545F"/>
    <w:rsid w:val="002A594D"/>
    <w:rsid w:val="002A6399"/>
    <w:rsid w:val="002A6B02"/>
    <w:rsid w:val="002A73DD"/>
    <w:rsid w:val="002A7442"/>
    <w:rsid w:val="002A7A78"/>
    <w:rsid w:val="002B10A0"/>
    <w:rsid w:val="002B1713"/>
    <w:rsid w:val="002B1AC0"/>
    <w:rsid w:val="002B1E0C"/>
    <w:rsid w:val="002B2220"/>
    <w:rsid w:val="002B23C2"/>
    <w:rsid w:val="002B2A02"/>
    <w:rsid w:val="002B3D0B"/>
    <w:rsid w:val="002B444D"/>
    <w:rsid w:val="002B45B8"/>
    <w:rsid w:val="002B45F1"/>
    <w:rsid w:val="002B46B8"/>
    <w:rsid w:val="002B4816"/>
    <w:rsid w:val="002B5903"/>
    <w:rsid w:val="002B66F2"/>
    <w:rsid w:val="002B7EC9"/>
    <w:rsid w:val="002C0310"/>
    <w:rsid w:val="002C0476"/>
    <w:rsid w:val="002C057A"/>
    <w:rsid w:val="002C05FA"/>
    <w:rsid w:val="002C0D08"/>
    <w:rsid w:val="002C0D41"/>
    <w:rsid w:val="002C0FE5"/>
    <w:rsid w:val="002C111E"/>
    <w:rsid w:val="002C1872"/>
    <w:rsid w:val="002C2E49"/>
    <w:rsid w:val="002C31E9"/>
    <w:rsid w:val="002C31FE"/>
    <w:rsid w:val="002C3C76"/>
    <w:rsid w:val="002C3DCF"/>
    <w:rsid w:val="002C42A3"/>
    <w:rsid w:val="002C4E0D"/>
    <w:rsid w:val="002C512C"/>
    <w:rsid w:val="002C5512"/>
    <w:rsid w:val="002C599B"/>
    <w:rsid w:val="002C60B6"/>
    <w:rsid w:val="002C6DFE"/>
    <w:rsid w:val="002C73CB"/>
    <w:rsid w:val="002C7526"/>
    <w:rsid w:val="002C774F"/>
    <w:rsid w:val="002C7AAE"/>
    <w:rsid w:val="002C7E0B"/>
    <w:rsid w:val="002D007C"/>
    <w:rsid w:val="002D027E"/>
    <w:rsid w:val="002D162D"/>
    <w:rsid w:val="002D1850"/>
    <w:rsid w:val="002D2463"/>
    <w:rsid w:val="002D2656"/>
    <w:rsid w:val="002D2AD9"/>
    <w:rsid w:val="002D3B02"/>
    <w:rsid w:val="002D3D1B"/>
    <w:rsid w:val="002D4723"/>
    <w:rsid w:val="002D4BAE"/>
    <w:rsid w:val="002D5E23"/>
    <w:rsid w:val="002D65BE"/>
    <w:rsid w:val="002D69EC"/>
    <w:rsid w:val="002D6FAF"/>
    <w:rsid w:val="002D7133"/>
    <w:rsid w:val="002D7395"/>
    <w:rsid w:val="002E0B84"/>
    <w:rsid w:val="002E1182"/>
    <w:rsid w:val="002E1334"/>
    <w:rsid w:val="002E2694"/>
    <w:rsid w:val="002E5E19"/>
    <w:rsid w:val="002E5E75"/>
    <w:rsid w:val="002E752D"/>
    <w:rsid w:val="002E7628"/>
    <w:rsid w:val="002E76E1"/>
    <w:rsid w:val="002F01E5"/>
    <w:rsid w:val="002F073D"/>
    <w:rsid w:val="002F093F"/>
    <w:rsid w:val="002F0AA0"/>
    <w:rsid w:val="002F0C7E"/>
    <w:rsid w:val="002F0F73"/>
    <w:rsid w:val="002F1195"/>
    <w:rsid w:val="002F1B69"/>
    <w:rsid w:val="002F1CC4"/>
    <w:rsid w:val="002F31D3"/>
    <w:rsid w:val="002F46FC"/>
    <w:rsid w:val="002F4768"/>
    <w:rsid w:val="002F47CD"/>
    <w:rsid w:val="002F4BF8"/>
    <w:rsid w:val="002F6EE2"/>
    <w:rsid w:val="002F6FBA"/>
    <w:rsid w:val="0030062C"/>
    <w:rsid w:val="00300C32"/>
    <w:rsid w:val="00300E23"/>
    <w:rsid w:val="00301D4E"/>
    <w:rsid w:val="003025E1"/>
    <w:rsid w:val="00302882"/>
    <w:rsid w:val="00303131"/>
    <w:rsid w:val="003032DA"/>
    <w:rsid w:val="0030348D"/>
    <w:rsid w:val="00304190"/>
    <w:rsid w:val="00304B1E"/>
    <w:rsid w:val="00306DF3"/>
    <w:rsid w:val="00307631"/>
    <w:rsid w:val="0031073D"/>
    <w:rsid w:val="00310DC6"/>
    <w:rsid w:val="00311F8F"/>
    <w:rsid w:val="0031248F"/>
    <w:rsid w:val="00312A38"/>
    <w:rsid w:val="0031374D"/>
    <w:rsid w:val="0031478E"/>
    <w:rsid w:val="0031523C"/>
    <w:rsid w:val="00315338"/>
    <w:rsid w:val="00315BA3"/>
    <w:rsid w:val="003162FD"/>
    <w:rsid w:val="00316463"/>
    <w:rsid w:val="003164A5"/>
    <w:rsid w:val="003164D4"/>
    <w:rsid w:val="003169F8"/>
    <w:rsid w:val="00316BEB"/>
    <w:rsid w:val="00317208"/>
    <w:rsid w:val="00317B82"/>
    <w:rsid w:val="0032055D"/>
    <w:rsid w:val="0032075C"/>
    <w:rsid w:val="003227FB"/>
    <w:rsid w:val="00323A83"/>
    <w:rsid w:val="00323E0F"/>
    <w:rsid w:val="00323EEB"/>
    <w:rsid w:val="00324D49"/>
    <w:rsid w:val="0032585E"/>
    <w:rsid w:val="00326D5E"/>
    <w:rsid w:val="003275EE"/>
    <w:rsid w:val="003279F2"/>
    <w:rsid w:val="00327D2B"/>
    <w:rsid w:val="00327DEE"/>
    <w:rsid w:val="0033096C"/>
    <w:rsid w:val="00330D41"/>
    <w:rsid w:val="00330EEA"/>
    <w:rsid w:val="003311C6"/>
    <w:rsid w:val="00331E22"/>
    <w:rsid w:val="00332E72"/>
    <w:rsid w:val="00332E82"/>
    <w:rsid w:val="00333403"/>
    <w:rsid w:val="00333BCE"/>
    <w:rsid w:val="00333C42"/>
    <w:rsid w:val="003340C3"/>
    <w:rsid w:val="0033436D"/>
    <w:rsid w:val="00334E13"/>
    <w:rsid w:val="00335189"/>
    <w:rsid w:val="003365EF"/>
    <w:rsid w:val="00337602"/>
    <w:rsid w:val="00337966"/>
    <w:rsid w:val="00337CBD"/>
    <w:rsid w:val="003408CD"/>
    <w:rsid w:val="003416D2"/>
    <w:rsid w:val="00342354"/>
    <w:rsid w:val="0034337E"/>
    <w:rsid w:val="00343D12"/>
    <w:rsid w:val="003441C5"/>
    <w:rsid w:val="003445BA"/>
    <w:rsid w:val="003446D9"/>
    <w:rsid w:val="00345751"/>
    <w:rsid w:val="00345824"/>
    <w:rsid w:val="0034667D"/>
    <w:rsid w:val="003466AF"/>
    <w:rsid w:val="00347F45"/>
    <w:rsid w:val="003504C6"/>
    <w:rsid w:val="00351CDD"/>
    <w:rsid w:val="00354182"/>
    <w:rsid w:val="00354612"/>
    <w:rsid w:val="0035490C"/>
    <w:rsid w:val="00355935"/>
    <w:rsid w:val="00355C82"/>
    <w:rsid w:val="00356033"/>
    <w:rsid w:val="00356E35"/>
    <w:rsid w:val="00356E58"/>
    <w:rsid w:val="00360FD9"/>
    <w:rsid w:val="00361333"/>
    <w:rsid w:val="0036158B"/>
    <w:rsid w:val="00361C03"/>
    <w:rsid w:val="00361F25"/>
    <w:rsid w:val="00362324"/>
    <w:rsid w:val="00362375"/>
    <w:rsid w:val="003632A3"/>
    <w:rsid w:val="00364757"/>
    <w:rsid w:val="00364BFC"/>
    <w:rsid w:val="00364C39"/>
    <w:rsid w:val="00365AC2"/>
    <w:rsid w:val="00365B87"/>
    <w:rsid w:val="00366564"/>
    <w:rsid w:val="00366B28"/>
    <w:rsid w:val="0036739D"/>
    <w:rsid w:val="00367910"/>
    <w:rsid w:val="00370377"/>
    <w:rsid w:val="003703F1"/>
    <w:rsid w:val="00371928"/>
    <w:rsid w:val="00372251"/>
    <w:rsid w:val="0037226A"/>
    <w:rsid w:val="00373289"/>
    <w:rsid w:val="00373421"/>
    <w:rsid w:val="00373848"/>
    <w:rsid w:val="00374783"/>
    <w:rsid w:val="0037592A"/>
    <w:rsid w:val="003765A7"/>
    <w:rsid w:val="00383083"/>
    <w:rsid w:val="003830BC"/>
    <w:rsid w:val="003832EA"/>
    <w:rsid w:val="0038461B"/>
    <w:rsid w:val="00384A0E"/>
    <w:rsid w:val="003855C8"/>
    <w:rsid w:val="00385687"/>
    <w:rsid w:val="0038635C"/>
    <w:rsid w:val="003866CC"/>
    <w:rsid w:val="0038716E"/>
    <w:rsid w:val="00387241"/>
    <w:rsid w:val="00387F4E"/>
    <w:rsid w:val="003904BB"/>
    <w:rsid w:val="0039072E"/>
    <w:rsid w:val="00390B2F"/>
    <w:rsid w:val="00391209"/>
    <w:rsid w:val="00391271"/>
    <w:rsid w:val="00392114"/>
    <w:rsid w:val="0039268A"/>
    <w:rsid w:val="003927BC"/>
    <w:rsid w:val="00392D14"/>
    <w:rsid w:val="00392F79"/>
    <w:rsid w:val="00393658"/>
    <w:rsid w:val="00393966"/>
    <w:rsid w:val="0039437F"/>
    <w:rsid w:val="00394A05"/>
    <w:rsid w:val="00394B50"/>
    <w:rsid w:val="003953D5"/>
    <w:rsid w:val="003954E4"/>
    <w:rsid w:val="00395504"/>
    <w:rsid w:val="00395786"/>
    <w:rsid w:val="003967D5"/>
    <w:rsid w:val="00396F62"/>
    <w:rsid w:val="0039726E"/>
    <w:rsid w:val="00397E66"/>
    <w:rsid w:val="003A0A57"/>
    <w:rsid w:val="003A1ECC"/>
    <w:rsid w:val="003A250E"/>
    <w:rsid w:val="003A2582"/>
    <w:rsid w:val="003A4065"/>
    <w:rsid w:val="003A4609"/>
    <w:rsid w:val="003A4B17"/>
    <w:rsid w:val="003A4B87"/>
    <w:rsid w:val="003A4D79"/>
    <w:rsid w:val="003A5221"/>
    <w:rsid w:val="003A5755"/>
    <w:rsid w:val="003A6A28"/>
    <w:rsid w:val="003B075D"/>
    <w:rsid w:val="003B264A"/>
    <w:rsid w:val="003B2FDC"/>
    <w:rsid w:val="003B4E82"/>
    <w:rsid w:val="003B5E68"/>
    <w:rsid w:val="003B6EFE"/>
    <w:rsid w:val="003B703E"/>
    <w:rsid w:val="003B75C7"/>
    <w:rsid w:val="003B7712"/>
    <w:rsid w:val="003B7FE0"/>
    <w:rsid w:val="003C05F2"/>
    <w:rsid w:val="003C1D35"/>
    <w:rsid w:val="003C2C4C"/>
    <w:rsid w:val="003C2F97"/>
    <w:rsid w:val="003C3845"/>
    <w:rsid w:val="003C3DC5"/>
    <w:rsid w:val="003C3EFB"/>
    <w:rsid w:val="003C4087"/>
    <w:rsid w:val="003C44FF"/>
    <w:rsid w:val="003C54F0"/>
    <w:rsid w:val="003D00E8"/>
    <w:rsid w:val="003D0532"/>
    <w:rsid w:val="003D092C"/>
    <w:rsid w:val="003D0D84"/>
    <w:rsid w:val="003D138A"/>
    <w:rsid w:val="003D145D"/>
    <w:rsid w:val="003D18E0"/>
    <w:rsid w:val="003D18E2"/>
    <w:rsid w:val="003D1C66"/>
    <w:rsid w:val="003D21F2"/>
    <w:rsid w:val="003D2388"/>
    <w:rsid w:val="003D24B5"/>
    <w:rsid w:val="003D2ECF"/>
    <w:rsid w:val="003D371B"/>
    <w:rsid w:val="003D3F5B"/>
    <w:rsid w:val="003D47C5"/>
    <w:rsid w:val="003D537C"/>
    <w:rsid w:val="003D57EC"/>
    <w:rsid w:val="003D5B10"/>
    <w:rsid w:val="003D5C35"/>
    <w:rsid w:val="003D735A"/>
    <w:rsid w:val="003D7468"/>
    <w:rsid w:val="003D76B9"/>
    <w:rsid w:val="003E0435"/>
    <w:rsid w:val="003E07CE"/>
    <w:rsid w:val="003E3422"/>
    <w:rsid w:val="003E3DD9"/>
    <w:rsid w:val="003E5E12"/>
    <w:rsid w:val="003E649F"/>
    <w:rsid w:val="003E74BD"/>
    <w:rsid w:val="003E785F"/>
    <w:rsid w:val="003E7CCB"/>
    <w:rsid w:val="003F0CCA"/>
    <w:rsid w:val="003F1A83"/>
    <w:rsid w:val="003F23B5"/>
    <w:rsid w:val="003F2C49"/>
    <w:rsid w:val="003F4301"/>
    <w:rsid w:val="003F5101"/>
    <w:rsid w:val="003F537F"/>
    <w:rsid w:val="003F57DC"/>
    <w:rsid w:val="003F6FC6"/>
    <w:rsid w:val="003F7386"/>
    <w:rsid w:val="003F7C13"/>
    <w:rsid w:val="004008F8"/>
    <w:rsid w:val="00401502"/>
    <w:rsid w:val="00401D02"/>
    <w:rsid w:val="00402DF7"/>
    <w:rsid w:val="004033CE"/>
    <w:rsid w:val="00403685"/>
    <w:rsid w:val="004036D3"/>
    <w:rsid w:val="00403B85"/>
    <w:rsid w:val="004045CE"/>
    <w:rsid w:val="0040485D"/>
    <w:rsid w:val="00404FD1"/>
    <w:rsid w:val="00405ACC"/>
    <w:rsid w:val="004065A9"/>
    <w:rsid w:val="00406A7F"/>
    <w:rsid w:val="00407021"/>
    <w:rsid w:val="0040732B"/>
    <w:rsid w:val="0040774E"/>
    <w:rsid w:val="00407B53"/>
    <w:rsid w:val="00410A23"/>
    <w:rsid w:val="00410BC5"/>
    <w:rsid w:val="00411442"/>
    <w:rsid w:val="00411B1B"/>
    <w:rsid w:val="00412282"/>
    <w:rsid w:val="0041256C"/>
    <w:rsid w:val="00413363"/>
    <w:rsid w:val="00413DC2"/>
    <w:rsid w:val="004157ED"/>
    <w:rsid w:val="00415BA5"/>
    <w:rsid w:val="00416AFB"/>
    <w:rsid w:val="004179C3"/>
    <w:rsid w:val="004200D9"/>
    <w:rsid w:val="004201AE"/>
    <w:rsid w:val="00420A60"/>
    <w:rsid w:val="0042145E"/>
    <w:rsid w:val="00421776"/>
    <w:rsid w:val="004220B8"/>
    <w:rsid w:val="00422503"/>
    <w:rsid w:val="004225E8"/>
    <w:rsid w:val="00422CC8"/>
    <w:rsid w:val="00423045"/>
    <w:rsid w:val="00425429"/>
    <w:rsid w:val="0042696E"/>
    <w:rsid w:val="00426B6A"/>
    <w:rsid w:val="00427658"/>
    <w:rsid w:val="004304CF"/>
    <w:rsid w:val="004311DF"/>
    <w:rsid w:val="0043322B"/>
    <w:rsid w:val="00433A28"/>
    <w:rsid w:val="00434133"/>
    <w:rsid w:val="00435A42"/>
    <w:rsid w:val="00436AA4"/>
    <w:rsid w:val="00437C13"/>
    <w:rsid w:val="004410FD"/>
    <w:rsid w:val="0044161D"/>
    <w:rsid w:val="004416E2"/>
    <w:rsid w:val="0044184A"/>
    <w:rsid w:val="00441A06"/>
    <w:rsid w:val="00443273"/>
    <w:rsid w:val="004437B0"/>
    <w:rsid w:val="00443DA4"/>
    <w:rsid w:val="004442ED"/>
    <w:rsid w:val="00444C0C"/>
    <w:rsid w:val="004453F7"/>
    <w:rsid w:val="00446730"/>
    <w:rsid w:val="00446A12"/>
    <w:rsid w:val="00446BD4"/>
    <w:rsid w:val="0044777A"/>
    <w:rsid w:val="00447A05"/>
    <w:rsid w:val="0045253C"/>
    <w:rsid w:val="00452BD0"/>
    <w:rsid w:val="0045349D"/>
    <w:rsid w:val="00453A3A"/>
    <w:rsid w:val="00454486"/>
    <w:rsid w:val="00454DAE"/>
    <w:rsid w:val="0045508C"/>
    <w:rsid w:val="004557F8"/>
    <w:rsid w:val="00455F02"/>
    <w:rsid w:val="00456D27"/>
    <w:rsid w:val="00456DAF"/>
    <w:rsid w:val="0045728A"/>
    <w:rsid w:val="00457829"/>
    <w:rsid w:val="00457BD2"/>
    <w:rsid w:val="004604C5"/>
    <w:rsid w:val="004604F6"/>
    <w:rsid w:val="004607FE"/>
    <w:rsid w:val="00460D7A"/>
    <w:rsid w:val="00460E69"/>
    <w:rsid w:val="0046169F"/>
    <w:rsid w:val="00461BC9"/>
    <w:rsid w:val="00461D82"/>
    <w:rsid w:val="00464279"/>
    <w:rsid w:val="0046476F"/>
    <w:rsid w:val="00464783"/>
    <w:rsid w:val="00465393"/>
    <w:rsid w:val="00465FA8"/>
    <w:rsid w:val="00466ECB"/>
    <w:rsid w:val="00466FD8"/>
    <w:rsid w:val="00467797"/>
    <w:rsid w:val="00467C39"/>
    <w:rsid w:val="00467C6A"/>
    <w:rsid w:val="0047030B"/>
    <w:rsid w:val="004705DD"/>
    <w:rsid w:val="00470608"/>
    <w:rsid w:val="00470BCC"/>
    <w:rsid w:val="00470DF8"/>
    <w:rsid w:val="004718BE"/>
    <w:rsid w:val="00472463"/>
    <w:rsid w:val="00473D04"/>
    <w:rsid w:val="00473D05"/>
    <w:rsid w:val="00473D55"/>
    <w:rsid w:val="00474296"/>
    <w:rsid w:val="0047463E"/>
    <w:rsid w:val="00474A4B"/>
    <w:rsid w:val="00475249"/>
    <w:rsid w:val="004758BD"/>
    <w:rsid w:val="004761FD"/>
    <w:rsid w:val="00476B71"/>
    <w:rsid w:val="00476CD0"/>
    <w:rsid w:val="00476F2D"/>
    <w:rsid w:val="0047748A"/>
    <w:rsid w:val="0047777F"/>
    <w:rsid w:val="00477816"/>
    <w:rsid w:val="004800A0"/>
    <w:rsid w:val="004807E4"/>
    <w:rsid w:val="00480837"/>
    <w:rsid w:val="00481E64"/>
    <w:rsid w:val="00481EDA"/>
    <w:rsid w:val="00482053"/>
    <w:rsid w:val="00482284"/>
    <w:rsid w:val="0048280E"/>
    <w:rsid w:val="00482C14"/>
    <w:rsid w:val="00482C4F"/>
    <w:rsid w:val="0048338A"/>
    <w:rsid w:val="00483C24"/>
    <w:rsid w:val="00483D96"/>
    <w:rsid w:val="004841C7"/>
    <w:rsid w:val="0048440F"/>
    <w:rsid w:val="00484C73"/>
    <w:rsid w:val="00484D84"/>
    <w:rsid w:val="00484E64"/>
    <w:rsid w:val="00485AFB"/>
    <w:rsid w:val="00485E88"/>
    <w:rsid w:val="00486AA5"/>
    <w:rsid w:val="00487792"/>
    <w:rsid w:val="004878BB"/>
    <w:rsid w:val="00487A07"/>
    <w:rsid w:val="004902CC"/>
    <w:rsid w:val="00490458"/>
    <w:rsid w:val="00491076"/>
    <w:rsid w:val="004917BC"/>
    <w:rsid w:val="00491BC0"/>
    <w:rsid w:val="004921E0"/>
    <w:rsid w:val="004928A2"/>
    <w:rsid w:val="00493F0D"/>
    <w:rsid w:val="00494160"/>
    <w:rsid w:val="004941FF"/>
    <w:rsid w:val="004948EE"/>
    <w:rsid w:val="00494943"/>
    <w:rsid w:val="00494C79"/>
    <w:rsid w:val="004953E6"/>
    <w:rsid w:val="00495874"/>
    <w:rsid w:val="00495A59"/>
    <w:rsid w:val="00496514"/>
    <w:rsid w:val="00496C0B"/>
    <w:rsid w:val="00496EAD"/>
    <w:rsid w:val="0049729E"/>
    <w:rsid w:val="004A0674"/>
    <w:rsid w:val="004A1339"/>
    <w:rsid w:val="004A14DB"/>
    <w:rsid w:val="004A222B"/>
    <w:rsid w:val="004A260D"/>
    <w:rsid w:val="004A3350"/>
    <w:rsid w:val="004A3965"/>
    <w:rsid w:val="004A3C3D"/>
    <w:rsid w:val="004A3F1F"/>
    <w:rsid w:val="004A446D"/>
    <w:rsid w:val="004A4952"/>
    <w:rsid w:val="004A4EAE"/>
    <w:rsid w:val="004A61C9"/>
    <w:rsid w:val="004A66CF"/>
    <w:rsid w:val="004A7CC1"/>
    <w:rsid w:val="004A7D99"/>
    <w:rsid w:val="004B04A0"/>
    <w:rsid w:val="004B07AB"/>
    <w:rsid w:val="004B15B2"/>
    <w:rsid w:val="004B1D47"/>
    <w:rsid w:val="004B202C"/>
    <w:rsid w:val="004B2155"/>
    <w:rsid w:val="004B33FD"/>
    <w:rsid w:val="004B3BEF"/>
    <w:rsid w:val="004B3C15"/>
    <w:rsid w:val="004B3C4D"/>
    <w:rsid w:val="004B4045"/>
    <w:rsid w:val="004B4118"/>
    <w:rsid w:val="004B4777"/>
    <w:rsid w:val="004B5112"/>
    <w:rsid w:val="004B6081"/>
    <w:rsid w:val="004B6D0F"/>
    <w:rsid w:val="004B7664"/>
    <w:rsid w:val="004B7B0A"/>
    <w:rsid w:val="004B7F34"/>
    <w:rsid w:val="004C03CD"/>
    <w:rsid w:val="004C05BC"/>
    <w:rsid w:val="004C0972"/>
    <w:rsid w:val="004C25A4"/>
    <w:rsid w:val="004C3056"/>
    <w:rsid w:val="004C31CB"/>
    <w:rsid w:val="004C34DA"/>
    <w:rsid w:val="004C3E6A"/>
    <w:rsid w:val="004C49C0"/>
    <w:rsid w:val="004C574D"/>
    <w:rsid w:val="004C5AA3"/>
    <w:rsid w:val="004C614C"/>
    <w:rsid w:val="004C7520"/>
    <w:rsid w:val="004C7BAF"/>
    <w:rsid w:val="004C7F84"/>
    <w:rsid w:val="004D02AA"/>
    <w:rsid w:val="004D0369"/>
    <w:rsid w:val="004D0A16"/>
    <w:rsid w:val="004D1F58"/>
    <w:rsid w:val="004D1F80"/>
    <w:rsid w:val="004D2400"/>
    <w:rsid w:val="004D3745"/>
    <w:rsid w:val="004D3E26"/>
    <w:rsid w:val="004D439C"/>
    <w:rsid w:val="004D44EE"/>
    <w:rsid w:val="004D4741"/>
    <w:rsid w:val="004D607E"/>
    <w:rsid w:val="004D6922"/>
    <w:rsid w:val="004D696E"/>
    <w:rsid w:val="004D796E"/>
    <w:rsid w:val="004D7A5C"/>
    <w:rsid w:val="004E01E2"/>
    <w:rsid w:val="004E0E17"/>
    <w:rsid w:val="004E10F0"/>
    <w:rsid w:val="004E119A"/>
    <w:rsid w:val="004E16FB"/>
    <w:rsid w:val="004E1901"/>
    <w:rsid w:val="004E24DA"/>
    <w:rsid w:val="004E2F7B"/>
    <w:rsid w:val="004E34D9"/>
    <w:rsid w:val="004E35D3"/>
    <w:rsid w:val="004E4014"/>
    <w:rsid w:val="004E44C4"/>
    <w:rsid w:val="004E46AC"/>
    <w:rsid w:val="004E4CBF"/>
    <w:rsid w:val="004E4E4D"/>
    <w:rsid w:val="004E4EB2"/>
    <w:rsid w:val="004E5052"/>
    <w:rsid w:val="004E5113"/>
    <w:rsid w:val="004E5892"/>
    <w:rsid w:val="004E5989"/>
    <w:rsid w:val="004E5ED8"/>
    <w:rsid w:val="004E5F21"/>
    <w:rsid w:val="004E6B9D"/>
    <w:rsid w:val="004E6EBA"/>
    <w:rsid w:val="004E7331"/>
    <w:rsid w:val="004F0AB6"/>
    <w:rsid w:val="004F1432"/>
    <w:rsid w:val="004F1BB9"/>
    <w:rsid w:val="004F1C75"/>
    <w:rsid w:val="004F2278"/>
    <w:rsid w:val="004F2581"/>
    <w:rsid w:val="004F32B6"/>
    <w:rsid w:val="004F38C5"/>
    <w:rsid w:val="004F3958"/>
    <w:rsid w:val="004F43DF"/>
    <w:rsid w:val="004F45C8"/>
    <w:rsid w:val="004F4F0B"/>
    <w:rsid w:val="004F5234"/>
    <w:rsid w:val="004F53A2"/>
    <w:rsid w:val="004F541F"/>
    <w:rsid w:val="004F542A"/>
    <w:rsid w:val="004F5A68"/>
    <w:rsid w:val="004F60A9"/>
    <w:rsid w:val="004F60FB"/>
    <w:rsid w:val="004F63C6"/>
    <w:rsid w:val="004F6CA2"/>
    <w:rsid w:val="004F6FC2"/>
    <w:rsid w:val="004F7425"/>
    <w:rsid w:val="004F76D7"/>
    <w:rsid w:val="004F7A8F"/>
    <w:rsid w:val="00500117"/>
    <w:rsid w:val="005007D9"/>
    <w:rsid w:val="0050253B"/>
    <w:rsid w:val="00502FE6"/>
    <w:rsid w:val="005043F3"/>
    <w:rsid w:val="00504548"/>
    <w:rsid w:val="00506034"/>
    <w:rsid w:val="005067C7"/>
    <w:rsid w:val="00507286"/>
    <w:rsid w:val="00511479"/>
    <w:rsid w:val="00511591"/>
    <w:rsid w:val="005119A1"/>
    <w:rsid w:val="00513691"/>
    <w:rsid w:val="00514B5F"/>
    <w:rsid w:val="00514D56"/>
    <w:rsid w:val="005156FC"/>
    <w:rsid w:val="00515B67"/>
    <w:rsid w:val="005172E7"/>
    <w:rsid w:val="0051739E"/>
    <w:rsid w:val="00521DF6"/>
    <w:rsid w:val="00521E7C"/>
    <w:rsid w:val="005228FC"/>
    <w:rsid w:val="00523120"/>
    <w:rsid w:val="00523757"/>
    <w:rsid w:val="00524536"/>
    <w:rsid w:val="0052463F"/>
    <w:rsid w:val="005248DB"/>
    <w:rsid w:val="00524C4B"/>
    <w:rsid w:val="00524D8A"/>
    <w:rsid w:val="005255D3"/>
    <w:rsid w:val="0052562A"/>
    <w:rsid w:val="0052580F"/>
    <w:rsid w:val="0052642F"/>
    <w:rsid w:val="0052643A"/>
    <w:rsid w:val="00530269"/>
    <w:rsid w:val="005303D0"/>
    <w:rsid w:val="00530575"/>
    <w:rsid w:val="00530F63"/>
    <w:rsid w:val="005312DF"/>
    <w:rsid w:val="00531378"/>
    <w:rsid w:val="00531A71"/>
    <w:rsid w:val="00532384"/>
    <w:rsid w:val="005328BA"/>
    <w:rsid w:val="00532A3A"/>
    <w:rsid w:val="00532D7D"/>
    <w:rsid w:val="00533215"/>
    <w:rsid w:val="00534888"/>
    <w:rsid w:val="00535A46"/>
    <w:rsid w:val="0053659C"/>
    <w:rsid w:val="0053698F"/>
    <w:rsid w:val="00536B9B"/>
    <w:rsid w:val="00536F32"/>
    <w:rsid w:val="00537029"/>
    <w:rsid w:val="0053781B"/>
    <w:rsid w:val="00540485"/>
    <w:rsid w:val="005407E0"/>
    <w:rsid w:val="00540917"/>
    <w:rsid w:val="00541106"/>
    <w:rsid w:val="0054137A"/>
    <w:rsid w:val="00541594"/>
    <w:rsid w:val="005416A1"/>
    <w:rsid w:val="005420BC"/>
    <w:rsid w:val="005439F2"/>
    <w:rsid w:val="00543CEC"/>
    <w:rsid w:val="00544835"/>
    <w:rsid w:val="00545472"/>
    <w:rsid w:val="00545636"/>
    <w:rsid w:val="0054628C"/>
    <w:rsid w:val="0054654C"/>
    <w:rsid w:val="005465C8"/>
    <w:rsid w:val="00547587"/>
    <w:rsid w:val="005475AD"/>
    <w:rsid w:val="005479AC"/>
    <w:rsid w:val="00547AF6"/>
    <w:rsid w:val="0055028C"/>
    <w:rsid w:val="00550566"/>
    <w:rsid w:val="0055114A"/>
    <w:rsid w:val="005531A7"/>
    <w:rsid w:val="005536FB"/>
    <w:rsid w:val="00554154"/>
    <w:rsid w:val="0055497C"/>
    <w:rsid w:val="00554C74"/>
    <w:rsid w:val="00556171"/>
    <w:rsid w:val="00557434"/>
    <w:rsid w:val="0055746D"/>
    <w:rsid w:val="005579F2"/>
    <w:rsid w:val="005602C3"/>
    <w:rsid w:val="005605D0"/>
    <w:rsid w:val="00560A39"/>
    <w:rsid w:val="0056226A"/>
    <w:rsid w:val="00562949"/>
    <w:rsid w:val="005636EC"/>
    <w:rsid w:val="00564A29"/>
    <w:rsid w:val="00564BEA"/>
    <w:rsid w:val="00565A38"/>
    <w:rsid w:val="00565F51"/>
    <w:rsid w:val="005669FB"/>
    <w:rsid w:val="00566F72"/>
    <w:rsid w:val="00567B56"/>
    <w:rsid w:val="00567DAE"/>
    <w:rsid w:val="00567F15"/>
    <w:rsid w:val="005705A3"/>
    <w:rsid w:val="00570CF8"/>
    <w:rsid w:val="00570E04"/>
    <w:rsid w:val="005715F4"/>
    <w:rsid w:val="005717D8"/>
    <w:rsid w:val="00572188"/>
    <w:rsid w:val="005721D9"/>
    <w:rsid w:val="005721E5"/>
    <w:rsid w:val="00572334"/>
    <w:rsid w:val="00572687"/>
    <w:rsid w:val="0057297E"/>
    <w:rsid w:val="00572D11"/>
    <w:rsid w:val="00572E8D"/>
    <w:rsid w:val="0057445A"/>
    <w:rsid w:val="00574E9F"/>
    <w:rsid w:val="00574F4B"/>
    <w:rsid w:val="0057507A"/>
    <w:rsid w:val="00575220"/>
    <w:rsid w:val="00575DAD"/>
    <w:rsid w:val="00576AB3"/>
    <w:rsid w:val="005770B5"/>
    <w:rsid w:val="0057711B"/>
    <w:rsid w:val="00577FA7"/>
    <w:rsid w:val="00582F78"/>
    <w:rsid w:val="005838DA"/>
    <w:rsid w:val="00583D82"/>
    <w:rsid w:val="0058428F"/>
    <w:rsid w:val="005844E2"/>
    <w:rsid w:val="00585B58"/>
    <w:rsid w:val="00586482"/>
    <w:rsid w:val="0058669C"/>
    <w:rsid w:val="00586C05"/>
    <w:rsid w:val="00586F96"/>
    <w:rsid w:val="00587827"/>
    <w:rsid w:val="00590949"/>
    <w:rsid w:val="00590A4D"/>
    <w:rsid w:val="00590F96"/>
    <w:rsid w:val="00591CF7"/>
    <w:rsid w:val="00591D8A"/>
    <w:rsid w:val="005927EB"/>
    <w:rsid w:val="00594EBB"/>
    <w:rsid w:val="005957A1"/>
    <w:rsid w:val="005964AD"/>
    <w:rsid w:val="00596708"/>
    <w:rsid w:val="005968F3"/>
    <w:rsid w:val="00597391"/>
    <w:rsid w:val="005A0A8E"/>
    <w:rsid w:val="005A0A92"/>
    <w:rsid w:val="005A10A4"/>
    <w:rsid w:val="005A1406"/>
    <w:rsid w:val="005A141B"/>
    <w:rsid w:val="005A1A43"/>
    <w:rsid w:val="005A2C3B"/>
    <w:rsid w:val="005A32A2"/>
    <w:rsid w:val="005A3955"/>
    <w:rsid w:val="005A404E"/>
    <w:rsid w:val="005A4164"/>
    <w:rsid w:val="005A4281"/>
    <w:rsid w:val="005A4862"/>
    <w:rsid w:val="005A5428"/>
    <w:rsid w:val="005A5466"/>
    <w:rsid w:val="005A5CB3"/>
    <w:rsid w:val="005A716D"/>
    <w:rsid w:val="005A7D33"/>
    <w:rsid w:val="005B028F"/>
    <w:rsid w:val="005B0C0E"/>
    <w:rsid w:val="005B0DF5"/>
    <w:rsid w:val="005B0F24"/>
    <w:rsid w:val="005B16A1"/>
    <w:rsid w:val="005B1AE8"/>
    <w:rsid w:val="005B323A"/>
    <w:rsid w:val="005B34CF"/>
    <w:rsid w:val="005B3B7F"/>
    <w:rsid w:val="005B3E55"/>
    <w:rsid w:val="005B4160"/>
    <w:rsid w:val="005B456A"/>
    <w:rsid w:val="005B531C"/>
    <w:rsid w:val="005B5CB3"/>
    <w:rsid w:val="005B6862"/>
    <w:rsid w:val="005B697E"/>
    <w:rsid w:val="005B7BDB"/>
    <w:rsid w:val="005C0B9C"/>
    <w:rsid w:val="005C23DD"/>
    <w:rsid w:val="005C295F"/>
    <w:rsid w:val="005C317A"/>
    <w:rsid w:val="005C3240"/>
    <w:rsid w:val="005C3416"/>
    <w:rsid w:val="005C3970"/>
    <w:rsid w:val="005C4A71"/>
    <w:rsid w:val="005C4FC9"/>
    <w:rsid w:val="005C7392"/>
    <w:rsid w:val="005C762E"/>
    <w:rsid w:val="005C7769"/>
    <w:rsid w:val="005C7955"/>
    <w:rsid w:val="005C79C7"/>
    <w:rsid w:val="005C7A1D"/>
    <w:rsid w:val="005D066E"/>
    <w:rsid w:val="005D0BFE"/>
    <w:rsid w:val="005D1191"/>
    <w:rsid w:val="005D124B"/>
    <w:rsid w:val="005D13C0"/>
    <w:rsid w:val="005D1668"/>
    <w:rsid w:val="005D1678"/>
    <w:rsid w:val="005D17BC"/>
    <w:rsid w:val="005D1C0E"/>
    <w:rsid w:val="005D2B3A"/>
    <w:rsid w:val="005D2C35"/>
    <w:rsid w:val="005D2F77"/>
    <w:rsid w:val="005D2FAE"/>
    <w:rsid w:val="005D3C10"/>
    <w:rsid w:val="005D43AB"/>
    <w:rsid w:val="005D46CF"/>
    <w:rsid w:val="005D4BFE"/>
    <w:rsid w:val="005D6CAC"/>
    <w:rsid w:val="005D749F"/>
    <w:rsid w:val="005D7858"/>
    <w:rsid w:val="005E0276"/>
    <w:rsid w:val="005E039A"/>
    <w:rsid w:val="005E08FA"/>
    <w:rsid w:val="005E0B4E"/>
    <w:rsid w:val="005E0C2B"/>
    <w:rsid w:val="005E0DF1"/>
    <w:rsid w:val="005E0FD1"/>
    <w:rsid w:val="005E11A1"/>
    <w:rsid w:val="005E2B46"/>
    <w:rsid w:val="005E2C39"/>
    <w:rsid w:val="005E3926"/>
    <w:rsid w:val="005E490A"/>
    <w:rsid w:val="005E54A1"/>
    <w:rsid w:val="005E5B33"/>
    <w:rsid w:val="005E5D33"/>
    <w:rsid w:val="005E5F27"/>
    <w:rsid w:val="005E610A"/>
    <w:rsid w:val="005F025C"/>
    <w:rsid w:val="005F078F"/>
    <w:rsid w:val="005F16DE"/>
    <w:rsid w:val="005F1A33"/>
    <w:rsid w:val="005F31CD"/>
    <w:rsid w:val="005F3844"/>
    <w:rsid w:val="005F3CEC"/>
    <w:rsid w:val="005F447B"/>
    <w:rsid w:val="005F5691"/>
    <w:rsid w:val="005F59ED"/>
    <w:rsid w:val="005F5C7F"/>
    <w:rsid w:val="005F5D5B"/>
    <w:rsid w:val="005F68D1"/>
    <w:rsid w:val="005F6D58"/>
    <w:rsid w:val="005F6FEC"/>
    <w:rsid w:val="005F7C97"/>
    <w:rsid w:val="005F7CA2"/>
    <w:rsid w:val="006001D2"/>
    <w:rsid w:val="0060042F"/>
    <w:rsid w:val="006018B6"/>
    <w:rsid w:val="00602377"/>
    <w:rsid w:val="00602D39"/>
    <w:rsid w:val="00602EB9"/>
    <w:rsid w:val="0060366B"/>
    <w:rsid w:val="00603A19"/>
    <w:rsid w:val="006047BC"/>
    <w:rsid w:val="00604921"/>
    <w:rsid w:val="00605130"/>
    <w:rsid w:val="00605663"/>
    <w:rsid w:val="006070B1"/>
    <w:rsid w:val="00607738"/>
    <w:rsid w:val="0060799D"/>
    <w:rsid w:val="00610240"/>
    <w:rsid w:val="00610269"/>
    <w:rsid w:val="006107D8"/>
    <w:rsid w:val="00610B5D"/>
    <w:rsid w:val="0061185B"/>
    <w:rsid w:val="00612596"/>
    <w:rsid w:val="006127B4"/>
    <w:rsid w:val="00612A5D"/>
    <w:rsid w:val="00613155"/>
    <w:rsid w:val="0061349E"/>
    <w:rsid w:val="0061368D"/>
    <w:rsid w:val="006137DE"/>
    <w:rsid w:val="00613A5E"/>
    <w:rsid w:val="0061417F"/>
    <w:rsid w:val="006157A1"/>
    <w:rsid w:val="00617884"/>
    <w:rsid w:val="00617FB1"/>
    <w:rsid w:val="00620006"/>
    <w:rsid w:val="0062005E"/>
    <w:rsid w:val="00620398"/>
    <w:rsid w:val="00620E27"/>
    <w:rsid w:val="00620FA3"/>
    <w:rsid w:val="00621297"/>
    <w:rsid w:val="00621A98"/>
    <w:rsid w:val="00621AC9"/>
    <w:rsid w:val="00621D43"/>
    <w:rsid w:val="00621FAF"/>
    <w:rsid w:val="00622189"/>
    <w:rsid w:val="006228EE"/>
    <w:rsid w:val="006229D0"/>
    <w:rsid w:val="00622A96"/>
    <w:rsid w:val="00622CE3"/>
    <w:rsid w:val="00622E94"/>
    <w:rsid w:val="00623871"/>
    <w:rsid w:val="00623D48"/>
    <w:rsid w:val="00624645"/>
    <w:rsid w:val="006246D1"/>
    <w:rsid w:val="006251DE"/>
    <w:rsid w:val="006256A7"/>
    <w:rsid w:val="00625804"/>
    <w:rsid w:val="0062630B"/>
    <w:rsid w:val="006266D2"/>
    <w:rsid w:val="00627168"/>
    <w:rsid w:val="006279E1"/>
    <w:rsid w:val="00627DB3"/>
    <w:rsid w:val="00630092"/>
    <w:rsid w:val="00630F41"/>
    <w:rsid w:val="0063178A"/>
    <w:rsid w:val="00631EB6"/>
    <w:rsid w:val="006328C3"/>
    <w:rsid w:val="006336B9"/>
    <w:rsid w:val="00633A8D"/>
    <w:rsid w:val="00633FDB"/>
    <w:rsid w:val="00634F51"/>
    <w:rsid w:val="006367B6"/>
    <w:rsid w:val="00636B81"/>
    <w:rsid w:val="006376B3"/>
    <w:rsid w:val="00637FB6"/>
    <w:rsid w:val="00640840"/>
    <w:rsid w:val="0064086F"/>
    <w:rsid w:val="00640B65"/>
    <w:rsid w:val="00641F5F"/>
    <w:rsid w:val="00642844"/>
    <w:rsid w:val="00642F75"/>
    <w:rsid w:val="006436B8"/>
    <w:rsid w:val="006439F7"/>
    <w:rsid w:val="00643C58"/>
    <w:rsid w:val="0064471B"/>
    <w:rsid w:val="00644B59"/>
    <w:rsid w:val="00645117"/>
    <w:rsid w:val="00645524"/>
    <w:rsid w:val="006457DF"/>
    <w:rsid w:val="00646220"/>
    <w:rsid w:val="00646526"/>
    <w:rsid w:val="0064701B"/>
    <w:rsid w:val="00647988"/>
    <w:rsid w:val="0065020A"/>
    <w:rsid w:val="006502F4"/>
    <w:rsid w:val="00650E76"/>
    <w:rsid w:val="0065185A"/>
    <w:rsid w:val="0065227F"/>
    <w:rsid w:val="006528AE"/>
    <w:rsid w:val="00652D55"/>
    <w:rsid w:val="00652F5B"/>
    <w:rsid w:val="006535B3"/>
    <w:rsid w:val="00653AB6"/>
    <w:rsid w:val="00655F91"/>
    <w:rsid w:val="00656A68"/>
    <w:rsid w:val="00656C88"/>
    <w:rsid w:val="00656F50"/>
    <w:rsid w:val="00657296"/>
    <w:rsid w:val="006607E5"/>
    <w:rsid w:val="00660D16"/>
    <w:rsid w:val="00662041"/>
    <w:rsid w:val="00662BA8"/>
    <w:rsid w:val="006636B8"/>
    <w:rsid w:val="00663FF5"/>
    <w:rsid w:val="00664E57"/>
    <w:rsid w:val="006654A0"/>
    <w:rsid w:val="006665AD"/>
    <w:rsid w:val="00666625"/>
    <w:rsid w:val="00666D17"/>
    <w:rsid w:val="0066740F"/>
    <w:rsid w:val="00667D09"/>
    <w:rsid w:val="00667E40"/>
    <w:rsid w:val="00667F99"/>
    <w:rsid w:val="0067072F"/>
    <w:rsid w:val="00671293"/>
    <w:rsid w:val="00671BF6"/>
    <w:rsid w:val="00672F2F"/>
    <w:rsid w:val="006739D4"/>
    <w:rsid w:val="00674666"/>
    <w:rsid w:val="00674D88"/>
    <w:rsid w:val="00675720"/>
    <w:rsid w:val="006757F5"/>
    <w:rsid w:val="0067648A"/>
    <w:rsid w:val="00676BA9"/>
    <w:rsid w:val="006771B6"/>
    <w:rsid w:val="00677489"/>
    <w:rsid w:val="00677B48"/>
    <w:rsid w:val="00677CF2"/>
    <w:rsid w:val="00680022"/>
    <w:rsid w:val="006802DB"/>
    <w:rsid w:val="0068134A"/>
    <w:rsid w:val="00681936"/>
    <w:rsid w:val="00684D12"/>
    <w:rsid w:val="00685F81"/>
    <w:rsid w:val="006866C1"/>
    <w:rsid w:val="00686C0F"/>
    <w:rsid w:val="0068705C"/>
    <w:rsid w:val="00687674"/>
    <w:rsid w:val="0068792B"/>
    <w:rsid w:val="00687A0B"/>
    <w:rsid w:val="00687A75"/>
    <w:rsid w:val="00690825"/>
    <w:rsid w:val="006913BA"/>
    <w:rsid w:val="006914B9"/>
    <w:rsid w:val="006919BF"/>
    <w:rsid w:val="006925CF"/>
    <w:rsid w:val="006929A9"/>
    <w:rsid w:val="00692A02"/>
    <w:rsid w:val="006938FF"/>
    <w:rsid w:val="0069399C"/>
    <w:rsid w:val="0069472F"/>
    <w:rsid w:val="00695115"/>
    <w:rsid w:val="006951B7"/>
    <w:rsid w:val="00696359"/>
    <w:rsid w:val="00697984"/>
    <w:rsid w:val="00697C8F"/>
    <w:rsid w:val="00697EB9"/>
    <w:rsid w:val="006A0BA6"/>
    <w:rsid w:val="006A0F31"/>
    <w:rsid w:val="006A1C32"/>
    <w:rsid w:val="006A21C7"/>
    <w:rsid w:val="006A27E3"/>
    <w:rsid w:val="006A28E7"/>
    <w:rsid w:val="006A2A00"/>
    <w:rsid w:val="006A3669"/>
    <w:rsid w:val="006A3ACD"/>
    <w:rsid w:val="006A4279"/>
    <w:rsid w:val="006A459B"/>
    <w:rsid w:val="006A4EB8"/>
    <w:rsid w:val="006A558E"/>
    <w:rsid w:val="006A5818"/>
    <w:rsid w:val="006A6B81"/>
    <w:rsid w:val="006A6F54"/>
    <w:rsid w:val="006A72F9"/>
    <w:rsid w:val="006B013F"/>
    <w:rsid w:val="006B0F6D"/>
    <w:rsid w:val="006B18E8"/>
    <w:rsid w:val="006B1DFE"/>
    <w:rsid w:val="006B24AE"/>
    <w:rsid w:val="006B297D"/>
    <w:rsid w:val="006B2DE6"/>
    <w:rsid w:val="006B36B6"/>
    <w:rsid w:val="006B3F4D"/>
    <w:rsid w:val="006B42EB"/>
    <w:rsid w:val="006B4307"/>
    <w:rsid w:val="006B4DE9"/>
    <w:rsid w:val="006B662F"/>
    <w:rsid w:val="006B786D"/>
    <w:rsid w:val="006C0099"/>
    <w:rsid w:val="006C028A"/>
    <w:rsid w:val="006C0743"/>
    <w:rsid w:val="006C0EEA"/>
    <w:rsid w:val="006C1641"/>
    <w:rsid w:val="006C299C"/>
    <w:rsid w:val="006C2DEA"/>
    <w:rsid w:val="006C3365"/>
    <w:rsid w:val="006C378F"/>
    <w:rsid w:val="006C3999"/>
    <w:rsid w:val="006C3DA5"/>
    <w:rsid w:val="006C5271"/>
    <w:rsid w:val="006C58CC"/>
    <w:rsid w:val="006C58E0"/>
    <w:rsid w:val="006C59BD"/>
    <w:rsid w:val="006C5EBD"/>
    <w:rsid w:val="006C5EFD"/>
    <w:rsid w:val="006C652F"/>
    <w:rsid w:val="006D06DC"/>
    <w:rsid w:val="006D08D5"/>
    <w:rsid w:val="006D0D42"/>
    <w:rsid w:val="006D1923"/>
    <w:rsid w:val="006D2009"/>
    <w:rsid w:val="006D3714"/>
    <w:rsid w:val="006D4729"/>
    <w:rsid w:val="006D5C8C"/>
    <w:rsid w:val="006D6142"/>
    <w:rsid w:val="006D6A20"/>
    <w:rsid w:val="006D6DEB"/>
    <w:rsid w:val="006D714D"/>
    <w:rsid w:val="006E0C15"/>
    <w:rsid w:val="006E1567"/>
    <w:rsid w:val="006E1762"/>
    <w:rsid w:val="006E1DF3"/>
    <w:rsid w:val="006E236A"/>
    <w:rsid w:val="006E267F"/>
    <w:rsid w:val="006E2BD8"/>
    <w:rsid w:val="006E2C7E"/>
    <w:rsid w:val="006E2FE1"/>
    <w:rsid w:val="006E32A8"/>
    <w:rsid w:val="006E34DB"/>
    <w:rsid w:val="006E36DC"/>
    <w:rsid w:val="006E3E0A"/>
    <w:rsid w:val="006E3E6F"/>
    <w:rsid w:val="006E57D6"/>
    <w:rsid w:val="006E5C01"/>
    <w:rsid w:val="006E686A"/>
    <w:rsid w:val="006E6E20"/>
    <w:rsid w:val="006E6F9C"/>
    <w:rsid w:val="006E71DD"/>
    <w:rsid w:val="006F043C"/>
    <w:rsid w:val="006F1A61"/>
    <w:rsid w:val="006F1E0A"/>
    <w:rsid w:val="006F2A05"/>
    <w:rsid w:val="006F4442"/>
    <w:rsid w:val="006F4A56"/>
    <w:rsid w:val="006F529B"/>
    <w:rsid w:val="006F602A"/>
    <w:rsid w:val="006F63B4"/>
    <w:rsid w:val="006F649B"/>
    <w:rsid w:val="006F6700"/>
    <w:rsid w:val="006F671E"/>
    <w:rsid w:val="006F679A"/>
    <w:rsid w:val="0070128B"/>
    <w:rsid w:val="00701DCB"/>
    <w:rsid w:val="007021AC"/>
    <w:rsid w:val="00702F0F"/>
    <w:rsid w:val="00702F5B"/>
    <w:rsid w:val="00704732"/>
    <w:rsid w:val="007050A3"/>
    <w:rsid w:val="007053E1"/>
    <w:rsid w:val="00706016"/>
    <w:rsid w:val="00706A24"/>
    <w:rsid w:val="00706E44"/>
    <w:rsid w:val="00707165"/>
    <w:rsid w:val="00707588"/>
    <w:rsid w:val="00707D9A"/>
    <w:rsid w:val="00710279"/>
    <w:rsid w:val="00710280"/>
    <w:rsid w:val="007104D1"/>
    <w:rsid w:val="007113F4"/>
    <w:rsid w:val="00711AE8"/>
    <w:rsid w:val="00711B40"/>
    <w:rsid w:val="007121ED"/>
    <w:rsid w:val="007127F6"/>
    <w:rsid w:val="007127F7"/>
    <w:rsid w:val="0071410C"/>
    <w:rsid w:val="00714A09"/>
    <w:rsid w:val="00715293"/>
    <w:rsid w:val="0071587A"/>
    <w:rsid w:val="00715AD2"/>
    <w:rsid w:val="00715EAC"/>
    <w:rsid w:val="007167EF"/>
    <w:rsid w:val="007172EB"/>
    <w:rsid w:val="007177A6"/>
    <w:rsid w:val="0071791E"/>
    <w:rsid w:val="00717F46"/>
    <w:rsid w:val="0072009F"/>
    <w:rsid w:val="0072077A"/>
    <w:rsid w:val="0072123B"/>
    <w:rsid w:val="0072125E"/>
    <w:rsid w:val="00721847"/>
    <w:rsid w:val="007218DC"/>
    <w:rsid w:val="00721F85"/>
    <w:rsid w:val="00722674"/>
    <w:rsid w:val="00722E33"/>
    <w:rsid w:val="00722F69"/>
    <w:rsid w:val="00723437"/>
    <w:rsid w:val="00723775"/>
    <w:rsid w:val="00723B61"/>
    <w:rsid w:val="00723CB6"/>
    <w:rsid w:val="007242D0"/>
    <w:rsid w:val="007250F9"/>
    <w:rsid w:val="00725B03"/>
    <w:rsid w:val="007266D7"/>
    <w:rsid w:val="00726EDD"/>
    <w:rsid w:val="00726FC4"/>
    <w:rsid w:val="00727179"/>
    <w:rsid w:val="00727826"/>
    <w:rsid w:val="00727EF5"/>
    <w:rsid w:val="00730937"/>
    <w:rsid w:val="00730955"/>
    <w:rsid w:val="00731EBD"/>
    <w:rsid w:val="00732157"/>
    <w:rsid w:val="0073272F"/>
    <w:rsid w:val="00732BCC"/>
    <w:rsid w:val="007330E8"/>
    <w:rsid w:val="007343E1"/>
    <w:rsid w:val="00734BA6"/>
    <w:rsid w:val="00735008"/>
    <w:rsid w:val="00735633"/>
    <w:rsid w:val="0073644F"/>
    <w:rsid w:val="007369A7"/>
    <w:rsid w:val="00740BB0"/>
    <w:rsid w:val="00741546"/>
    <w:rsid w:val="007416D9"/>
    <w:rsid w:val="007418E6"/>
    <w:rsid w:val="0074236E"/>
    <w:rsid w:val="00742483"/>
    <w:rsid w:val="007425E7"/>
    <w:rsid w:val="00742A48"/>
    <w:rsid w:val="00742B1C"/>
    <w:rsid w:val="00744036"/>
    <w:rsid w:val="00745486"/>
    <w:rsid w:val="007454C7"/>
    <w:rsid w:val="0074603D"/>
    <w:rsid w:val="00746E85"/>
    <w:rsid w:val="00750021"/>
    <w:rsid w:val="0075246B"/>
    <w:rsid w:val="00752945"/>
    <w:rsid w:val="0075435B"/>
    <w:rsid w:val="00754F9E"/>
    <w:rsid w:val="00755A4A"/>
    <w:rsid w:val="00755ABD"/>
    <w:rsid w:val="00756634"/>
    <w:rsid w:val="00757059"/>
    <w:rsid w:val="007576FC"/>
    <w:rsid w:val="00757D3C"/>
    <w:rsid w:val="00760422"/>
    <w:rsid w:val="00760AFB"/>
    <w:rsid w:val="00760D84"/>
    <w:rsid w:val="00760D8F"/>
    <w:rsid w:val="00761508"/>
    <w:rsid w:val="0076192D"/>
    <w:rsid w:val="0076229F"/>
    <w:rsid w:val="007629A9"/>
    <w:rsid w:val="00762E44"/>
    <w:rsid w:val="00763008"/>
    <w:rsid w:val="00763320"/>
    <w:rsid w:val="007634F0"/>
    <w:rsid w:val="00763C98"/>
    <w:rsid w:val="00764B67"/>
    <w:rsid w:val="00764B8C"/>
    <w:rsid w:val="007651E8"/>
    <w:rsid w:val="007658C3"/>
    <w:rsid w:val="00766015"/>
    <w:rsid w:val="007669DD"/>
    <w:rsid w:val="00766A6D"/>
    <w:rsid w:val="00766A82"/>
    <w:rsid w:val="0077013C"/>
    <w:rsid w:val="0077044A"/>
    <w:rsid w:val="00771006"/>
    <w:rsid w:val="00771971"/>
    <w:rsid w:val="00771D94"/>
    <w:rsid w:val="00772C22"/>
    <w:rsid w:val="00772DE0"/>
    <w:rsid w:val="0077305F"/>
    <w:rsid w:val="0077434B"/>
    <w:rsid w:val="00774508"/>
    <w:rsid w:val="007749B4"/>
    <w:rsid w:val="00774A54"/>
    <w:rsid w:val="00774B6F"/>
    <w:rsid w:val="00776889"/>
    <w:rsid w:val="0077758C"/>
    <w:rsid w:val="00780DC0"/>
    <w:rsid w:val="00781A53"/>
    <w:rsid w:val="007820F4"/>
    <w:rsid w:val="00782DD1"/>
    <w:rsid w:val="00782E0C"/>
    <w:rsid w:val="0078414B"/>
    <w:rsid w:val="00784805"/>
    <w:rsid w:val="00785264"/>
    <w:rsid w:val="00785907"/>
    <w:rsid w:val="00785AEE"/>
    <w:rsid w:val="00785B0A"/>
    <w:rsid w:val="007861C7"/>
    <w:rsid w:val="0078679E"/>
    <w:rsid w:val="00787AC7"/>
    <w:rsid w:val="00787F81"/>
    <w:rsid w:val="00790439"/>
    <w:rsid w:val="0079159F"/>
    <w:rsid w:val="0079200F"/>
    <w:rsid w:val="007921DE"/>
    <w:rsid w:val="00793A5F"/>
    <w:rsid w:val="00793F00"/>
    <w:rsid w:val="00794407"/>
    <w:rsid w:val="007945D1"/>
    <w:rsid w:val="00795175"/>
    <w:rsid w:val="0079561E"/>
    <w:rsid w:val="007962F6"/>
    <w:rsid w:val="0079661E"/>
    <w:rsid w:val="00797AE6"/>
    <w:rsid w:val="007A0B3C"/>
    <w:rsid w:val="007A0F57"/>
    <w:rsid w:val="007A14FC"/>
    <w:rsid w:val="007A1658"/>
    <w:rsid w:val="007A194D"/>
    <w:rsid w:val="007A1E37"/>
    <w:rsid w:val="007A2011"/>
    <w:rsid w:val="007A23BA"/>
    <w:rsid w:val="007A2990"/>
    <w:rsid w:val="007A2E70"/>
    <w:rsid w:val="007A2F53"/>
    <w:rsid w:val="007A4310"/>
    <w:rsid w:val="007A4B59"/>
    <w:rsid w:val="007A4E75"/>
    <w:rsid w:val="007A56A8"/>
    <w:rsid w:val="007A57D9"/>
    <w:rsid w:val="007A6D6D"/>
    <w:rsid w:val="007A72F8"/>
    <w:rsid w:val="007A7319"/>
    <w:rsid w:val="007A7A55"/>
    <w:rsid w:val="007B0F9F"/>
    <w:rsid w:val="007B159D"/>
    <w:rsid w:val="007B163A"/>
    <w:rsid w:val="007B1BCA"/>
    <w:rsid w:val="007B1D5D"/>
    <w:rsid w:val="007B2816"/>
    <w:rsid w:val="007B42A8"/>
    <w:rsid w:val="007B47C5"/>
    <w:rsid w:val="007B538B"/>
    <w:rsid w:val="007B53B7"/>
    <w:rsid w:val="007B54E5"/>
    <w:rsid w:val="007B59D7"/>
    <w:rsid w:val="007B59FF"/>
    <w:rsid w:val="007B696A"/>
    <w:rsid w:val="007B714F"/>
    <w:rsid w:val="007B7757"/>
    <w:rsid w:val="007C00C9"/>
    <w:rsid w:val="007C0105"/>
    <w:rsid w:val="007C0124"/>
    <w:rsid w:val="007C03A4"/>
    <w:rsid w:val="007C0C7E"/>
    <w:rsid w:val="007C0D7F"/>
    <w:rsid w:val="007C1230"/>
    <w:rsid w:val="007C12F0"/>
    <w:rsid w:val="007C18AC"/>
    <w:rsid w:val="007C1B89"/>
    <w:rsid w:val="007C1B8D"/>
    <w:rsid w:val="007C2C51"/>
    <w:rsid w:val="007C40B9"/>
    <w:rsid w:val="007C4ADC"/>
    <w:rsid w:val="007C643C"/>
    <w:rsid w:val="007C6AD1"/>
    <w:rsid w:val="007C73C7"/>
    <w:rsid w:val="007C757C"/>
    <w:rsid w:val="007C7C09"/>
    <w:rsid w:val="007C7D3A"/>
    <w:rsid w:val="007D06DA"/>
    <w:rsid w:val="007D07A8"/>
    <w:rsid w:val="007D119C"/>
    <w:rsid w:val="007D1478"/>
    <w:rsid w:val="007D1A43"/>
    <w:rsid w:val="007D1B75"/>
    <w:rsid w:val="007D20BE"/>
    <w:rsid w:val="007D2766"/>
    <w:rsid w:val="007D2BE2"/>
    <w:rsid w:val="007D3373"/>
    <w:rsid w:val="007D33BD"/>
    <w:rsid w:val="007D351C"/>
    <w:rsid w:val="007D42B6"/>
    <w:rsid w:val="007D42BF"/>
    <w:rsid w:val="007D4C01"/>
    <w:rsid w:val="007D5218"/>
    <w:rsid w:val="007D5E05"/>
    <w:rsid w:val="007D6101"/>
    <w:rsid w:val="007D7533"/>
    <w:rsid w:val="007E004D"/>
    <w:rsid w:val="007E0446"/>
    <w:rsid w:val="007E09A3"/>
    <w:rsid w:val="007E09B9"/>
    <w:rsid w:val="007E0A48"/>
    <w:rsid w:val="007E0AC3"/>
    <w:rsid w:val="007E0FBC"/>
    <w:rsid w:val="007E2498"/>
    <w:rsid w:val="007E27AD"/>
    <w:rsid w:val="007E29D5"/>
    <w:rsid w:val="007E2C9F"/>
    <w:rsid w:val="007E32BC"/>
    <w:rsid w:val="007E39CD"/>
    <w:rsid w:val="007E3DFC"/>
    <w:rsid w:val="007E47BB"/>
    <w:rsid w:val="007E5938"/>
    <w:rsid w:val="007E69A4"/>
    <w:rsid w:val="007E7745"/>
    <w:rsid w:val="007E7949"/>
    <w:rsid w:val="007E7BA4"/>
    <w:rsid w:val="007E7D9B"/>
    <w:rsid w:val="007F0017"/>
    <w:rsid w:val="007F1029"/>
    <w:rsid w:val="007F1418"/>
    <w:rsid w:val="007F1E5B"/>
    <w:rsid w:val="007F2804"/>
    <w:rsid w:val="007F2BF5"/>
    <w:rsid w:val="007F2F98"/>
    <w:rsid w:val="007F35CE"/>
    <w:rsid w:val="007F394A"/>
    <w:rsid w:val="007F3EC9"/>
    <w:rsid w:val="007F4142"/>
    <w:rsid w:val="007F43D7"/>
    <w:rsid w:val="007F503B"/>
    <w:rsid w:val="007F5072"/>
    <w:rsid w:val="007F5376"/>
    <w:rsid w:val="007F58C2"/>
    <w:rsid w:val="007F6A5B"/>
    <w:rsid w:val="007F785E"/>
    <w:rsid w:val="007F7ECD"/>
    <w:rsid w:val="008000CD"/>
    <w:rsid w:val="008008A2"/>
    <w:rsid w:val="00800F31"/>
    <w:rsid w:val="008016F4"/>
    <w:rsid w:val="00801F05"/>
    <w:rsid w:val="008022AA"/>
    <w:rsid w:val="00802BC1"/>
    <w:rsid w:val="008037FD"/>
    <w:rsid w:val="00803D1D"/>
    <w:rsid w:val="00804965"/>
    <w:rsid w:val="008050AC"/>
    <w:rsid w:val="00805C10"/>
    <w:rsid w:val="00806370"/>
    <w:rsid w:val="0080639E"/>
    <w:rsid w:val="00806CC0"/>
    <w:rsid w:val="00806DD9"/>
    <w:rsid w:val="0081006A"/>
    <w:rsid w:val="00810073"/>
    <w:rsid w:val="0081102C"/>
    <w:rsid w:val="00811556"/>
    <w:rsid w:val="0081178B"/>
    <w:rsid w:val="00811D72"/>
    <w:rsid w:val="00811FA0"/>
    <w:rsid w:val="0081273E"/>
    <w:rsid w:val="00813524"/>
    <w:rsid w:val="008138BD"/>
    <w:rsid w:val="0081415D"/>
    <w:rsid w:val="008142CD"/>
    <w:rsid w:val="00814C31"/>
    <w:rsid w:val="00815A0B"/>
    <w:rsid w:val="008160E2"/>
    <w:rsid w:val="0081668C"/>
    <w:rsid w:val="008169E9"/>
    <w:rsid w:val="00820CB3"/>
    <w:rsid w:val="00822258"/>
    <w:rsid w:val="00822F4B"/>
    <w:rsid w:val="00822F52"/>
    <w:rsid w:val="00823959"/>
    <w:rsid w:val="00823B15"/>
    <w:rsid w:val="008241FF"/>
    <w:rsid w:val="00824E54"/>
    <w:rsid w:val="00824F99"/>
    <w:rsid w:val="00825888"/>
    <w:rsid w:val="008274AB"/>
    <w:rsid w:val="008304F0"/>
    <w:rsid w:val="00831046"/>
    <w:rsid w:val="008314DF"/>
    <w:rsid w:val="00831526"/>
    <w:rsid w:val="00831EC4"/>
    <w:rsid w:val="00832146"/>
    <w:rsid w:val="00832C4C"/>
    <w:rsid w:val="00832CA4"/>
    <w:rsid w:val="00832FDD"/>
    <w:rsid w:val="00833EE8"/>
    <w:rsid w:val="00833FA1"/>
    <w:rsid w:val="0083413F"/>
    <w:rsid w:val="008351A2"/>
    <w:rsid w:val="00835B19"/>
    <w:rsid w:val="00836794"/>
    <w:rsid w:val="00837E5A"/>
    <w:rsid w:val="00840680"/>
    <w:rsid w:val="00840895"/>
    <w:rsid w:val="00840E36"/>
    <w:rsid w:val="0084101B"/>
    <w:rsid w:val="00841E93"/>
    <w:rsid w:val="00841F28"/>
    <w:rsid w:val="008423FE"/>
    <w:rsid w:val="00842EE5"/>
    <w:rsid w:val="00843A8D"/>
    <w:rsid w:val="00843B78"/>
    <w:rsid w:val="0084462B"/>
    <w:rsid w:val="008446E9"/>
    <w:rsid w:val="00844C29"/>
    <w:rsid w:val="00844E0C"/>
    <w:rsid w:val="008459EE"/>
    <w:rsid w:val="00845DB4"/>
    <w:rsid w:val="00845DFD"/>
    <w:rsid w:val="00846304"/>
    <w:rsid w:val="008515CE"/>
    <w:rsid w:val="0085325A"/>
    <w:rsid w:val="0085378F"/>
    <w:rsid w:val="00853B6C"/>
    <w:rsid w:val="008545EE"/>
    <w:rsid w:val="0085480B"/>
    <w:rsid w:val="00855005"/>
    <w:rsid w:val="008551A0"/>
    <w:rsid w:val="00855418"/>
    <w:rsid w:val="00855A05"/>
    <w:rsid w:val="00856005"/>
    <w:rsid w:val="0085653A"/>
    <w:rsid w:val="00856A06"/>
    <w:rsid w:val="00856FC5"/>
    <w:rsid w:val="008573A1"/>
    <w:rsid w:val="008574BA"/>
    <w:rsid w:val="008578D6"/>
    <w:rsid w:val="00857B6C"/>
    <w:rsid w:val="00857C02"/>
    <w:rsid w:val="00860EEA"/>
    <w:rsid w:val="008610CF"/>
    <w:rsid w:val="008617A7"/>
    <w:rsid w:val="00861DFC"/>
    <w:rsid w:val="00862CB6"/>
    <w:rsid w:val="0086313C"/>
    <w:rsid w:val="00863796"/>
    <w:rsid w:val="008667B4"/>
    <w:rsid w:val="00866EC6"/>
    <w:rsid w:val="0086737D"/>
    <w:rsid w:val="008679B6"/>
    <w:rsid w:val="00871394"/>
    <w:rsid w:val="008723CE"/>
    <w:rsid w:val="008724BB"/>
    <w:rsid w:val="00872504"/>
    <w:rsid w:val="00872A8C"/>
    <w:rsid w:val="00872D4C"/>
    <w:rsid w:val="00872F65"/>
    <w:rsid w:val="00873168"/>
    <w:rsid w:val="00873252"/>
    <w:rsid w:val="0087479C"/>
    <w:rsid w:val="00874AB8"/>
    <w:rsid w:val="00875AFA"/>
    <w:rsid w:val="00875B89"/>
    <w:rsid w:val="00876E8A"/>
    <w:rsid w:val="008770D5"/>
    <w:rsid w:val="0087751C"/>
    <w:rsid w:val="008805E3"/>
    <w:rsid w:val="00880A50"/>
    <w:rsid w:val="00881904"/>
    <w:rsid w:val="00882072"/>
    <w:rsid w:val="00885146"/>
    <w:rsid w:val="00885B41"/>
    <w:rsid w:val="00885C6A"/>
    <w:rsid w:val="0088622B"/>
    <w:rsid w:val="00886F1C"/>
    <w:rsid w:val="00886F7A"/>
    <w:rsid w:val="00887270"/>
    <w:rsid w:val="008876A3"/>
    <w:rsid w:val="00887BF0"/>
    <w:rsid w:val="00887D53"/>
    <w:rsid w:val="00887F5E"/>
    <w:rsid w:val="008902D5"/>
    <w:rsid w:val="00890432"/>
    <w:rsid w:val="00892453"/>
    <w:rsid w:val="0089253A"/>
    <w:rsid w:val="00892AE5"/>
    <w:rsid w:val="00892BB8"/>
    <w:rsid w:val="00893BC0"/>
    <w:rsid w:val="00893E29"/>
    <w:rsid w:val="0089434A"/>
    <w:rsid w:val="00894C96"/>
    <w:rsid w:val="008960E8"/>
    <w:rsid w:val="00896E26"/>
    <w:rsid w:val="008A083C"/>
    <w:rsid w:val="008A0967"/>
    <w:rsid w:val="008A0B2A"/>
    <w:rsid w:val="008A19FE"/>
    <w:rsid w:val="008A26D4"/>
    <w:rsid w:val="008A2BE6"/>
    <w:rsid w:val="008A321C"/>
    <w:rsid w:val="008A39A4"/>
    <w:rsid w:val="008A3CCC"/>
    <w:rsid w:val="008A3F8F"/>
    <w:rsid w:val="008A4265"/>
    <w:rsid w:val="008A4469"/>
    <w:rsid w:val="008A473B"/>
    <w:rsid w:val="008A478C"/>
    <w:rsid w:val="008A590D"/>
    <w:rsid w:val="008A6131"/>
    <w:rsid w:val="008A63E1"/>
    <w:rsid w:val="008A66F1"/>
    <w:rsid w:val="008A6711"/>
    <w:rsid w:val="008A6AA6"/>
    <w:rsid w:val="008A6E6F"/>
    <w:rsid w:val="008A7BC3"/>
    <w:rsid w:val="008A7E89"/>
    <w:rsid w:val="008B0BA2"/>
    <w:rsid w:val="008B100E"/>
    <w:rsid w:val="008B148F"/>
    <w:rsid w:val="008B1843"/>
    <w:rsid w:val="008B1903"/>
    <w:rsid w:val="008B1C8C"/>
    <w:rsid w:val="008B2EE8"/>
    <w:rsid w:val="008B2F94"/>
    <w:rsid w:val="008B38E5"/>
    <w:rsid w:val="008B3C9C"/>
    <w:rsid w:val="008B4104"/>
    <w:rsid w:val="008B4615"/>
    <w:rsid w:val="008B4F3B"/>
    <w:rsid w:val="008B4FDB"/>
    <w:rsid w:val="008B5AB9"/>
    <w:rsid w:val="008B6208"/>
    <w:rsid w:val="008B703B"/>
    <w:rsid w:val="008B7521"/>
    <w:rsid w:val="008B7CC0"/>
    <w:rsid w:val="008B7F4E"/>
    <w:rsid w:val="008C0094"/>
    <w:rsid w:val="008C07E6"/>
    <w:rsid w:val="008C103F"/>
    <w:rsid w:val="008C1261"/>
    <w:rsid w:val="008C1AB1"/>
    <w:rsid w:val="008C1B52"/>
    <w:rsid w:val="008C1DE9"/>
    <w:rsid w:val="008C34AB"/>
    <w:rsid w:val="008C3AEA"/>
    <w:rsid w:val="008C4834"/>
    <w:rsid w:val="008C4BF9"/>
    <w:rsid w:val="008C5132"/>
    <w:rsid w:val="008C5372"/>
    <w:rsid w:val="008C627E"/>
    <w:rsid w:val="008C6AE9"/>
    <w:rsid w:val="008C7045"/>
    <w:rsid w:val="008C7AD7"/>
    <w:rsid w:val="008D16F0"/>
    <w:rsid w:val="008D175B"/>
    <w:rsid w:val="008D2A8D"/>
    <w:rsid w:val="008D3DB9"/>
    <w:rsid w:val="008D4375"/>
    <w:rsid w:val="008D53BB"/>
    <w:rsid w:val="008D612F"/>
    <w:rsid w:val="008D6B85"/>
    <w:rsid w:val="008D6E7E"/>
    <w:rsid w:val="008D7097"/>
    <w:rsid w:val="008D7B0C"/>
    <w:rsid w:val="008E0049"/>
    <w:rsid w:val="008E0338"/>
    <w:rsid w:val="008E1180"/>
    <w:rsid w:val="008E1347"/>
    <w:rsid w:val="008E1614"/>
    <w:rsid w:val="008E2A17"/>
    <w:rsid w:val="008E34F0"/>
    <w:rsid w:val="008E3903"/>
    <w:rsid w:val="008E4679"/>
    <w:rsid w:val="008E46DD"/>
    <w:rsid w:val="008E46F3"/>
    <w:rsid w:val="008E4765"/>
    <w:rsid w:val="008E4DA6"/>
    <w:rsid w:val="008E4DEE"/>
    <w:rsid w:val="008E4E9D"/>
    <w:rsid w:val="008E54A8"/>
    <w:rsid w:val="008E5A68"/>
    <w:rsid w:val="008E5B29"/>
    <w:rsid w:val="008E6443"/>
    <w:rsid w:val="008E6450"/>
    <w:rsid w:val="008E6E45"/>
    <w:rsid w:val="008E7207"/>
    <w:rsid w:val="008E7348"/>
    <w:rsid w:val="008E7AA2"/>
    <w:rsid w:val="008E7CC0"/>
    <w:rsid w:val="008F0B1B"/>
    <w:rsid w:val="008F0BFA"/>
    <w:rsid w:val="008F1D0E"/>
    <w:rsid w:val="008F1D44"/>
    <w:rsid w:val="008F3562"/>
    <w:rsid w:val="008F37D5"/>
    <w:rsid w:val="008F3C8D"/>
    <w:rsid w:val="008F40AC"/>
    <w:rsid w:val="008F4429"/>
    <w:rsid w:val="008F4942"/>
    <w:rsid w:val="008F518E"/>
    <w:rsid w:val="008F5AB6"/>
    <w:rsid w:val="008F744B"/>
    <w:rsid w:val="008F7700"/>
    <w:rsid w:val="008F780A"/>
    <w:rsid w:val="0090012E"/>
    <w:rsid w:val="0090033E"/>
    <w:rsid w:val="00900C60"/>
    <w:rsid w:val="0090259F"/>
    <w:rsid w:val="00902862"/>
    <w:rsid w:val="0090356E"/>
    <w:rsid w:val="009043F3"/>
    <w:rsid w:val="009044B1"/>
    <w:rsid w:val="0090490A"/>
    <w:rsid w:val="009065BF"/>
    <w:rsid w:val="00906736"/>
    <w:rsid w:val="009067F6"/>
    <w:rsid w:val="00906EB3"/>
    <w:rsid w:val="009072D5"/>
    <w:rsid w:val="0090781C"/>
    <w:rsid w:val="009109A3"/>
    <w:rsid w:val="00910B52"/>
    <w:rsid w:val="00910CD9"/>
    <w:rsid w:val="00911518"/>
    <w:rsid w:val="00911939"/>
    <w:rsid w:val="00914465"/>
    <w:rsid w:val="00915DED"/>
    <w:rsid w:val="00916597"/>
    <w:rsid w:val="00916ABC"/>
    <w:rsid w:val="00916C14"/>
    <w:rsid w:val="00916D3F"/>
    <w:rsid w:val="009170E6"/>
    <w:rsid w:val="0091727B"/>
    <w:rsid w:val="00917919"/>
    <w:rsid w:val="00920750"/>
    <w:rsid w:val="00920984"/>
    <w:rsid w:val="009211CE"/>
    <w:rsid w:val="00921E8F"/>
    <w:rsid w:val="009222E7"/>
    <w:rsid w:val="00922617"/>
    <w:rsid w:val="009233CF"/>
    <w:rsid w:val="00923798"/>
    <w:rsid w:val="00924065"/>
    <w:rsid w:val="00924083"/>
    <w:rsid w:val="009240B2"/>
    <w:rsid w:val="00924A03"/>
    <w:rsid w:val="0092502C"/>
    <w:rsid w:val="00925893"/>
    <w:rsid w:val="00925F98"/>
    <w:rsid w:val="00926214"/>
    <w:rsid w:val="009263FB"/>
    <w:rsid w:val="00927CFD"/>
    <w:rsid w:val="009300EF"/>
    <w:rsid w:val="00931131"/>
    <w:rsid w:val="009312D8"/>
    <w:rsid w:val="009322A5"/>
    <w:rsid w:val="00932318"/>
    <w:rsid w:val="0093237C"/>
    <w:rsid w:val="00933AFE"/>
    <w:rsid w:val="00935427"/>
    <w:rsid w:val="00935ACC"/>
    <w:rsid w:val="00935B43"/>
    <w:rsid w:val="00940A1A"/>
    <w:rsid w:val="009439B2"/>
    <w:rsid w:val="009448C0"/>
    <w:rsid w:val="0094571F"/>
    <w:rsid w:val="00946764"/>
    <w:rsid w:val="00946EC1"/>
    <w:rsid w:val="009503DC"/>
    <w:rsid w:val="0095090B"/>
    <w:rsid w:val="00950B7A"/>
    <w:rsid w:val="009523DB"/>
    <w:rsid w:val="0095243F"/>
    <w:rsid w:val="00952FB1"/>
    <w:rsid w:val="009535F8"/>
    <w:rsid w:val="00953D8D"/>
    <w:rsid w:val="00956403"/>
    <w:rsid w:val="00956569"/>
    <w:rsid w:val="009573CD"/>
    <w:rsid w:val="00957C5B"/>
    <w:rsid w:val="00960128"/>
    <w:rsid w:val="0096018E"/>
    <w:rsid w:val="0096038D"/>
    <w:rsid w:val="00961308"/>
    <w:rsid w:val="009617B8"/>
    <w:rsid w:val="00962DD5"/>
    <w:rsid w:val="009632D7"/>
    <w:rsid w:val="009632F4"/>
    <w:rsid w:val="00964C3D"/>
    <w:rsid w:val="00964DD6"/>
    <w:rsid w:val="0096507C"/>
    <w:rsid w:val="0096511F"/>
    <w:rsid w:val="00966D24"/>
    <w:rsid w:val="0096714A"/>
    <w:rsid w:val="00967433"/>
    <w:rsid w:val="00967AF9"/>
    <w:rsid w:val="00967FCD"/>
    <w:rsid w:val="009700C6"/>
    <w:rsid w:val="009701BA"/>
    <w:rsid w:val="009702A5"/>
    <w:rsid w:val="00970DB8"/>
    <w:rsid w:val="0097209F"/>
    <w:rsid w:val="00972AA9"/>
    <w:rsid w:val="00973768"/>
    <w:rsid w:val="00975485"/>
    <w:rsid w:val="009755F1"/>
    <w:rsid w:val="009758E1"/>
    <w:rsid w:val="00976257"/>
    <w:rsid w:val="0097629A"/>
    <w:rsid w:val="00976675"/>
    <w:rsid w:val="00976692"/>
    <w:rsid w:val="009771EC"/>
    <w:rsid w:val="009772C1"/>
    <w:rsid w:val="00977369"/>
    <w:rsid w:val="00977BA6"/>
    <w:rsid w:val="0098080D"/>
    <w:rsid w:val="00980872"/>
    <w:rsid w:val="00980E58"/>
    <w:rsid w:val="00981900"/>
    <w:rsid w:val="009826F4"/>
    <w:rsid w:val="00982F88"/>
    <w:rsid w:val="0098335A"/>
    <w:rsid w:val="00983B60"/>
    <w:rsid w:val="00983E9A"/>
    <w:rsid w:val="00984A17"/>
    <w:rsid w:val="00984E3B"/>
    <w:rsid w:val="00984E44"/>
    <w:rsid w:val="00984ED1"/>
    <w:rsid w:val="00985C06"/>
    <w:rsid w:val="009862A1"/>
    <w:rsid w:val="00986CC8"/>
    <w:rsid w:val="0098708C"/>
    <w:rsid w:val="009870E3"/>
    <w:rsid w:val="00987370"/>
    <w:rsid w:val="009874ED"/>
    <w:rsid w:val="00987607"/>
    <w:rsid w:val="00987B30"/>
    <w:rsid w:val="00987FB9"/>
    <w:rsid w:val="00990D96"/>
    <w:rsid w:val="0099132F"/>
    <w:rsid w:val="00991651"/>
    <w:rsid w:val="00991892"/>
    <w:rsid w:val="00991A1C"/>
    <w:rsid w:val="00991BD3"/>
    <w:rsid w:val="009928B2"/>
    <w:rsid w:val="00992CCE"/>
    <w:rsid w:val="00993432"/>
    <w:rsid w:val="0099446E"/>
    <w:rsid w:val="009948BD"/>
    <w:rsid w:val="00994C44"/>
    <w:rsid w:val="00995586"/>
    <w:rsid w:val="00995DE8"/>
    <w:rsid w:val="00996062"/>
    <w:rsid w:val="0099625C"/>
    <w:rsid w:val="009968BC"/>
    <w:rsid w:val="00996FD0"/>
    <w:rsid w:val="009972A8"/>
    <w:rsid w:val="009A01E0"/>
    <w:rsid w:val="009A0925"/>
    <w:rsid w:val="009A1488"/>
    <w:rsid w:val="009A19BB"/>
    <w:rsid w:val="009A22C3"/>
    <w:rsid w:val="009A2BF8"/>
    <w:rsid w:val="009A3B30"/>
    <w:rsid w:val="009A3D01"/>
    <w:rsid w:val="009A3D3F"/>
    <w:rsid w:val="009A44D1"/>
    <w:rsid w:val="009A464E"/>
    <w:rsid w:val="009A4672"/>
    <w:rsid w:val="009A507C"/>
    <w:rsid w:val="009A5EEE"/>
    <w:rsid w:val="009A633C"/>
    <w:rsid w:val="009A6530"/>
    <w:rsid w:val="009A67B5"/>
    <w:rsid w:val="009A6981"/>
    <w:rsid w:val="009A6AD9"/>
    <w:rsid w:val="009A6DBA"/>
    <w:rsid w:val="009A7269"/>
    <w:rsid w:val="009A7F51"/>
    <w:rsid w:val="009B01BC"/>
    <w:rsid w:val="009B08BD"/>
    <w:rsid w:val="009B1169"/>
    <w:rsid w:val="009B1605"/>
    <w:rsid w:val="009B1B61"/>
    <w:rsid w:val="009B29B6"/>
    <w:rsid w:val="009B3504"/>
    <w:rsid w:val="009B37BF"/>
    <w:rsid w:val="009B3B4C"/>
    <w:rsid w:val="009B4081"/>
    <w:rsid w:val="009B45D5"/>
    <w:rsid w:val="009B4A6E"/>
    <w:rsid w:val="009B4B06"/>
    <w:rsid w:val="009B550E"/>
    <w:rsid w:val="009B6426"/>
    <w:rsid w:val="009B67E0"/>
    <w:rsid w:val="009B6C09"/>
    <w:rsid w:val="009B7460"/>
    <w:rsid w:val="009C078C"/>
    <w:rsid w:val="009C0C5B"/>
    <w:rsid w:val="009C1473"/>
    <w:rsid w:val="009C3055"/>
    <w:rsid w:val="009C3059"/>
    <w:rsid w:val="009C3108"/>
    <w:rsid w:val="009C338F"/>
    <w:rsid w:val="009C3F04"/>
    <w:rsid w:val="009C4AA0"/>
    <w:rsid w:val="009C4E1C"/>
    <w:rsid w:val="009C5F12"/>
    <w:rsid w:val="009C7C02"/>
    <w:rsid w:val="009C7F99"/>
    <w:rsid w:val="009D0711"/>
    <w:rsid w:val="009D0F58"/>
    <w:rsid w:val="009D29DB"/>
    <w:rsid w:val="009D2F25"/>
    <w:rsid w:val="009D3B35"/>
    <w:rsid w:val="009D3E20"/>
    <w:rsid w:val="009D4985"/>
    <w:rsid w:val="009D634D"/>
    <w:rsid w:val="009D64B1"/>
    <w:rsid w:val="009D6B36"/>
    <w:rsid w:val="009D73B5"/>
    <w:rsid w:val="009D7CDB"/>
    <w:rsid w:val="009E07A4"/>
    <w:rsid w:val="009E0C77"/>
    <w:rsid w:val="009E171A"/>
    <w:rsid w:val="009E2816"/>
    <w:rsid w:val="009E2AAF"/>
    <w:rsid w:val="009E2DF2"/>
    <w:rsid w:val="009E3E77"/>
    <w:rsid w:val="009E3F1C"/>
    <w:rsid w:val="009E5393"/>
    <w:rsid w:val="009E5894"/>
    <w:rsid w:val="009E5C84"/>
    <w:rsid w:val="009E6007"/>
    <w:rsid w:val="009E69AE"/>
    <w:rsid w:val="009E7835"/>
    <w:rsid w:val="009F0092"/>
    <w:rsid w:val="009F0BBB"/>
    <w:rsid w:val="009F1818"/>
    <w:rsid w:val="009F272D"/>
    <w:rsid w:val="009F3B3F"/>
    <w:rsid w:val="009F4FAF"/>
    <w:rsid w:val="009F605C"/>
    <w:rsid w:val="009F649A"/>
    <w:rsid w:val="009F7927"/>
    <w:rsid w:val="009F79CB"/>
    <w:rsid w:val="00A0000B"/>
    <w:rsid w:val="00A004CF"/>
    <w:rsid w:val="00A007FA"/>
    <w:rsid w:val="00A0103D"/>
    <w:rsid w:val="00A018A2"/>
    <w:rsid w:val="00A02B4E"/>
    <w:rsid w:val="00A02C3B"/>
    <w:rsid w:val="00A02E20"/>
    <w:rsid w:val="00A0301D"/>
    <w:rsid w:val="00A0321B"/>
    <w:rsid w:val="00A03AE7"/>
    <w:rsid w:val="00A059DD"/>
    <w:rsid w:val="00A062F3"/>
    <w:rsid w:val="00A063D9"/>
    <w:rsid w:val="00A064CD"/>
    <w:rsid w:val="00A06F54"/>
    <w:rsid w:val="00A0703E"/>
    <w:rsid w:val="00A075AD"/>
    <w:rsid w:val="00A07DE0"/>
    <w:rsid w:val="00A10729"/>
    <w:rsid w:val="00A111BC"/>
    <w:rsid w:val="00A121CD"/>
    <w:rsid w:val="00A1246A"/>
    <w:rsid w:val="00A1272B"/>
    <w:rsid w:val="00A12DB6"/>
    <w:rsid w:val="00A14178"/>
    <w:rsid w:val="00A142FC"/>
    <w:rsid w:val="00A14D2F"/>
    <w:rsid w:val="00A14DE7"/>
    <w:rsid w:val="00A15465"/>
    <w:rsid w:val="00A1546F"/>
    <w:rsid w:val="00A156A1"/>
    <w:rsid w:val="00A157D5"/>
    <w:rsid w:val="00A16224"/>
    <w:rsid w:val="00A166C9"/>
    <w:rsid w:val="00A21638"/>
    <w:rsid w:val="00A2196C"/>
    <w:rsid w:val="00A2238B"/>
    <w:rsid w:val="00A233F1"/>
    <w:rsid w:val="00A23678"/>
    <w:rsid w:val="00A24138"/>
    <w:rsid w:val="00A251FD"/>
    <w:rsid w:val="00A25262"/>
    <w:rsid w:val="00A25843"/>
    <w:rsid w:val="00A25BB0"/>
    <w:rsid w:val="00A25EAD"/>
    <w:rsid w:val="00A26F77"/>
    <w:rsid w:val="00A27399"/>
    <w:rsid w:val="00A276A6"/>
    <w:rsid w:val="00A304AB"/>
    <w:rsid w:val="00A3201A"/>
    <w:rsid w:val="00A32261"/>
    <w:rsid w:val="00A327C4"/>
    <w:rsid w:val="00A336FF"/>
    <w:rsid w:val="00A33BA5"/>
    <w:rsid w:val="00A33D0A"/>
    <w:rsid w:val="00A34546"/>
    <w:rsid w:val="00A34D6E"/>
    <w:rsid w:val="00A350DF"/>
    <w:rsid w:val="00A35D12"/>
    <w:rsid w:val="00A36496"/>
    <w:rsid w:val="00A366CF"/>
    <w:rsid w:val="00A367E1"/>
    <w:rsid w:val="00A36A12"/>
    <w:rsid w:val="00A37219"/>
    <w:rsid w:val="00A37466"/>
    <w:rsid w:val="00A407DE"/>
    <w:rsid w:val="00A409E8"/>
    <w:rsid w:val="00A40D30"/>
    <w:rsid w:val="00A41047"/>
    <w:rsid w:val="00A412E3"/>
    <w:rsid w:val="00A416C1"/>
    <w:rsid w:val="00A424C0"/>
    <w:rsid w:val="00A42EA9"/>
    <w:rsid w:val="00A43014"/>
    <w:rsid w:val="00A43954"/>
    <w:rsid w:val="00A4540E"/>
    <w:rsid w:val="00A459B1"/>
    <w:rsid w:val="00A460B9"/>
    <w:rsid w:val="00A469BB"/>
    <w:rsid w:val="00A46A76"/>
    <w:rsid w:val="00A50900"/>
    <w:rsid w:val="00A51306"/>
    <w:rsid w:val="00A51B18"/>
    <w:rsid w:val="00A51E2B"/>
    <w:rsid w:val="00A52051"/>
    <w:rsid w:val="00A525E0"/>
    <w:rsid w:val="00A5283C"/>
    <w:rsid w:val="00A52B25"/>
    <w:rsid w:val="00A52DB3"/>
    <w:rsid w:val="00A53450"/>
    <w:rsid w:val="00A54E9A"/>
    <w:rsid w:val="00A551DE"/>
    <w:rsid w:val="00A5536E"/>
    <w:rsid w:val="00A5766B"/>
    <w:rsid w:val="00A57E10"/>
    <w:rsid w:val="00A6037C"/>
    <w:rsid w:val="00A60766"/>
    <w:rsid w:val="00A60774"/>
    <w:rsid w:val="00A60A0E"/>
    <w:rsid w:val="00A60F79"/>
    <w:rsid w:val="00A612E5"/>
    <w:rsid w:val="00A617AE"/>
    <w:rsid w:val="00A61C33"/>
    <w:rsid w:val="00A62419"/>
    <w:rsid w:val="00A626E1"/>
    <w:rsid w:val="00A62B27"/>
    <w:rsid w:val="00A6325D"/>
    <w:rsid w:val="00A636C3"/>
    <w:rsid w:val="00A63BD0"/>
    <w:rsid w:val="00A64019"/>
    <w:rsid w:val="00A64841"/>
    <w:rsid w:val="00A64B83"/>
    <w:rsid w:val="00A65FC0"/>
    <w:rsid w:val="00A66713"/>
    <w:rsid w:val="00A673FB"/>
    <w:rsid w:val="00A67B0C"/>
    <w:rsid w:val="00A67B19"/>
    <w:rsid w:val="00A700A6"/>
    <w:rsid w:val="00A700E1"/>
    <w:rsid w:val="00A7058B"/>
    <w:rsid w:val="00A70668"/>
    <w:rsid w:val="00A710A5"/>
    <w:rsid w:val="00A71417"/>
    <w:rsid w:val="00A71A25"/>
    <w:rsid w:val="00A72A9A"/>
    <w:rsid w:val="00A73219"/>
    <w:rsid w:val="00A7337F"/>
    <w:rsid w:val="00A7349F"/>
    <w:rsid w:val="00A73AF7"/>
    <w:rsid w:val="00A7484C"/>
    <w:rsid w:val="00A749F5"/>
    <w:rsid w:val="00A76333"/>
    <w:rsid w:val="00A769A1"/>
    <w:rsid w:val="00A76E60"/>
    <w:rsid w:val="00A77206"/>
    <w:rsid w:val="00A7731B"/>
    <w:rsid w:val="00A773DE"/>
    <w:rsid w:val="00A77836"/>
    <w:rsid w:val="00A808E5"/>
    <w:rsid w:val="00A80C12"/>
    <w:rsid w:val="00A80CF6"/>
    <w:rsid w:val="00A8165E"/>
    <w:rsid w:val="00A81FA3"/>
    <w:rsid w:val="00A82840"/>
    <w:rsid w:val="00A82B88"/>
    <w:rsid w:val="00A8324E"/>
    <w:rsid w:val="00A835C9"/>
    <w:rsid w:val="00A837A6"/>
    <w:rsid w:val="00A847CA"/>
    <w:rsid w:val="00A851CA"/>
    <w:rsid w:val="00A86C37"/>
    <w:rsid w:val="00A86E40"/>
    <w:rsid w:val="00A872CD"/>
    <w:rsid w:val="00A874FB"/>
    <w:rsid w:val="00A904A0"/>
    <w:rsid w:val="00A908A9"/>
    <w:rsid w:val="00A90AF6"/>
    <w:rsid w:val="00A91BE3"/>
    <w:rsid w:val="00A91BE6"/>
    <w:rsid w:val="00A91DA8"/>
    <w:rsid w:val="00A92215"/>
    <w:rsid w:val="00A92EA9"/>
    <w:rsid w:val="00A931B2"/>
    <w:rsid w:val="00A95D66"/>
    <w:rsid w:val="00A95EE5"/>
    <w:rsid w:val="00A964BC"/>
    <w:rsid w:val="00A964ED"/>
    <w:rsid w:val="00A97C8D"/>
    <w:rsid w:val="00AA0A8C"/>
    <w:rsid w:val="00AA108A"/>
    <w:rsid w:val="00AA10AC"/>
    <w:rsid w:val="00AA11BE"/>
    <w:rsid w:val="00AA2676"/>
    <w:rsid w:val="00AA2BD6"/>
    <w:rsid w:val="00AA4878"/>
    <w:rsid w:val="00AA58AB"/>
    <w:rsid w:val="00AA688A"/>
    <w:rsid w:val="00AA7312"/>
    <w:rsid w:val="00AA76A7"/>
    <w:rsid w:val="00AA783A"/>
    <w:rsid w:val="00AA7EEB"/>
    <w:rsid w:val="00AB0882"/>
    <w:rsid w:val="00AB0D29"/>
    <w:rsid w:val="00AB1399"/>
    <w:rsid w:val="00AB2301"/>
    <w:rsid w:val="00AB292F"/>
    <w:rsid w:val="00AB377F"/>
    <w:rsid w:val="00AB38E5"/>
    <w:rsid w:val="00AB395D"/>
    <w:rsid w:val="00AB3F43"/>
    <w:rsid w:val="00AB4139"/>
    <w:rsid w:val="00AB449B"/>
    <w:rsid w:val="00AB4A40"/>
    <w:rsid w:val="00AB52BB"/>
    <w:rsid w:val="00AB52BE"/>
    <w:rsid w:val="00AB5812"/>
    <w:rsid w:val="00AB5855"/>
    <w:rsid w:val="00AB5D6C"/>
    <w:rsid w:val="00AB65FB"/>
    <w:rsid w:val="00AB68AB"/>
    <w:rsid w:val="00AB69C8"/>
    <w:rsid w:val="00AB7515"/>
    <w:rsid w:val="00AB76DB"/>
    <w:rsid w:val="00AB7E22"/>
    <w:rsid w:val="00AC0044"/>
    <w:rsid w:val="00AC0F1E"/>
    <w:rsid w:val="00AC0F41"/>
    <w:rsid w:val="00AC1364"/>
    <w:rsid w:val="00AC1E02"/>
    <w:rsid w:val="00AC2BB8"/>
    <w:rsid w:val="00AC2E97"/>
    <w:rsid w:val="00AC3B88"/>
    <w:rsid w:val="00AC4B56"/>
    <w:rsid w:val="00AC5E3D"/>
    <w:rsid w:val="00AC5E6E"/>
    <w:rsid w:val="00AC5FA2"/>
    <w:rsid w:val="00AC64DD"/>
    <w:rsid w:val="00AC6564"/>
    <w:rsid w:val="00AC65E6"/>
    <w:rsid w:val="00AC6ADA"/>
    <w:rsid w:val="00AC7240"/>
    <w:rsid w:val="00AC7569"/>
    <w:rsid w:val="00AC7598"/>
    <w:rsid w:val="00AD08EF"/>
    <w:rsid w:val="00AD1019"/>
    <w:rsid w:val="00AD1898"/>
    <w:rsid w:val="00AD1B81"/>
    <w:rsid w:val="00AD34D3"/>
    <w:rsid w:val="00AD38FB"/>
    <w:rsid w:val="00AD3A32"/>
    <w:rsid w:val="00AD4299"/>
    <w:rsid w:val="00AD4342"/>
    <w:rsid w:val="00AD4486"/>
    <w:rsid w:val="00AD5A8A"/>
    <w:rsid w:val="00AD6136"/>
    <w:rsid w:val="00AD6576"/>
    <w:rsid w:val="00AD663E"/>
    <w:rsid w:val="00AD78DB"/>
    <w:rsid w:val="00AD7A04"/>
    <w:rsid w:val="00AD7F5D"/>
    <w:rsid w:val="00AE07D1"/>
    <w:rsid w:val="00AE08FA"/>
    <w:rsid w:val="00AE0997"/>
    <w:rsid w:val="00AE0A86"/>
    <w:rsid w:val="00AE0D05"/>
    <w:rsid w:val="00AE12BC"/>
    <w:rsid w:val="00AE1907"/>
    <w:rsid w:val="00AE1AD4"/>
    <w:rsid w:val="00AE2579"/>
    <w:rsid w:val="00AE2AAC"/>
    <w:rsid w:val="00AE2B07"/>
    <w:rsid w:val="00AE2B4E"/>
    <w:rsid w:val="00AE44F9"/>
    <w:rsid w:val="00AE4D80"/>
    <w:rsid w:val="00AE5108"/>
    <w:rsid w:val="00AE5454"/>
    <w:rsid w:val="00AE5529"/>
    <w:rsid w:val="00AE556D"/>
    <w:rsid w:val="00AE6470"/>
    <w:rsid w:val="00AE6D9A"/>
    <w:rsid w:val="00AE760D"/>
    <w:rsid w:val="00AE78DE"/>
    <w:rsid w:val="00AE7D0C"/>
    <w:rsid w:val="00AF07BE"/>
    <w:rsid w:val="00AF16D6"/>
    <w:rsid w:val="00AF1BAD"/>
    <w:rsid w:val="00AF1E42"/>
    <w:rsid w:val="00AF242A"/>
    <w:rsid w:val="00AF2E2D"/>
    <w:rsid w:val="00AF352A"/>
    <w:rsid w:val="00AF4926"/>
    <w:rsid w:val="00AF4C9C"/>
    <w:rsid w:val="00AF5BD0"/>
    <w:rsid w:val="00AF5DEE"/>
    <w:rsid w:val="00AF6AF1"/>
    <w:rsid w:val="00AF6D42"/>
    <w:rsid w:val="00AF71A9"/>
    <w:rsid w:val="00AF7C6B"/>
    <w:rsid w:val="00AF7C7A"/>
    <w:rsid w:val="00B0002D"/>
    <w:rsid w:val="00B00179"/>
    <w:rsid w:val="00B0048B"/>
    <w:rsid w:val="00B005DF"/>
    <w:rsid w:val="00B009D8"/>
    <w:rsid w:val="00B017E9"/>
    <w:rsid w:val="00B0211A"/>
    <w:rsid w:val="00B03640"/>
    <w:rsid w:val="00B037FC"/>
    <w:rsid w:val="00B03C2B"/>
    <w:rsid w:val="00B045F9"/>
    <w:rsid w:val="00B0474F"/>
    <w:rsid w:val="00B0486E"/>
    <w:rsid w:val="00B04F22"/>
    <w:rsid w:val="00B050C6"/>
    <w:rsid w:val="00B05232"/>
    <w:rsid w:val="00B065DD"/>
    <w:rsid w:val="00B06A54"/>
    <w:rsid w:val="00B0725F"/>
    <w:rsid w:val="00B0762E"/>
    <w:rsid w:val="00B07631"/>
    <w:rsid w:val="00B100AB"/>
    <w:rsid w:val="00B10A9E"/>
    <w:rsid w:val="00B11643"/>
    <w:rsid w:val="00B11C97"/>
    <w:rsid w:val="00B13E5E"/>
    <w:rsid w:val="00B162DB"/>
    <w:rsid w:val="00B17344"/>
    <w:rsid w:val="00B174EA"/>
    <w:rsid w:val="00B17B18"/>
    <w:rsid w:val="00B20164"/>
    <w:rsid w:val="00B20567"/>
    <w:rsid w:val="00B21247"/>
    <w:rsid w:val="00B212B8"/>
    <w:rsid w:val="00B212E7"/>
    <w:rsid w:val="00B21398"/>
    <w:rsid w:val="00B221EB"/>
    <w:rsid w:val="00B229F6"/>
    <w:rsid w:val="00B22CBE"/>
    <w:rsid w:val="00B22D76"/>
    <w:rsid w:val="00B231EF"/>
    <w:rsid w:val="00B23327"/>
    <w:rsid w:val="00B23575"/>
    <w:rsid w:val="00B24ED2"/>
    <w:rsid w:val="00B24ED7"/>
    <w:rsid w:val="00B25CB5"/>
    <w:rsid w:val="00B25CC3"/>
    <w:rsid w:val="00B261B5"/>
    <w:rsid w:val="00B26CCB"/>
    <w:rsid w:val="00B26E79"/>
    <w:rsid w:val="00B274C9"/>
    <w:rsid w:val="00B27EFD"/>
    <w:rsid w:val="00B30B7C"/>
    <w:rsid w:val="00B3109E"/>
    <w:rsid w:val="00B3132E"/>
    <w:rsid w:val="00B314EF"/>
    <w:rsid w:val="00B317B0"/>
    <w:rsid w:val="00B32030"/>
    <w:rsid w:val="00B3211A"/>
    <w:rsid w:val="00B33881"/>
    <w:rsid w:val="00B33B88"/>
    <w:rsid w:val="00B340B7"/>
    <w:rsid w:val="00B3435B"/>
    <w:rsid w:val="00B346B7"/>
    <w:rsid w:val="00B35232"/>
    <w:rsid w:val="00B35C0E"/>
    <w:rsid w:val="00B36FD1"/>
    <w:rsid w:val="00B370BC"/>
    <w:rsid w:val="00B371D7"/>
    <w:rsid w:val="00B37553"/>
    <w:rsid w:val="00B40D8C"/>
    <w:rsid w:val="00B40E0A"/>
    <w:rsid w:val="00B40EF4"/>
    <w:rsid w:val="00B41727"/>
    <w:rsid w:val="00B41741"/>
    <w:rsid w:val="00B4196A"/>
    <w:rsid w:val="00B41BE1"/>
    <w:rsid w:val="00B4255C"/>
    <w:rsid w:val="00B42A37"/>
    <w:rsid w:val="00B430F4"/>
    <w:rsid w:val="00B4361D"/>
    <w:rsid w:val="00B436F0"/>
    <w:rsid w:val="00B441D8"/>
    <w:rsid w:val="00B442BA"/>
    <w:rsid w:val="00B44C10"/>
    <w:rsid w:val="00B4592E"/>
    <w:rsid w:val="00B46576"/>
    <w:rsid w:val="00B466BD"/>
    <w:rsid w:val="00B46C1D"/>
    <w:rsid w:val="00B47CAC"/>
    <w:rsid w:val="00B500E1"/>
    <w:rsid w:val="00B50255"/>
    <w:rsid w:val="00B506A6"/>
    <w:rsid w:val="00B50A4D"/>
    <w:rsid w:val="00B5193A"/>
    <w:rsid w:val="00B51B92"/>
    <w:rsid w:val="00B51D81"/>
    <w:rsid w:val="00B53033"/>
    <w:rsid w:val="00B538B5"/>
    <w:rsid w:val="00B54D0A"/>
    <w:rsid w:val="00B54FEF"/>
    <w:rsid w:val="00B5550A"/>
    <w:rsid w:val="00B55653"/>
    <w:rsid w:val="00B55F1E"/>
    <w:rsid w:val="00B56725"/>
    <w:rsid w:val="00B56C15"/>
    <w:rsid w:val="00B56C7B"/>
    <w:rsid w:val="00B5791D"/>
    <w:rsid w:val="00B579BE"/>
    <w:rsid w:val="00B57C8C"/>
    <w:rsid w:val="00B607C3"/>
    <w:rsid w:val="00B60E0C"/>
    <w:rsid w:val="00B616B7"/>
    <w:rsid w:val="00B618E0"/>
    <w:rsid w:val="00B61970"/>
    <w:rsid w:val="00B62AC5"/>
    <w:rsid w:val="00B6367C"/>
    <w:rsid w:val="00B636FF"/>
    <w:rsid w:val="00B638EE"/>
    <w:rsid w:val="00B63AF3"/>
    <w:rsid w:val="00B63EA3"/>
    <w:rsid w:val="00B64040"/>
    <w:rsid w:val="00B64CBC"/>
    <w:rsid w:val="00B64D98"/>
    <w:rsid w:val="00B64FF7"/>
    <w:rsid w:val="00B65FA9"/>
    <w:rsid w:val="00B6638A"/>
    <w:rsid w:val="00B6681D"/>
    <w:rsid w:val="00B66844"/>
    <w:rsid w:val="00B67428"/>
    <w:rsid w:val="00B677BE"/>
    <w:rsid w:val="00B7025E"/>
    <w:rsid w:val="00B702F6"/>
    <w:rsid w:val="00B70CE8"/>
    <w:rsid w:val="00B73326"/>
    <w:rsid w:val="00B741E4"/>
    <w:rsid w:val="00B74F09"/>
    <w:rsid w:val="00B7580F"/>
    <w:rsid w:val="00B75992"/>
    <w:rsid w:val="00B75BCF"/>
    <w:rsid w:val="00B75C43"/>
    <w:rsid w:val="00B76E87"/>
    <w:rsid w:val="00B775ED"/>
    <w:rsid w:val="00B77B79"/>
    <w:rsid w:val="00B77E08"/>
    <w:rsid w:val="00B77E70"/>
    <w:rsid w:val="00B803A6"/>
    <w:rsid w:val="00B80564"/>
    <w:rsid w:val="00B80E5D"/>
    <w:rsid w:val="00B817D0"/>
    <w:rsid w:val="00B8295A"/>
    <w:rsid w:val="00B82CBF"/>
    <w:rsid w:val="00B82E7B"/>
    <w:rsid w:val="00B8344A"/>
    <w:rsid w:val="00B83734"/>
    <w:rsid w:val="00B839CD"/>
    <w:rsid w:val="00B84074"/>
    <w:rsid w:val="00B840AC"/>
    <w:rsid w:val="00B84A16"/>
    <w:rsid w:val="00B85D2F"/>
    <w:rsid w:val="00B861DE"/>
    <w:rsid w:val="00B866D1"/>
    <w:rsid w:val="00B87EDD"/>
    <w:rsid w:val="00B87F2D"/>
    <w:rsid w:val="00B90F9B"/>
    <w:rsid w:val="00B9127D"/>
    <w:rsid w:val="00B913EC"/>
    <w:rsid w:val="00B91ED0"/>
    <w:rsid w:val="00B927C9"/>
    <w:rsid w:val="00B927E9"/>
    <w:rsid w:val="00B92E86"/>
    <w:rsid w:val="00B93112"/>
    <w:rsid w:val="00B9320C"/>
    <w:rsid w:val="00B93217"/>
    <w:rsid w:val="00B945AD"/>
    <w:rsid w:val="00B94CD9"/>
    <w:rsid w:val="00B94D39"/>
    <w:rsid w:val="00B94E83"/>
    <w:rsid w:val="00B953F6"/>
    <w:rsid w:val="00B95679"/>
    <w:rsid w:val="00B95A74"/>
    <w:rsid w:val="00B95FCC"/>
    <w:rsid w:val="00B96823"/>
    <w:rsid w:val="00B96924"/>
    <w:rsid w:val="00B97F79"/>
    <w:rsid w:val="00BA0A9D"/>
    <w:rsid w:val="00BA1366"/>
    <w:rsid w:val="00BA15DB"/>
    <w:rsid w:val="00BA2180"/>
    <w:rsid w:val="00BA220A"/>
    <w:rsid w:val="00BA226C"/>
    <w:rsid w:val="00BA2C15"/>
    <w:rsid w:val="00BA38DA"/>
    <w:rsid w:val="00BA4BBB"/>
    <w:rsid w:val="00BA579D"/>
    <w:rsid w:val="00BA6B34"/>
    <w:rsid w:val="00BA70B0"/>
    <w:rsid w:val="00BA76F2"/>
    <w:rsid w:val="00BB121A"/>
    <w:rsid w:val="00BB1695"/>
    <w:rsid w:val="00BB18B6"/>
    <w:rsid w:val="00BB206D"/>
    <w:rsid w:val="00BB2C74"/>
    <w:rsid w:val="00BB3A25"/>
    <w:rsid w:val="00BB3ABD"/>
    <w:rsid w:val="00BB3C79"/>
    <w:rsid w:val="00BB48AF"/>
    <w:rsid w:val="00BB494A"/>
    <w:rsid w:val="00BB55BA"/>
    <w:rsid w:val="00BB57C3"/>
    <w:rsid w:val="00BB5B07"/>
    <w:rsid w:val="00BB5D22"/>
    <w:rsid w:val="00BB6013"/>
    <w:rsid w:val="00BB60C7"/>
    <w:rsid w:val="00BB62CF"/>
    <w:rsid w:val="00BB671C"/>
    <w:rsid w:val="00BB6B91"/>
    <w:rsid w:val="00BB7035"/>
    <w:rsid w:val="00BB743B"/>
    <w:rsid w:val="00BB7B25"/>
    <w:rsid w:val="00BB7D92"/>
    <w:rsid w:val="00BC023A"/>
    <w:rsid w:val="00BC0FA8"/>
    <w:rsid w:val="00BC10FE"/>
    <w:rsid w:val="00BC14E5"/>
    <w:rsid w:val="00BC1687"/>
    <w:rsid w:val="00BC1B4A"/>
    <w:rsid w:val="00BC26EE"/>
    <w:rsid w:val="00BC2D69"/>
    <w:rsid w:val="00BC37C4"/>
    <w:rsid w:val="00BC3AEF"/>
    <w:rsid w:val="00BC41E7"/>
    <w:rsid w:val="00BC4816"/>
    <w:rsid w:val="00BC5312"/>
    <w:rsid w:val="00BC5890"/>
    <w:rsid w:val="00BC6212"/>
    <w:rsid w:val="00BC6532"/>
    <w:rsid w:val="00BC67E0"/>
    <w:rsid w:val="00BC6EFE"/>
    <w:rsid w:val="00BC73BB"/>
    <w:rsid w:val="00BC75D6"/>
    <w:rsid w:val="00BC77A6"/>
    <w:rsid w:val="00BC7A55"/>
    <w:rsid w:val="00BC7ADF"/>
    <w:rsid w:val="00BD15DF"/>
    <w:rsid w:val="00BD16FB"/>
    <w:rsid w:val="00BD20FE"/>
    <w:rsid w:val="00BD24F1"/>
    <w:rsid w:val="00BD3524"/>
    <w:rsid w:val="00BD3661"/>
    <w:rsid w:val="00BD3FF7"/>
    <w:rsid w:val="00BD4186"/>
    <w:rsid w:val="00BD4313"/>
    <w:rsid w:val="00BD52F7"/>
    <w:rsid w:val="00BD5B1B"/>
    <w:rsid w:val="00BD609B"/>
    <w:rsid w:val="00BD6266"/>
    <w:rsid w:val="00BD6430"/>
    <w:rsid w:val="00BD6AE1"/>
    <w:rsid w:val="00BD6E23"/>
    <w:rsid w:val="00BD7AC6"/>
    <w:rsid w:val="00BD7FB1"/>
    <w:rsid w:val="00BE01C6"/>
    <w:rsid w:val="00BE09DB"/>
    <w:rsid w:val="00BE0D2E"/>
    <w:rsid w:val="00BE1366"/>
    <w:rsid w:val="00BE26EF"/>
    <w:rsid w:val="00BE2FB3"/>
    <w:rsid w:val="00BE315E"/>
    <w:rsid w:val="00BE4786"/>
    <w:rsid w:val="00BE4C4A"/>
    <w:rsid w:val="00BE6402"/>
    <w:rsid w:val="00BE64E8"/>
    <w:rsid w:val="00BE7519"/>
    <w:rsid w:val="00BE7C64"/>
    <w:rsid w:val="00BE7F3E"/>
    <w:rsid w:val="00BF078D"/>
    <w:rsid w:val="00BF0C4D"/>
    <w:rsid w:val="00BF0D4E"/>
    <w:rsid w:val="00BF1D72"/>
    <w:rsid w:val="00BF1F2D"/>
    <w:rsid w:val="00BF2629"/>
    <w:rsid w:val="00BF28E2"/>
    <w:rsid w:val="00BF3B26"/>
    <w:rsid w:val="00BF46E9"/>
    <w:rsid w:val="00BF4732"/>
    <w:rsid w:val="00BF491A"/>
    <w:rsid w:val="00BF5150"/>
    <w:rsid w:val="00BF53E9"/>
    <w:rsid w:val="00BF568A"/>
    <w:rsid w:val="00BF5B6B"/>
    <w:rsid w:val="00BF620D"/>
    <w:rsid w:val="00BF63D0"/>
    <w:rsid w:val="00BF6B90"/>
    <w:rsid w:val="00BF7606"/>
    <w:rsid w:val="00BF7681"/>
    <w:rsid w:val="00C00B5B"/>
    <w:rsid w:val="00C00FDA"/>
    <w:rsid w:val="00C01239"/>
    <w:rsid w:val="00C02619"/>
    <w:rsid w:val="00C02C73"/>
    <w:rsid w:val="00C02C97"/>
    <w:rsid w:val="00C0327D"/>
    <w:rsid w:val="00C03FE0"/>
    <w:rsid w:val="00C04473"/>
    <w:rsid w:val="00C04C67"/>
    <w:rsid w:val="00C06637"/>
    <w:rsid w:val="00C07378"/>
    <w:rsid w:val="00C073A0"/>
    <w:rsid w:val="00C073A6"/>
    <w:rsid w:val="00C07710"/>
    <w:rsid w:val="00C07A29"/>
    <w:rsid w:val="00C07E17"/>
    <w:rsid w:val="00C07F21"/>
    <w:rsid w:val="00C103C5"/>
    <w:rsid w:val="00C1078C"/>
    <w:rsid w:val="00C10B1F"/>
    <w:rsid w:val="00C12867"/>
    <w:rsid w:val="00C132F1"/>
    <w:rsid w:val="00C13CEF"/>
    <w:rsid w:val="00C14194"/>
    <w:rsid w:val="00C148C3"/>
    <w:rsid w:val="00C14B44"/>
    <w:rsid w:val="00C15112"/>
    <w:rsid w:val="00C15303"/>
    <w:rsid w:val="00C15706"/>
    <w:rsid w:val="00C158D7"/>
    <w:rsid w:val="00C1602B"/>
    <w:rsid w:val="00C16529"/>
    <w:rsid w:val="00C1696E"/>
    <w:rsid w:val="00C16A3A"/>
    <w:rsid w:val="00C16CB8"/>
    <w:rsid w:val="00C172C2"/>
    <w:rsid w:val="00C175B7"/>
    <w:rsid w:val="00C207BC"/>
    <w:rsid w:val="00C20DD6"/>
    <w:rsid w:val="00C21246"/>
    <w:rsid w:val="00C2155E"/>
    <w:rsid w:val="00C2379C"/>
    <w:rsid w:val="00C23F0D"/>
    <w:rsid w:val="00C2469B"/>
    <w:rsid w:val="00C253AA"/>
    <w:rsid w:val="00C26405"/>
    <w:rsid w:val="00C26A6E"/>
    <w:rsid w:val="00C26F67"/>
    <w:rsid w:val="00C27776"/>
    <w:rsid w:val="00C2786B"/>
    <w:rsid w:val="00C27C65"/>
    <w:rsid w:val="00C27E8A"/>
    <w:rsid w:val="00C30430"/>
    <w:rsid w:val="00C305EF"/>
    <w:rsid w:val="00C30793"/>
    <w:rsid w:val="00C30D90"/>
    <w:rsid w:val="00C3132F"/>
    <w:rsid w:val="00C330EC"/>
    <w:rsid w:val="00C336B2"/>
    <w:rsid w:val="00C3394A"/>
    <w:rsid w:val="00C33A98"/>
    <w:rsid w:val="00C33E35"/>
    <w:rsid w:val="00C34206"/>
    <w:rsid w:val="00C344BF"/>
    <w:rsid w:val="00C35009"/>
    <w:rsid w:val="00C3516A"/>
    <w:rsid w:val="00C3551C"/>
    <w:rsid w:val="00C36275"/>
    <w:rsid w:val="00C37898"/>
    <w:rsid w:val="00C37A8B"/>
    <w:rsid w:val="00C4016C"/>
    <w:rsid w:val="00C4027C"/>
    <w:rsid w:val="00C40EF3"/>
    <w:rsid w:val="00C413FA"/>
    <w:rsid w:val="00C4213E"/>
    <w:rsid w:val="00C423A7"/>
    <w:rsid w:val="00C430DE"/>
    <w:rsid w:val="00C4368A"/>
    <w:rsid w:val="00C43AB3"/>
    <w:rsid w:val="00C443C9"/>
    <w:rsid w:val="00C445F8"/>
    <w:rsid w:val="00C44661"/>
    <w:rsid w:val="00C447B7"/>
    <w:rsid w:val="00C46961"/>
    <w:rsid w:val="00C470E6"/>
    <w:rsid w:val="00C47172"/>
    <w:rsid w:val="00C47A61"/>
    <w:rsid w:val="00C47F0D"/>
    <w:rsid w:val="00C502D6"/>
    <w:rsid w:val="00C508BB"/>
    <w:rsid w:val="00C52467"/>
    <w:rsid w:val="00C54465"/>
    <w:rsid w:val="00C54CF6"/>
    <w:rsid w:val="00C54D6F"/>
    <w:rsid w:val="00C55E3B"/>
    <w:rsid w:val="00C560D4"/>
    <w:rsid w:val="00C56D74"/>
    <w:rsid w:val="00C57012"/>
    <w:rsid w:val="00C57020"/>
    <w:rsid w:val="00C5745B"/>
    <w:rsid w:val="00C576E8"/>
    <w:rsid w:val="00C57F82"/>
    <w:rsid w:val="00C6024D"/>
    <w:rsid w:val="00C606D8"/>
    <w:rsid w:val="00C60F7F"/>
    <w:rsid w:val="00C611E9"/>
    <w:rsid w:val="00C632A1"/>
    <w:rsid w:val="00C64389"/>
    <w:rsid w:val="00C6591B"/>
    <w:rsid w:val="00C66795"/>
    <w:rsid w:val="00C66879"/>
    <w:rsid w:val="00C67877"/>
    <w:rsid w:val="00C67AF1"/>
    <w:rsid w:val="00C71093"/>
    <w:rsid w:val="00C712FA"/>
    <w:rsid w:val="00C71605"/>
    <w:rsid w:val="00C728D2"/>
    <w:rsid w:val="00C72B44"/>
    <w:rsid w:val="00C7364D"/>
    <w:rsid w:val="00C7384C"/>
    <w:rsid w:val="00C73CD7"/>
    <w:rsid w:val="00C73DC8"/>
    <w:rsid w:val="00C73E2F"/>
    <w:rsid w:val="00C74B98"/>
    <w:rsid w:val="00C74FFF"/>
    <w:rsid w:val="00C7627A"/>
    <w:rsid w:val="00C77319"/>
    <w:rsid w:val="00C7751B"/>
    <w:rsid w:val="00C80411"/>
    <w:rsid w:val="00C8057C"/>
    <w:rsid w:val="00C80D32"/>
    <w:rsid w:val="00C817D7"/>
    <w:rsid w:val="00C81C19"/>
    <w:rsid w:val="00C81DC1"/>
    <w:rsid w:val="00C82434"/>
    <w:rsid w:val="00C83986"/>
    <w:rsid w:val="00C842F7"/>
    <w:rsid w:val="00C84856"/>
    <w:rsid w:val="00C853F3"/>
    <w:rsid w:val="00C8579B"/>
    <w:rsid w:val="00C86332"/>
    <w:rsid w:val="00C86E5B"/>
    <w:rsid w:val="00C908CF"/>
    <w:rsid w:val="00C9147E"/>
    <w:rsid w:val="00C92091"/>
    <w:rsid w:val="00C9294C"/>
    <w:rsid w:val="00C92ED9"/>
    <w:rsid w:val="00C935BD"/>
    <w:rsid w:val="00C93DF9"/>
    <w:rsid w:val="00C95741"/>
    <w:rsid w:val="00C96365"/>
    <w:rsid w:val="00C969DA"/>
    <w:rsid w:val="00C97485"/>
    <w:rsid w:val="00C977F2"/>
    <w:rsid w:val="00C97F7F"/>
    <w:rsid w:val="00CA0265"/>
    <w:rsid w:val="00CA02A5"/>
    <w:rsid w:val="00CA1555"/>
    <w:rsid w:val="00CA19B7"/>
    <w:rsid w:val="00CA1D45"/>
    <w:rsid w:val="00CA31D6"/>
    <w:rsid w:val="00CA3774"/>
    <w:rsid w:val="00CA39AA"/>
    <w:rsid w:val="00CA3DEE"/>
    <w:rsid w:val="00CA4C2C"/>
    <w:rsid w:val="00CA4DDF"/>
    <w:rsid w:val="00CA532E"/>
    <w:rsid w:val="00CA5986"/>
    <w:rsid w:val="00CA5B66"/>
    <w:rsid w:val="00CA65EB"/>
    <w:rsid w:val="00CA67B8"/>
    <w:rsid w:val="00CA6B39"/>
    <w:rsid w:val="00CA6EB2"/>
    <w:rsid w:val="00CA6FB1"/>
    <w:rsid w:val="00CA71D4"/>
    <w:rsid w:val="00CA73DB"/>
    <w:rsid w:val="00CA785E"/>
    <w:rsid w:val="00CA7BBA"/>
    <w:rsid w:val="00CB0020"/>
    <w:rsid w:val="00CB0BCF"/>
    <w:rsid w:val="00CB0F36"/>
    <w:rsid w:val="00CB1E4B"/>
    <w:rsid w:val="00CB217E"/>
    <w:rsid w:val="00CB3456"/>
    <w:rsid w:val="00CB41B2"/>
    <w:rsid w:val="00CB4995"/>
    <w:rsid w:val="00CB4E62"/>
    <w:rsid w:val="00CB5531"/>
    <w:rsid w:val="00CB5975"/>
    <w:rsid w:val="00CB6565"/>
    <w:rsid w:val="00CB6636"/>
    <w:rsid w:val="00CB6C6C"/>
    <w:rsid w:val="00CB6EBC"/>
    <w:rsid w:val="00CB7E1E"/>
    <w:rsid w:val="00CC011A"/>
    <w:rsid w:val="00CC0B55"/>
    <w:rsid w:val="00CC0E1C"/>
    <w:rsid w:val="00CC1569"/>
    <w:rsid w:val="00CC1C07"/>
    <w:rsid w:val="00CC2079"/>
    <w:rsid w:val="00CC2364"/>
    <w:rsid w:val="00CC2488"/>
    <w:rsid w:val="00CC3524"/>
    <w:rsid w:val="00CC3AEC"/>
    <w:rsid w:val="00CC3B93"/>
    <w:rsid w:val="00CC3DB9"/>
    <w:rsid w:val="00CC42D0"/>
    <w:rsid w:val="00CC4D20"/>
    <w:rsid w:val="00CC66D6"/>
    <w:rsid w:val="00CC741E"/>
    <w:rsid w:val="00CC747A"/>
    <w:rsid w:val="00CC7FD9"/>
    <w:rsid w:val="00CD02E4"/>
    <w:rsid w:val="00CD12E7"/>
    <w:rsid w:val="00CD1AFA"/>
    <w:rsid w:val="00CD2358"/>
    <w:rsid w:val="00CD2779"/>
    <w:rsid w:val="00CD293D"/>
    <w:rsid w:val="00CD2DDC"/>
    <w:rsid w:val="00CD3D96"/>
    <w:rsid w:val="00CD55F7"/>
    <w:rsid w:val="00CD56ED"/>
    <w:rsid w:val="00CD6B2A"/>
    <w:rsid w:val="00CD7092"/>
    <w:rsid w:val="00CD7B9E"/>
    <w:rsid w:val="00CD7FFE"/>
    <w:rsid w:val="00CE092E"/>
    <w:rsid w:val="00CE100E"/>
    <w:rsid w:val="00CE190C"/>
    <w:rsid w:val="00CE1A6F"/>
    <w:rsid w:val="00CE308A"/>
    <w:rsid w:val="00CE33AE"/>
    <w:rsid w:val="00CE40EF"/>
    <w:rsid w:val="00CE4185"/>
    <w:rsid w:val="00CE570F"/>
    <w:rsid w:val="00CE5CAA"/>
    <w:rsid w:val="00CE5E77"/>
    <w:rsid w:val="00CE60C1"/>
    <w:rsid w:val="00CE76E1"/>
    <w:rsid w:val="00CE7F6E"/>
    <w:rsid w:val="00CF0C18"/>
    <w:rsid w:val="00CF0DE3"/>
    <w:rsid w:val="00CF0E66"/>
    <w:rsid w:val="00CF1311"/>
    <w:rsid w:val="00CF177D"/>
    <w:rsid w:val="00CF3927"/>
    <w:rsid w:val="00CF3C96"/>
    <w:rsid w:val="00CF42A2"/>
    <w:rsid w:val="00CF43ED"/>
    <w:rsid w:val="00CF4B02"/>
    <w:rsid w:val="00CF51BC"/>
    <w:rsid w:val="00CF5EA4"/>
    <w:rsid w:val="00CF6B3D"/>
    <w:rsid w:val="00CF7BE0"/>
    <w:rsid w:val="00D01BDB"/>
    <w:rsid w:val="00D0200B"/>
    <w:rsid w:val="00D02744"/>
    <w:rsid w:val="00D02D21"/>
    <w:rsid w:val="00D02DE2"/>
    <w:rsid w:val="00D034F2"/>
    <w:rsid w:val="00D037D1"/>
    <w:rsid w:val="00D03904"/>
    <w:rsid w:val="00D0457D"/>
    <w:rsid w:val="00D0511C"/>
    <w:rsid w:val="00D101C8"/>
    <w:rsid w:val="00D10B0E"/>
    <w:rsid w:val="00D10E31"/>
    <w:rsid w:val="00D10F6B"/>
    <w:rsid w:val="00D11D61"/>
    <w:rsid w:val="00D1316C"/>
    <w:rsid w:val="00D13C7F"/>
    <w:rsid w:val="00D1425B"/>
    <w:rsid w:val="00D14642"/>
    <w:rsid w:val="00D14EA1"/>
    <w:rsid w:val="00D15454"/>
    <w:rsid w:val="00D166ED"/>
    <w:rsid w:val="00D17B58"/>
    <w:rsid w:val="00D17D3E"/>
    <w:rsid w:val="00D17E69"/>
    <w:rsid w:val="00D17F69"/>
    <w:rsid w:val="00D209C9"/>
    <w:rsid w:val="00D2156E"/>
    <w:rsid w:val="00D21AC0"/>
    <w:rsid w:val="00D22498"/>
    <w:rsid w:val="00D22935"/>
    <w:rsid w:val="00D24FD2"/>
    <w:rsid w:val="00D25AE7"/>
    <w:rsid w:val="00D25DD0"/>
    <w:rsid w:val="00D262EB"/>
    <w:rsid w:val="00D265A8"/>
    <w:rsid w:val="00D26670"/>
    <w:rsid w:val="00D303BC"/>
    <w:rsid w:val="00D305AA"/>
    <w:rsid w:val="00D305B2"/>
    <w:rsid w:val="00D30CCA"/>
    <w:rsid w:val="00D30D6F"/>
    <w:rsid w:val="00D311CA"/>
    <w:rsid w:val="00D314CE"/>
    <w:rsid w:val="00D3227A"/>
    <w:rsid w:val="00D32EC3"/>
    <w:rsid w:val="00D32FF3"/>
    <w:rsid w:val="00D3321C"/>
    <w:rsid w:val="00D339B6"/>
    <w:rsid w:val="00D33CC2"/>
    <w:rsid w:val="00D340EF"/>
    <w:rsid w:val="00D3424B"/>
    <w:rsid w:val="00D34F25"/>
    <w:rsid w:val="00D35791"/>
    <w:rsid w:val="00D3586D"/>
    <w:rsid w:val="00D3593F"/>
    <w:rsid w:val="00D36324"/>
    <w:rsid w:val="00D363B0"/>
    <w:rsid w:val="00D36A2A"/>
    <w:rsid w:val="00D40A89"/>
    <w:rsid w:val="00D40E5C"/>
    <w:rsid w:val="00D40F8E"/>
    <w:rsid w:val="00D4165A"/>
    <w:rsid w:val="00D4167E"/>
    <w:rsid w:val="00D417A8"/>
    <w:rsid w:val="00D41B84"/>
    <w:rsid w:val="00D41C19"/>
    <w:rsid w:val="00D42490"/>
    <w:rsid w:val="00D43274"/>
    <w:rsid w:val="00D43826"/>
    <w:rsid w:val="00D438E0"/>
    <w:rsid w:val="00D44009"/>
    <w:rsid w:val="00D44248"/>
    <w:rsid w:val="00D44475"/>
    <w:rsid w:val="00D44A99"/>
    <w:rsid w:val="00D45312"/>
    <w:rsid w:val="00D4551E"/>
    <w:rsid w:val="00D455EA"/>
    <w:rsid w:val="00D46108"/>
    <w:rsid w:val="00D4619D"/>
    <w:rsid w:val="00D47378"/>
    <w:rsid w:val="00D50391"/>
    <w:rsid w:val="00D50801"/>
    <w:rsid w:val="00D50918"/>
    <w:rsid w:val="00D516AF"/>
    <w:rsid w:val="00D516E9"/>
    <w:rsid w:val="00D52438"/>
    <w:rsid w:val="00D534D0"/>
    <w:rsid w:val="00D5410E"/>
    <w:rsid w:val="00D5475A"/>
    <w:rsid w:val="00D553B6"/>
    <w:rsid w:val="00D5588D"/>
    <w:rsid w:val="00D55C51"/>
    <w:rsid w:val="00D55DC4"/>
    <w:rsid w:val="00D56C40"/>
    <w:rsid w:val="00D577D6"/>
    <w:rsid w:val="00D60140"/>
    <w:rsid w:val="00D6068F"/>
    <w:rsid w:val="00D607A8"/>
    <w:rsid w:val="00D60B05"/>
    <w:rsid w:val="00D61340"/>
    <w:rsid w:val="00D627DE"/>
    <w:rsid w:val="00D62874"/>
    <w:rsid w:val="00D6466D"/>
    <w:rsid w:val="00D65898"/>
    <w:rsid w:val="00D65CD7"/>
    <w:rsid w:val="00D65FAC"/>
    <w:rsid w:val="00D666F3"/>
    <w:rsid w:val="00D66DC3"/>
    <w:rsid w:val="00D66EDB"/>
    <w:rsid w:val="00D7000F"/>
    <w:rsid w:val="00D700F1"/>
    <w:rsid w:val="00D70338"/>
    <w:rsid w:val="00D7036C"/>
    <w:rsid w:val="00D711B5"/>
    <w:rsid w:val="00D721AC"/>
    <w:rsid w:val="00D7230D"/>
    <w:rsid w:val="00D726F4"/>
    <w:rsid w:val="00D727D7"/>
    <w:rsid w:val="00D735BD"/>
    <w:rsid w:val="00D737D7"/>
    <w:rsid w:val="00D739BB"/>
    <w:rsid w:val="00D73BC0"/>
    <w:rsid w:val="00D74796"/>
    <w:rsid w:val="00D748D4"/>
    <w:rsid w:val="00D7570A"/>
    <w:rsid w:val="00D7615B"/>
    <w:rsid w:val="00D802A4"/>
    <w:rsid w:val="00D812A2"/>
    <w:rsid w:val="00D81D03"/>
    <w:rsid w:val="00D81F3B"/>
    <w:rsid w:val="00D8271A"/>
    <w:rsid w:val="00D833F4"/>
    <w:rsid w:val="00D8370C"/>
    <w:rsid w:val="00D842B4"/>
    <w:rsid w:val="00D8469D"/>
    <w:rsid w:val="00D84839"/>
    <w:rsid w:val="00D856A9"/>
    <w:rsid w:val="00D85F9D"/>
    <w:rsid w:val="00D8632B"/>
    <w:rsid w:val="00D871D7"/>
    <w:rsid w:val="00D90276"/>
    <w:rsid w:val="00D90378"/>
    <w:rsid w:val="00D9052F"/>
    <w:rsid w:val="00D90A1A"/>
    <w:rsid w:val="00D90EC8"/>
    <w:rsid w:val="00D91053"/>
    <w:rsid w:val="00D91632"/>
    <w:rsid w:val="00D91AD9"/>
    <w:rsid w:val="00D92F19"/>
    <w:rsid w:val="00D93098"/>
    <w:rsid w:val="00D93F73"/>
    <w:rsid w:val="00D9566D"/>
    <w:rsid w:val="00D95697"/>
    <w:rsid w:val="00D95BC6"/>
    <w:rsid w:val="00D95D20"/>
    <w:rsid w:val="00D96203"/>
    <w:rsid w:val="00D963AA"/>
    <w:rsid w:val="00D96429"/>
    <w:rsid w:val="00D97DA9"/>
    <w:rsid w:val="00DA02E8"/>
    <w:rsid w:val="00DA21B8"/>
    <w:rsid w:val="00DA2F6F"/>
    <w:rsid w:val="00DA3063"/>
    <w:rsid w:val="00DA326D"/>
    <w:rsid w:val="00DA3D4B"/>
    <w:rsid w:val="00DA3DB1"/>
    <w:rsid w:val="00DA4A03"/>
    <w:rsid w:val="00DA4CBA"/>
    <w:rsid w:val="00DA5573"/>
    <w:rsid w:val="00DA5D91"/>
    <w:rsid w:val="00DA61EC"/>
    <w:rsid w:val="00DA695A"/>
    <w:rsid w:val="00DA78D5"/>
    <w:rsid w:val="00DB0B9C"/>
    <w:rsid w:val="00DB1042"/>
    <w:rsid w:val="00DB1076"/>
    <w:rsid w:val="00DB184B"/>
    <w:rsid w:val="00DB1ED3"/>
    <w:rsid w:val="00DB26BF"/>
    <w:rsid w:val="00DB4BEB"/>
    <w:rsid w:val="00DB4E70"/>
    <w:rsid w:val="00DB53DE"/>
    <w:rsid w:val="00DB5664"/>
    <w:rsid w:val="00DB5CA2"/>
    <w:rsid w:val="00DB5D62"/>
    <w:rsid w:val="00DB69EE"/>
    <w:rsid w:val="00DB6E24"/>
    <w:rsid w:val="00DB74A3"/>
    <w:rsid w:val="00DB750F"/>
    <w:rsid w:val="00DB7579"/>
    <w:rsid w:val="00DB7672"/>
    <w:rsid w:val="00DB7751"/>
    <w:rsid w:val="00DB7D33"/>
    <w:rsid w:val="00DC064C"/>
    <w:rsid w:val="00DC1399"/>
    <w:rsid w:val="00DC17D8"/>
    <w:rsid w:val="00DC18B6"/>
    <w:rsid w:val="00DC377F"/>
    <w:rsid w:val="00DC3B93"/>
    <w:rsid w:val="00DC4E85"/>
    <w:rsid w:val="00DC51C5"/>
    <w:rsid w:val="00DC618F"/>
    <w:rsid w:val="00DC65FB"/>
    <w:rsid w:val="00DC6706"/>
    <w:rsid w:val="00DC6D53"/>
    <w:rsid w:val="00DC6E9E"/>
    <w:rsid w:val="00DD016D"/>
    <w:rsid w:val="00DD0F4F"/>
    <w:rsid w:val="00DD165F"/>
    <w:rsid w:val="00DD19CA"/>
    <w:rsid w:val="00DD19D0"/>
    <w:rsid w:val="00DD19DE"/>
    <w:rsid w:val="00DD1D0D"/>
    <w:rsid w:val="00DD1F89"/>
    <w:rsid w:val="00DD2618"/>
    <w:rsid w:val="00DD2DFB"/>
    <w:rsid w:val="00DD3302"/>
    <w:rsid w:val="00DD4634"/>
    <w:rsid w:val="00DD6C49"/>
    <w:rsid w:val="00DE0096"/>
    <w:rsid w:val="00DE11B9"/>
    <w:rsid w:val="00DE122E"/>
    <w:rsid w:val="00DE33FB"/>
    <w:rsid w:val="00DE3D4D"/>
    <w:rsid w:val="00DE4042"/>
    <w:rsid w:val="00DE41F1"/>
    <w:rsid w:val="00DE4825"/>
    <w:rsid w:val="00DE55EB"/>
    <w:rsid w:val="00DE6249"/>
    <w:rsid w:val="00DE66F5"/>
    <w:rsid w:val="00DE75FC"/>
    <w:rsid w:val="00DE7DCB"/>
    <w:rsid w:val="00DF0773"/>
    <w:rsid w:val="00DF0B2F"/>
    <w:rsid w:val="00DF1142"/>
    <w:rsid w:val="00DF1168"/>
    <w:rsid w:val="00DF1231"/>
    <w:rsid w:val="00DF14DB"/>
    <w:rsid w:val="00DF1D71"/>
    <w:rsid w:val="00DF1E7C"/>
    <w:rsid w:val="00DF2770"/>
    <w:rsid w:val="00DF3D3E"/>
    <w:rsid w:val="00DF4229"/>
    <w:rsid w:val="00DF4464"/>
    <w:rsid w:val="00DF4D52"/>
    <w:rsid w:val="00DF5BE7"/>
    <w:rsid w:val="00DF688F"/>
    <w:rsid w:val="00DF7957"/>
    <w:rsid w:val="00E001C0"/>
    <w:rsid w:val="00E01027"/>
    <w:rsid w:val="00E01139"/>
    <w:rsid w:val="00E0191A"/>
    <w:rsid w:val="00E01B51"/>
    <w:rsid w:val="00E020B8"/>
    <w:rsid w:val="00E024A2"/>
    <w:rsid w:val="00E02F76"/>
    <w:rsid w:val="00E03322"/>
    <w:rsid w:val="00E03B40"/>
    <w:rsid w:val="00E04559"/>
    <w:rsid w:val="00E061D2"/>
    <w:rsid w:val="00E0657C"/>
    <w:rsid w:val="00E06A8B"/>
    <w:rsid w:val="00E06D78"/>
    <w:rsid w:val="00E06F4A"/>
    <w:rsid w:val="00E07B7F"/>
    <w:rsid w:val="00E07BD8"/>
    <w:rsid w:val="00E07C63"/>
    <w:rsid w:val="00E10742"/>
    <w:rsid w:val="00E11A1F"/>
    <w:rsid w:val="00E11DD9"/>
    <w:rsid w:val="00E11E3A"/>
    <w:rsid w:val="00E1237F"/>
    <w:rsid w:val="00E128EB"/>
    <w:rsid w:val="00E12EFC"/>
    <w:rsid w:val="00E13311"/>
    <w:rsid w:val="00E13E71"/>
    <w:rsid w:val="00E13F7D"/>
    <w:rsid w:val="00E140DF"/>
    <w:rsid w:val="00E141A2"/>
    <w:rsid w:val="00E14841"/>
    <w:rsid w:val="00E14E48"/>
    <w:rsid w:val="00E15265"/>
    <w:rsid w:val="00E15315"/>
    <w:rsid w:val="00E15A02"/>
    <w:rsid w:val="00E1682F"/>
    <w:rsid w:val="00E17EC8"/>
    <w:rsid w:val="00E202C8"/>
    <w:rsid w:val="00E20931"/>
    <w:rsid w:val="00E20AD5"/>
    <w:rsid w:val="00E20B78"/>
    <w:rsid w:val="00E22DD1"/>
    <w:rsid w:val="00E23D3E"/>
    <w:rsid w:val="00E24647"/>
    <w:rsid w:val="00E252BD"/>
    <w:rsid w:val="00E25350"/>
    <w:rsid w:val="00E25B19"/>
    <w:rsid w:val="00E25FBC"/>
    <w:rsid w:val="00E266D6"/>
    <w:rsid w:val="00E271EE"/>
    <w:rsid w:val="00E301D6"/>
    <w:rsid w:val="00E31067"/>
    <w:rsid w:val="00E3328D"/>
    <w:rsid w:val="00E334CD"/>
    <w:rsid w:val="00E33BEE"/>
    <w:rsid w:val="00E340AE"/>
    <w:rsid w:val="00E3478C"/>
    <w:rsid w:val="00E34864"/>
    <w:rsid w:val="00E34928"/>
    <w:rsid w:val="00E35082"/>
    <w:rsid w:val="00E35660"/>
    <w:rsid w:val="00E3595C"/>
    <w:rsid w:val="00E35CB1"/>
    <w:rsid w:val="00E35CC9"/>
    <w:rsid w:val="00E363EB"/>
    <w:rsid w:val="00E366FF"/>
    <w:rsid w:val="00E37114"/>
    <w:rsid w:val="00E37FF8"/>
    <w:rsid w:val="00E4000F"/>
    <w:rsid w:val="00E400DC"/>
    <w:rsid w:val="00E4098F"/>
    <w:rsid w:val="00E40A58"/>
    <w:rsid w:val="00E40C9A"/>
    <w:rsid w:val="00E41865"/>
    <w:rsid w:val="00E4194C"/>
    <w:rsid w:val="00E431BB"/>
    <w:rsid w:val="00E43385"/>
    <w:rsid w:val="00E43525"/>
    <w:rsid w:val="00E43B75"/>
    <w:rsid w:val="00E44216"/>
    <w:rsid w:val="00E44437"/>
    <w:rsid w:val="00E44B6C"/>
    <w:rsid w:val="00E452F8"/>
    <w:rsid w:val="00E4565B"/>
    <w:rsid w:val="00E45CA0"/>
    <w:rsid w:val="00E45DE2"/>
    <w:rsid w:val="00E4611E"/>
    <w:rsid w:val="00E4636A"/>
    <w:rsid w:val="00E47F52"/>
    <w:rsid w:val="00E47F76"/>
    <w:rsid w:val="00E50199"/>
    <w:rsid w:val="00E5261B"/>
    <w:rsid w:val="00E52AE6"/>
    <w:rsid w:val="00E5365F"/>
    <w:rsid w:val="00E544A0"/>
    <w:rsid w:val="00E548C5"/>
    <w:rsid w:val="00E54D97"/>
    <w:rsid w:val="00E55B3C"/>
    <w:rsid w:val="00E563A4"/>
    <w:rsid w:val="00E5795B"/>
    <w:rsid w:val="00E601E6"/>
    <w:rsid w:val="00E6058D"/>
    <w:rsid w:val="00E6063C"/>
    <w:rsid w:val="00E622F2"/>
    <w:rsid w:val="00E62546"/>
    <w:rsid w:val="00E6269C"/>
    <w:rsid w:val="00E62723"/>
    <w:rsid w:val="00E62944"/>
    <w:rsid w:val="00E62CB8"/>
    <w:rsid w:val="00E634C1"/>
    <w:rsid w:val="00E6368A"/>
    <w:rsid w:val="00E636B2"/>
    <w:rsid w:val="00E6393C"/>
    <w:rsid w:val="00E641A2"/>
    <w:rsid w:val="00E64369"/>
    <w:rsid w:val="00E64B41"/>
    <w:rsid w:val="00E6520F"/>
    <w:rsid w:val="00E65CD8"/>
    <w:rsid w:val="00E669D9"/>
    <w:rsid w:val="00E66E04"/>
    <w:rsid w:val="00E67C2D"/>
    <w:rsid w:val="00E712EE"/>
    <w:rsid w:val="00E71E77"/>
    <w:rsid w:val="00E7230B"/>
    <w:rsid w:val="00E72612"/>
    <w:rsid w:val="00E72658"/>
    <w:rsid w:val="00E72B81"/>
    <w:rsid w:val="00E72D3D"/>
    <w:rsid w:val="00E72D49"/>
    <w:rsid w:val="00E731C8"/>
    <w:rsid w:val="00E73CE4"/>
    <w:rsid w:val="00E7425F"/>
    <w:rsid w:val="00E7433A"/>
    <w:rsid w:val="00E74BC0"/>
    <w:rsid w:val="00E758BA"/>
    <w:rsid w:val="00E766CC"/>
    <w:rsid w:val="00E770D2"/>
    <w:rsid w:val="00E7721A"/>
    <w:rsid w:val="00E7726B"/>
    <w:rsid w:val="00E77838"/>
    <w:rsid w:val="00E80638"/>
    <w:rsid w:val="00E808B2"/>
    <w:rsid w:val="00E80909"/>
    <w:rsid w:val="00E80FB1"/>
    <w:rsid w:val="00E81D51"/>
    <w:rsid w:val="00E823B7"/>
    <w:rsid w:val="00E82525"/>
    <w:rsid w:val="00E82A0A"/>
    <w:rsid w:val="00E82D7C"/>
    <w:rsid w:val="00E82F9A"/>
    <w:rsid w:val="00E83B58"/>
    <w:rsid w:val="00E8572C"/>
    <w:rsid w:val="00E85933"/>
    <w:rsid w:val="00E869C8"/>
    <w:rsid w:val="00E9016F"/>
    <w:rsid w:val="00E90D1B"/>
    <w:rsid w:val="00E91E71"/>
    <w:rsid w:val="00E9234D"/>
    <w:rsid w:val="00E93094"/>
    <w:rsid w:val="00E934AE"/>
    <w:rsid w:val="00E936B5"/>
    <w:rsid w:val="00E94CCE"/>
    <w:rsid w:val="00E953D0"/>
    <w:rsid w:val="00E957E8"/>
    <w:rsid w:val="00E95BD6"/>
    <w:rsid w:val="00E96B38"/>
    <w:rsid w:val="00E96CD1"/>
    <w:rsid w:val="00E97459"/>
    <w:rsid w:val="00EA097D"/>
    <w:rsid w:val="00EA0C86"/>
    <w:rsid w:val="00EA11D6"/>
    <w:rsid w:val="00EA3831"/>
    <w:rsid w:val="00EA3871"/>
    <w:rsid w:val="00EA4EB8"/>
    <w:rsid w:val="00EB03E6"/>
    <w:rsid w:val="00EB05D1"/>
    <w:rsid w:val="00EB1321"/>
    <w:rsid w:val="00EB1E80"/>
    <w:rsid w:val="00EB2ADD"/>
    <w:rsid w:val="00EB372C"/>
    <w:rsid w:val="00EB3A10"/>
    <w:rsid w:val="00EB4637"/>
    <w:rsid w:val="00EB4C2B"/>
    <w:rsid w:val="00EB5294"/>
    <w:rsid w:val="00EB60C7"/>
    <w:rsid w:val="00EB64E8"/>
    <w:rsid w:val="00EB6A0A"/>
    <w:rsid w:val="00EB6C8B"/>
    <w:rsid w:val="00EB75CF"/>
    <w:rsid w:val="00EB7F4D"/>
    <w:rsid w:val="00EC1353"/>
    <w:rsid w:val="00EC1B24"/>
    <w:rsid w:val="00EC3726"/>
    <w:rsid w:val="00EC3CFD"/>
    <w:rsid w:val="00EC4421"/>
    <w:rsid w:val="00EC4DE9"/>
    <w:rsid w:val="00EC6608"/>
    <w:rsid w:val="00EC6AB3"/>
    <w:rsid w:val="00EC6D6D"/>
    <w:rsid w:val="00EC714A"/>
    <w:rsid w:val="00EC7DD9"/>
    <w:rsid w:val="00ED03CB"/>
    <w:rsid w:val="00ED0520"/>
    <w:rsid w:val="00ED12F2"/>
    <w:rsid w:val="00ED264A"/>
    <w:rsid w:val="00ED3512"/>
    <w:rsid w:val="00ED37AE"/>
    <w:rsid w:val="00ED5247"/>
    <w:rsid w:val="00ED6265"/>
    <w:rsid w:val="00EE2A4D"/>
    <w:rsid w:val="00EE2C62"/>
    <w:rsid w:val="00EE329A"/>
    <w:rsid w:val="00EE4ED5"/>
    <w:rsid w:val="00EE56EF"/>
    <w:rsid w:val="00EE70A0"/>
    <w:rsid w:val="00EE7367"/>
    <w:rsid w:val="00EE791B"/>
    <w:rsid w:val="00EF081A"/>
    <w:rsid w:val="00EF15F5"/>
    <w:rsid w:val="00EF25D2"/>
    <w:rsid w:val="00EF29E9"/>
    <w:rsid w:val="00EF40CD"/>
    <w:rsid w:val="00EF4327"/>
    <w:rsid w:val="00EF4472"/>
    <w:rsid w:val="00EF4D6D"/>
    <w:rsid w:val="00EF4DB9"/>
    <w:rsid w:val="00EF5432"/>
    <w:rsid w:val="00EF644C"/>
    <w:rsid w:val="00EF6671"/>
    <w:rsid w:val="00EF6A1C"/>
    <w:rsid w:val="00EF700A"/>
    <w:rsid w:val="00EF7453"/>
    <w:rsid w:val="00F0073E"/>
    <w:rsid w:val="00F007D5"/>
    <w:rsid w:val="00F00961"/>
    <w:rsid w:val="00F01062"/>
    <w:rsid w:val="00F01B7C"/>
    <w:rsid w:val="00F02CB4"/>
    <w:rsid w:val="00F03319"/>
    <w:rsid w:val="00F033FB"/>
    <w:rsid w:val="00F03960"/>
    <w:rsid w:val="00F04437"/>
    <w:rsid w:val="00F057C9"/>
    <w:rsid w:val="00F06345"/>
    <w:rsid w:val="00F07ED1"/>
    <w:rsid w:val="00F104E3"/>
    <w:rsid w:val="00F11E1F"/>
    <w:rsid w:val="00F120D3"/>
    <w:rsid w:val="00F130B5"/>
    <w:rsid w:val="00F1333A"/>
    <w:rsid w:val="00F1381B"/>
    <w:rsid w:val="00F13D8F"/>
    <w:rsid w:val="00F14AD4"/>
    <w:rsid w:val="00F14AF1"/>
    <w:rsid w:val="00F1586E"/>
    <w:rsid w:val="00F1618D"/>
    <w:rsid w:val="00F16340"/>
    <w:rsid w:val="00F17486"/>
    <w:rsid w:val="00F201C0"/>
    <w:rsid w:val="00F21524"/>
    <w:rsid w:val="00F2177E"/>
    <w:rsid w:val="00F23444"/>
    <w:rsid w:val="00F2372E"/>
    <w:rsid w:val="00F243DD"/>
    <w:rsid w:val="00F24D66"/>
    <w:rsid w:val="00F2509C"/>
    <w:rsid w:val="00F25814"/>
    <w:rsid w:val="00F25FEC"/>
    <w:rsid w:val="00F26C26"/>
    <w:rsid w:val="00F26EF9"/>
    <w:rsid w:val="00F274EC"/>
    <w:rsid w:val="00F27A36"/>
    <w:rsid w:val="00F27AFE"/>
    <w:rsid w:val="00F308EB"/>
    <w:rsid w:val="00F30AA3"/>
    <w:rsid w:val="00F30AF9"/>
    <w:rsid w:val="00F3179F"/>
    <w:rsid w:val="00F317BE"/>
    <w:rsid w:val="00F31A68"/>
    <w:rsid w:val="00F32B49"/>
    <w:rsid w:val="00F339B9"/>
    <w:rsid w:val="00F33EB0"/>
    <w:rsid w:val="00F3472E"/>
    <w:rsid w:val="00F34CDC"/>
    <w:rsid w:val="00F34F1C"/>
    <w:rsid w:val="00F352AF"/>
    <w:rsid w:val="00F3546E"/>
    <w:rsid w:val="00F35BDB"/>
    <w:rsid w:val="00F35DE7"/>
    <w:rsid w:val="00F36115"/>
    <w:rsid w:val="00F37A7B"/>
    <w:rsid w:val="00F37F52"/>
    <w:rsid w:val="00F400FF"/>
    <w:rsid w:val="00F41E6E"/>
    <w:rsid w:val="00F42B03"/>
    <w:rsid w:val="00F43C70"/>
    <w:rsid w:val="00F44C62"/>
    <w:rsid w:val="00F44F0B"/>
    <w:rsid w:val="00F4572E"/>
    <w:rsid w:val="00F45FE3"/>
    <w:rsid w:val="00F46790"/>
    <w:rsid w:val="00F4684B"/>
    <w:rsid w:val="00F477B0"/>
    <w:rsid w:val="00F50781"/>
    <w:rsid w:val="00F508FF"/>
    <w:rsid w:val="00F50EAC"/>
    <w:rsid w:val="00F50F4D"/>
    <w:rsid w:val="00F516B1"/>
    <w:rsid w:val="00F52625"/>
    <w:rsid w:val="00F5359F"/>
    <w:rsid w:val="00F53CCA"/>
    <w:rsid w:val="00F53D96"/>
    <w:rsid w:val="00F54532"/>
    <w:rsid w:val="00F54BA1"/>
    <w:rsid w:val="00F54F81"/>
    <w:rsid w:val="00F56647"/>
    <w:rsid w:val="00F56CA7"/>
    <w:rsid w:val="00F571F8"/>
    <w:rsid w:val="00F616CF"/>
    <w:rsid w:val="00F61AD5"/>
    <w:rsid w:val="00F6262C"/>
    <w:rsid w:val="00F6332C"/>
    <w:rsid w:val="00F634F7"/>
    <w:rsid w:val="00F63A7E"/>
    <w:rsid w:val="00F64094"/>
    <w:rsid w:val="00F646D5"/>
    <w:rsid w:val="00F64B24"/>
    <w:rsid w:val="00F650E6"/>
    <w:rsid w:val="00F652BF"/>
    <w:rsid w:val="00F66512"/>
    <w:rsid w:val="00F6656C"/>
    <w:rsid w:val="00F66F6C"/>
    <w:rsid w:val="00F673F3"/>
    <w:rsid w:val="00F702AC"/>
    <w:rsid w:val="00F70AB2"/>
    <w:rsid w:val="00F71500"/>
    <w:rsid w:val="00F71F34"/>
    <w:rsid w:val="00F72505"/>
    <w:rsid w:val="00F72AE3"/>
    <w:rsid w:val="00F73B3A"/>
    <w:rsid w:val="00F748A6"/>
    <w:rsid w:val="00F75204"/>
    <w:rsid w:val="00F758DF"/>
    <w:rsid w:val="00F76D9A"/>
    <w:rsid w:val="00F76DAF"/>
    <w:rsid w:val="00F76F6D"/>
    <w:rsid w:val="00F77767"/>
    <w:rsid w:val="00F77C92"/>
    <w:rsid w:val="00F77D64"/>
    <w:rsid w:val="00F818A6"/>
    <w:rsid w:val="00F81DA9"/>
    <w:rsid w:val="00F81E54"/>
    <w:rsid w:val="00F82A89"/>
    <w:rsid w:val="00F8319C"/>
    <w:rsid w:val="00F83935"/>
    <w:rsid w:val="00F83B39"/>
    <w:rsid w:val="00F83F24"/>
    <w:rsid w:val="00F84265"/>
    <w:rsid w:val="00F844DA"/>
    <w:rsid w:val="00F84A9E"/>
    <w:rsid w:val="00F85265"/>
    <w:rsid w:val="00F853D2"/>
    <w:rsid w:val="00F85623"/>
    <w:rsid w:val="00F86FFC"/>
    <w:rsid w:val="00F87225"/>
    <w:rsid w:val="00F8731F"/>
    <w:rsid w:val="00F87818"/>
    <w:rsid w:val="00F87A75"/>
    <w:rsid w:val="00F87BAB"/>
    <w:rsid w:val="00F90088"/>
    <w:rsid w:val="00F9008C"/>
    <w:rsid w:val="00F9055E"/>
    <w:rsid w:val="00F908A2"/>
    <w:rsid w:val="00F9099A"/>
    <w:rsid w:val="00F915BE"/>
    <w:rsid w:val="00F9187C"/>
    <w:rsid w:val="00F91A6A"/>
    <w:rsid w:val="00F91D6A"/>
    <w:rsid w:val="00F9255D"/>
    <w:rsid w:val="00F92BE2"/>
    <w:rsid w:val="00F93827"/>
    <w:rsid w:val="00F94364"/>
    <w:rsid w:val="00F9655F"/>
    <w:rsid w:val="00F97176"/>
    <w:rsid w:val="00F97260"/>
    <w:rsid w:val="00F97380"/>
    <w:rsid w:val="00F974C1"/>
    <w:rsid w:val="00F9787C"/>
    <w:rsid w:val="00FA0782"/>
    <w:rsid w:val="00FA1356"/>
    <w:rsid w:val="00FA16D2"/>
    <w:rsid w:val="00FA16F0"/>
    <w:rsid w:val="00FA1CA3"/>
    <w:rsid w:val="00FA2287"/>
    <w:rsid w:val="00FA2AB0"/>
    <w:rsid w:val="00FA30C6"/>
    <w:rsid w:val="00FA37D2"/>
    <w:rsid w:val="00FA385F"/>
    <w:rsid w:val="00FA4574"/>
    <w:rsid w:val="00FA476F"/>
    <w:rsid w:val="00FA579B"/>
    <w:rsid w:val="00FA57F1"/>
    <w:rsid w:val="00FA580F"/>
    <w:rsid w:val="00FA5957"/>
    <w:rsid w:val="00FA5E5C"/>
    <w:rsid w:val="00FA698D"/>
    <w:rsid w:val="00FA758C"/>
    <w:rsid w:val="00FA7B6B"/>
    <w:rsid w:val="00FB0962"/>
    <w:rsid w:val="00FB0CB6"/>
    <w:rsid w:val="00FB135B"/>
    <w:rsid w:val="00FB1796"/>
    <w:rsid w:val="00FB232E"/>
    <w:rsid w:val="00FB26AB"/>
    <w:rsid w:val="00FB3034"/>
    <w:rsid w:val="00FB3AA6"/>
    <w:rsid w:val="00FB3AAC"/>
    <w:rsid w:val="00FB527B"/>
    <w:rsid w:val="00FB6060"/>
    <w:rsid w:val="00FB6ACD"/>
    <w:rsid w:val="00FB73D8"/>
    <w:rsid w:val="00FB7D2F"/>
    <w:rsid w:val="00FC0339"/>
    <w:rsid w:val="00FC182B"/>
    <w:rsid w:val="00FC2356"/>
    <w:rsid w:val="00FC23F3"/>
    <w:rsid w:val="00FC2D3C"/>
    <w:rsid w:val="00FC3F9D"/>
    <w:rsid w:val="00FC4D3D"/>
    <w:rsid w:val="00FC4DC3"/>
    <w:rsid w:val="00FC5247"/>
    <w:rsid w:val="00FC5467"/>
    <w:rsid w:val="00FC55F8"/>
    <w:rsid w:val="00FC66AA"/>
    <w:rsid w:val="00FC66F8"/>
    <w:rsid w:val="00FC6A42"/>
    <w:rsid w:val="00FC6D8F"/>
    <w:rsid w:val="00FC780D"/>
    <w:rsid w:val="00FC78E7"/>
    <w:rsid w:val="00FD014B"/>
    <w:rsid w:val="00FD071F"/>
    <w:rsid w:val="00FD231B"/>
    <w:rsid w:val="00FD3CF4"/>
    <w:rsid w:val="00FD3FC3"/>
    <w:rsid w:val="00FD46E0"/>
    <w:rsid w:val="00FD48DD"/>
    <w:rsid w:val="00FD53BE"/>
    <w:rsid w:val="00FD5F64"/>
    <w:rsid w:val="00FD7510"/>
    <w:rsid w:val="00FD79F0"/>
    <w:rsid w:val="00FD7A35"/>
    <w:rsid w:val="00FE01DE"/>
    <w:rsid w:val="00FE054A"/>
    <w:rsid w:val="00FE0AFE"/>
    <w:rsid w:val="00FE13DE"/>
    <w:rsid w:val="00FE17BC"/>
    <w:rsid w:val="00FE19F1"/>
    <w:rsid w:val="00FE1D9E"/>
    <w:rsid w:val="00FE2F23"/>
    <w:rsid w:val="00FE438A"/>
    <w:rsid w:val="00FE472C"/>
    <w:rsid w:val="00FE4BBE"/>
    <w:rsid w:val="00FE4E29"/>
    <w:rsid w:val="00FE4F32"/>
    <w:rsid w:val="00FE4F9F"/>
    <w:rsid w:val="00FE52FC"/>
    <w:rsid w:val="00FE5C85"/>
    <w:rsid w:val="00FF007A"/>
    <w:rsid w:val="00FF0B95"/>
    <w:rsid w:val="00FF0C98"/>
    <w:rsid w:val="00FF1A24"/>
    <w:rsid w:val="00FF2673"/>
    <w:rsid w:val="00FF45CA"/>
    <w:rsid w:val="00FF5182"/>
    <w:rsid w:val="00FF574A"/>
    <w:rsid w:val="00FF58E7"/>
    <w:rsid w:val="00FF693D"/>
    <w:rsid w:val="00FF6C98"/>
    <w:rsid w:val="01353A2C"/>
    <w:rsid w:val="01B841E6"/>
    <w:rsid w:val="01EC5C3E"/>
    <w:rsid w:val="0227136C"/>
    <w:rsid w:val="02397CB2"/>
    <w:rsid w:val="02502671"/>
    <w:rsid w:val="025B0D98"/>
    <w:rsid w:val="029A7D90"/>
    <w:rsid w:val="03305FFE"/>
    <w:rsid w:val="03351867"/>
    <w:rsid w:val="036118B7"/>
    <w:rsid w:val="03873EE6"/>
    <w:rsid w:val="03E95B88"/>
    <w:rsid w:val="04456A8D"/>
    <w:rsid w:val="045A77D7"/>
    <w:rsid w:val="052A53FB"/>
    <w:rsid w:val="052D3E47"/>
    <w:rsid w:val="05E73C3B"/>
    <w:rsid w:val="069A3EBB"/>
    <w:rsid w:val="06C07699"/>
    <w:rsid w:val="06C156E1"/>
    <w:rsid w:val="06F05C14"/>
    <w:rsid w:val="07082E19"/>
    <w:rsid w:val="07193863"/>
    <w:rsid w:val="073C31C4"/>
    <w:rsid w:val="074A2961"/>
    <w:rsid w:val="077C7A64"/>
    <w:rsid w:val="07D91E6C"/>
    <w:rsid w:val="080C703A"/>
    <w:rsid w:val="08206641"/>
    <w:rsid w:val="08936E96"/>
    <w:rsid w:val="08C211F0"/>
    <w:rsid w:val="08E7715F"/>
    <w:rsid w:val="09652CEA"/>
    <w:rsid w:val="09722ECD"/>
    <w:rsid w:val="097F383C"/>
    <w:rsid w:val="09B63701"/>
    <w:rsid w:val="09CD0A4B"/>
    <w:rsid w:val="0A6A44EC"/>
    <w:rsid w:val="0A7333A0"/>
    <w:rsid w:val="0AEF16CE"/>
    <w:rsid w:val="0B0645A2"/>
    <w:rsid w:val="0BF202F5"/>
    <w:rsid w:val="0C4D7C21"/>
    <w:rsid w:val="0C931AD8"/>
    <w:rsid w:val="0CD6481E"/>
    <w:rsid w:val="0CE074C3"/>
    <w:rsid w:val="0D3F57BC"/>
    <w:rsid w:val="0DD17A1B"/>
    <w:rsid w:val="0DD95345"/>
    <w:rsid w:val="0E1D7BE7"/>
    <w:rsid w:val="0EA31D7A"/>
    <w:rsid w:val="0EDD528C"/>
    <w:rsid w:val="0EE961C7"/>
    <w:rsid w:val="0FDF6DE2"/>
    <w:rsid w:val="0FFD75C9"/>
    <w:rsid w:val="10CB7366"/>
    <w:rsid w:val="10FD7E68"/>
    <w:rsid w:val="11C24C0D"/>
    <w:rsid w:val="11C66023"/>
    <w:rsid w:val="12080872"/>
    <w:rsid w:val="12163987"/>
    <w:rsid w:val="135A0648"/>
    <w:rsid w:val="136E2957"/>
    <w:rsid w:val="139525D9"/>
    <w:rsid w:val="13C95DDF"/>
    <w:rsid w:val="147A532B"/>
    <w:rsid w:val="14CD5DA3"/>
    <w:rsid w:val="150C0679"/>
    <w:rsid w:val="15883A78"/>
    <w:rsid w:val="1619379D"/>
    <w:rsid w:val="168931B9"/>
    <w:rsid w:val="17A96653"/>
    <w:rsid w:val="18324A00"/>
    <w:rsid w:val="186270E4"/>
    <w:rsid w:val="18EE6AEF"/>
    <w:rsid w:val="18F63219"/>
    <w:rsid w:val="198F3627"/>
    <w:rsid w:val="1A0D4AD8"/>
    <w:rsid w:val="1A0F29BA"/>
    <w:rsid w:val="1A1104E0"/>
    <w:rsid w:val="1A1143AD"/>
    <w:rsid w:val="1B0F0EC3"/>
    <w:rsid w:val="1B950C9D"/>
    <w:rsid w:val="1C065FAE"/>
    <w:rsid w:val="1CA52894"/>
    <w:rsid w:val="1D4361D7"/>
    <w:rsid w:val="1D5D57EA"/>
    <w:rsid w:val="1DB63878"/>
    <w:rsid w:val="1DBA49EB"/>
    <w:rsid w:val="1E3D6282"/>
    <w:rsid w:val="1E6A3D0A"/>
    <w:rsid w:val="1EF53F2C"/>
    <w:rsid w:val="1F647304"/>
    <w:rsid w:val="204D1B46"/>
    <w:rsid w:val="20AF0F50"/>
    <w:rsid w:val="21091EEA"/>
    <w:rsid w:val="21C36564"/>
    <w:rsid w:val="22124DF5"/>
    <w:rsid w:val="22145011"/>
    <w:rsid w:val="22347461"/>
    <w:rsid w:val="2239018F"/>
    <w:rsid w:val="22890B6E"/>
    <w:rsid w:val="228F4698"/>
    <w:rsid w:val="23790901"/>
    <w:rsid w:val="23E822B1"/>
    <w:rsid w:val="24AF1021"/>
    <w:rsid w:val="257C0462"/>
    <w:rsid w:val="25E87895"/>
    <w:rsid w:val="262B2F0B"/>
    <w:rsid w:val="26506553"/>
    <w:rsid w:val="265F25D3"/>
    <w:rsid w:val="266A11E0"/>
    <w:rsid w:val="269C3827"/>
    <w:rsid w:val="26A36964"/>
    <w:rsid w:val="26F60889"/>
    <w:rsid w:val="26FB054E"/>
    <w:rsid w:val="27313A2A"/>
    <w:rsid w:val="27455C6D"/>
    <w:rsid w:val="27496AE3"/>
    <w:rsid w:val="27C14AB9"/>
    <w:rsid w:val="287265EE"/>
    <w:rsid w:val="28DC615D"/>
    <w:rsid w:val="28ED036A"/>
    <w:rsid w:val="297F5466"/>
    <w:rsid w:val="29C462AA"/>
    <w:rsid w:val="29E31C2B"/>
    <w:rsid w:val="2A032A8F"/>
    <w:rsid w:val="2ACB0237"/>
    <w:rsid w:val="2B6D167B"/>
    <w:rsid w:val="2B8F395A"/>
    <w:rsid w:val="2CF16D8F"/>
    <w:rsid w:val="2D031F0A"/>
    <w:rsid w:val="2D574004"/>
    <w:rsid w:val="2D636E4D"/>
    <w:rsid w:val="2D67693D"/>
    <w:rsid w:val="2D80355B"/>
    <w:rsid w:val="2D9E60D7"/>
    <w:rsid w:val="2E0A551A"/>
    <w:rsid w:val="2EF31501"/>
    <w:rsid w:val="2F260132"/>
    <w:rsid w:val="2F544C9F"/>
    <w:rsid w:val="30EE1123"/>
    <w:rsid w:val="314D01A9"/>
    <w:rsid w:val="31DA0ED6"/>
    <w:rsid w:val="322B4BD3"/>
    <w:rsid w:val="32821B23"/>
    <w:rsid w:val="32940808"/>
    <w:rsid w:val="3333740C"/>
    <w:rsid w:val="33A35668"/>
    <w:rsid w:val="33AE06F6"/>
    <w:rsid w:val="33C57F19"/>
    <w:rsid w:val="34545741"/>
    <w:rsid w:val="34607C42"/>
    <w:rsid w:val="34FA1064"/>
    <w:rsid w:val="35044A71"/>
    <w:rsid w:val="352944D8"/>
    <w:rsid w:val="356B0CF0"/>
    <w:rsid w:val="35831E3A"/>
    <w:rsid w:val="36251143"/>
    <w:rsid w:val="364C66D0"/>
    <w:rsid w:val="36A265D1"/>
    <w:rsid w:val="36FD3E6E"/>
    <w:rsid w:val="37103FEA"/>
    <w:rsid w:val="37492C0F"/>
    <w:rsid w:val="37E45585"/>
    <w:rsid w:val="382947EF"/>
    <w:rsid w:val="394D348F"/>
    <w:rsid w:val="396F0283"/>
    <w:rsid w:val="39974106"/>
    <w:rsid w:val="39AC56D7"/>
    <w:rsid w:val="39E84962"/>
    <w:rsid w:val="3A1514CF"/>
    <w:rsid w:val="3A3F02FA"/>
    <w:rsid w:val="3AAA49C8"/>
    <w:rsid w:val="3B5A1C91"/>
    <w:rsid w:val="3B7641EF"/>
    <w:rsid w:val="3B7F5414"/>
    <w:rsid w:val="3B950B19"/>
    <w:rsid w:val="3B9D5C20"/>
    <w:rsid w:val="3BA90120"/>
    <w:rsid w:val="3BC9431F"/>
    <w:rsid w:val="3C7324DC"/>
    <w:rsid w:val="3C7C5835"/>
    <w:rsid w:val="3CCF005B"/>
    <w:rsid w:val="3D107825"/>
    <w:rsid w:val="3D9170BE"/>
    <w:rsid w:val="3DF5589F"/>
    <w:rsid w:val="3EB412B6"/>
    <w:rsid w:val="3EBB0897"/>
    <w:rsid w:val="3ECD4126"/>
    <w:rsid w:val="3EEC344B"/>
    <w:rsid w:val="3EF67B21"/>
    <w:rsid w:val="3F192EF0"/>
    <w:rsid w:val="3F5D7BA0"/>
    <w:rsid w:val="3F8C5D8F"/>
    <w:rsid w:val="3FC51C6A"/>
    <w:rsid w:val="40047C86"/>
    <w:rsid w:val="403A1C8F"/>
    <w:rsid w:val="41C9151C"/>
    <w:rsid w:val="41E023C2"/>
    <w:rsid w:val="420662CD"/>
    <w:rsid w:val="425F4FF1"/>
    <w:rsid w:val="42DF5A38"/>
    <w:rsid w:val="42FE6FA4"/>
    <w:rsid w:val="43F16B09"/>
    <w:rsid w:val="44444E8A"/>
    <w:rsid w:val="44B6565C"/>
    <w:rsid w:val="452B7DF8"/>
    <w:rsid w:val="45616555"/>
    <w:rsid w:val="4589206F"/>
    <w:rsid w:val="45BC54BB"/>
    <w:rsid w:val="45CD0EAF"/>
    <w:rsid w:val="45FE7E23"/>
    <w:rsid w:val="476E453E"/>
    <w:rsid w:val="48077E3B"/>
    <w:rsid w:val="48142DC6"/>
    <w:rsid w:val="48BB76E5"/>
    <w:rsid w:val="49DC3DB7"/>
    <w:rsid w:val="4A1946C3"/>
    <w:rsid w:val="4A354E9E"/>
    <w:rsid w:val="4A5E657A"/>
    <w:rsid w:val="4A8F5272"/>
    <w:rsid w:val="4A9D3CAF"/>
    <w:rsid w:val="4ABD14F2"/>
    <w:rsid w:val="4AEC1DD8"/>
    <w:rsid w:val="4BB74194"/>
    <w:rsid w:val="4C171438"/>
    <w:rsid w:val="4C3752D5"/>
    <w:rsid w:val="4C9B3AB5"/>
    <w:rsid w:val="4CD02F66"/>
    <w:rsid w:val="4D836554"/>
    <w:rsid w:val="4DC71966"/>
    <w:rsid w:val="4DEE0BAD"/>
    <w:rsid w:val="4E280B54"/>
    <w:rsid w:val="4E5D7793"/>
    <w:rsid w:val="4EB66985"/>
    <w:rsid w:val="4EDF237F"/>
    <w:rsid w:val="4F351F9F"/>
    <w:rsid w:val="4F53024B"/>
    <w:rsid w:val="4F87230D"/>
    <w:rsid w:val="4FA26F09"/>
    <w:rsid w:val="4FF84D7B"/>
    <w:rsid w:val="50577CF3"/>
    <w:rsid w:val="50836D3A"/>
    <w:rsid w:val="50DB3BE9"/>
    <w:rsid w:val="518C5B5E"/>
    <w:rsid w:val="51FC0A11"/>
    <w:rsid w:val="524E5126"/>
    <w:rsid w:val="52CC1BC7"/>
    <w:rsid w:val="52D72187"/>
    <w:rsid w:val="53202487"/>
    <w:rsid w:val="536B3351"/>
    <w:rsid w:val="544A72F2"/>
    <w:rsid w:val="545E0B04"/>
    <w:rsid w:val="549309C1"/>
    <w:rsid w:val="54D05B64"/>
    <w:rsid w:val="54DC4C6B"/>
    <w:rsid w:val="55255F0F"/>
    <w:rsid w:val="5540169E"/>
    <w:rsid w:val="556E7FB9"/>
    <w:rsid w:val="55717AA9"/>
    <w:rsid w:val="55B6370E"/>
    <w:rsid w:val="56095F34"/>
    <w:rsid w:val="560E06A4"/>
    <w:rsid w:val="5619569A"/>
    <w:rsid w:val="56A85CB8"/>
    <w:rsid w:val="56C24467"/>
    <w:rsid w:val="56C854A7"/>
    <w:rsid w:val="56D77D1B"/>
    <w:rsid w:val="5749020C"/>
    <w:rsid w:val="57711FE2"/>
    <w:rsid w:val="57D07423"/>
    <w:rsid w:val="58081D05"/>
    <w:rsid w:val="582E57DE"/>
    <w:rsid w:val="58737694"/>
    <w:rsid w:val="58BF28C3"/>
    <w:rsid w:val="59D40607"/>
    <w:rsid w:val="5A854F44"/>
    <w:rsid w:val="5A9C1476"/>
    <w:rsid w:val="5AEA37C7"/>
    <w:rsid w:val="5B7B51DE"/>
    <w:rsid w:val="5BE2479E"/>
    <w:rsid w:val="5C5A1297"/>
    <w:rsid w:val="5C5D48E3"/>
    <w:rsid w:val="5CB10DBA"/>
    <w:rsid w:val="5CDB3A5A"/>
    <w:rsid w:val="5D437F7D"/>
    <w:rsid w:val="5E096D59"/>
    <w:rsid w:val="5E73121C"/>
    <w:rsid w:val="5ED15115"/>
    <w:rsid w:val="5F1D653D"/>
    <w:rsid w:val="5F693D64"/>
    <w:rsid w:val="5F6E0BB6"/>
    <w:rsid w:val="5F7239A5"/>
    <w:rsid w:val="5F85487D"/>
    <w:rsid w:val="5F8800C7"/>
    <w:rsid w:val="5FB05672"/>
    <w:rsid w:val="60354A85"/>
    <w:rsid w:val="615A7899"/>
    <w:rsid w:val="618F6CA2"/>
    <w:rsid w:val="61C044BC"/>
    <w:rsid w:val="61C819E5"/>
    <w:rsid w:val="61DA61FE"/>
    <w:rsid w:val="626369CC"/>
    <w:rsid w:val="626F338E"/>
    <w:rsid w:val="62706FA6"/>
    <w:rsid w:val="627F5BA7"/>
    <w:rsid w:val="62B3379A"/>
    <w:rsid w:val="63BA086D"/>
    <w:rsid w:val="643364F2"/>
    <w:rsid w:val="64370110"/>
    <w:rsid w:val="64550596"/>
    <w:rsid w:val="648F3C88"/>
    <w:rsid w:val="64976216"/>
    <w:rsid w:val="6569254B"/>
    <w:rsid w:val="65C15EE3"/>
    <w:rsid w:val="66383EBB"/>
    <w:rsid w:val="6686712D"/>
    <w:rsid w:val="67CA42A6"/>
    <w:rsid w:val="67FF2CF3"/>
    <w:rsid w:val="68921DB9"/>
    <w:rsid w:val="68960CA5"/>
    <w:rsid w:val="68BE2BAE"/>
    <w:rsid w:val="68F42334"/>
    <w:rsid w:val="699B2742"/>
    <w:rsid w:val="69BA5C11"/>
    <w:rsid w:val="69F10D61"/>
    <w:rsid w:val="6B170353"/>
    <w:rsid w:val="6B881251"/>
    <w:rsid w:val="6C5850C7"/>
    <w:rsid w:val="6CFC1EF7"/>
    <w:rsid w:val="6D513FF0"/>
    <w:rsid w:val="6DAB36CB"/>
    <w:rsid w:val="6DB024D9"/>
    <w:rsid w:val="6EE03842"/>
    <w:rsid w:val="6EEB2223"/>
    <w:rsid w:val="6FA02431"/>
    <w:rsid w:val="700F1E05"/>
    <w:rsid w:val="71707F90"/>
    <w:rsid w:val="72147937"/>
    <w:rsid w:val="734323E2"/>
    <w:rsid w:val="738B5D82"/>
    <w:rsid w:val="739764D5"/>
    <w:rsid w:val="73EB10C8"/>
    <w:rsid w:val="73F61362"/>
    <w:rsid w:val="752A69CA"/>
    <w:rsid w:val="756B5E6B"/>
    <w:rsid w:val="756E6EA0"/>
    <w:rsid w:val="757302BE"/>
    <w:rsid w:val="75E55933"/>
    <w:rsid w:val="75EA4FE2"/>
    <w:rsid w:val="760E39E4"/>
    <w:rsid w:val="76263B40"/>
    <w:rsid w:val="763E70DC"/>
    <w:rsid w:val="7640383C"/>
    <w:rsid w:val="76A5715B"/>
    <w:rsid w:val="76AF7FDA"/>
    <w:rsid w:val="76EE3E52"/>
    <w:rsid w:val="773F135E"/>
    <w:rsid w:val="77420E4E"/>
    <w:rsid w:val="77AE3DED"/>
    <w:rsid w:val="77BF424C"/>
    <w:rsid w:val="78141025"/>
    <w:rsid w:val="784E3ABE"/>
    <w:rsid w:val="78CD2873"/>
    <w:rsid w:val="7927654D"/>
    <w:rsid w:val="795804B5"/>
    <w:rsid w:val="799C2AAE"/>
    <w:rsid w:val="79E56A30"/>
    <w:rsid w:val="7A2D1941"/>
    <w:rsid w:val="7A3525A4"/>
    <w:rsid w:val="7A9343F5"/>
    <w:rsid w:val="7AAC6D0A"/>
    <w:rsid w:val="7B29261E"/>
    <w:rsid w:val="7B5A4576"/>
    <w:rsid w:val="7BC05240"/>
    <w:rsid w:val="7BD227A0"/>
    <w:rsid w:val="7CD82038"/>
    <w:rsid w:val="7D7A1B55"/>
    <w:rsid w:val="7DB020D4"/>
    <w:rsid w:val="7DF162DD"/>
    <w:rsid w:val="7DF759C8"/>
    <w:rsid w:val="7E1E1177"/>
    <w:rsid w:val="7E1E5A12"/>
    <w:rsid w:val="7E282B4B"/>
    <w:rsid w:val="7F9D2CF2"/>
    <w:rsid w:val="7FBF5E6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nhideWhenUsed="0" w:uiPriority="0" w:name="annotation text"/>
    <w:lsdException w:qFormat="1" w:uiPriority="99" w:semiHidden="0" w:name="header"/>
    <w:lsdException w:qFormat="1" w:uiPriority="0" w:semiHidden="0" w:name="footer"/>
    <w:lsdException w:qFormat="1" w:unhideWhenUsed="0" w:uiPriority="99"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qFormat="1" w:unhideWhenUsed="0" w:uiPriority="0" w:semiHidden="0"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99" w:name="Salutation"/>
    <w:lsdException w:uiPriority="99" w:name="Date"/>
    <w:lsdException w:uiPriority="99" w:name="Body Text First Indent"/>
    <w:lsdException w:qFormat="1" w:uiPriority="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4"/>
    <w:semiHidden/>
    <w:unhideWhenUsed/>
    <w:qFormat/>
    <w:uiPriority w:val="9"/>
    <w:pPr>
      <w:keepNext/>
      <w:keepLines/>
      <w:spacing w:before="260" w:after="260" w:line="416" w:lineRule="auto"/>
      <w:outlineLvl w:val="1"/>
    </w:pPr>
    <w:rPr>
      <w:rFonts w:ascii="等线 Light" w:hAnsi="等线 Light" w:eastAsia="等线 Light"/>
      <w:b/>
      <w:bCs/>
      <w:sz w:val="32"/>
      <w:szCs w:val="32"/>
    </w:rPr>
  </w:style>
  <w:style w:type="paragraph" w:styleId="4">
    <w:name w:val="heading 3"/>
    <w:basedOn w:val="1"/>
    <w:next w:val="5"/>
    <w:link w:val="46"/>
    <w:qFormat/>
    <w:uiPriority w:val="0"/>
    <w:pPr>
      <w:keepNext/>
      <w:keepLines/>
      <w:outlineLvl w:val="2"/>
    </w:pPr>
    <w:rPr>
      <w:rFonts w:ascii="宋体" w:hAnsi="宋体"/>
      <w:b/>
      <w:color w:val="000000"/>
      <w:kern w:val="0"/>
      <w:sz w:val="24"/>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customStyle="1" w:styleId="5">
    <w:name w:val="正文首行缩进 21"/>
    <w:basedOn w:val="1"/>
    <w:next w:val="6"/>
    <w:link w:val="37"/>
    <w:qFormat/>
    <w:uiPriority w:val="0"/>
    <w:pPr>
      <w:spacing w:after="120"/>
      <w:ind w:left="420" w:leftChars="200" w:firstLine="420"/>
    </w:pPr>
  </w:style>
  <w:style w:type="paragraph" w:customStyle="1" w:styleId="6">
    <w:name w:val="正文首行缩进1"/>
    <w:basedOn w:val="7"/>
    <w:link w:val="39"/>
    <w:semiHidden/>
    <w:unhideWhenUsed/>
    <w:qFormat/>
    <w:uiPriority w:val="99"/>
    <w:pPr>
      <w:ind w:firstLine="420" w:firstLineChars="100"/>
    </w:pPr>
  </w:style>
  <w:style w:type="paragraph" w:styleId="7">
    <w:name w:val="Body Text"/>
    <w:basedOn w:val="1"/>
    <w:link w:val="38"/>
    <w:unhideWhenUsed/>
    <w:qFormat/>
    <w:uiPriority w:val="0"/>
    <w:pPr>
      <w:spacing w:after="120"/>
    </w:pPr>
  </w:style>
  <w:style w:type="paragraph" w:styleId="8">
    <w:name w:val="List Bullet 4"/>
    <w:basedOn w:val="1"/>
    <w:qFormat/>
    <w:uiPriority w:val="0"/>
    <w:pPr>
      <w:widowControl/>
      <w:contextualSpacing/>
      <w:jc w:val="left"/>
    </w:pPr>
    <w:rPr>
      <w:rFonts w:ascii="Calibri" w:hAnsi="Calibri"/>
      <w:kern w:val="0"/>
      <w:sz w:val="24"/>
      <w:lang w:eastAsia="en-US" w:bidi="en-US"/>
    </w:rPr>
  </w:style>
  <w:style w:type="paragraph" w:styleId="9">
    <w:name w:val="Normal Indent"/>
    <w:basedOn w:val="1"/>
    <w:unhideWhenUsed/>
    <w:qFormat/>
    <w:uiPriority w:val="99"/>
    <w:pPr>
      <w:ind w:firstLine="420" w:firstLineChars="200"/>
    </w:pPr>
    <w:rPr>
      <w:szCs w:val="21"/>
    </w:rPr>
  </w:style>
  <w:style w:type="paragraph" w:styleId="10">
    <w:name w:val="annotation text"/>
    <w:basedOn w:val="1"/>
    <w:link w:val="50"/>
    <w:semiHidden/>
    <w:qFormat/>
    <w:uiPriority w:val="0"/>
    <w:pPr>
      <w:jc w:val="left"/>
    </w:pPr>
    <w:rPr>
      <w:kern w:val="0"/>
      <w:sz w:val="24"/>
      <w:szCs w:val="20"/>
    </w:rPr>
  </w:style>
  <w:style w:type="paragraph" w:styleId="11">
    <w:name w:val="Salutation"/>
    <w:basedOn w:val="1"/>
    <w:next w:val="1"/>
    <w:link w:val="53"/>
    <w:semiHidden/>
    <w:unhideWhenUsed/>
    <w:qFormat/>
    <w:uiPriority w:val="99"/>
  </w:style>
  <w:style w:type="paragraph" w:styleId="12">
    <w:name w:val="Body Text Indent"/>
    <w:basedOn w:val="1"/>
    <w:link w:val="36"/>
    <w:unhideWhenUsed/>
    <w:qFormat/>
    <w:uiPriority w:val="99"/>
    <w:pPr>
      <w:spacing w:after="120"/>
      <w:ind w:left="420" w:leftChars="200"/>
    </w:pPr>
  </w:style>
  <w:style w:type="paragraph" w:styleId="13">
    <w:name w:val="toc 5"/>
    <w:basedOn w:val="1"/>
    <w:next w:val="1"/>
    <w:semiHidden/>
    <w:unhideWhenUsed/>
    <w:qFormat/>
    <w:uiPriority w:val="39"/>
    <w:pPr>
      <w:ind w:left="1680" w:leftChars="800"/>
    </w:pPr>
  </w:style>
  <w:style w:type="paragraph" w:styleId="14">
    <w:name w:val="Plain Text"/>
    <w:basedOn w:val="1"/>
    <w:next w:val="1"/>
    <w:link w:val="52"/>
    <w:qFormat/>
    <w:uiPriority w:val="0"/>
    <w:pPr>
      <w:spacing w:line="240" w:lineRule="atLeast"/>
    </w:pPr>
    <w:rPr>
      <w:rFonts w:ascii="宋体" w:hAnsi="Courier New"/>
      <w:sz w:val="28"/>
      <w:szCs w:val="20"/>
    </w:rPr>
  </w:style>
  <w:style w:type="paragraph" w:styleId="15">
    <w:name w:val="Balloon Text"/>
    <w:basedOn w:val="1"/>
    <w:link w:val="49"/>
    <w:semiHidden/>
    <w:unhideWhenUsed/>
    <w:qFormat/>
    <w:uiPriority w:val="99"/>
    <w:rPr>
      <w:sz w:val="18"/>
      <w:szCs w:val="18"/>
    </w:rPr>
  </w:style>
  <w:style w:type="paragraph" w:styleId="16">
    <w:name w:val="footer"/>
    <w:basedOn w:val="1"/>
    <w:link w:val="31"/>
    <w:unhideWhenUsed/>
    <w:qFormat/>
    <w:uiPriority w:val="0"/>
    <w:pPr>
      <w:tabs>
        <w:tab w:val="center" w:pos="4153"/>
        <w:tab w:val="right" w:pos="8306"/>
      </w:tabs>
      <w:snapToGrid w:val="0"/>
      <w:jc w:val="left"/>
    </w:pPr>
    <w:rPr>
      <w:rFonts w:ascii="Calibri" w:hAnsi="Calibri"/>
      <w:sz w:val="18"/>
      <w:szCs w:val="18"/>
    </w:rPr>
  </w:style>
  <w:style w:type="paragraph" w:styleId="17">
    <w:name w:val="header"/>
    <w:basedOn w:val="1"/>
    <w:next w:val="18"/>
    <w:link w:val="30"/>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8">
    <w:name w:val="index heading"/>
    <w:basedOn w:val="1"/>
    <w:next w:val="19"/>
    <w:qFormat/>
    <w:uiPriority w:val="99"/>
    <w:pPr>
      <w:snapToGrid w:val="0"/>
      <w:spacing w:line="360" w:lineRule="auto"/>
    </w:pPr>
    <w:rPr>
      <w:sz w:val="28"/>
      <w:szCs w:val="20"/>
    </w:rPr>
  </w:style>
  <w:style w:type="paragraph" w:styleId="19">
    <w:name w:val="index 1"/>
    <w:basedOn w:val="1"/>
    <w:next w:val="1"/>
    <w:qFormat/>
    <w:uiPriority w:val="0"/>
    <w:pPr>
      <w:spacing w:line="400" w:lineRule="exact"/>
      <w:ind w:right="-154"/>
    </w:pPr>
  </w:style>
  <w:style w:type="paragraph" w:styleId="20">
    <w:name w:val="Normal (Web)"/>
    <w:basedOn w:val="1"/>
    <w:link w:val="32"/>
    <w:qFormat/>
    <w:uiPriority w:val="99"/>
    <w:pPr>
      <w:widowControl/>
      <w:pBdr>
        <w:top w:val="none" w:color="auto" w:sz="0" w:space="1"/>
        <w:left w:val="none" w:color="auto" w:sz="0" w:space="4"/>
        <w:bottom w:val="none" w:color="auto" w:sz="0" w:space="1"/>
        <w:right w:val="none" w:color="auto" w:sz="0" w:space="4"/>
      </w:pBdr>
      <w:spacing w:before="100" w:beforeAutospacing="1" w:after="100" w:afterAutospacing="1"/>
      <w:jc w:val="left"/>
    </w:pPr>
    <w:rPr>
      <w:rFonts w:ascii="宋体" w:hAnsi="宋体" w:eastAsia="宋体"/>
      <w:sz w:val="24"/>
      <w:szCs w:val="22"/>
    </w:rPr>
  </w:style>
  <w:style w:type="paragraph" w:styleId="21">
    <w:name w:val="annotation subject"/>
    <w:basedOn w:val="10"/>
    <w:next w:val="10"/>
    <w:link w:val="51"/>
    <w:semiHidden/>
    <w:unhideWhenUsed/>
    <w:qFormat/>
    <w:uiPriority w:val="99"/>
    <w:rPr>
      <w:b/>
      <w:bCs/>
      <w:kern w:val="2"/>
      <w:sz w:val="21"/>
      <w:szCs w:val="24"/>
    </w:rPr>
  </w:style>
  <w:style w:type="paragraph" w:styleId="22">
    <w:name w:val="Body Text First Indent 2"/>
    <w:basedOn w:val="12"/>
    <w:link w:val="97"/>
    <w:semiHidden/>
    <w:unhideWhenUsed/>
    <w:qFormat/>
    <w:uiPriority w:val="0"/>
    <w:pPr>
      <w:ind w:firstLine="420" w:firstLineChars="200"/>
    </w:pPr>
  </w:style>
  <w:style w:type="table" w:styleId="24">
    <w:name w:val="Table Grid"/>
    <w:basedOn w:val="23"/>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qFormat/>
    <w:uiPriority w:val="22"/>
    <w:rPr>
      <w:b/>
      <w:bCs/>
    </w:rPr>
  </w:style>
  <w:style w:type="character" w:styleId="27">
    <w:name w:val="page number"/>
    <w:basedOn w:val="25"/>
    <w:qFormat/>
    <w:uiPriority w:val="0"/>
  </w:style>
  <w:style w:type="character" w:styleId="28">
    <w:name w:val="Hyperlink"/>
    <w:unhideWhenUsed/>
    <w:qFormat/>
    <w:uiPriority w:val="99"/>
    <w:rPr>
      <w:color w:val="0000FF"/>
      <w:u w:val="single"/>
    </w:rPr>
  </w:style>
  <w:style w:type="character" w:styleId="29">
    <w:name w:val="annotation reference"/>
    <w:qFormat/>
    <w:uiPriority w:val="0"/>
    <w:rPr>
      <w:rFonts w:ascii="Times New Roman" w:hAnsi="Times New Roman" w:eastAsia="宋体" w:cs="Times New Roman"/>
      <w:sz w:val="21"/>
      <w:szCs w:val="21"/>
    </w:rPr>
  </w:style>
  <w:style w:type="character" w:customStyle="1" w:styleId="30">
    <w:name w:val="页眉 字符"/>
    <w:link w:val="17"/>
    <w:qFormat/>
    <w:uiPriority w:val="99"/>
    <w:rPr>
      <w:sz w:val="18"/>
      <w:szCs w:val="18"/>
    </w:rPr>
  </w:style>
  <w:style w:type="character" w:customStyle="1" w:styleId="31">
    <w:name w:val="页脚 字符"/>
    <w:link w:val="16"/>
    <w:qFormat/>
    <w:uiPriority w:val="0"/>
    <w:rPr>
      <w:sz w:val="18"/>
      <w:szCs w:val="18"/>
    </w:rPr>
  </w:style>
  <w:style w:type="character" w:customStyle="1" w:styleId="32">
    <w:name w:val="普通(网站) 字符1"/>
    <w:link w:val="20"/>
    <w:qFormat/>
    <w:locked/>
    <w:uiPriority w:val="34"/>
    <w:rPr>
      <w:rFonts w:ascii="宋体" w:hAnsi="宋体" w:eastAsia="宋体"/>
      <w:sz w:val="24"/>
    </w:rPr>
  </w:style>
  <w:style w:type="character" w:customStyle="1" w:styleId="33">
    <w:name w:val="表格 Char"/>
    <w:link w:val="34"/>
    <w:qFormat/>
    <w:locked/>
    <w:uiPriority w:val="0"/>
    <w:rPr>
      <w:rFonts w:ascii="宋体"/>
    </w:rPr>
  </w:style>
  <w:style w:type="paragraph" w:customStyle="1" w:styleId="34">
    <w:name w:val="表格"/>
    <w:basedOn w:val="1"/>
    <w:next w:val="1"/>
    <w:link w:val="33"/>
    <w:qFormat/>
    <w:uiPriority w:val="0"/>
    <w:pPr>
      <w:adjustRightInd w:val="0"/>
      <w:snapToGrid w:val="0"/>
      <w:spacing w:beforeLines="10" w:afterLines="10" w:line="259" w:lineRule="auto"/>
      <w:jc w:val="center"/>
    </w:pPr>
    <w:rPr>
      <w:rFonts w:ascii="宋体" w:hAnsi="Calibri"/>
      <w:szCs w:val="22"/>
    </w:rPr>
  </w:style>
  <w:style w:type="paragraph" w:customStyle="1" w:styleId="35">
    <w:name w:val="列出段落"/>
    <w:basedOn w:val="1"/>
    <w:qFormat/>
    <w:uiPriority w:val="34"/>
    <w:pPr>
      <w:ind w:firstLine="420" w:firstLineChars="200"/>
    </w:pPr>
  </w:style>
  <w:style w:type="character" w:customStyle="1" w:styleId="36">
    <w:name w:val="正文文本缩进 字符"/>
    <w:link w:val="12"/>
    <w:qFormat/>
    <w:uiPriority w:val="0"/>
    <w:rPr>
      <w:rFonts w:ascii="Times New Roman" w:hAnsi="Times New Roman" w:eastAsia="宋体" w:cs="Times New Roman"/>
      <w:szCs w:val="24"/>
    </w:rPr>
  </w:style>
  <w:style w:type="character" w:customStyle="1" w:styleId="37">
    <w:name w:val="正文首行缩进 2 Char"/>
    <w:link w:val="5"/>
    <w:qFormat/>
    <w:uiPriority w:val="0"/>
    <w:rPr>
      <w:rFonts w:ascii="Times New Roman" w:hAnsi="Times New Roman" w:eastAsia="宋体" w:cs="Times New Roman"/>
      <w:szCs w:val="24"/>
    </w:rPr>
  </w:style>
  <w:style w:type="character" w:customStyle="1" w:styleId="38">
    <w:name w:val="正文文本 字符"/>
    <w:link w:val="7"/>
    <w:qFormat/>
    <w:uiPriority w:val="0"/>
    <w:rPr>
      <w:rFonts w:ascii="Times New Roman" w:hAnsi="Times New Roman" w:eastAsia="宋体" w:cs="Times New Roman"/>
      <w:szCs w:val="24"/>
    </w:rPr>
  </w:style>
  <w:style w:type="character" w:customStyle="1" w:styleId="39">
    <w:name w:val="正文首行缩进 Char"/>
    <w:link w:val="6"/>
    <w:semiHidden/>
    <w:qFormat/>
    <w:uiPriority w:val="99"/>
    <w:rPr>
      <w:rFonts w:ascii="Times New Roman" w:hAnsi="Times New Roman" w:eastAsia="宋体" w:cs="Times New Roman"/>
      <w:szCs w:val="24"/>
    </w:rPr>
  </w:style>
  <w:style w:type="character" w:customStyle="1" w:styleId="40">
    <w:name w:val="111 Char"/>
    <w:link w:val="41"/>
    <w:qFormat/>
    <w:uiPriority w:val="0"/>
    <w:rPr>
      <w:kern w:val="0"/>
      <w:sz w:val="24"/>
      <w:szCs w:val="20"/>
    </w:rPr>
  </w:style>
  <w:style w:type="paragraph" w:customStyle="1" w:styleId="41">
    <w:name w:val="报告表正文"/>
    <w:basedOn w:val="1"/>
    <w:link w:val="40"/>
    <w:qFormat/>
    <w:uiPriority w:val="0"/>
    <w:pPr>
      <w:adjustRightInd w:val="0"/>
      <w:spacing w:line="312" w:lineRule="auto"/>
      <w:ind w:left="113" w:right="113" w:firstLine="482"/>
      <w:jc w:val="left"/>
      <w:textAlignment w:val="baseline"/>
    </w:pPr>
    <w:rPr>
      <w:rFonts w:ascii="Calibri" w:hAnsi="Calibri"/>
      <w:kern w:val="0"/>
      <w:sz w:val="24"/>
      <w:szCs w:val="20"/>
    </w:rPr>
  </w:style>
  <w:style w:type="paragraph" w:customStyle="1" w:styleId="42">
    <w:name w:val="Table Paragraph"/>
    <w:basedOn w:val="1"/>
    <w:unhideWhenUsed/>
    <w:qFormat/>
    <w:uiPriority w:val="1"/>
    <w:rPr>
      <w:rFonts w:ascii="Calibri" w:hAnsi="Calibri"/>
      <w:sz w:val="24"/>
      <w:szCs w:val="20"/>
    </w:rPr>
  </w:style>
  <w:style w:type="character" w:customStyle="1" w:styleId="43">
    <w:name w:val="正文文本 (16) Exact"/>
    <w:qFormat/>
    <w:uiPriority w:val="0"/>
    <w:rPr>
      <w:rFonts w:ascii="宋体" w:hAnsi="宋体" w:eastAsia="宋体" w:cs="宋体"/>
      <w:spacing w:val="10"/>
      <w:kern w:val="2"/>
      <w:sz w:val="28"/>
      <w:szCs w:val="28"/>
      <w:u w:val="none"/>
      <w:lang w:val="en-US" w:eastAsia="zh-CN" w:bidi="ar-SA"/>
    </w:rPr>
  </w:style>
  <w:style w:type="paragraph" w:customStyle="1" w:styleId="44">
    <w:name w:val="环评正文"/>
    <w:basedOn w:val="1"/>
    <w:qFormat/>
    <w:uiPriority w:val="0"/>
    <w:pPr>
      <w:spacing w:before="93" w:beforeLines="30"/>
      <w:ind w:firstLine="480" w:firstLineChars="200"/>
    </w:pPr>
    <w:rPr>
      <w:rFonts w:ascii="Tahoma" w:hAnsi="Tahoma" w:cs="Tahoma"/>
      <w:kern w:val="0"/>
      <w:sz w:val="24"/>
      <w:szCs w:val="20"/>
    </w:rPr>
  </w:style>
  <w:style w:type="paragraph" w:customStyle="1" w:styleId="45">
    <w:name w:val="p"/>
    <w:basedOn w:val="1"/>
    <w:qFormat/>
    <w:uiPriority w:val="0"/>
    <w:pPr>
      <w:widowControl/>
      <w:spacing w:before="100" w:beforeAutospacing="1" w:after="100" w:afterAutospacing="1"/>
      <w:jc w:val="left"/>
    </w:pPr>
    <w:rPr>
      <w:rFonts w:ascii="宋体" w:hAnsi="宋体" w:cs="宋体"/>
      <w:kern w:val="0"/>
      <w:sz w:val="24"/>
    </w:rPr>
  </w:style>
  <w:style w:type="character" w:customStyle="1" w:styleId="46">
    <w:name w:val="标题 3 字符"/>
    <w:link w:val="4"/>
    <w:qFormat/>
    <w:uiPriority w:val="0"/>
    <w:rPr>
      <w:rFonts w:ascii="宋体" w:hAnsi="宋体"/>
      <w:b/>
      <w:color w:val="000000"/>
      <w:sz w:val="24"/>
      <w:szCs w:val="24"/>
    </w:rPr>
  </w:style>
  <w:style w:type="character" w:customStyle="1" w:styleId="47">
    <w:name w:val="highlight"/>
    <w:basedOn w:val="25"/>
    <w:qFormat/>
    <w:uiPriority w:val="0"/>
  </w:style>
  <w:style w:type="character" w:customStyle="1" w:styleId="48">
    <w:name w:val="NormalCharacter"/>
    <w:qFormat/>
    <w:uiPriority w:val="0"/>
  </w:style>
  <w:style w:type="character" w:customStyle="1" w:styleId="49">
    <w:name w:val="批注框文本 字符"/>
    <w:link w:val="15"/>
    <w:semiHidden/>
    <w:qFormat/>
    <w:uiPriority w:val="99"/>
    <w:rPr>
      <w:rFonts w:ascii="Times New Roman" w:hAnsi="Times New Roman"/>
      <w:kern w:val="2"/>
      <w:sz w:val="18"/>
      <w:szCs w:val="18"/>
    </w:rPr>
  </w:style>
  <w:style w:type="character" w:customStyle="1" w:styleId="50">
    <w:name w:val="批注文字 字符1"/>
    <w:link w:val="10"/>
    <w:semiHidden/>
    <w:qFormat/>
    <w:uiPriority w:val="0"/>
    <w:rPr>
      <w:rFonts w:ascii="Times New Roman" w:hAnsi="Times New Roman"/>
      <w:sz w:val="24"/>
    </w:rPr>
  </w:style>
  <w:style w:type="character" w:customStyle="1" w:styleId="51">
    <w:name w:val="批注主题 字符"/>
    <w:link w:val="21"/>
    <w:semiHidden/>
    <w:qFormat/>
    <w:uiPriority w:val="99"/>
    <w:rPr>
      <w:rFonts w:ascii="Times New Roman" w:hAnsi="Times New Roman"/>
      <w:b/>
      <w:bCs/>
      <w:kern w:val="2"/>
      <w:sz w:val="21"/>
      <w:szCs w:val="24"/>
    </w:rPr>
  </w:style>
  <w:style w:type="character" w:customStyle="1" w:styleId="52">
    <w:name w:val="纯文本 字符"/>
    <w:link w:val="14"/>
    <w:qFormat/>
    <w:uiPriority w:val="0"/>
    <w:rPr>
      <w:rFonts w:ascii="宋体" w:hAnsi="Courier New"/>
      <w:kern w:val="2"/>
      <w:sz w:val="28"/>
    </w:rPr>
  </w:style>
  <w:style w:type="character" w:customStyle="1" w:styleId="53">
    <w:name w:val="称呼 字符"/>
    <w:link w:val="11"/>
    <w:semiHidden/>
    <w:qFormat/>
    <w:uiPriority w:val="99"/>
    <w:rPr>
      <w:rFonts w:ascii="Times New Roman" w:hAnsi="Times New Roman"/>
      <w:kern w:val="2"/>
      <w:sz w:val="21"/>
      <w:szCs w:val="24"/>
    </w:rPr>
  </w:style>
  <w:style w:type="character" w:customStyle="1" w:styleId="54">
    <w:name w:val="标题 2 字符"/>
    <w:link w:val="3"/>
    <w:semiHidden/>
    <w:qFormat/>
    <w:uiPriority w:val="9"/>
    <w:rPr>
      <w:rFonts w:ascii="等线 Light" w:hAnsi="等线 Light" w:eastAsia="等线 Light" w:cs="Times New Roman"/>
      <w:b/>
      <w:bCs/>
      <w:kern w:val="2"/>
      <w:sz w:val="32"/>
      <w:szCs w:val="32"/>
    </w:rPr>
  </w:style>
  <w:style w:type="character" w:customStyle="1" w:styleId="55">
    <w:name w:val="批注文字 字符"/>
    <w:qFormat/>
    <w:uiPriority w:val="0"/>
    <w:rPr>
      <w:rFonts w:ascii="Times New Roman" w:hAnsi="Times New Roman"/>
      <w:sz w:val="24"/>
      <w:szCs w:val="24"/>
    </w:rPr>
  </w:style>
  <w:style w:type="character" w:customStyle="1" w:styleId="56">
    <w:name w:val="标题 1 字符"/>
    <w:link w:val="2"/>
    <w:qFormat/>
    <w:uiPriority w:val="9"/>
    <w:rPr>
      <w:rFonts w:ascii="Times New Roman" w:hAnsi="Times New Roman"/>
      <w:b/>
      <w:bCs/>
      <w:kern w:val="44"/>
      <w:sz w:val="44"/>
      <w:szCs w:val="44"/>
    </w:rPr>
  </w:style>
  <w:style w:type="paragraph" w:customStyle="1" w:styleId="57">
    <w:name w:val="TOC 标题1"/>
    <w:basedOn w:val="2"/>
    <w:next w:val="1"/>
    <w:unhideWhenUsed/>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58">
    <w:name w:val="目录 11"/>
    <w:basedOn w:val="1"/>
    <w:next w:val="1"/>
    <w:unhideWhenUsed/>
    <w:qFormat/>
    <w:uiPriority w:val="39"/>
  </w:style>
  <w:style w:type="paragraph" w:customStyle="1" w:styleId="59">
    <w:name w:val="目录 21"/>
    <w:basedOn w:val="1"/>
    <w:next w:val="1"/>
    <w:unhideWhenUsed/>
    <w:qFormat/>
    <w:uiPriority w:val="39"/>
    <w:pPr>
      <w:ind w:left="420" w:leftChars="200"/>
    </w:pPr>
  </w:style>
  <w:style w:type="paragraph" w:customStyle="1" w:styleId="60">
    <w:name w:val="目录 31"/>
    <w:basedOn w:val="1"/>
    <w:next w:val="1"/>
    <w:unhideWhenUsed/>
    <w:qFormat/>
    <w:uiPriority w:val="39"/>
    <w:pPr>
      <w:widowControl/>
      <w:spacing w:after="100" w:line="259" w:lineRule="auto"/>
      <w:ind w:left="440"/>
      <w:jc w:val="left"/>
    </w:pPr>
    <w:rPr>
      <w:rFonts w:ascii="Calibri" w:hAnsi="Calibri"/>
      <w:kern w:val="0"/>
      <w:sz w:val="22"/>
      <w:szCs w:val="22"/>
    </w:rPr>
  </w:style>
  <w:style w:type="character" w:customStyle="1" w:styleId="61">
    <w:name w:val="+正文 Char Char"/>
    <w:link w:val="62"/>
    <w:qFormat/>
    <w:uiPriority w:val="0"/>
    <w:rPr>
      <w:kern w:val="2"/>
      <w:sz w:val="24"/>
      <w:szCs w:val="22"/>
    </w:rPr>
  </w:style>
  <w:style w:type="paragraph" w:customStyle="1" w:styleId="62">
    <w:name w:val="+正文"/>
    <w:basedOn w:val="1"/>
    <w:link w:val="61"/>
    <w:qFormat/>
    <w:uiPriority w:val="0"/>
    <w:pPr>
      <w:spacing w:line="360" w:lineRule="auto"/>
      <w:ind w:firstLine="200" w:firstLineChars="200"/>
    </w:pPr>
    <w:rPr>
      <w:rFonts w:ascii="Calibri" w:hAnsi="Calibri"/>
      <w:sz w:val="24"/>
      <w:szCs w:val="22"/>
    </w:rPr>
  </w:style>
  <w:style w:type="character" w:customStyle="1" w:styleId="63">
    <w:name w:val="普通(网站) 字符"/>
    <w:semiHidden/>
    <w:qFormat/>
    <w:locked/>
    <w:uiPriority w:val="34"/>
    <w:rPr>
      <w:rFonts w:ascii="宋体" w:hAnsi="宋体"/>
      <w:sz w:val="24"/>
    </w:rPr>
  </w:style>
  <w:style w:type="character" w:customStyle="1" w:styleId="64">
    <w:name w:val="报告 Char"/>
    <w:link w:val="65"/>
    <w:qFormat/>
    <w:locked/>
    <w:uiPriority w:val="0"/>
    <w:rPr>
      <w:rFonts w:ascii="TimesNewRoman" w:hAnsi="TimesNewRoman"/>
      <w:sz w:val="24"/>
    </w:rPr>
  </w:style>
  <w:style w:type="paragraph" w:customStyle="1" w:styleId="65">
    <w:name w:val="报告"/>
    <w:basedOn w:val="1"/>
    <w:link w:val="64"/>
    <w:qFormat/>
    <w:uiPriority w:val="0"/>
    <w:pPr>
      <w:widowControl/>
      <w:adjustRightInd w:val="0"/>
      <w:spacing w:line="360" w:lineRule="auto"/>
      <w:ind w:firstLine="505"/>
      <w:jc w:val="left"/>
    </w:pPr>
    <w:rPr>
      <w:rFonts w:ascii="TimesNewRoman" w:hAnsi="TimesNewRoman"/>
      <w:kern w:val="0"/>
      <w:sz w:val="24"/>
      <w:szCs w:val="20"/>
    </w:rPr>
  </w:style>
  <w:style w:type="paragraph" w:customStyle="1" w:styleId="66">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67">
    <w:name w:val="1jw正文"/>
    <w:qFormat/>
    <w:uiPriority w:val="0"/>
    <w:pPr>
      <w:spacing w:beforeLines="50" w:afterLines="50" w:line="360" w:lineRule="auto"/>
      <w:ind w:firstLine="200" w:firstLineChars="200"/>
    </w:pPr>
    <w:rPr>
      <w:rFonts w:ascii="Times New Roman" w:hAnsi="Times New Roman" w:eastAsia="宋体" w:cs="宋体"/>
      <w:sz w:val="24"/>
      <w:szCs w:val="24"/>
      <w:lang w:val="en-US" w:eastAsia="zh-CN" w:bidi="ar-SA"/>
    </w:rPr>
  </w:style>
  <w:style w:type="paragraph" w:customStyle="1" w:styleId="68">
    <w:name w:val="3表名1"/>
    <w:basedOn w:val="1"/>
    <w:next w:val="1"/>
    <w:qFormat/>
    <w:uiPriority w:val="0"/>
    <w:pPr>
      <w:numPr>
        <w:ilvl w:val="1"/>
        <w:numId w:val="1"/>
      </w:numPr>
      <w:tabs>
        <w:tab w:val="left" w:pos="0"/>
      </w:tabs>
      <w:adjustRightInd w:val="0"/>
      <w:snapToGrid w:val="0"/>
      <w:spacing w:before="50" w:beforeLines="50"/>
      <w:jc w:val="center"/>
    </w:pPr>
    <w:rPr>
      <w:rFonts w:hint="eastAsia"/>
      <w:b/>
      <w:bCs/>
      <w:szCs w:val="21"/>
    </w:rPr>
  </w:style>
  <w:style w:type="paragraph" w:customStyle="1" w:styleId="69">
    <w:name w:val="7表格文字"/>
    <w:basedOn w:val="1"/>
    <w:next w:val="1"/>
    <w:qFormat/>
    <w:uiPriority w:val="0"/>
    <w:pPr>
      <w:adjustRightInd w:val="0"/>
      <w:snapToGrid w:val="0"/>
      <w:spacing w:before="10" w:beforeLines="13" w:after="10" w:afterLines="13" w:line="259" w:lineRule="auto"/>
      <w:jc w:val="center"/>
    </w:pPr>
    <w:rPr>
      <w:kern w:val="0"/>
      <w:szCs w:val="20"/>
    </w:rPr>
  </w:style>
  <w:style w:type="paragraph" w:customStyle="1" w:styleId="70">
    <w:name w:val="GT正文"/>
    <w:basedOn w:val="1"/>
    <w:link w:val="71"/>
    <w:qFormat/>
    <w:uiPriority w:val="0"/>
    <w:pPr>
      <w:topLinePunct/>
      <w:adjustRightInd w:val="0"/>
      <w:snapToGrid w:val="0"/>
      <w:spacing w:line="360" w:lineRule="auto"/>
      <w:ind w:firstLine="480" w:firstLineChars="200"/>
    </w:pPr>
    <w:rPr>
      <w:sz w:val="24"/>
    </w:rPr>
  </w:style>
  <w:style w:type="character" w:customStyle="1" w:styleId="71">
    <w:name w:val="GT正文 Char"/>
    <w:link w:val="70"/>
    <w:qFormat/>
    <w:uiPriority w:val="0"/>
    <w:rPr>
      <w:rFonts w:ascii="Times New Roman" w:hAnsi="Times New Roman"/>
      <w:kern w:val="2"/>
      <w:sz w:val="24"/>
      <w:szCs w:val="24"/>
    </w:rPr>
  </w:style>
  <w:style w:type="paragraph" w:customStyle="1" w:styleId="72">
    <w:name w:val="无间隔1"/>
    <w:qFormat/>
    <w:uiPriority w:val="0"/>
    <w:pPr>
      <w:widowControl w:val="0"/>
      <w:jc w:val="center"/>
    </w:pPr>
    <w:rPr>
      <w:rFonts w:ascii="Times New Roman" w:hAnsi="Times New Roman" w:eastAsia="宋体" w:cs="黑体"/>
      <w:kern w:val="2"/>
      <w:sz w:val="21"/>
      <w:szCs w:val="22"/>
      <w:lang w:val="en-US" w:eastAsia="zh-CN" w:bidi="ar-SA"/>
    </w:rPr>
  </w:style>
  <w:style w:type="paragraph" w:customStyle="1" w:styleId="73">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74">
    <w:name w:val="font0"/>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75">
    <w:name w:val="et2"/>
    <w:basedOn w:val="1"/>
    <w:qFormat/>
    <w:uiPriority w:val="0"/>
    <w:pPr>
      <w:widowControl/>
      <w:spacing w:before="100" w:beforeAutospacing="1" w:after="100" w:afterAutospacing="1"/>
      <w:jc w:val="center"/>
    </w:pPr>
    <w:rPr>
      <w:rFonts w:ascii="宋体" w:hAnsi="宋体" w:cs="宋体"/>
      <w:kern w:val="0"/>
      <w:sz w:val="24"/>
    </w:rPr>
  </w:style>
  <w:style w:type="paragraph" w:customStyle="1" w:styleId="76">
    <w:name w:val="et3"/>
    <w:basedOn w:val="1"/>
    <w:qFormat/>
    <w:uiPriority w:val="0"/>
    <w:pPr>
      <w:widowControl/>
      <w:spacing w:before="100" w:beforeAutospacing="1" w:after="100" w:afterAutospacing="1"/>
      <w:jc w:val="left"/>
    </w:pPr>
    <w:rPr>
      <w:rFonts w:ascii="宋体" w:hAnsi="宋体" w:cs="宋体"/>
      <w:kern w:val="0"/>
      <w:sz w:val="24"/>
    </w:rPr>
  </w:style>
  <w:style w:type="paragraph" w:customStyle="1" w:styleId="77">
    <w:name w:val="et4"/>
    <w:basedOn w:val="1"/>
    <w:qFormat/>
    <w:uiPriority w:val="0"/>
    <w:pPr>
      <w:widowControl/>
      <w:spacing w:before="100" w:beforeAutospacing="1" w:after="100" w:afterAutospacing="1"/>
      <w:jc w:val="center"/>
    </w:pPr>
    <w:rPr>
      <w:rFonts w:ascii="宋体" w:hAnsi="宋体" w:cs="宋体"/>
      <w:kern w:val="0"/>
      <w:sz w:val="24"/>
    </w:rPr>
  </w:style>
  <w:style w:type="paragraph" w:customStyle="1" w:styleId="78">
    <w:name w:val="D表正文"/>
    <w:basedOn w:val="1"/>
    <w:link w:val="79"/>
    <w:qFormat/>
    <w:uiPriority w:val="0"/>
    <w:pPr>
      <w:adjustRightInd w:val="0"/>
      <w:snapToGrid w:val="0"/>
      <w:spacing w:line="360" w:lineRule="auto"/>
      <w:ind w:firstLine="200" w:firstLineChars="200"/>
    </w:pPr>
    <w:rPr>
      <w:sz w:val="24"/>
    </w:rPr>
  </w:style>
  <w:style w:type="character" w:customStyle="1" w:styleId="79">
    <w:name w:val="D表正文 字符"/>
    <w:link w:val="78"/>
    <w:qFormat/>
    <w:uiPriority w:val="0"/>
    <w:rPr>
      <w:rFonts w:ascii="Times New Roman" w:hAnsi="Times New Roman"/>
      <w:kern w:val="2"/>
      <w:sz w:val="24"/>
      <w:szCs w:val="24"/>
    </w:rPr>
  </w:style>
  <w:style w:type="paragraph" w:customStyle="1" w:styleId="80">
    <w:name w:val="正文1"/>
    <w:qFormat/>
    <w:uiPriority w:val="0"/>
    <w:pPr>
      <w:jc w:val="both"/>
    </w:pPr>
    <w:rPr>
      <w:rFonts w:ascii="Times New Roman" w:hAnsi="Times New Roman" w:eastAsia="宋体" w:cs="Times New Roman"/>
      <w:kern w:val="2"/>
      <w:sz w:val="21"/>
      <w:szCs w:val="21"/>
      <w:lang w:val="en-US" w:eastAsia="zh-CN" w:bidi="ar-SA"/>
    </w:rPr>
  </w:style>
  <w:style w:type="paragraph" w:styleId="81">
    <w:name w:val="List Paragraph"/>
    <w:basedOn w:val="1"/>
    <w:qFormat/>
    <w:uiPriority w:val="34"/>
    <w:pPr>
      <w:ind w:firstLine="420" w:firstLineChars="200"/>
    </w:pPr>
  </w:style>
  <w:style w:type="paragraph" w:customStyle="1" w:styleId="82">
    <w:name w:val="文本22"/>
    <w:basedOn w:val="1"/>
    <w:qFormat/>
    <w:uiPriority w:val="0"/>
    <w:pPr>
      <w:autoSpaceDE w:val="0"/>
      <w:autoSpaceDN w:val="0"/>
      <w:adjustRightInd w:val="0"/>
      <w:spacing w:line="360" w:lineRule="auto"/>
      <w:ind w:firstLine="480" w:firstLineChars="200"/>
    </w:pPr>
    <w:rPr>
      <w:sz w:val="24"/>
    </w:rPr>
  </w:style>
  <w:style w:type="paragraph" w:customStyle="1" w:styleId="83">
    <w:name w:val="Plain Text1"/>
    <w:basedOn w:val="1"/>
    <w:next w:val="1"/>
    <w:qFormat/>
    <w:uiPriority w:val="0"/>
    <w:rPr>
      <w:rFonts w:ascii="宋体" w:hAnsi="Courier New"/>
      <w:kern w:val="0"/>
      <w:szCs w:val="21"/>
    </w:rPr>
  </w:style>
  <w:style w:type="paragraph" w:customStyle="1" w:styleId="84">
    <w:name w:val="纯文本1"/>
    <w:basedOn w:val="1"/>
    <w:next w:val="1"/>
    <w:qFormat/>
    <w:uiPriority w:val="0"/>
    <w:rPr>
      <w:rFonts w:ascii="宋体" w:hAnsi="Courier New"/>
      <w:kern w:val="0"/>
      <w:szCs w:val="21"/>
    </w:rPr>
  </w:style>
  <w:style w:type="paragraph" w:customStyle="1" w:styleId="85">
    <w:name w:val="Plain Text2"/>
    <w:basedOn w:val="1"/>
    <w:next w:val="1"/>
    <w:qFormat/>
    <w:uiPriority w:val="0"/>
    <w:rPr>
      <w:rFonts w:ascii="宋体" w:hAnsi="Courier New"/>
      <w:kern w:val="0"/>
      <w:szCs w:val="21"/>
    </w:rPr>
  </w:style>
  <w:style w:type="character" w:customStyle="1" w:styleId="86">
    <w:name w:val="font21"/>
    <w:basedOn w:val="25"/>
    <w:qFormat/>
    <w:uiPriority w:val="0"/>
    <w:rPr>
      <w:rFonts w:hint="default" w:ascii="Times New Roman" w:hAnsi="Times New Roman" w:cs="Times New Roman"/>
      <w:b/>
      <w:bCs/>
      <w:color w:val="000000"/>
      <w:sz w:val="21"/>
      <w:szCs w:val="21"/>
      <w:u w:val="none"/>
    </w:rPr>
  </w:style>
  <w:style w:type="paragraph" w:customStyle="1" w:styleId="87">
    <w:name w:val="font1"/>
    <w:basedOn w:val="1"/>
    <w:qFormat/>
    <w:uiPriority w:val="0"/>
    <w:pPr>
      <w:widowControl/>
      <w:spacing w:before="100" w:beforeAutospacing="1" w:after="100" w:afterAutospacing="1"/>
      <w:jc w:val="left"/>
    </w:pPr>
    <w:rPr>
      <w:rFonts w:ascii="宋体" w:hAnsi="宋体" w:cs="宋体"/>
      <w:color w:val="000000"/>
      <w:kern w:val="0"/>
      <w:sz w:val="18"/>
      <w:szCs w:val="18"/>
    </w:rPr>
  </w:style>
  <w:style w:type="paragraph" w:customStyle="1" w:styleId="88">
    <w:name w:val="font2"/>
    <w:basedOn w:val="1"/>
    <w:qFormat/>
    <w:uiPriority w:val="0"/>
    <w:pPr>
      <w:widowControl/>
      <w:spacing w:before="100" w:beforeAutospacing="1" w:after="100" w:afterAutospacing="1"/>
      <w:jc w:val="left"/>
    </w:pPr>
    <w:rPr>
      <w:color w:val="000000"/>
      <w:kern w:val="0"/>
      <w:sz w:val="18"/>
      <w:szCs w:val="18"/>
    </w:rPr>
  </w:style>
  <w:style w:type="paragraph" w:customStyle="1" w:styleId="89">
    <w:name w:val="et5"/>
    <w:basedOn w:val="1"/>
    <w:qFormat/>
    <w:uiPriority w:val="0"/>
    <w:pPr>
      <w:widowControl/>
      <w:pBdr>
        <w:bottom w:val="single" w:color="000000" w:sz="8" w:space="0"/>
        <w:right w:val="single" w:color="000000" w:sz="8" w:space="0"/>
      </w:pBdr>
      <w:spacing w:before="100" w:beforeAutospacing="1" w:after="100" w:afterAutospacing="1"/>
      <w:jc w:val="center"/>
    </w:pPr>
    <w:rPr>
      <w:kern w:val="0"/>
      <w:sz w:val="18"/>
      <w:szCs w:val="18"/>
    </w:rPr>
  </w:style>
  <w:style w:type="paragraph" w:customStyle="1" w:styleId="90">
    <w:name w:val="et6"/>
    <w:basedOn w:val="1"/>
    <w:qFormat/>
    <w:uiPriority w:val="0"/>
    <w:pPr>
      <w:widowControl/>
      <w:spacing w:before="100" w:beforeAutospacing="1" w:after="100" w:afterAutospacing="1"/>
      <w:jc w:val="center"/>
    </w:pPr>
    <w:rPr>
      <w:rFonts w:ascii="宋体" w:hAnsi="宋体" w:cs="宋体"/>
      <w:kern w:val="0"/>
      <w:sz w:val="24"/>
    </w:rPr>
  </w:style>
  <w:style w:type="paragraph" w:customStyle="1" w:styleId="91">
    <w:name w:val="et7"/>
    <w:basedOn w:val="1"/>
    <w:qFormat/>
    <w:uiPriority w:val="0"/>
    <w:pPr>
      <w:widowControl/>
      <w:spacing w:before="100" w:beforeAutospacing="1" w:after="100" w:afterAutospacing="1"/>
      <w:jc w:val="center"/>
    </w:pPr>
    <w:rPr>
      <w:rFonts w:ascii="宋体" w:hAnsi="宋体" w:cs="宋体"/>
      <w:kern w:val="0"/>
      <w:sz w:val="24"/>
    </w:rPr>
  </w:style>
  <w:style w:type="paragraph" w:customStyle="1" w:styleId="92">
    <w:name w:val="et8"/>
    <w:basedOn w:val="1"/>
    <w:qFormat/>
    <w:uiPriority w:val="0"/>
    <w:pPr>
      <w:widowControl/>
      <w:pBdr>
        <w:bottom w:val="single" w:color="000000" w:sz="8" w:space="0"/>
        <w:right w:val="single" w:color="000000" w:sz="8" w:space="0"/>
      </w:pBdr>
      <w:spacing w:before="100" w:beforeAutospacing="1" w:after="100" w:afterAutospacing="1"/>
      <w:jc w:val="center"/>
    </w:pPr>
    <w:rPr>
      <w:rFonts w:ascii="宋体" w:hAnsi="宋体" w:cs="宋体"/>
      <w:kern w:val="0"/>
      <w:sz w:val="18"/>
      <w:szCs w:val="18"/>
    </w:rPr>
  </w:style>
  <w:style w:type="character" w:customStyle="1" w:styleId="93">
    <w:name w:val="纯文本 Char"/>
    <w:qFormat/>
    <w:uiPriority w:val="0"/>
    <w:rPr>
      <w:rFonts w:ascii="宋体" w:hAnsi="Courier New"/>
      <w:kern w:val="2"/>
      <w:sz w:val="28"/>
      <w:szCs w:val="21"/>
    </w:rPr>
  </w:style>
  <w:style w:type="paragraph" w:customStyle="1" w:styleId="94">
    <w:name w:val="图表标题"/>
    <w:basedOn w:val="1"/>
    <w:next w:val="1"/>
    <w:qFormat/>
    <w:uiPriority w:val="0"/>
    <w:pPr>
      <w:snapToGrid w:val="0"/>
      <w:jc w:val="center"/>
    </w:pPr>
    <w:rPr>
      <w:rFonts w:hint="eastAsia"/>
      <w:b/>
      <w:szCs w:val="40"/>
    </w:rPr>
  </w:style>
  <w:style w:type="character" w:customStyle="1" w:styleId="95">
    <w:name w:val="表标题 Char1"/>
    <w:link w:val="96"/>
    <w:qFormat/>
    <w:uiPriority w:val="0"/>
    <w:rPr>
      <w:rFonts w:eastAsia="仿宋"/>
      <w:b/>
      <w:kern w:val="2"/>
      <w:sz w:val="24"/>
    </w:rPr>
  </w:style>
  <w:style w:type="paragraph" w:customStyle="1" w:styleId="96">
    <w:name w:val="表标题"/>
    <w:basedOn w:val="1"/>
    <w:link w:val="95"/>
    <w:qFormat/>
    <w:uiPriority w:val="0"/>
    <w:pPr>
      <w:spacing w:line="360" w:lineRule="auto"/>
      <w:jc w:val="center"/>
    </w:pPr>
    <w:rPr>
      <w:rFonts w:ascii="Calibri" w:hAnsi="Calibri" w:eastAsia="仿宋"/>
      <w:b/>
      <w:sz w:val="24"/>
      <w:szCs w:val="20"/>
    </w:rPr>
  </w:style>
  <w:style w:type="character" w:customStyle="1" w:styleId="97">
    <w:name w:val="正文文本首行缩进 2 字符"/>
    <w:basedOn w:val="36"/>
    <w:link w:val="22"/>
    <w:semiHidden/>
    <w:qFormat/>
    <w:uiPriority w:val="0"/>
    <w:rPr>
      <w:rFonts w:ascii="Times New Roman" w:hAnsi="Times New Roman" w:eastAsia="宋体" w:cs="Times New Roman"/>
      <w:kern w:val="2"/>
      <w:sz w:val="21"/>
      <w:szCs w:val="24"/>
    </w:rPr>
  </w:style>
  <w:style w:type="paragraph" w:customStyle="1" w:styleId="98">
    <w:name w:val="1正文-报告表"/>
    <w:basedOn w:val="1"/>
    <w:link w:val="99"/>
    <w:qFormat/>
    <w:uiPriority w:val="0"/>
    <w:pPr>
      <w:spacing w:line="360" w:lineRule="auto"/>
      <w:ind w:firstLine="480" w:firstLineChars="200"/>
    </w:pPr>
    <w:rPr>
      <w:kern w:val="0"/>
      <w:sz w:val="24"/>
    </w:rPr>
  </w:style>
  <w:style w:type="character" w:customStyle="1" w:styleId="99">
    <w:name w:val="1正文-报告表 Char"/>
    <w:link w:val="98"/>
    <w:qFormat/>
    <w:uiPriority w:val="0"/>
    <w:rPr>
      <w:rFonts w:ascii="Times New Roman" w:hAnsi="Times New Roman"/>
      <w:sz w:val="24"/>
      <w:szCs w:val="24"/>
    </w:rPr>
  </w:style>
  <w:style w:type="paragraph" w:customStyle="1" w:styleId="100">
    <w:name w:val="正文（贵研）"/>
    <w:basedOn w:val="1"/>
    <w:link w:val="101"/>
    <w:qFormat/>
    <w:uiPriority w:val="0"/>
    <w:pPr>
      <w:spacing w:line="360" w:lineRule="auto"/>
      <w:ind w:firstLine="720" w:firstLineChars="200"/>
    </w:pPr>
    <w:rPr>
      <w:color w:val="000000"/>
      <w:kern w:val="0"/>
      <w:sz w:val="24"/>
      <w:szCs w:val="21"/>
    </w:rPr>
  </w:style>
  <w:style w:type="character" w:customStyle="1" w:styleId="101">
    <w:name w:val="正文（贵研） Char"/>
    <w:link w:val="100"/>
    <w:qFormat/>
    <w:uiPriority w:val="0"/>
    <w:rPr>
      <w:rFonts w:ascii="Times New Roman" w:hAnsi="Times New Roman"/>
      <w:color w:val="000000"/>
      <w:sz w:val="24"/>
      <w:szCs w:val="21"/>
    </w:rPr>
  </w:style>
  <w:style w:type="paragraph" w:customStyle="1" w:styleId="102">
    <w:name w:val="样式 楷体_GB2312 小四"/>
    <w:basedOn w:val="1"/>
    <w:qFormat/>
    <w:uiPriority w:val="0"/>
    <w:pPr>
      <w:spacing w:line="360" w:lineRule="auto"/>
      <w:ind w:firstLine="480" w:firstLineChars="200"/>
    </w:pPr>
    <w:rPr>
      <w:rFonts w:ascii="楷体_GB2312" w:hAnsi="楷体_GB2312" w:eastAsia="楷体_GB2312" w:cs="宋体"/>
      <w:sz w:val="24"/>
      <w:szCs w:val="20"/>
    </w:rPr>
  </w:style>
  <w:style w:type="paragraph" w:customStyle="1" w:styleId="103">
    <w:name w:val="lh-正文-报告表"/>
    <w:basedOn w:val="1"/>
    <w:qFormat/>
    <w:uiPriority w:val="0"/>
    <w:pPr>
      <w:spacing w:line="360" w:lineRule="auto"/>
      <w:ind w:firstLine="480" w:firstLineChars="200"/>
    </w:pPr>
    <w:rPr>
      <w:kern w:val="0"/>
      <w:szCs w:val="21"/>
    </w:rPr>
  </w:style>
  <w:style w:type="paragraph" w:customStyle="1" w:styleId="104">
    <w:name w:val="lh-表格文字-报告表"/>
    <w:qFormat/>
    <w:uiPriority w:val="0"/>
    <w:pPr>
      <w:snapToGrid w:val="0"/>
      <w:jc w:val="center"/>
    </w:pPr>
    <w:rPr>
      <w:rFonts w:ascii="Times New Roman" w:hAnsi="Times New Roman" w:eastAsia="宋体" w:cs="Times New Roman"/>
      <w:sz w:val="21"/>
      <w:szCs w:val="24"/>
      <w:lang w:val="en-US" w:eastAsia="zh-CN" w:bidi="ar-SA"/>
    </w:rPr>
  </w:style>
  <w:style w:type="paragraph" w:customStyle="1" w:styleId="105">
    <w:name w:val="文本正文"/>
    <w:basedOn w:val="1"/>
    <w:qFormat/>
    <w:uiPriority w:val="0"/>
    <w:pPr>
      <w:snapToGrid w:val="0"/>
      <w:ind w:firstLine="510"/>
      <w:jc w:val="left"/>
    </w:pPr>
    <w:rPr>
      <w:spacing w:val="4"/>
      <w:kern w:val="24"/>
      <w:szCs w:val="24"/>
      <w:lang w:val="zh-CN"/>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2" Type="http://schemas.openxmlformats.org/officeDocument/2006/relationships/fontTable" Target="fontTable.xml"/><Relationship Id="rId31" Type="http://schemas.openxmlformats.org/officeDocument/2006/relationships/customXml" Target="../customXml/item3.xml"/><Relationship Id="rId30" Type="http://schemas.openxmlformats.org/officeDocument/2006/relationships/customXml" Target="../customXml/item2.xml"/><Relationship Id="rId3" Type="http://schemas.openxmlformats.org/officeDocument/2006/relationships/footer" Target="foot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17.png"/><Relationship Id="rId26" Type="http://schemas.openxmlformats.org/officeDocument/2006/relationships/image" Target="media/image16.jpeg"/><Relationship Id="rId25" Type="http://schemas.openxmlformats.org/officeDocument/2006/relationships/image" Target="media/image15.jpeg"/><Relationship Id="rId24" Type="http://schemas.openxmlformats.org/officeDocument/2006/relationships/image" Target="media/image14.jpeg"/><Relationship Id="rId23" Type="http://schemas.openxmlformats.org/officeDocument/2006/relationships/image" Target="file:///C:\Users\XTHB\AppData\Roaming\Tencent\Users\765388791\QQ\WinTemp\RichOle\HAKPFJDCAOVNGZ%252525252525252525252525252525252525252525252525252525252560)PSM%25252525252525252525252525252525252525252525252525252525257b@T2.png" TargetMode="External"/><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file:///C:\Users\XTHB\AppData\Roaming\Tencent\Users\765388791\QQ\WinTemp\RichOle\2)ZI8~OF8EZC_Q2G3B56D_Q.png" TargetMode="External"/><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76a85a44-b26b-4403-ab8a-7d70cefb06b3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73CB6642</paraID>
      <start>33</start>
      <end>34</end>
      <status>modified</status>
      <modifiedWord>—</modifiedWord>
      <trackRevisions>false</trackRevisions>
    </reviewItem>
    <reviewItem>
      <errorID>3a7b7a51-7ea4-4ee5-ab04-4b2936e03c97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73CB6642</paraID>
      <start>54</start>
      <end>55</end>
      <status>ignored</status>
      <modifiedWord/>
      <trackRevisions>false</trackRevisions>
    </reviewItem>
    <reviewItem>
      <errorID>5908441d-44b1-429e-baf4-b11a84ece01b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73CB6665</paraID>
      <start>31</start>
      <end>32</end>
      <status>ignored</status>
      <modifiedWord/>
      <trackRevisions>false</trackRevisions>
    </reviewItem>
    <reviewItem>
      <errorID>c7d026cb-4373-4bb0-8598-51fbe049705b</errorID>
      <errorWord>》（试行）</errorWord>
      <group>L1_Word</group>
      <groupName>字词问题</groupName>
      <ability>L2_Typo</ability>
      <abilityName>字词错误</abilityName>
      <candidateList>
        <item>（试行）》</item>
      </candidateList>
      <explain/>
      <paraID>73CB6692</paraID>
      <start>27</start>
      <end>32</end>
      <status>modified</status>
      <modifiedWord>（试行）》</modifiedWord>
      <trackRevisions>false</trackRevisions>
    </reviewItem>
    <reviewItem>
      <errorID>08700960-dd25-4ea4-b42d-9d4e496cde11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73CB66B9</paraID>
      <start>23</start>
      <end>24</end>
      <status>modified</status>
      <modifiedWord>—</modifiedWord>
      <trackRevisions>false</trackRevisions>
    </reviewItem>
    <reviewItem>
      <errorID>e3c772e3-ce72-49eb-bb1a-31c3d729f31a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73CB66BB</paraID>
      <start>37</start>
      <end>38</end>
      <status>modified</status>
      <modifiedWord>—</modifiedWord>
      <trackRevisions>false</trackRevisions>
    </reviewItem>
    <reviewItem>
      <errorID>46a96b04-2365-442e-8c1f-ea486df44211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73CB66BE</paraID>
      <start>25</start>
      <end>26</end>
      <status>modified</status>
      <modifiedWord>—</modifiedWord>
      <trackRevisions>false</trackRevisions>
    </reviewItem>
    <reviewItem>
      <errorID>e0945726-134d-43e3-9d91-b7a87d719448</errorID>
      <errorWord>&lt;</errorWord>
      <group>L1_Format</group>
      <groupName>格式问题</groupName>
      <ability>L2_HalfPunc_CN</ability>
      <abilityName>全半角问题</abilityName>
      <candidateList>
        <item>〈</item>
      </candidateList>
      <explain>文本全半角错误。</explain>
      <paraID>73CB66C0</paraID>
      <start>21</start>
      <end>22</end>
      <status>modified</status>
      <modifiedWord>〈</modifiedWord>
      <trackRevisions>false</trackRevisions>
    </reviewItem>
    <reviewItem>
      <errorID>b97720bd-45fe-4fa8-a1dc-6ff10709fc45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73CB66C0</paraID>
      <start>39</start>
      <end>40</end>
      <status>modified</status>
      <modifiedWord>—</modifiedWord>
      <trackRevisions>false</trackRevisions>
    </reviewItem>
    <reviewItem>
      <errorID>4981b3ec-eeb1-453b-814d-fe80619524f3</errorID>
      <errorWord>&gt;</errorWord>
      <group>L1_Format</group>
      <groupName>格式问题</groupName>
      <ability>L2_HalfPunc_CN</ability>
      <abilityName>全半角问题</abilityName>
      <candidateList>
        <item>〉</item>
      </candidateList>
      <explain>文本全半角错误。</explain>
      <paraID>73CB66C0</paraID>
      <start>53</start>
      <end>54</end>
      <status>modified</status>
      <modifiedWord>〉</modifiedWord>
      <trackRevisions>false</trackRevisions>
    </reviewItem>
    <reviewItem>
      <errorID>94fd322a-b137-4c7f-b9f2-8b61978a1fe1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73CB66C3</paraID>
      <start>22</start>
      <end>23</end>
      <status>modified</status>
      <modifiedWord>—</modifiedWord>
      <trackRevisions>false</trackRevisions>
    </reviewItem>
    <reviewItem>
      <errorID>1ef26eb9-c2a0-4387-a18c-45235bee669c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73CB66C4</paraID>
      <start>0</start>
      <end>2</end>
      <status>ignored</status>
      <modifiedWord/>
      <trackRevisions>false</trackRevisions>
    </reviewItem>
    <reviewItem>
      <errorID>43584d57-b275-41b7-9b11-1bf8ddbb6252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73CB66C5</paraID>
      <start>20</start>
      <end>21</end>
      <status>modified</status>
      <modifiedWord>—</modifiedWord>
      <trackRevisions>false</trackRevisions>
    </reviewItem>
    <reviewItem>
      <errorID>48b27287-7b29-4231-a99e-cf000d85551f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73CB66C5</paraID>
      <start>112</start>
      <end>113</end>
      <status>modified</status>
      <modifiedWord>—</modifiedWord>
      <trackRevisions>false</trackRevisions>
    </reviewItem>
    <reviewItem>
      <errorID>1bc44479-ab66-4f28-a929-aad2591855fc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73CB66CE</paraID>
      <start>0</start>
      <end>2</end>
      <status>ignored</status>
      <modifiedWord/>
      <trackRevisions>false</trackRevisions>
    </reviewItem>
    <reviewItem>
      <errorID>6678a2b0-62d3-465b-9140-8ebcc79be923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73CB66CE</paraID>
      <start>23</start>
      <end>24</end>
      <status>modified</status>
      <modifiedWord>—</modifiedWord>
      <trackRevisions>false</trackRevisions>
    </reviewItem>
    <reviewItem>
      <errorID>6b7a7763-15f3-45c3-aed5-f8f8efe9c881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73CB66D0</paraID>
      <start>20</start>
      <end>21</end>
      <status>modified</status>
      <modifiedWord>—</modifiedWord>
      <trackRevisions>false</trackRevisions>
    </reviewItem>
    <reviewItem>
      <errorID>c222eb7e-fe1c-4838-94b6-3a92ab9423a6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73CB66D2</paraID>
      <start>28</start>
      <end>29</end>
      <status>modified</status>
      <modifiedWord>—</modifiedWord>
      <trackRevisions>false</trackRevisions>
    </reviewItem>
    <reviewItem>
      <errorID>e26fe02d-d80e-49d4-bd8c-a05fa93ee951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73CB66D3</paraID>
      <start>19</start>
      <end>20</end>
      <status>modified</status>
      <modifiedWord>—</modifiedWord>
      <trackRevisions>false</trackRevisions>
    </reviewItem>
    <reviewItem>
      <errorID>effc8718-47ae-4bcb-9dff-9f2e7c393dd8</errorID>
      <errorWord>(</errorWord>
      <group>L1_Format</group>
      <groupName>格式问题</groupName>
      <ability>L2_HalfPunc_CN</ability>
      <abilityName>全半角问题</abilityName>
      <candidateList>
        <item>（</item>
      </candidateList>
      <explain>文本全半角错误。</explain>
      <paraID>73CB66D4</paraID>
      <start>41</start>
      <end>42</end>
      <status>modified</status>
      <modifiedWord>（</modifiedWord>
      <trackRevisions>false</trackRevisions>
    </reviewItem>
    <reviewItem>
      <errorID>9ec11605-2214-444f-8437-52018832f1bd</errorID>
      <errorWord>)</errorWord>
      <group>L1_Format</group>
      <groupName>格式问题</groupName>
      <ability>L2_HalfPunc_CN</ability>
      <abilityName>全半角问题</abilityName>
      <candidateList>
        <item>）</item>
      </candidateList>
      <explain>文本全半角错误。</explain>
      <paraID>73CB66D4</paraID>
      <start>51</start>
      <end>52</end>
      <status>modified</status>
      <modifiedWord>）</modifiedWord>
      <trackRevisions>false</trackRevisions>
    </reviewItem>
    <reviewItem>
      <errorID>21f30890-f3ac-4a7c-952a-b1790835d8e1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73CB66D4</paraID>
      <start>81</start>
      <end>82</end>
      <status>modified</status>
      <modifiedWord>—</modifiedWord>
      <trackRevisions>false</trackRevisions>
    </reviewItem>
    <reviewItem>
      <errorID>45edbbbe-0621-4181-a567-a98e850b2d44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73CB66D5</paraID>
      <start>13</start>
      <end>14</end>
      <status>modified</status>
      <modifiedWord>—</modifiedWord>
      <trackRevisions>false</trackRevisions>
    </reviewItem>
    <reviewItem>
      <errorID>8fdf65fe-41b5-4371-a80a-b0cdd4c2488c</errorID>
      <errorWord>等的</errorWord>
      <group>L1_Word</group>
      <groupName>字词问题</groupName>
      <ability>L2_Typo</ability>
      <abilityName>字词错误</abilityName>
      <candidateList>
        <item>等</item>
      </candidateList>
      <explain/>
      <paraID>73CB66DD</paraID>
      <start>176</start>
      <end>177</end>
      <status>modified</status>
      <modifiedWord>等</modifiedWord>
      <trackRevisions>false</trackRevisions>
    </reviewItem>
    <reviewItem>
      <errorID>5532adef-bcec-42ba-9e0c-666fe7fd5199</errorID>
      <errorWord>程</errorWord>
      <group>L1_Word</group>
      <groupName>字词问题</groupName>
      <ability>L2_Typo</ability>
      <abilityName>字词错误</abilityName>
      <candidateList>
        <item>程中</item>
      </candidateList>
      <explain/>
      <paraID>73CB66F0</paraID>
      <start>35</start>
      <end>37</end>
      <status>modified</status>
      <modifiedWord>程中</modifiedWord>
      <trackRevisions>false</trackRevisions>
    </reviewItem>
    <reviewItem>
      <errorID>14a20f6f-4f87-42ea-a468-cecdc6447ac5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73CB6707</paraID>
      <start>30</start>
      <end>31</end>
      <status>modified</status>
      <modifiedWord>—</modifiedWord>
      <trackRevisions>false</trackRevisions>
    </reviewItem>
    <reviewItem>
      <errorID>633b5bbf-61b6-4e00-8732-95d5d72fab61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73CB6708</paraID>
      <start>22</start>
      <end>23</end>
      <status>modified</status>
      <modifiedWord>—</modifiedWord>
      <trackRevisions>false</trackRevisions>
    </reviewItem>
    <reviewItem>
      <errorID>0c66d983-2322-4fd1-a782-3aa4493d8e02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73CB6709</paraID>
      <start>41</start>
      <end>42</end>
      <status>modified</status>
      <modifiedWord>—</modifiedWord>
      <trackRevisions>false</trackRevisions>
    </reviewItem>
    <reviewItem>
      <errorID>4369ab3c-2849-4ffa-83d9-dd7d83a057ea</errorID>
      <errorWord>&lt;</errorWord>
      <group>L1_Format</group>
      <groupName>格式问题</groupName>
      <ability>L2_HalfPunc_CN</ability>
      <abilityName>全半角问题</abilityName>
      <candidateList>
        <item>〈</item>
      </candidateList>
      <explain>文本全半角错误。</explain>
      <paraID>73CB6709</paraID>
      <start>91</start>
      <end>92</end>
      <status>modified</status>
      <modifiedWord>〈</modifiedWord>
      <trackRevisions>false</trackRevisions>
    </reviewItem>
    <reviewItem>
      <errorID>cf837d4a-bcde-4412-af65-b0f6fe998b90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73CB6709</paraID>
      <start>109</start>
      <end>110</end>
      <status>modified</status>
      <modifiedWord>—</modifiedWord>
      <trackRevisions>false</trackRevisions>
    </reviewItem>
    <reviewItem>
      <errorID>e625b4c0-bc68-431f-9f58-6817dd84cbfb</errorID>
      <errorWord>&gt;</errorWord>
      <group>L1_Format</group>
      <groupName>格式问题</groupName>
      <ability>L2_HalfPunc_CN</ability>
      <abilityName>全半角问题</abilityName>
      <candidateList>
        <item>〉</item>
      </candidateList>
      <explain>文本全半角错误。</explain>
      <paraID>73CB6709</paraID>
      <start>123</start>
      <end>124</end>
      <status>modified</status>
      <modifiedWord>〉</modifiedWord>
      <trackRevisions>false</trackRevisions>
    </reviewItem>
    <reviewItem>
      <errorID>08b5eb7a-99e8-43ba-a5dd-e0dab44aff81</errorID>
      <errorWord>措施后</errorWord>
      <group>L1_Word</group>
      <groupName>字词问题</groupName>
      <ability>L2_Typo</ability>
      <abilityName>字词错误</abilityName>
      <candidateList>
        <item>措施</item>
      </candidateList>
      <explain/>
      <paraID>73CB6714</paraID>
      <start>53</start>
      <end>56</end>
      <status>ignored</status>
      <modifiedWord/>
      <trackRevisions>false</trackRevisions>
    </reviewItem>
    <reviewItem>
      <errorID>5f2d9cbb-3eba-4f2c-8635-fe402c999f80</errorID>
      <errorWord>程</errorWord>
      <group>L1_Word</group>
      <groupName>字词问题</groupName>
      <ability>L2_Typo</ability>
      <abilityName>字词错误</abilityName>
      <candidateList>
        <item>程中</item>
      </candidateList>
      <explain/>
      <paraID>73CB6719</paraID>
      <start>81</start>
      <end>83</end>
      <status>modified</status>
      <modifiedWord>程中</modifiedWord>
      <trackRevisions>false</trackRevisions>
    </reviewItem>
    <reviewItem>
      <errorID>01e486aa-896c-4177-a5bb-8bf209400eae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73CB6725</paraID>
      <start>45</start>
      <end>48</end>
      <status>ignored</status>
      <modifiedWord/>
      <trackRevisions>false</trackRevisions>
    </reviewItem>
    <reviewItem>
      <errorID>67af12f1-6e53-4a73-8698-d1690e59c7a8</errorID>
      <errorWord>，</errorWord>
      <group>L1_Word</group>
      <groupName>字词问题</groupName>
      <ability>L2_Typo</ability>
      <abilityName>字词错误</abilityName>
      <candidateList>
        <item>，在</item>
      </candidateList>
      <explain/>
      <paraID>73CB6725</paraID>
      <start>139</start>
      <end>140</end>
      <status>ignored</status>
      <modifiedWord/>
      <trackRevisions>false</trackRevisions>
    </reviewItem>
    <reviewItem>
      <errorID>57f6c398-24cf-491d-9070-a4a826c57079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73CB6741</paraID>
      <start>32</start>
      <end>33</end>
      <status>modified</status>
      <modifiedWord>—</modifiedWord>
      <trackRevisions>false</trackRevisions>
    </reviewItem>
    <reviewItem>
      <errorID>a2da9412-8fca-4117-8044-2bc47934f2dd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73CB6744</paraID>
      <start>0</start>
      <end>2</end>
      <status>ignored</status>
      <modifiedWord/>
      <trackRevisions>false</trackRevisions>
    </reviewItem>
    <reviewItem>
      <errorID>a2aa53bf-ec69-488b-a927-b192403aee7b</errorID>
      <errorWord>资源节约综合利用</errorWord>
      <group>L1_Political</group>
      <groupName>政治性问题</groupName>
      <ability>L2_Keyword</ability>
      <abilityName>固定表述</abilityName>
      <candidateList>
        <item>资源节约集约利用</item>
      </candidateList>
      <explain>词汇“资源节约集约利用”在特定场景下为固定表述形式，请确认此处的“资源节约综合利用”是否存在不当。</explain>
      <paraID>73CB6745</paraID>
      <start>60</start>
      <end>68</end>
      <status>ignored</status>
      <modifiedWord/>
      <trackRevisions>false</trackRevisions>
    </reviewItem>
    <reviewItem>
      <errorID>e41d4c1d-8f10-44ce-8e2a-e7902fde2c30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73CB6748</paraID>
      <start>0</start>
      <end>2</end>
      <status>ignored</status>
      <modifiedWord/>
      <trackRevisions>false</trackRevisions>
    </reviewItem>
    <reviewItem>
      <errorID>9e6a7a73-aed6-4b0a-9861-281fb82fa2f9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73CB674E</paraID>
      <start>30</start>
      <end>31</end>
      <status>modified</status>
      <modifiedWord>—</modifiedWord>
      <trackRevisions>false</trackRevisions>
    </reviewItem>
    <reviewItem>
      <errorID>316e8304-7238-4c93-9f40-c3e24905a649</errorID>
      <errorWord>(</errorWord>
      <group>L1_Format</group>
      <groupName>格式问题</groupName>
      <ability>L2_HalfPunc_CN</ability>
      <abilityName>全半角问题</abilityName>
      <candidateList>
        <item>（</item>
      </candidateList>
      <explain>文本全半角错误。</explain>
      <paraID>73CB6751</paraID>
      <start>44</start>
      <end>45</end>
      <status>modified</status>
      <modifiedWord>（</modifiedWord>
      <trackRevisions>false</trackRevisions>
    </reviewItem>
    <reviewItem>
      <errorID>bfb0bf04-9a82-4dd1-a491-23c60eb2eef2</errorID>
      <errorWord>劣V类水体</errorWord>
      <group>L1_Political</group>
      <groupName>政治性问题</groupName>
      <ability>L2_Keyword</ability>
      <abilityName>固定表述</abilityName>
      <candidateList>
        <item>劣Ⅴ类水体</item>
      </candidateList>
      <explain>词汇“劣Ⅴ类水体”在特定场景下为固定表述形式，请确认此处的“劣V类水体”是否存在不当。</explain>
      <paraID>73CB6751</paraID>
      <start>61</start>
      <end>66</end>
      <status>modified</status>
      <modifiedWord>劣Ⅴ类水体</modifiedWord>
      <trackRevisions>false</trackRevisions>
    </reviewItem>
    <reviewItem>
      <errorID>e51c9ca8-ddc6-49fe-9833-83567868ed3e</errorID>
      <errorWord>(</errorWord>
      <group>L1_Format</group>
      <groupName>格式问题</groupName>
      <ability>L2_HalfPunc_CN</ability>
      <abilityName>全半角问题</abilityName>
      <candidateList>
        <item>（</item>
      </candidateList>
      <explain>文本全半角错误。</explain>
      <paraID>73CB6751</paraID>
      <start>122</start>
      <end>123</end>
      <status>modified</status>
      <modifiedWord>（</modifiedWord>
      <trackRevisions>false</trackRevisions>
    </reviewItem>
    <reviewItem>
      <errorID>05a497ce-8924-4c4c-b09d-2822491dbb7f</errorID>
      <errorWord>排排</errorWord>
      <group>L1_Word</group>
      <groupName>字词问题</groupName>
      <ability>L2_Typo</ability>
      <abilityName>字词错误</abilityName>
      <candidateList>
        <item>排</item>
      </candidateList>
      <explain/>
      <paraID>73CB6752</paraID>
      <start>148</start>
      <end>149</end>
      <status>modified</status>
      <modifiedWord>排</modifiedWord>
      <trackRevisions>false</trackRevisions>
    </reviewItem>
    <reviewItem>
      <errorID>ee8bd052-af75-4a14-b53b-b9895a69398f</errorID>
      <errorWord>区</errorWord>
      <group>L1_Word</group>
      <groupName>字词问题</groupName>
      <ability>L2_Typo</ability>
      <abilityName>字词错误</abilityName>
      <candidateList>
        <item>区内</item>
      </candidateList>
      <explain/>
      <paraID>73CB6772</paraID>
      <start>12</start>
      <end>13</end>
      <status>ignored</status>
      <modifiedWord/>
      <trackRevisions>false</trackRevisions>
    </reviewItem>
    <reviewItem>
      <errorID>26b57110-7d8a-45eb-bf1e-cfda0c41da7b</errorID>
      <errorWord>程</errorWord>
      <group>L1_Word</group>
      <groupName>字词问题</groupName>
      <ability>L2_Typo</ability>
      <abilityName>字词错误</abilityName>
      <candidateList>
        <item>程中</item>
      </candidateList>
      <explain/>
      <paraID>73CB6779</paraID>
      <start>34</start>
      <end>36</end>
      <status>modified</status>
      <modifiedWord>程中</modifiedWord>
      <trackRevisions>false</trackRevisions>
    </reviewItem>
    <reviewItem>
      <errorID>631be6af-e2ac-4e62-8124-c79a631ff031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73CB681A</paraID>
      <start>0</start>
      <end>2</end>
      <status>ignored</status>
      <modifiedWord/>
      <trackRevisions>false</trackRevisions>
    </reviewItem>
    <reviewItem>
      <errorID>86baaeb9-03f1-414f-a4fb-85ca72292c22</errorID>
      <errorWord>程</errorWord>
      <group>L1_Word</group>
      <groupName>字词问题</groupName>
      <ability>L2_Typo</ability>
      <abilityName>字词错误</abilityName>
      <candidateList>
        <item>程中</item>
      </candidateList>
      <explain/>
      <paraID>73CB6825</paraID>
      <start>26</start>
      <end>28</end>
      <status>modified</status>
      <modifiedWord>程中</modifiedWord>
      <trackRevisions>false</trackRevisions>
    </reviewItem>
    <reviewItem>
      <errorID>967aee54-1640-4882-8033-0b432c7c5f57</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73CB682A</paraID>
      <start>252</start>
      <end>255</end>
      <status>ignored</status>
      <modifiedWord/>
      <trackRevisions>false</trackRevisions>
    </reviewItem>
    <reviewItem>
      <errorID>c74141cd-52ae-472c-b0cb-6f77df712546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73CB6835</paraID>
      <start>0</start>
      <end>2</end>
      <status>ignored</status>
      <modifiedWord/>
      <trackRevisions>false</trackRevisions>
    </reviewItem>
    <reviewItem>
      <errorID>67a8a475-ba00-4fbd-b7b3-752c47a2360c</errorID>
      <errorWord>（</errorWord>
      <group>L1_Punc</group>
      <groupName>标点问题</groupName>
      <ability>L2_Punc_CN</ability>
      <abilityName>标点符号问题</abilityName>
      <candidateList/>
      <explain>同一形式括号套用。</explain>
      <paraID>73CB6835</paraID>
      <start>19</start>
      <end>20</end>
      <status>ignored</status>
      <modifiedWord/>
      <trackRevisions>false</trackRevisions>
    </reviewItem>
    <reviewItem>
      <errorID>6c721ce8-c565-4c21-baed-04e539d55aa6</errorID>
      <errorWord>）年</errorWord>
      <group>L1_Word</group>
      <groupName>字词问题</groupName>
      <ability>L2_Typo</ability>
      <abilityName>字词错误</abilityName>
      <candidateList>
        <item>）</item>
      </candidateList>
      <explain/>
      <paraID>73CB6835</paraID>
      <start>24</start>
      <end>26</end>
      <status>ignored</status>
      <modifiedWord/>
      <trackRevisions>false</trackRevisions>
    </reviewItem>
    <reviewItem>
      <errorID>05f60edc-b922-44e5-bc6e-634179f8c357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73CB683E</paraID>
      <start>0</start>
      <end>2</end>
      <status>ignored</status>
      <modifiedWord/>
      <trackRevisions>false</trackRevisions>
    </reviewItem>
    <reviewItem>
      <errorID>4c63bf42-461d-46ee-ab40-cc8012034b93</errorID>
      <errorWord>工业和信息部</errorWord>
      <group>L1_Word</group>
      <groupName>字词问题</groupName>
      <ability>L2_Typo</ability>
      <abilityName>字词错误</abilityName>
      <candidateList>
        <item>工业和信息化部</item>
      </candidateList>
      <explain/>
      <paraID>73CB683E</paraID>
      <start>26</start>
      <end>32</end>
      <status>ignored</status>
      <modifiedWord/>
      <trackRevisions>false</trackRevisions>
    </reviewItem>
    <reviewItem>
      <errorID>44101ab5-a38b-479f-a01e-e804e06095c6</errorID>
      <errorWord>,</errorWord>
      <group>L1_Format</group>
      <groupName>格式问题</groupName>
      <ability>L2_HalfPunc_CN</ability>
      <abilityName>全半角问题</abilityName>
      <candidateList>
        <item>，</item>
      </candidateList>
      <explain>文本全半角错误。</explain>
      <paraID>73CB684D</paraID>
      <start>67</start>
      <end>68</end>
      <status>modified</status>
      <modifiedWord>，</modifiedWord>
      <trackRevisions>false</trackRevisions>
    </reviewItem>
    <reviewItem>
      <errorID>ca1d3c8b-656e-47f7-8c93-20809091ebab</errorID>
      <errorWord>法律、法规</errorWord>
      <group>L1_Word</group>
      <groupName>字词问题</groupName>
      <ability>L2_Typo</ability>
      <abilityName>字词错误</abilityName>
      <candidateList>
        <item>法律法规</item>
      </candidateList>
      <explain/>
      <paraID>73CB6859</paraID>
      <start>3</start>
      <end>8</end>
      <status>ignored</status>
      <modifiedWord/>
      <trackRevisions>false</trackRevisions>
    </reviewItem>
    <reviewItem>
      <errorID>cf57e5f7-cbad-44e9-afea-e13320dad85f</errorID>
      <errorWord>法律、法规</errorWord>
      <group>L1_Word</group>
      <groupName>字词问题</groupName>
      <ability>L2_Typo</ability>
      <abilityName>字词错误</abilityName>
      <candidateList>
        <item>法律法规</item>
      </candidateList>
      <explain/>
      <paraID>73CB685A</paraID>
      <start>19</start>
      <end>24</end>
      <status>ignored</status>
      <modifiedWord/>
      <trackRevisions>false</trackRevisions>
    </reviewItem>
    <reviewItem>
      <errorID>1b27d218-07d5-4d67-b855-0b3b307300ca</errorID>
      <errorWord>目前在</errorWord>
      <group>L1_Word</group>
      <groupName>字词问题</groupName>
      <ability>L2_Typo</ability>
      <abilityName>字词错误</abilityName>
      <candidateList>
        <item>目前</item>
      </candidateList>
      <explain/>
      <paraID>73CB687E</paraID>
      <start>3</start>
      <end>5</end>
      <status>modified</status>
      <modifiedWord>目前</modifiedWord>
      <trackRevisions>false</trackRevisions>
    </reviewItem>
    <reviewItem>
      <errorID>25864e48-4757-4cb2-9b59-b5d0364cf94e</errorID>
      <errorWord>噪音</errorWord>
      <group>L1_Word</group>
      <groupName>字词问题</groupName>
      <ability>L2_Alias</ability>
      <abilityName>也作/曾用词</abilityName>
      <candidateList>
        <item>噪声</item>
      </candidateList>
      <explain>词汇[噪音]为不规范表述或旧称，其规范书面表述为[噪声]。</explain>
      <paraID>73CB68A1</paraID>
      <start>7</start>
      <end>9</end>
      <status>ignored</status>
      <modifiedWord/>
      <trackRevisions>false</trackRevisions>
    </reviewItem>
    <reviewItem>
      <errorID>9536e6dd-3fd9-462e-b79a-3704e95c5c7c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73CB68A6</paraID>
      <start>0</start>
      <end>2</end>
      <status>ignored</status>
      <modifiedWord/>
      <trackRevisions>false</trackRevisions>
    </reviewItem>
    <reviewItem>
      <errorID>220ca413-d401-4985-b322-2d6886370b0d</errorID>
      <errorWord>程</errorWord>
      <group>L1_Word</group>
      <groupName>字词问题</groupName>
      <ability>L2_Typo</ability>
      <abilityName>字词错误</abilityName>
      <candidateList>
        <item>程中</item>
      </candidateList>
      <explain/>
      <paraID>73CB68B8</paraID>
      <start>33</start>
      <end>35</end>
      <status>modified</status>
      <modifiedWord>程中</modifiedWord>
      <trackRevisions>false</trackRevisions>
    </reviewItem>
    <reviewItem>
      <errorID>4093c9b6-1189-40f8-a248-56b8f34e86c8</errorID>
      <errorWord>程</errorWord>
      <group>L1_Word</group>
      <groupName>字词问题</groupName>
      <ability>L2_Typo</ability>
      <abilityName>字词错误</abilityName>
      <candidateList>
        <item>程中</item>
      </candidateList>
      <explain/>
      <paraID>73CB68B9</paraID>
      <start>15</start>
      <end>17</end>
      <status>modified</status>
      <modifiedWord>程中</modifiedWord>
      <trackRevisions>false</trackRevisions>
    </reviewItem>
    <reviewItem>
      <errorID>8b8a5310-9bcd-4aa4-a9b5-2cd611ddc6ca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73CB68C8</paraID>
      <start>0</start>
      <end>2</end>
      <status>ignored</status>
      <modifiedWord/>
      <trackRevisions>false</trackRevisions>
    </reviewItem>
    <reviewItem>
      <errorID>396c5ef0-d6b8-46f6-8879-74d6c5cbd3b8</errorID>
      <errorWord>后由</errorWord>
      <group>L1_Word</group>
      <groupName>字词问题</groupName>
      <ability>L2_Typo</ability>
      <abilityName>字词错误</abilityName>
      <candidateList>
        <item>后</item>
      </candidateList>
      <explain/>
      <paraID>73CB68DB</paraID>
      <start>26</start>
      <end>27</end>
      <status>modified</status>
      <modifiedWord>后</modifiedWord>
      <trackRevisions>false</trackRevisions>
    </reviewItem>
    <reviewItem>
      <errorID>7346a8eb-f1e9-4ce0-b4a8-119dcd9bb81e</errorID>
      <errorWord>交由有</errorWord>
      <group>L1_Word</group>
      <groupName>字词问题</groupName>
      <ability>L2_Typo</ability>
      <abilityName>字词错误</abilityName>
      <candidateList>
        <item>交由</item>
      </candidateList>
      <explain/>
      <paraID>73CB690D</paraID>
      <start>75</start>
      <end>77</end>
      <status>modified</status>
      <modifiedWord>交由</modifiedWord>
      <trackRevisions>false</trackRevisions>
    </reviewItem>
    <reviewItem>
      <errorID>8b1cbb62-7212-454a-b724-8ef3af7cc35b</errorID>
      <errorWord>目前在</errorWord>
      <group>L1_Word</group>
      <groupName>字词问题</groupName>
      <ability>L2_Typo</ability>
      <abilityName>字词错误</abilityName>
      <candidateList>
        <item>目前</item>
      </candidateList>
      <explain/>
      <paraID>73CB6927</paraID>
      <start>3</start>
      <end>5</end>
      <status>modified</status>
      <modifiedWord>目前</modifiedWord>
      <trackRevisions>false</trackRevisions>
    </reviewItem>
    <reviewItem>
      <errorID>8fea4e5c-e92b-4786-94bf-a7c876d5b853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73CB692C</paraID>
      <start>58</start>
      <end>59</end>
      <status>ignored</status>
      <modifiedWord/>
      <trackRevisions>false</trackRevisions>
    </reviewItem>
    <reviewItem>
      <errorID>bd6b04b5-cdbb-4c19-99ca-bddcc7669643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73CB692C</paraID>
      <start>76</start>
      <end>77</end>
      <status>modified</status>
      <modifiedWord>—</modifiedWord>
      <trackRevisions>false</trackRevisions>
    </reviewItem>
    <reviewItem>
      <errorID>645eb97a-de5b-44df-bcd3-ff7e16449ca0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73CB692C</paraID>
      <start>102</start>
      <end>103</end>
      <status>modified</status>
      <modifiedWord>—</modifiedWord>
      <trackRevisions>false</trackRevisions>
    </reviewItem>
    <reviewItem>
      <errorID>cc96f1b5-5558-4ab7-8d0f-9f53b8cb7d9c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73CB6934</paraID>
      <start>0</start>
      <end>2</end>
      <status>ignored</status>
      <modifiedWord/>
      <trackRevisions>false</trackRevisions>
    </reviewItem>
    <reviewItem>
      <errorID>b5216834-037b-4549-b4b2-e53cfaa207fa</errorID>
      <errorWord>环境污染预防</errorWord>
      <group>L1_Political</group>
      <groupName>政治性问题</groupName>
      <ability>L2_Keyword</ability>
      <abilityName>固定表述</abilityName>
      <candidateList>
        <item>环境污染防治</item>
      </candidateList>
      <explain>词汇“环境污染防治”在特定场景下为固定表述形式，请确认此处的“环境污染预防”是否存在不当。</explain>
      <paraID>73CB6949</paraID>
      <start>3</start>
      <end>9</end>
      <status>ignored</status>
      <modifiedWord/>
      <trackRevisions>false</trackRevisions>
    </reviewItem>
    <reviewItem>
      <errorID>3e4b2299-7b44-4265-8ced-c7a278e7e613</errorID>
      <errorWord>环境污染预防</errorWord>
      <group>L1_Political</group>
      <groupName>政治性问题</groupName>
      <ability>L2_Keyword</ability>
      <abilityName>固定表述</abilityName>
      <candidateList>
        <item>环境污染防治</item>
      </candidateList>
      <explain>词汇“环境污染防治”在特定场景下为固定表述形式，请确认此处的“环境污染预防”是否存在不当。</explain>
      <paraID>73CB694A</paraID>
      <start>13</start>
      <end>19</end>
      <status>ignored</status>
      <modifiedWord/>
      <trackRevisions>false</trackRevisions>
    </reviewItem>
    <reviewItem>
      <errorID>f333317d-21a9-49e2-b30a-3131120d46bb</errorID>
      <errorWord>项目项目</errorWord>
      <group>L1_Word</group>
      <groupName>字词问题</groupName>
      <ability>L2_Typo</ability>
      <abilityName>字词错误</abilityName>
      <candidateList>
        <item>项目</item>
      </candidateList>
      <explain/>
      <paraID>73CB697A</paraID>
      <start>1</start>
      <end>3</end>
      <status>modified</status>
      <modifiedWord>项目</modifiedWord>
      <trackRevisions>false</trackRevisions>
    </reviewItem>
    <reviewItem>
      <errorID>2310e6d7-733b-4ac5-a51d-c8878a030606</errorID>
      <errorWord>(</errorWord>
      <group>L1_Format</group>
      <groupName>格式问题</groupName>
      <ability>L2_HalfPunc_CN</ability>
      <abilityName>全半角问题</abilityName>
      <candidateList>
        <item>（</item>
      </candidateList>
      <explain>文本全半角错误。</explain>
      <paraID>73CB697F</paraID>
      <start>32</start>
      <end>33</end>
      <status>modified</status>
      <modifiedWord>（</modifiedWord>
      <trackRevisions>false</trackRevisions>
    </reviewItem>
    <reviewItem>
      <errorID>89929473-ea32-4caa-9f85-b9c2265a7533</errorID>
      <errorWord>)</errorWord>
      <group>L1_Format</group>
      <groupName>格式问题</groupName>
      <ability>L2_HalfPunc_CN</ability>
      <abilityName>全半角问题</abilityName>
      <candidateList>
        <item>）</item>
      </candidateList>
      <explain>文本全半角错误。</explain>
      <paraID>73CB697F</paraID>
      <start>36</start>
      <end>37</end>
      <status>modified</status>
      <modifiedWord>）</modifiedWord>
      <trackRevisions>false</trackRevisions>
    </reviewItem>
    <reviewItem>
      <errorID>d579ddc1-11a4-4461-be65-b25fa0c5c3bc</errorID>
      <errorWord>X-射线</errorWord>
      <group>L1_Punc</group>
      <groupName>标点问题</groupName>
      <ability>L2_Punc_CN</ability>
      <abilityName>标点符号问题</abilityName>
      <candidateList>
        <item>X射线</item>
      </candidateList>
      <explain/>
      <paraID>73CB6985</paraID>
      <start>42</start>
      <end>46</end>
      <status>ignored</status>
      <modifiedWord/>
      <trackRevisions>false</trackRevisions>
    </reviewItem>
    <reviewItem>
      <errorID>d22dcb47-2e36-4f3a-8bd8-fe19e51f1ca2</errorID>
      <errorWord>设明显标识</errorWord>
      <group>L1_Word</group>
      <groupName>字词问题</groupName>
      <ability>L2_Typo</ability>
      <abilityName>字词错误</abilityName>
      <candidateList>
        <item>设置明显标识</item>
      </candidateList>
      <explain/>
      <paraID>73CB69BC</paraID>
      <start>11</start>
      <end>17</end>
      <status>modified</status>
      <modifiedWord>设置明显标识</modifiedWord>
      <trackRevisions>false</trackRevisions>
    </reviewItem>
    <reviewItem>
      <errorID>b2cd3d26-a584-4a4a-874c-e4e6ecc4d4f1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73CB69E4</paraID>
      <start>0</start>
      <end>2</end>
      <status>ignored</status>
      <modifiedWord/>
      <trackRevisions>false</trackRevisions>
    </reviewItem>
    <reviewItem>
      <errorID>f95fd4cf-18bc-4e58-b6ff-4995b37b9840</errorID>
      <errorWord>&lt;</errorWord>
      <group>L1_Format</group>
      <groupName>格式问题</groupName>
      <ability>L2_HalfPunc_CN</ability>
      <abilityName>全半角问题</abilityName>
      <candidateList>
        <item>〈</item>
      </candidateList>
      <explain>文本全半角错误。</explain>
      <paraID>73CB69E4</paraID>
      <start>30</start>
      <end>31</end>
      <status>modified</status>
      <modifiedWord>〈</modifiedWord>
      <trackRevisions>false</trackRevisions>
    </reviewItem>
    <reviewItem>
      <errorID>7c9dce8f-ac9a-4239-a7dd-a54be38b5fd4</errorID>
      <errorWord>&gt;的通知》</errorWord>
      <group>L1_Punc</group>
      <groupName>标点问题</groupName>
      <ability>L2_Punc_CN</ability>
      <abilityName>标点符号问题</abilityName>
      <candidateList>
        <item>〉的通知》</item>
      </candidateList>
      <explain/>
      <paraID>73CB69E4</paraID>
      <start>50</start>
      <end>55</end>
      <status>modified</status>
      <modifiedWord>〉的通知》</modifiedWord>
      <trackRevisions>false</trackRevisions>
    </reviewItem>
    <reviewItem>
      <errorID>66289e3e-624f-4a92-be2e-a2b40a7dd043</errorID>
      <errorWord>程</errorWord>
      <group>L1_Word</group>
      <groupName>字词问题</groupName>
      <ability>L2_Typo</ability>
      <abilityName>字词错误</abilityName>
      <candidateList>
        <item>程中</item>
      </candidateList>
      <explain/>
      <paraID>73CB69F3</paraID>
      <start>5</start>
      <end>7</end>
      <status>modified</status>
      <modifiedWord>程中</modifiedWord>
      <trackRevisions>false</trackRevisions>
    </reviewItem>
    <reviewItem>
      <errorID>7e718290-eb36-4778-be30-3d5b2996cd1b</errorID>
      <errorWord>，</errorWord>
      <group>L1_Word</group>
      <groupName>字词问题</groupName>
      <ability>L2_Typo</ability>
      <abilityName>字词错误</abilityName>
      <candidateList>
        <item>，在</item>
      </candidateList>
      <explain/>
      <paraID>73CB69F3</paraID>
      <start>29</start>
      <end>30</end>
      <status>ignored</status>
      <modifiedWord/>
      <trackRevisions>false</trackRevisions>
    </reviewItem>
    <reviewItem>
      <errorID>7b5836dc-3e25-44db-8407-2c53f4488e50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73CB6A01</paraID>
      <start>0</start>
      <end>3</end>
      <status>ignored</status>
      <modifiedWord/>
      <trackRevisions>false</trackRevisions>
    </reviewItem>
    <reviewItem>
      <errorID>31b31669-b371-4c09-84a5-473da91cb4ef</errorID>
      <errorWord>胶粘剂</errorWord>
      <group>L1_Word</group>
      <groupName>字词问题</groupName>
      <ability>L2_Typo</ability>
      <abilityName>字词错误</abilityName>
      <candidateList>
        <item>胶黏剂</item>
      </candidateList>
      <explain/>
      <paraID>73CB6A0B</paraID>
      <start>85</start>
      <end>88</end>
      <status>ignored</status>
      <modifiedWord/>
      <trackRevisions>false</trackRevisions>
    </reviewItem>
    <reviewItem>
      <errorID>2ddd325f-9a37-4b78-abea-8053fde5bd40</errorID>
      <errorWord>胶粘剂</errorWord>
      <group>L1_Word</group>
      <groupName>字词问题</groupName>
      <ability>L2_Typo</ability>
      <abilityName>字词错误</abilityName>
      <candidateList>
        <item>胶黏剂</item>
      </candidateList>
      <explain/>
      <paraID>73CB6A0B</paraID>
      <start>134</start>
      <end>137</end>
      <status>ignored</status>
      <modifiedWord/>
      <trackRevisions>false</trackRevisions>
    </reviewItem>
    <reviewItem>
      <errorID>4f537fc4-7a2e-4645-9db3-ab89e26264e5</errorID>
      <errorWord>胶粘剂</errorWord>
      <group>L1_Word</group>
      <groupName>字词问题</groupName>
      <ability>L2_Typo</ability>
      <abilityName>字词错误</abilityName>
      <candidateList>
        <item>胶黏剂</item>
      </candidateList>
      <explain/>
      <paraID>73CB6A0C</paraID>
      <start>158</start>
      <end>161</end>
      <status>ignored</status>
      <modifiedWord/>
      <trackRevisions>false</trackRevisions>
    </reviewItem>
    <reviewItem>
      <errorID>88195edb-5bf1-4320-a928-4354a5bc9215</errorID>
      <errorWord>胶粘剂</errorWord>
      <group>L1_Word</group>
      <groupName>字词问题</groupName>
      <ability>L2_Typo</ability>
      <abilityName>字词错误</abilityName>
      <candidateList>
        <item>胶黏剂</item>
      </candidateList>
      <explain/>
      <paraID>73CB6A0C</paraID>
      <start>366</start>
      <end>369</end>
      <status>ignored</status>
      <modifiedWord/>
      <trackRevisions>false</trackRevisions>
    </reviewItem>
    <reviewItem>
      <errorID>66f1c053-3d29-4da2-add3-a7c213d48646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73CB6A1F</paraID>
      <start>0</start>
      <end>3</end>
      <status>ignored</status>
      <modifiedWord/>
      <trackRevisions>false</trackRevisions>
    </reviewItem>
    <reviewItem>
      <errorID>d7834dca-1f9e-43c1-8492-d43ef8316a0a</errorID>
      <errorWord>程</errorWord>
      <group>L1_Word</group>
      <groupName>字词问题</groupName>
      <ability>L2_Typo</ability>
      <abilityName>字词错误</abilityName>
      <candidateList>
        <item>程中</item>
      </candidateList>
      <explain/>
      <paraID>73CB6A2D</paraID>
      <start>169</start>
      <end>171</end>
      <status>modified</status>
      <modifiedWord>程中</modifiedWord>
      <trackRevisions>false</trackRevisions>
    </reviewItem>
    <reviewItem>
      <errorID>af8bc049-533b-41b5-9c82-988e1ce7ab02</errorID>
      <errorWord>胶粘剂</errorWord>
      <group>L1_Word</group>
      <groupName>字词问题</groupName>
      <ability>L2_Typo</ability>
      <abilityName>字词错误</abilityName>
      <candidateList>
        <item>胶黏剂</item>
      </candidateList>
      <explain/>
      <paraID>73CB6A46</paraID>
      <start>14</start>
      <end>17</end>
      <status>ignored</status>
      <modifiedWord/>
      <trackRevisions>false</trackRevisions>
    </reviewItem>
    <reviewItem>
      <errorID>547011c9-175e-4d73-9a04-8d420316d51b</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73CB6A4C</paraID>
      <start>0</start>
      <end>3</end>
      <status>ignored</status>
      <modifiedWord/>
      <trackRevisions>false</trackRevisions>
    </reviewItem>
    <reviewItem>
      <errorID>5cf38b6b-aca8-4cd1-b45e-17d04e184a18</errorID>
      <errorWord>昆明市河道管理条例</errorWord>
      <group>L1_Knowledge</group>
      <groupName>知识性问题</groupName>
      <ability>L2_Knowledge</ability>
      <abilityName>其他知识</abilityName>
      <candidateList>
        <item>《昆明市河道管理条例》</item>
      </candidateList>
      <explain>完整法律法规名称需要加书名号，请注意检查。</explain>
      <paraID>73CB6A4C</paraID>
      <start>4</start>
      <end>15</end>
      <status>modified</status>
      <modifiedWord>《昆明市河道管理条例》</modifiedWord>
      <trackRevisions>false</trackRevisions>
    </reviewItem>
    <reviewItem>
      <errorID>0d42e6c7-2f3d-49f2-9b6a-0d8c7f2c1157</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73CB6A4E</paraID>
      <start>0</start>
      <end>3</end>
      <status>ignored</status>
      <modifiedWord/>
      <trackRevisions>false</trackRevisions>
    </reviewItem>
    <reviewItem>
      <errorID>b0aa96d2-0594-4f07-8f26-0912a1b6264c</errorID>
      <errorWord>国土空间规划"一张图"</errorWord>
      <group>L1_Political</group>
      <groupName>政治性问题</groupName>
      <ability>L2_Keyword</ability>
      <abilityName>固定表述</abilityName>
      <candidateList>
        <item>国土空间规划“一张图”</item>
      </candidateList>
      <explain>注意检查当前固定表述标点是否使用规范。</explain>
      <paraID>73CB6A50</paraID>
      <start>73</start>
      <end>84</end>
      <status>ignored</status>
      <modifiedWord/>
      <trackRevisions>false</trackRevisions>
    </reviewItem>
    <reviewItem>
      <errorID>d6c7ee0a-c456-425f-99c5-4032bb781a30</errorID>
      <errorWord>【2021】1298号</errorWord>
      <group>L1_Knowledge</group>
      <groupName>知识性问题</groupName>
      <ability>L2_Knowledge</ability>
      <abilityName>其他知识</abilityName>
      <candidateList>
        <item>〔2021〕1298号</item>
      </candidateList>
      <explain>发文字号格式错误。</explain>
      <paraID>73CB6A6C</paraID>
      <start>44</start>
      <end>55</end>
      <status>modified</status>
      <modifiedWord>〔2021〕1298号</modifiedWord>
      <trackRevisions>false</trackRevisions>
    </reviewItem>
    <reviewItem>
      <errorID>e85c8d91-3b06-42a8-8263-d2646c2e7d20</errorID>
      <errorWord>部部</errorWord>
      <group>L1_Word</group>
      <groupName>字词问题</groupName>
      <ability>L2_Typo</ability>
      <abilityName>字词错误</abilityName>
      <candidateList>
        <item>部</item>
      </candidateList>
      <explain/>
      <paraID>73CB6A6E</paraID>
      <start>6</start>
      <end>8</end>
      <status>ignored</status>
      <modifiedWord/>
      <trackRevisions>false</trackRevisions>
    </reviewItem>
    <reviewItem>
      <errorID>b1861784-3734-4818-b435-75348e2d41a2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73CB6A6F</paraID>
      <start>0</start>
      <end>2</end>
      <status>ignored</status>
      <modifiedWord/>
      <trackRevisions>false</trackRevisions>
    </reviewItem>
    <reviewItem>
      <errorID>d785fd8a-2811-411e-a5a2-060e59fb5a15</errorID>
      <errorWord>-</errorWord>
      <group>L1_Format</group>
      <groupName>格式问题</groupName>
      <ability>L2_HalfPunc_CN</ability>
      <abilityName>全半角问题</abilityName>
      <candidateList>
        <item>－</item>
      </candidateList>
      <explain>文本全半角错误。</explain>
      <paraID>73CB6AF4</paraID>
      <start>11</start>
      <end>12</end>
      <status>modified</status>
      <modifiedWord>－</modifiedWord>
      <trackRevisions>false</trackRevisions>
    </reviewItem>
    <reviewItem>
      <errorID>735a3b62-1d81-489e-8d28-6c6435b06ae0</errorID>
      <errorWord>需</errorWord>
      <group>L1_Word</group>
      <groupName>字词问题</groupName>
      <ability>L2_Typo</ability>
      <abilityName>字词错误</abilityName>
      <candidateList>
        <item>须</item>
      </candidateList>
      <explain/>
      <paraID>73CB6B00</paraID>
      <start>7</start>
      <end>8</end>
      <status>modified</status>
      <modifiedWord>须</modifiedWord>
      <trackRevisions>false</trackRevisions>
    </reviewItem>
    <reviewItem>
      <errorID>652f83bf-62cc-489a-98d3-9c5ad6c0eb38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73CB6B06</paraID>
      <start>35</start>
      <end>36</end>
      <status>modified</status>
      <modifiedWord>—</modifiedWord>
      <trackRevisions>false</trackRevisions>
    </reviewItem>
    <reviewItem>
      <errorID>7a3d3851-cac2-4012-afed-5916c6857a78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73CB6B06</paraID>
      <start>77</start>
      <end>78</end>
      <status>modified</status>
      <modifiedWord>—</modifiedWord>
      <trackRevisions>false</trackRevisions>
    </reviewItem>
    <reviewItem>
      <errorID>fb8ef641-24e3-4fdd-a058-9467d665a271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73CB6B16</paraID>
      <start>0</start>
      <end>2</end>
      <status>ignored</status>
      <modifiedWord/>
      <trackRevisions>false</trackRevisions>
    </reviewItem>
    <reviewItem>
      <errorID>a2ffd71e-322a-4c42-b65d-e14de623dc3f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73CB6B34</paraID>
      <start>0</start>
      <end>2</end>
      <status>ignored</status>
      <modifiedWord/>
      <trackRevisions>false</trackRevisions>
    </reviewItem>
    <reviewItem>
      <errorID>6b0a6a38-86ee-4228-9bb8-68452e567521</errorID>
      <errorWord>KW</errorWord>
      <group>L1_Word</group>
      <groupName>字词问题</groupName>
      <ability>L2_Typo</ability>
      <abilityName>字词错误</abilityName>
      <candidateList>
        <item>kW</item>
      </candidateList>
      <explain/>
      <paraID>435E4BC1</paraID>
      <start>1</start>
      <end>3</end>
      <status>modified</status>
      <modifiedWord>kW</modifiedWord>
      <trackRevisions>false</trackRevisions>
    </reviewItem>
    <reviewItem>
      <errorID>f6ca2ca1-68cb-48a2-a13d-77a7f0911b1d</errorID>
      <errorWord>KW</errorWord>
      <group>L1_Word</group>
      <groupName>字词问题</groupName>
      <ability>L2_Typo</ability>
      <abilityName>字词错误</abilityName>
      <candidateList>
        <item>kW</item>
      </candidateList>
      <explain/>
      <paraID>20EFA127</paraID>
      <start>1</start>
      <end>3</end>
      <status>modified</status>
      <modifiedWord>kW</modifiedWord>
      <trackRevisions>false</trackRevisions>
    </reviewItem>
    <reviewItem>
      <errorID>8b30619e-21e8-4769-af71-b9ef79e2f084</errorID>
      <errorWord>KW</errorWord>
      <group>L1_Word</group>
      <groupName>字词问题</groupName>
      <ability>L2_Typo</ability>
      <abilityName>字词错误</abilityName>
      <candidateList>
        <item>kW</item>
      </candidateList>
      <explain/>
      <paraID>1B1DFE5E</paraID>
      <start>3</start>
      <end>5</end>
      <status>modified</status>
      <modifiedWord>kW</modifiedWord>
      <trackRevisions>false</trackRevisions>
    </reviewItem>
    <reviewItem>
      <errorID>3df4683f-5959-4952-8a51-829c9e646475</errorID>
      <errorWord>KW</errorWord>
      <group>L1_Word</group>
      <groupName>字词问题</groupName>
      <ability>L2_Typo</ability>
      <abilityName>字词错误</abilityName>
      <candidateList>
        <item>kW</item>
      </candidateList>
      <explain/>
      <paraID> 555CB5B</paraID>
      <start>3</start>
      <end>5</end>
      <status>modified</status>
      <modifiedWord>kW</modifiedWord>
      <trackRevisions>false</trackRevisions>
    </reviewItem>
    <reviewItem>
      <errorID>a301ed01-646c-4f9f-9f3b-9d38759163fa</errorID>
      <errorWord>KW</errorWord>
      <group>L1_Word</group>
      <groupName>字词问题</groupName>
      <ability>L2_Typo</ability>
      <abilityName>字词错误</abilityName>
      <candidateList>
        <item>kW</item>
      </candidateList>
      <explain/>
      <paraID>6498CFBA</paraID>
      <start>2</start>
      <end>4</end>
      <status>modified</status>
      <modifiedWord>kW</modifiedWord>
      <trackRevisions>false</trackRevisions>
    </reviewItem>
    <reviewItem>
      <errorID>04a7b0fd-8864-49bd-b67c-173cd56ac326</errorID>
      <errorWord>KW</errorWord>
      <group>L1_Word</group>
      <groupName>字词问题</groupName>
      <ability>L2_Typo</ability>
      <abilityName>字词错误</abilityName>
      <candidateList>
        <item>kW</item>
      </candidateList>
      <explain/>
      <paraID> A0BCE6B</paraID>
      <start>2</start>
      <end>4</end>
      <status>modified</status>
      <modifiedWord>kW</modifiedWord>
      <trackRevisions>false</trackRevisions>
    </reviewItem>
    <reviewItem>
      <errorID>76f9f0eb-4ecd-44e5-b24b-5476f565dd8c</errorID>
      <errorWord>KW</errorWord>
      <group>L1_Word</group>
      <groupName>字词问题</groupName>
      <ability>L2_Typo</ability>
      <abilityName>字词错误</abilityName>
      <candidateList>
        <item>kW</item>
      </candidateList>
      <explain/>
      <paraID>204A53D7</paraID>
      <start>3</start>
      <end>5</end>
      <status>modified</status>
      <modifiedWord>kW</modifiedWord>
      <trackRevisions>false</trackRevisions>
    </reviewItem>
    <reviewItem>
      <errorID>daa42c01-ccc2-4cf8-9bb5-230e55f4baad</errorID>
      <errorWord>KW</errorWord>
      <group>L1_Word</group>
      <groupName>字词问题</groupName>
      <ability>L2_Typo</ability>
      <abilityName>字词错误</abilityName>
      <candidateList>
        <item>kW</item>
      </candidateList>
      <explain/>
      <paraID>375B3C7D</paraID>
      <start>3</start>
      <end>5</end>
      <status>modified</status>
      <modifiedWord>kW</modifiedWord>
      <trackRevisions>false</trackRevisions>
    </reviewItem>
    <reviewItem>
      <errorID>3d3ecf10-d78f-4c95-acdf-a78efb553021</errorID>
      <errorWord>KW</errorWord>
      <group>L1_Word</group>
      <groupName>字词问题</groupName>
      <ability>L2_Typo</ability>
      <abilityName>字词错误</abilityName>
      <candidateList>
        <item>kW</item>
      </candidateList>
      <explain/>
      <paraID> 1F6D56B</paraID>
      <start>3</start>
      <end>5</end>
      <status>modified</status>
      <modifiedWord>kW</modifiedWord>
      <trackRevisions>false</trackRevisions>
    </reviewItem>
    <reviewItem>
      <errorID>4808052a-76e3-45a7-be5c-01718bd6c166</errorID>
      <errorWord>KW</errorWord>
      <group>L1_Word</group>
      <groupName>字词问题</groupName>
      <ability>L2_Typo</ability>
      <abilityName>字词错误</abilityName>
      <candidateList>
        <item>kW</item>
      </candidateList>
      <explain/>
      <paraID>65CDBCFA</paraID>
      <start>3</start>
      <end>5</end>
      <status>modified</status>
      <modifiedWord>kW</modifiedWord>
      <trackRevisions>false</trackRevisions>
    </reviewItem>
    <reviewItem>
      <errorID>8579bfc2-c73c-44eb-8cab-e650fb17d123</errorID>
      <errorWord>KW</errorWord>
      <group>L1_Word</group>
      <groupName>字词问题</groupName>
      <ability>L2_Typo</ability>
      <abilityName>字词错误</abilityName>
      <candidateList>
        <item>kW</item>
      </candidateList>
      <explain/>
      <paraID>5800AFC6</paraID>
      <start>3</start>
      <end>5</end>
      <status>modified</status>
      <modifiedWord>kW</modifiedWord>
      <trackRevisions>false</trackRevisions>
    </reviewItem>
    <reviewItem>
      <errorID>f99279f9-d9dd-4dd8-9714-697e61cf03a0</errorID>
      <errorWord>KW</errorWord>
      <group>L1_Word</group>
      <groupName>字词问题</groupName>
      <ability>L2_Typo</ability>
      <abilityName>字词错误</abilityName>
      <candidateList>
        <item>kW</item>
      </candidateList>
      <explain/>
      <paraID>47365797</paraID>
      <start>2</start>
      <end>4</end>
      <status>modified</status>
      <modifiedWord>kW</modifiedWord>
      <trackRevisions>false</trackRevisions>
    </reviewItem>
    <reviewItem>
      <errorID>450f08c5-f696-4d2e-8132-0633350d37a3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73CB6BAA</paraID>
      <start>0</start>
      <end>2</end>
      <status>ignored</status>
      <modifiedWord/>
      <trackRevisions>false</trackRevisions>
    </reviewItem>
    <reviewItem>
      <errorID>10f3d342-113e-44b8-8351-4bde9d6e78ef</errorID>
      <errorWord>》中</errorWord>
      <group>L1_Word</group>
      <groupName>字词问题</groupName>
      <ability>L2_Typo</ability>
      <abilityName>字词错误</abilityName>
      <candidateList>
        <item>》</item>
      </candidateList>
      <explain/>
      <paraID>73CB6BF4</paraID>
      <start>41</start>
      <end>42</end>
      <status>modified</status>
      <modifiedWord>》</modifiedWord>
      <trackRevisions>false</trackRevisions>
    </reviewItem>
    <reviewItem>
      <errorID>58f6dc93-cb37-448e-8e3e-cce75ee45337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73CB6BF9</paraID>
      <start>0</start>
      <end>2</end>
      <status>ignored</status>
      <modifiedWord/>
      <trackRevisions>false</trackRevisions>
    </reviewItem>
    <reviewItem>
      <errorID>c4298722-ad8d-4e1c-97f1-532c25ce8610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73CB6D11</paraID>
      <start>0</start>
      <end>2</end>
      <status>ignored</status>
      <modifiedWord/>
      <trackRevisions>false</trackRevisions>
    </reviewItem>
    <reviewItem>
      <errorID>35d6abbe-315b-40f6-bc3e-8daaa5b4d24d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73CB6D14</paraID>
      <start>0</start>
      <end>2</end>
      <status>ignored</status>
      <modifiedWord/>
      <trackRevisions>false</trackRevisions>
    </reviewItem>
    <reviewItem>
      <errorID>ad69c0d7-84ad-4397-a490-36d1980e9200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73CB6DFD</paraID>
      <start>0</start>
      <end>2</end>
      <status>ignored</status>
      <modifiedWord/>
      <trackRevisions>false</trackRevisions>
    </reviewItem>
    <reviewItem>
      <errorID>5d3e6f5c-5e89-4fbd-b6a4-b8b6c7c8ab40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7F913259</paraID>
      <start>0</start>
      <end>3</end>
      <status>ignored</status>
      <modifiedWord/>
      <trackRevisions>false</trackRevisions>
    </reviewItem>
    <reviewItem>
      <errorID>f38376e5-04b1-4773-a9d2-41b93251589b</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73CB6E00</paraID>
      <start>0</start>
      <end>3</end>
      <status>ignored</status>
      <modifiedWord/>
      <trackRevisions>false</trackRevisions>
    </reviewItem>
    <reviewItem>
      <errorID>1f96146d-9a42-4a4c-b4f1-4158f0ff8050</errorID>
      <errorWord>工序工序</errorWord>
      <group>L1_Word</group>
      <groupName>字词问题</groupName>
      <ability>L2_Typo</ability>
      <abilityName>字词错误</abilityName>
      <candidateList>
        <item>工序</item>
      </candidateList>
      <explain/>
      <paraID>7A98F1CF</paraID>
      <start>1</start>
      <end>3</end>
      <status>modified</status>
      <modifiedWord>工序</modifiedWord>
      <trackRevisions>false</trackRevisions>
    </reviewItem>
    <reviewItem>
      <errorID>65fc1cb2-e6fe-4d73-83d8-875ce7f34221</errorID>
      <errorWord>~</errorWord>
      <group>L1_Format</group>
      <groupName>格式问题</groupName>
      <ability>L2_HalfPunc_CN</ability>
      <abilityName>全半角问题</abilityName>
      <candidateList>
        <item>～</item>
      </candidateList>
      <explain>文本全半角错误。</explain>
      <paraID>69A2DC06</paraID>
      <start>128</start>
      <end>129</end>
      <status>modified</status>
      <modifiedWord>～</modifiedWord>
      <trackRevisions>false</trackRevisions>
    </reviewItem>
    <reviewItem>
      <errorID>2e920c49-6b11-45d8-8f5f-c33f6111bd1f</errorID>
      <errorWord>工序工序</errorWord>
      <group>L1_Word</group>
      <groupName>字词问题</groupName>
      <ability>L2_Typo</ability>
      <abilityName>字词错误</abilityName>
      <candidateList>
        <item>工序</item>
      </candidateList>
      <explain/>
      <paraID> 685A1C1</paraID>
      <start>1</start>
      <end>3</end>
      <status>modified</status>
      <modifiedWord>工序</modifiedWord>
      <trackRevisions>false</trackRevisions>
    </reviewItem>
    <reviewItem>
      <errorID>8c774860-86d8-47c6-99ea-f966d6b4f6ec</errorID>
      <errorWord>经经</errorWord>
      <group>L1_Word</group>
      <groupName>字词问题</groupName>
      <ability>L2_Typo</ability>
      <abilityName>字词错误</abilityName>
      <candidateList>
        <item>经</item>
      </candidateList>
      <explain/>
      <paraID>795107F7</paraID>
      <start>2</start>
      <end>3</end>
      <status>modified</status>
      <modifiedWord>经</modifiedWord>
      <trackRevisions>false</trackRevisions>
    </reviewItem>
    <reviewItem>
      <errorID>2a544157-d453-4ea4-94ac-043e203f9983</errorID>
      <errorWord>用个</errorWord>
      <group>L1_Word</group>
      <groupName>字词问题</groupName>
      <ability>L2_Typo</ability>
      <abilityName>字词错误</abilityName>
      <candidateList>
        <item>用</item>
      </candidateList>
      <explain/>
      <paraID>3D2DDF8E</paraID>
      <start>9</start>
      <end>10</end>
      <status>modified</status>
      <modifiedWord>用</modifiedWord>
      <trackRevisions>false</trackRevisions>
    </reviewItem>
    <reviewItem>
      <errorID>30d4698f-bafc-4fee-bc72-263b2b2bff81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3203E24B</paraID>
      <start>58</start>
      <end>59</end>
      <status>modified</status>
      <modifiedWord>—</modifiedWord>
      <trackRevisions>false</trackRevisions>
    </reviewItem>
    <reviewItem>
      <errorID>2fed96a1-d309-49ec-9e8a-83c9d52f6af7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73CB705B</paraID>
      <start>0</start>
      <end>2</end>
      <status>ignored</status>
      <modifiedWord/>
      <trackRevisions>false</trackRevisions>
    </reviewItem>
    <reviewItem>
      <errorID>8dd6e74c-0f97-48dd-ba2f-739172dd6e94</errorID>
      <errorWord>97.50%~100%</errorWord>
      <group>L1_Knowledge</group>
      <groupName>知识性问题</groupName>
      <ability>L2_Knowledge</ability>
      <abilityName>其他知识</abilityName>
      <candidateList>
        <item>97.50%～100%</item>
      </candidateList>
      <explain>1. “97.50%~100%”中的单位“%”仅出现在后一个数字上，容易引起歧义；根据《现代汉语标点符号数字用法规范手册》，数字表示范围两边需要使用统一的格式。2. 根据标点国标 4.13 中的规则，数字、时间或地域连接符应使用（视觉上更长的）“—”或“～”。</explain>
      <paraID>73CB705E</paraID>
      <start>101</start>
      <end>112</end>
      <status>modified</status>
      <modifiedWord>97.50%～100%</modifiedWord>
      <trackRevisions>false</trackRevisions>
    </reviewItem>
    <reviewItem>
      <errorID>05139911-605b-4682-ae3f-0fcc87635b68</errorID>
      <errorWord>》（试行）</errorWord>
      <group>L1_Word</group>
      <groupName>字词问题</groupName>
      <ability>L2_Typo</ability>
      <abilityName>字词错误</abilityName>
      <candidateList>
        <item>（试行）》</item>
      </candidateList>
      <explain/>
      <paraID>2EA74F65</paraID>
      <start>27</start>
      <end>32</end>
      <status>modified</status>
      <modifiedWord>（试行）》</modifiedWord>
      <trackRevisions>false</trackRevisions>
    </reviewItem>
    <reviewItem>
      <errorID>8255188d-2d28-4e2c-aafc-3e3df49a97ed</errorID>
      <errorWord>引用引用</errorWord>
      <group>L1_Word</group>
      <groupName>字词问题</groupName>
      <ability>L2_Typo</ability>
      <abilityName>字词错误</abilityName>
      <candidateList>
        <item>引用</item>
      </candidateList>
      <explain/>
      <paraID>73CB7067</paraID>
      <start>7</start>
      <end>9</end>
      <status>modified</status>
      <modifiedWord>引用</modifiedWord>
      <trackRevisions>false</trackRevisions>
    </reviewItem>
    <reviewItem>
      <errorID>0c38fd58-13bc-474e-944a-0b33defb2bdf</errorID>
      <errorWord>检测点位</errorWord>
      <group>L1_Knowledge</group>
      <groupName>知识性问题</groupName>
      <ability>L2_Term</ability>
      <abilityName>专业术语</abilityName>
      <candidateList>
        <item>监测点位</item>
      </candidateList>
      <explain/>
      <paraID>73CB7069</paraID>
      <start>0</start>
      <end>4</end>
      <status>modified</status>
      <modifiedWord>监测点位</modifiedWord>
      <trackRevisions>false</trackRevisions>
    </reviewItem>
    <reviewItem>
      <errorID>bcc991e2-1eda-4b72-a516-c7f5db02f003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73CB7085</paraID>
      <start>0</start>
      <end>2</end>
      <status>ignored</status>
      <modifiedWord/>
      <trackRevisions>false</trackRevisions>
    </reviewItem>
    <reviewItem>
      <errorID>c4b47ace-00c1-421f-ba67-6cd7f7e5cafa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73CB7088</paraID>
      <start>23</start>
      <end>24</end>
      <status>modified</status>
      <modifiedWord>—</modifiedWord>
      <trackRevisions>false</trackRevisions>
    </reviewItem>
    <reviewItem>
      <errorID>9f700bc1-26e3-4d3f-bb20-bd7fedb8cb3c</errorID>
      <errorWord>-</errorWord>
      <group>L1_Format</group>
      <groupName>格式问题</groupName>
      <ability>L2_HalfPunc_CN</ability>
      <abilityName>全半角问题</abilityName>
      <candidateList>
        <item>－</item>
      </candidateList>
      <explain>文本全半角错误。</explain>
      <paraID>73CB7088</paraID>
      <start>37</start>
      <end>38</end>
      <status>modified</status>
      <modifiedWord>－</modifiedWord>
      <trackRevisions>false</trackRevisions>
    </reviewItem>
    <reviewItem>
      <errorID>ba53b06d-b233-4a28-ad74-3712b721ede7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73CB708A</paraID>
      <start>0</start>
      <end>2</end>
      <status>ignored</status>
      <modifiedWord/>
      <trackRevisions>false</trackRevisions>
    </reviewItem>
    <reviewItem>
      <errorID>87a96810-1cec-4c55-ad9a-a293f6d759e5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73CB708B</paraID>
      <start>52</start>
      <end>53</end>
      <status>modified</status>
      <modifiedWord>—</modifiedWord>
      <trackRevisions>false</trackRevisions>
    </reviewItem>
    <reviewItem>
      <errorID>d66e8a6e-3283-4b13-81e1-86fffc0541b6</errorID>
      <errorWord>》（试行）</errorWord>
      <group>L1_Word</group>
      <groupName>字词问题</groupName>
      <ability>L2_Typo</ability>
      <abilityName>字词错误</abilityName>
      <candidateList>
        <item>（试行）》</item>
      </candidateList>
      <explain/>
      <paraID>73CB708C</paraID>
      <start>27</start>
      <end>32</end>
      <status>modified</status>
      <modifiedWord>（试行）》</modifiedWord>
      <trackRevisions>false</trackRevisions>
    </reviewItem>
    <reviewItem>
      <errorID>e70b0fd3-4478-4523-bd6b-d09e85ce8501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73CB708D</paraID>
      <start>0</start>
      <end>2</end>
      <status>ignored</status>
      <modifiedWord/>
      <trackRevisions>false</trackRevisions>
    </reviewItem>
    <reviewItem>
      <errorID>3abeba8c-04e7-4ca3-a6c7-c8411a89c16c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73CB7091</paraID>
      <start>0</start>
      <end>2</end>
      <status>ignored</status>
      <modifiedWord/>
      <trackRevisions>false</trackRevisions>
    </reviewItem>
    <reviewItem>
      <errorID>b481b818-39cf-42fa-a53c-a94172d55166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73CB7098</paraID>
      <start>0</start>
      <end>2</end>
      <status>ignored</status>
      <modifiedWord/>
      <trackRevisions>false</trackRevisions>
    </reviewItem>
    <reviewItem>
      <errorID>12df066c-1ad2-490f-9d83-f90634673ac8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73CB7099</paraID>
      <start>0</start>
      <end>2</end>
      <status>ignored</status>
      <modifiedWord/>
      <trackRevisions>false</trackRevisions>
    </reviewItem>
    <reviewItem>
      <errorID>66fa76c5-2861-4d62-b4ec-3fed4164f4a1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73CB709A</paraID>
      <start>0</start>
      <end>2</end>
      <status>ignored</status>
      <modifiedWord/>
      <trackRevisions>false</trackRevisions>
    </reviewItem>
    <reviewItem>
      <errorID>a9512b55-d0e1-4974-8c8b-a298dae97aa2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73CB709B</paraID>
      <start>0</start>
      <end>2</end>
      <status>ignored</status>
      <modifiedWord/>
      <trackRevisions>false</trackRevisions>
    </reviewItem>
    <reviewItem>
      <errorID>ddad43fa-e03e-4b2d-b454-dfa0746e07c3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73CB70BE</paraID>
      <start>0</start>
      <end>2</end>
      <status>ignored</status>
      <modifiedWord/>
      <trackRevisions>false</trackRevisions>
    </reviewItem>
    <reviewItem>
      <errorID>fa86e0cd-9f6b-4ff7-9da8-daa1be35dc61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73CB70C0</paraID>
      <start>0</start>
      <end>2</end>
      <status>ignored</status>
      <modifiedWord/>
      <trackRevisions>false</trackRevisions>
    </reviewItem>
    <reviewItem>
      <errorID>c2d46169-ce3b-4cc5-a626-35174207d107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73CB70C2</paraID>
      <start>0</start>
      <end>2</end>
      <status>ignored</status>
      <modifiedWord/>
      <trackRevisions>false</trackRevisions>
    </reviewItem>
    <reviewItem>
      <errorID>1b54c7e8-dc06-4300-819d-9c4e7fb8cfe3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73CB70CD</paraID>
      <start>0</start>
      <end>2</end>
      <status>ignored</status>
      <modifiedWord/>
      <trackRevisions>false</trackRevisions>
    </reviewItem>
    <reviewItem>
      <errorID>26476144-f91d-4b4f-b648-b2e1d8b7d774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73CB7122</paraID>
      <start>0</start>
      <end>2</end>
      <status>ignored</status>
      <modifiedWord/>
      <trackRevisions>false</trackRevisions>
    </reviewItem>
    <reviewItem>
      <errorID>2a7394f7-07fe-4cf9-a330-7c127f320ef1</errorID>
      <errorWord>达</errorWord>
      <group>L1_Word</group>
      <groupName>字词问题</groupName>
      <ability>L2_Typo</ability>
      <abilityName>字词错误</abilityName>
      <candidateList>
        <item>达到</item>
      </candidateList>
      <explain/>
      <paraID>73CB7124</paraID>
      <start>102</start>
      <end>104</end>
      <status>modified</status>
      <modifiedWord>达到</modifiedWord>
      <trackRevisions>false</trackRevisions>
    </reviewItem>
    <reviewItem>
      <errorID>41b151ac-218e-4d0d-a09f-e9ecccee07f5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73CB7180</paraID>
      <start>0</start>
      <end>2</end>
      <status>ignored</status>
      <modifiedWord/>
      <trackRevisions>false</trackRevisions>
    </reviewItem>
    <reviewItem>
      <errorID>417c431e-8d52-4a0c-bb0f-3dc98ff7a2d2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73CB7181</paraID>
      <start>45</start>
      <end>46</end>
      <status>modified</status>
      <modifiedWord>—</modifiedWord>
      <trackRevisions>false</trackRevisions>
    </reviewItem>
    <reviewItem>
      <errorID>dd3163c8-fc3d-4e01-8f23-cf12218a0c3d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73CB718F</paraID>
      <start>0</start>
      <end>2</end>
      <status>ignored</status>
      <modifiedWord/>
      <trackRevisions>false</trackRevisions>
    </reviewItem>
    <reviewItem>
      <errorID>5e9c4d72-04a5-4fb2-b05c-6da978c41a37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73CB7196</paraID>
      <start>0</start>
      <end>2</end>
      <status>ignored</status>
      <modifiedWord/>
      <trackRevisions>false</trackRevisions>
    </reviewItem>
    <reviewItem>
      <errorID>f57c290a-55db-47ad-8580-d230f6b30e01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73CB71BB</paraID>
      <start>0</start>
      <end>2</end>
      <status>ignored</status>
      <modifiedWord/>
      <trackRevisions>false</trackRevisions>
    </reviewItem>
    <reviewItem>
      <errorID>dfda279e-3d30-493d-a649-11b43a5e9d91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73CB71BE</paraID>
      <start>0</start>
      <end>2</end>
      <status>ignored</status>
      <modifiedWord/>
      <trackRevisions>false</trackRevisions>
    </reviewItem>
    <reviewItem>
      <errorID>25c31810-6f60-40a0-bc62-71a2f75b8b22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73CB71D7</paraID>
      <start>0</start>
      <end>2</end>
      <status>ignored</status>
      <modifiedWord/>
      <trackRevisions>false</trackRevisions>
    </reviewItem>
    <reviewItem>
      <errorID>1bc79244-3128-4e0d-a450-0b47f275c38b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73CB71E0</paraID>
      <start>0</start>
      <end>2</end>
      <status>ignored</status>
      <modifiedWord/>
      <trackRevisions>false</trackRevisions>
    </reviewItem>
    <reviewItem>
      <errorID>98a82d9b-5dd5-4051-9a94-4554508ca651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73CB71E2</paraID>
      <start>0</start>
      <end>2</end>
      <status>ignored</status>
      <modifiedWord/>
      <trackRevisions>false</trackRevisions>
    </reviewItem>
    <reviewItem>
      <errorID>5f9880e8-b8da-4a97-8726-caaaa1579c38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73CB71E4</paraID>
      <start>0</start>
      <end>2</end>
      <status>ignored</status>
      <modifiedWord/>
      <trackRevisions>false</trackRevisions>
    </reviewItem>
    <reviewItem>
      <errorID>3b5ca28a-e521-4cea-9965-653e0e469726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73CB71ED</paraID>
      <start>0</start>
      <end>2</end>
      <status>ignored</status>
      <modifiedWord/>
      <trackRevisions>false</trackRevisions>
    </reviewItem>
    <reviewItem>
      <errorID>0a7200ad-fbb9-45b2-8c7c-17a28eea179a</errorID>
      <errorWord>程</errorWord>
      <group>L1_Word</group>
      <groupName>字词问题</groupName>
      <ability>L2_Typo</ability>
      <abilityName>字词错误</abilityName>
      <candidateList>
        <item>程中</item>
      </candidateList>
      <explain/>
      <paraID>73CB71EF</paraID>
      <start>36</start>
      <end>38</end>
      <status>modified</status>
      <modifiedWord>程中</modifiedWord>
      <trackRevisions>false</trackRevisions>
    </reviewItem>
    <reviewItem>
      <errorID>7b21099d-5718-4e77-abf7-cdd1643fb94a</errorID>
      <errorWord>-</errorWord>
      <group>L1_Format</group>
      <groupName>格式问题</groupName>
      <ability>L2_HalfPunc_CN</ability>
      <abilityName>全半角问题</abilityName>
      <candidateList>
        <item>－</item>
      </candidateList>
      <explain>文本全半角错误。</explain>
      <paraID>73CB7202</paraID>
      <start>6</start>
      <end>7</end>
      <status>modified</status>
      <modifiedWord>－</modifiedWord>
      <trackRevisions>false</trackRevisions>
    </reviewItem>
    <reviewItem>
      <errorID>e14982a6-78eb-425b-9c5c-f1333e1e368a</errorID>
      <errorWord>-</errorWord>
      <group>L1_Format</group>
      <groupName>格式问题</groupName>
      <ability>L2_HalfPunc_CN</ability>
      <abilityName>全半角问题</abilityName>
      <candidateList>
        <item>－</item>
      </candidateList>
      <explain>文本全半角错误。</explain>
      <paraID>73CB720B</paraID>
      <start>47</start>
      <end>48</end>
      <status>modified</status>
      <modifiedWord>－</modifiedWord>
      <trackRevisions>false</trackRevisions>
    </reviewItem>
    <reviewItem>
      <errorID>bb502702-eae8-42cd-a6f9-e0f10ec7793d</errorID>
      <errorWord>(</errorWord>
      <group>L1_Format</group>
      <groupName>格式问题</groupName>
      <ability>L2_HalfPunc_CN</ability>
      <abilityName>全半角问题</abilityName>
      <candidateList>
        <item>（</item>
      </candidateList>
      <explain>文本全半角错误。</explain>
      <paraID>73CB7279</paraID>
      <start>3</start>
      <end>4</end>
      <status>modified</status>
      <modifiedWord>（</modifiedWord>
      <trackRevisions>false</trackRevisions>
    </reviewItem>
    <reviewItem>
      <errorID>0cf67936-f58a-45b4-b0aa-6cb49d3b7f1e</errorID>
      <errorWord>)</errorWord>
      <group>L1_Format</group>
      <groupName>格式问题</groupName>
      <ability>L2_HalfPunc_CN</ability>
      <abilityName>全半角问题</abilityName>
      <candidateList>
        <item>）</item>
      </candidateList>
      <explain>文本全半角错误。</explain>
      <paraID>73CB7279</paraID>
      <start>7</start>
      <end>8</end>
      <status>modified</status>
      <modifiedWord>）</modifiedWord>
      <trackRevisions>false</trackRevisions>
    </reviewItem>
    <reviewItem>
      <errorID>35ab8be9-5cc9-4a9d-9ae5-7ccb785a6c4d</errorID>
      <errorWord>(</errorWord>
      <group>L1_Format</group>
      <groupName>格式问题</groupName>
      <ability>L2_HalfPunc_CN</ability>
      <abilityName>全半角问题</abilityName>
      <candidateList>
        <item>（</item>
      </candidateList>
      <explain>文本全半角错误。</explain>
      <paraID>73CB727A</paraID>
      <start>4</start>
      <end>5</end>
      <status>modified</status>
      <modifiedWord>（</modifiedWord>
      <trackRevisions>false</trackRevisions>
    </reviewItem>
    <reviewItem>
      <errorID>3f07fe95-1cb5-4f4b-85b2-a232908f6660</errorID>
      <errorWord>)</errorWord>
      <group>L1_Format</group>
      <groupName>格式问题</groupName>
      <ability>L2_HalfPunc_CN</ability>
      <abilityName>全半角问题</abilityName>
      <candidateList>
        <item>）</item>
      </candidateList>
      <explain>文本全半角错误。</explain>
      <paraID>73CB727A</paraID>
      <start>9</start>
      <end>10</end>
      <status>modified</status>
      <modifiedWord>）</modifiedWord>
      <trackRevisions>false</trackRevisions>
    </reviewItem>
    <reviewItem>
      <errorID>49de9107-fd0a-47e1-9df1-4e4e80b673fd</errorID>
      <errorWord>(</errorWord>
      <group>L1_Format</group>
      <groupName>格式问题</groupName>
      <ability>L2_HalfPunc_CN</ability>
      <abilityName>全半角问题</abilityName>
      <candidateList>
        <item>（</item>
      </candidateList>
      <explain>文本全半角错误。</explain>
      <paraID>73CB727B</paraID>
      <start>4</start>
      <end>5</end>
      <status>modified</status>
      <modifiedWord>（</modifiedWord>
      <trackRevisions>false</trackRevisions>
    </reviewItem>
    <reviewItem>
      <errorID>faefb1de-8f59-4c13-af45-6a317b281f42</errorID>
      <errorWord>)</errorWord>
      <group>L1_Format</group>
      <groupName>格式问题</groupName>
      <ability>L2_HalfPunc_CN</ability>
      <abilityName>全半角问题</abilityName>
      <candidateList>
        <item>）</item>
      </candidateList>
      <explain>文本全半角错误。</explain>
      <paraID>73CB727B</paraID>
      <start>10</start>
      <end>11</end>
      <status>modified</status>
      <modifiedWord>）</modifiedWord>
      <trackRevisions>false</trackRevisions>
    </reviewItem>
    <reviewItem>
      <errorID>9f2df340-0df0-480a-85d8-1dd739610e38</errorID>
      <errorWord>(</errorWord>
      <group>L1_Format</group>
      <groupName>格式问题</groupName>
      <ability>L2_HalfPunc_CN</ability>
      <abilityName>全半角问题</abilityName>
      <candidateList>
        <item>（</item>
      </candidateList>
      <explain>文本全半角错误。</explain>
      <paraID>73CB727E</paraID>
      <start>3</start>
      <end>4</end>
      <status>modified</status>
      <modifiedWord>（</modifiedWord>
      <trackRevisions>false</trackRevisions>
    </reviewItem>
    <reviewItem>
      <errorID>fb3e3154-5415-4f53-85f2-7f11f2533bb7</errorID>
      <errorWord>)</errorWord>
      <group>L1_Format</group>
      <groupName>格式问题</groupName>
      <ability>L2_HalfPunc_CN</ability>
      <abilityName>全半角问题</abilityName>
      <candidateList>
        <item>）</item>
      </candidateList>
      <explain>文本全半角错误。</explain>
      <paraID>73CB727E</paraID>
      <start>7</start>
      <end>8</end>
      <status>modified</status>
      <modifiedWord>）</modifiedWord>
      <trackRevisions>false</trackRevisions>
    </reviewItem>
    <reviewItem>
      <errorID>95e3dad0-0e96-4946-8648-441666cef79a</errorID>
      <errorWord>(</errorWord>
      <group>L1_Format</group>
      <groupName>格式问题</groupName>
      <ability>L2_HalfPunc_CN</ability>
      <abilityName>全半角问题</abilityName>
      <candidateList>
        <item>（</item>
      </candidateList>
      <explain>文本全半角错误。</explain>
      <paraID>73CB727F</paraID>
      <start>4</start>
      <end>5</end>
      <status>modified</status>
      <modifiedWord>（</modifiedWord>
      <trackRevisions>false</trackRevisions>
    </reviewItem>
    <reviewItem>
      <errorID>627c71f6-a353-43e6-86c8-087c232b4afe</errorID>
      <errorWord>)</errorWord>
      <group>L1_Format</group>
      <groupName>格式问题</groupName>
      <ability>L2_HalfPunc_CN</ability>
      <abilityName>全半角问题</abilityName>
      <candidateList>
        <item>）</item>
      </candidateList>
      <explain>文本全半角错误。</explain>
      <paraID>73CB727F</paraID>
      <start>9</start>
      <end>10</end>
      <status>modified</status>
      <modifiedWord>）</modifiedWord>
      <trackRevisions>false</trackRevisions>
    </reviewItem>
    <reviewItem>
      <errorID>f623d7ea-78fe-4455-b704-7fa574d96758</errorID>
      <errorWord>(</errorWord>
      <group>L1_Format</group>
      <groupName>格式问题</groupName>
      <ability>L2_HalfPunc_CN</ability>
      <abilityName>全半角问题</abilityName>
      <candidateList>
        <item>（</item>
      </candidateList>
      <explain>文本全半角错误。</explain>
      <paraID>73CB7280</paraID>
      <start>4</start>
      <end>5</end>
      <status>modified</status>
      <modifiedWord>（</modifiedWord>
      <trackRevisions>false</trackRevisions>
    </reviewItem>
    <reviewItem>
      <errorID>f8cde609-552b-49bc-83cc-d8db101ccd66</errorID>
      <errorWord>)</errorWord>
      <group>L1_Format</group>
      <groupName>格式问题</groupName>
      <ability>L2_HalfPunc_CN</ability>
      <abilityName>全半角问题</abilityName>
      <candidateList>
        <item>）</item>
      </candidateList>
      <explain>文本全半角错误。</explain>
      <paraID>73CB7280</paraID>
      <start>10</start>
      <end>11</end>
      <status>modified</status>
      <modifiedWord>）</modifiedWord>
      <trackRevisions>false</trackRevisions>
    </reviewItem>
    <reviewItem>
      <errorID>d31e7f61-5117-4ba9-bd99-78eecd1862c9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73CB72EC</paraID>
      <start>31</start>
      <end>32</end>
      <status>ignored</status>
      <modifiedWord/>
      <trackRevisions>false</trackRevisions>
    </reviewItem>
    <reviewItem>
      <errorID>8d743972-6e68-4674-b92e-bf2324b2eddb</errorID>
      <errorWord>~</errorWord>
      <group>L1_Format</group>
      <groupName>格式问题</groupName>
      <ability>L2_HalfPunc_CN</ability>
      <abilityName>全半角问题</abilityName>
      <candidateList>
        <item>～</item>
      </candidateList>
      <explain>文本全半角错误。</explain>
      <paraID>73CB7332</paraID>
      <start>116</start>
      <end>117</end>
      <status>modified</status>
      <modifiedWord>～</modifiedWord>
      <trackRevisions>false</trackRevisions>
    </reviewItem>
    <reviewItem>
      <errorID>335bbc9d-decb-4768-b2a2-2bc9e824088f</errorID>
      <errorWord>~</errorWord>
      <group>L1_Format</group>
      <groupName>格式问题</groupName>
      <ability>L2_HalfPunc_CN</ability>
      <abilityName>全半角问题</abilityName>
      <candidateList>
        <item>～</item>
      </candidateList>
      <explain>文本全半角错误。</explain>
      <paraID>73CB7332</paraID>
      <start>126</start>
      <end>127</end>
      <status>modified</status>
      <modifiedWord>～</modifiedWord>
      <trackRevisions>false</trackRevisions>
    </reviewItem>
    <reviewItem>
      <errorID>a3eb92a4-ddbd-420c-94f6-9cf46dd52a06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73CB7346</paraID>
      <start>161</start>
      <end>162</end>
      <status>modified</status>
      <modifiedWord>—</modifiedWord>
      <trackRevisions>false</trackRevisions>
    </reviewItem>
    <reviewItem>
      <errorID>a21f30b9-1148-4258-8578-0f485c8bcf3d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73CB7404</paraID>
      <start>0</start>
      <end>2</end>
      <status>ignored</status>
      <modifiedWord/>
      <trackRevisions>false</trackRevisions>
    </reviewItem>
    <reviewItem>
      <errorID>c0eaaa30-e653-44f2-bae4-38f3ca88b1fb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22B57A90</paraID>
      <start>53</start>
      <end>54</end>
      <status>modified</status>
      <modifiedWord>—</modifiedWord>
      <trackRevisions>false</trackRevisions>
    </reviewItem>
    <reviewItem>
      <errorID>d43a1bd8-ec79-4e3f-8084-704b0fec52c5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22B57A90</paraID>
      <start>107</start>
      <end>108</end>
      <status>modified</status>
      <modifiedWord>—</modifiedWord>
      <trackRevisions>false</trackRevisions>
    </reviewItem>
    <reviewItem>
      <errorID>6a53897d-dbca-4d70-99e9-d109ef6344c8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73CB7591</paraID>
      <start>0</start>
      <end>2</end>
      <status>ignored</status>
      <modifiedWord/>
      <trackRevisions>false</trackRevisions>
    </reviewItem>
    <reviewItem>
      <errorID>25dc6917-4914-4b6e-aaa2-c4af4e3e2fe7</errorID>
      <errorWord>、</errorWord>
      <group>L1_Punc</group>
      <groupName>标点问题</groupName>
      <ability>L2_Punc_CN</ability>
      <abilityName>标点符号问题</abilityName>
      <candidateList>
        <item>.</item>
      </candidateList>
      <explain/>
      <paraID>73CB776F</paraID>
      <start>1</start>
      <end>2</end>
      <status>ignored</status>
      <modifiedWord/>
      <trackRevisions>false</trackRevisions>
    </reviewItem>
    <reviewItem>
      <errorID>38d39247-29bb-49a2-865f-1537535194a4</errorID>
      <errorWord>)</errorWord>
      <group>L1_Format</group>
      <groupName>格式问题</groupName>
      <ability>L2_HalfPunc_CN</ability>
      <abilityName>全半角问题</abilityName>
      <candidateList>
        <item>）</item>
      </candidateList>
      <explain>文本全半角错误。</explain>
      <paraID>73CB7779</paraID>
      <start>19</start>
      <end>20</end>
      <status>modified</status>
      <modifiedWord>）</modifiedWord>
      <trackRevisions>false</trackRevisions>
    </reviewItem>
    <reviewItem>
      <errorID>b52d019c-9515-4dcf-ac2d-d0766ab0426f</errorID>
      <errorWord>)</errorWord>
      <group>L1_Format</group>
      <groupName>格式问题</groupName>
      <ability>L2_HalfPunc_CN</ability>
      <abilityName>全半角问题</abilityName>
      <candidateList>
        <item>）</item>
      </candidateList>
      <explain>文本全半角错误。</explain>
      <paraID>73CB7787</paraID>
      <start>11</start>
      <end>12</end>
      <status>modified</status>
      <modifiedWord>）</modifiedWord>
      <trackRevisions>false</trackRevisions>
    </reviewItem>
    <reviewItem>
      <errorID>cd20ae43-0d81-423c-9a8b-24e8b93f90e1</errorID>
      <errorWord>、</errorWord>
      <group>L1_Punc</group>
      <groupName>标点问题</groupName>
      <ability>L2_Punc_CN</ability>
      <abilityName>标点符号问题</abilityName>
      <candidateList>
        <item>.</item>
      </candidateList>
      <explain/>
      <paraID>73CB778D</paraID>
      <start>1</start>
      <end>2</end>
      <status>ignored</status>
      <modifiedWord/>
      <trackRevisions>false</trackRevisions>
    </reviewItem>
    <reviewItem>
      <errorID>c61e0b74-2637-4281-bb48-285d98f5e899</errorID>
      <errorWord>)</errorWord>
      <group>L1_Format</group>
      <groupName>格式问题</groupName>
      <ability>L2_HalfPunc_CN</ability>
      <abilityName>全半角问题</abilityName>
      <candidateList>
        <item>）</item>
      </candidateList>
      <explain>文本全半角错误。</explain>
      <paraID>73CB7798</paraID>
      <start>22</start>
      <end>23</end>
      <status>modified</status>
      <modifiedWord>）</modifiedWord>
      <trackRevisions>false</trackRevisions>
    </reviewItem>
    <reviewItem>
      <errorID>7922944f-97b0-4346-9ec8-f47e8b2c2130</errorID>
      <errorWord>)</errorWord>
      <group>L1_Format</group>
      <groupName>格式问题</groupName>
      <ability>L2_HalfPunc_CN</ability>
      <abilityName>全半角问题</abilityName>
      <candidateList>
        <item>）</item>
      </candidateList>
      <explain>文本全半角错误。</explain>
      <paraID>73CB779A</paraID>
      <start>11</start>
      <end>12</end>
      <status>modified</status>
      <modifiedWord>）</modifiedWord>
      <trackRevisions>false</trackRevisions>
    </reviewItem>
    <reviewItem>
      <errorID>68a45ad1-75da-4317-89a9-c66aaf82c5d3</errorID>
      <errorWord>)</errorWord>
      <group>L1_Format</group>
      <groupName>格式问题</groupName>
      <ability>L2_HalfPunc_CN</ability>
      <abilityName>全半角问题</abilityName>
      <candidateList>
        <item>）</item>
      </candidateList>
      <explain>文本全半角错误。</explain>
      <paraID>73CB779C</paraID>
      <start>24</start>
      <end>25</end>
      <status>modified</status>
      <modifiedWord>）</modifiedWord>
      <trackRevisions>false</trackRevisions>
    </reviewItem>
    <reviewItem>
      <errorID>7116ef97-6c57-4daf-813a-81b7d20b1a6f</errorID>
      <errorWord>选</errorWord>
      <group>L1_Word</group>
      <groupName>字词问题</groupName>
      <ability>L2_Typo</ability>
      <abilityName>字词错误</abilityName>
      <candidateList>
        <item>选择</item>
      </candidateList>
      <explain/>
      <paraID>73CB77A1</paraID>
      <start>21</start>
      <end>22</end>
      <status>ignored</status>
      <modifiedWord/>
      <trackRevisions>false</trackRevisions>
    </reviewItem>
    <reviewItem>
      <errorID>60203a00-f184-4a96-9f87-def9fcfe50c2</errorID>
      <errorWord>HZ</errorWord>
      <group>L1_Word</group>
      <groupName>字词问题</groupName>
      <ability>L2_Typo</ability>
      <abilityName>字词错误</abilityName>
      <candidateList>
        <item>Hz</item>
      </candidateList>
      <explain/>
      <paraID>73CB77A1</paraID>
      <start>30</start>
      <end>32</end>
      <status>modified</status>
      <modifiedWord>Hz</modifiedWord>
      <trackRevisions>false</trackRevisions>
    </reviewItem>
    <reviewItem>
      <errorID>570bd381-9b93-412c-89a3-84b535c9b08e</errorID>
      <errorWord>作</errorWord>
      <group>L1_Word</group>
      <groupName>字词问题</groupName>
      <ability>L2_Typo</ability>
      <abilityName>字词错误</abilityName>
      <candidateList>
        <item>做</item>
      </candidateList>
      <explain>存在发音相同字词的误用。</explain>
      <paraID>73CB77A1</paraID>
      <start>36</start>
      <end>37</end>
      <status>ignored</status>
      <modifiedWord/>
      <trackRevisions>false</trackRevisions>
    </reviewItem>
    <reviewItem>
      <errorID>9957cb81-d379-4278-966a-d29021dfbb7b</errorID>
      <errorWord>、</errorWord>
      <group>L1_Punc</group>
      <groupName>标点问题</groupName>
      <ability>L2_Punc_CN</ability>
      <abilityName>标点符号问题</abilityName>
      <candidateList>
        <item>.</item>
      </candidateList>
      <explain/>
      <paraID>73CB77A9</paraID>
      <start>1</start>
      <end>2</end>
      <status>ignored</status>
      <modifiedWord/>
      <trackRevisions>false</trackRevisions>
    </reviewItem>
    <reviewItem>
      <errorID>ad86eac4-d54f-4ef1-9ee0-f44dddc2c8e4</errorID>
      <errorWord>(</errorWord>
      <group>L1_Format</group>
      <groupName>格式问题</groupName>
      <ability>L2_HalfPunc_CN</ability>
      <abilityName>全半角问题</abilityName>
      <candidateList>
        <item>（</item>
      </candidateList>
      <explain>文本全半角错误。</explain>
      <paraID>73CB78A5</paraID>
      <start>5</start>
      <end>6</end>
      <status>modified</status>
      <modifiedWord>（</modifiedWord>
      <trackRevisions>false</trackRevisions>
    </reviewItem>
    <reviewItem>
      <errorID>310d38c7-5d86-45e0-ac7d-1d5e9a665323</errorID>
      <errorWord>)</errorWord>
      <group>L1_Format</group>
      <groupName>格式问题</groupName>
      <ability>L2_HalfPunc_CN</ability>
      <abilityName>全半角问题</abilityName>
      <candidateList>
        <item>）</item>
      </candidateList>
      <explain>文本全半角错误。</explain>
      <paraID>73CB78A5</paraID>
      <start>8</start>
      <end>9</end>
      <status>modified</status>
      <modifiedWord>）</modifiedWord>
      <trackRevisions>false</trackRevisions>
    </reviewItem>
    <reviewItem>
      <errorID>40b402df-4e4f-4b4c-aa14-0f00ad89be30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73CB78F1</paraID>
      <start>0</start>
      <end>2</end>
      <status>ignored</status>
      <modifiedWord/>
      <trackRevisions>false</trackRevisions>
    </reviewItem>
    <reviewItem>
      <errorID>1f471db6-6cf9-4034-82a6-2a9ebaaaa8b6</errorID>
      <errorWord>&lt;</errorWord>
      <group>L1_Format</group>
      <groupName>格式问题</groupName>
      <ability>L2_HalfPunc_CN</ability>
      <abilityName>全半角问题</abilityName>
      <candidateList>
        <item>〈</item>
      </candidateList>
      <explain>文本全半角错误。</explain>
      <paraID>73CB78F7</paraID>
      <start>7</start>
      <end>8</end>
      <status>modified</status>
      <modifiedWord>〈</modifiedWord>
      <trackRevisions>false</trackRevisions>
    </reviewItem>
    <reviewItem>
      <errorID>e9e7ab7f-818b-4cbd-bb06-16e6760d1ad8</errorID>
      <errorWord>&gt;</errorWord>
      <group>L1_Format</group>
      <groupName>格式问题</groupName>
      <ability>L2_HalfPunc_CN</ability>
      <abilityName>全半角问题</abilityName>
      <candidateList>
        <item>〉</item>
      </candidateList>
      <explain>文本全半角错误。</explain>
      <paraID>73CB78F7</paraID>
      <start>19</start>
      <end>20</end>
      <status>modified</status>
      <modifiedWord>〉</modifiedWord>
      <trackRevisions>false</trackRevisions>
    </reviewItem>
    <reviewItem>
      <errorID>9823ab5c-1c95-4524-8cac-f099f85206e8</errorID>
      <errorWord>&lt;</errorWord>
      <group>L1_Format</group>
      <groupName>格式问题</groupName>
      <ability>L2_HalfPunc_CN</ability>
      <abilityName>全半角问题</abilityName>
      <candidateList>
        <item>〈</item>
      </candidateList>
      <explain>文本全半角错误。</explain>
      <paraID>73CB78FA</paraID>
      <start>100</start>
      <end>101</end>
      <status>modified</status>
      <modifiedWord>〈</modifiedWord>
      <trackRevisions>false</trackRevisions>
    </reviewItem>
    <reviewItem>
      <errorID>af39748e-3a42-4ff6-942b-ff2c62a19b61</errorID>
      <errorWord>&gt;</errorWord>
      <group>L1_Format</group>
      <groupName>格式问题</groupName>
      <ability>L2_HalfPunc_CN</ability>
      <abilityName>全半角问题</abilityName>
      <candidateList>
        <item>〉</item>
      </candidateList>
      <explain>文本全半角错误。</explain>
      <paraID>73CB78FA</paraID>
      <start>112</start>
      <end>113</end>
      <status>modified</status>
      <modifiedWord>〉</modifiedWord>
      <trackRevisions>false</trackRevisions>
    </reviewItem>
    <reviewItem>
      <errorID>a9dfd86a-293c-45e6-80fb-680b36f9b387</errorID>
      <errorWord>&lt;</errorWord>
      <group>L1_Format</group>
      <groupName>格式问题</groupName>
      <ability>L2_HalfPunc_CN</ability>
      <abilityName>全半角问题</abilityName>
      <candidateList>
        <item>〈</item>
      </candidateList>
      <explain>文本全半角错误。</explain>
      <paraID>73CB790F</paraID>
      <start>7</start>
      <end>8</end>
      <status>modified</status>
      <modifiedWord>〈</modifiedWord>
      <trackRevisions>false</trackRevisions>
    </reviewItem>
    <reviewItem>
      <errorID>0db1faf8-cb45-47ad-920c-223e2324c4c9</errorID>
      <errorWord>&gt;</errorWord>
      <group>L1_Format</group>
      <groupName>格式问题</groupName>
      <ability>L2_HalfPunc_CN</ability>
      <abilityName>全半角问题</abilityName>
      <candidateList>
        <item>〉</item>
      </candidateList>
      <explain>文本全半角错误。</explain>
      <paraID>73CB790F</paraID>
      <start>19</start>
      <end>20</end>
      <status>modified</status>
      <modifiedWord>〉</modifiedWord>
      <trackRevisions>false</trackRevisions>
    </reviewItem>
    <reviewItem>
      <errorID>f33db985-8e44-4ef3-9494-66a83e1a29a3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73CB7995</paraID>
      <start>127</start>
      <end>128</end>
      <status>modified</status>
      <modifiedWord>—</modifiedWord>
      <trackRevisions>false</trackRevisions>
    </reviewItem>
    <reviewItem>
      <errorID>8f675ab2-413b-4bac-9871-8bdc1e27b23d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73CB7995</paraID>
      <start>235</start>
      <end>236</end>
      <status>modified</status>
      <modifiedWord>—</modifiedWord>
      <trackRevisions>false</trackRevisions>
    </reviewItem>
    <reviewItem>
      <errorID>dc71f2f9-0afe-45be-832f-469906b7cab5</errorID>
      <errorWord>-</errorWord>
      <group>L1_Format</group>
      <groupName>格式问题</groupName>
      <ability>L2_HalfPunc_CN</ability>
      <abilityName>全半角问题</abilityName>
      <candidateList>
        <item>－</item>
      </candidateList>
      <explain>文本全半角错误。</explain>
      <paraID>73CB7995</paraID>
      <start>268</start>
      <end>269</end>
      <status>modified</status>
      <modifiedWord>－</modifiedWord>
      <trackRevisions>false</trackRevisions>
    </reviewItem>
    <reviewItem>
      <errorID>ff688afd-4c8c-405f-a449-f830ee50c2ae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73CB799B</paraID>
      <start>126</start>
      <end>127</end>
      <status>modified</status>
      <modifiedWord>—</modifiedWord>
      <trackRevisions>false</trackRevisions>
    </reviewItem>
    <reviewItem>
      <errorID>50b84453-7d83-4a50-bd13-97f21605634e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73CB799B</paraID>
      <start>165</start>
      <end>166</end>
      <status>modified</status>
      <modifiedWord>—</modifiedWord>
      <trackRevisions>false</trackRevisions>
    </reviewItem>
    <reviewItem>
      <errorID>3ceb1bb9-00a9-4962-bb92-a2c0e7bf2ba8</errorID>
      <errorWord>需</errorWord>
      <group>L1_Word</group>
      <groupName>字词问题</groupName>
      <ability>L2_Typo</ability>
      <abilityName>字词错误</abilityName>
      <candidateList>
        <item>须</item>
      </candidateList>
      <explain/>
      <paraID>73CB79A1</paraID>
      <start>7</start>
      <end>8</end>
      <status>modified</status>
      <modifiedWord>须</modifiedWord>
      <trackRevisions>false</trackRevisions>
    </reviewItem>
    <reviewItem>
      <errorID>f7ea46cb-1ce6-403d-b3a0-a112d1826551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73CB79A2</paraID>
      <start>0</start>
      <end>2</end>
      <status>ignored</status>
      <modifiedWord/>
      <trackRevisions>false</trackRevisions>
    </reviewItem>
    <reviewItem>
      <errorID>36ebeffc-57f5-41ad-b509-ff00e513ec8e</errorID>
      <errorWord>未作</errorWord>
      <group>L1_Word</group>
      <groupName>字词问题</groupName>
      <ability>L2_Typo</ability>
      <abilityName>字词错误</abilityName>
      <candidateList>
        <item>未做</item>
      </candidateList>
      <explain/>
      <paraID>73CB79A4</paraID>
      <start>23</start>
      <end>25</end>
      <status>ignored</status>
      <modifiedWord/>
      <trackRevisions>false</trackRevisions>
    </reviewItem>
    <reviewItem>
      <errorID>6ece9a6d-24e9-4bd4-975c-e6b1c99b8567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73CB79A6</paraID>
      <start>0</start>
      <end>2</end>
      <status>ignored</status>
      <modifiedWord/>
      <trackRevisions>false</trackRevisions>
    </reviewItem>
    <reviewItem>
      <errorID>cc1fe506-a99f-4b10-8cd0-92d1e151bbc5</errorID>
      <errorWord>-</errorWord>
      <group>L1_Format</group>
      <groupName>格式问题</groupName>
      <ability>L2_HalfPunc_CN</ability>
      <abilityName>全半角问题</abilityName>
      <candidateList>
        <item>－</item>
      </candidateList>
      <explain>文本全半角错误。</explain>
      <paraID>73CB79A7</paraID>
      <start>34</start>
      <end>35</end>
      <status>modified</status>
      <modifiedWord>－</modifiedWord>
      <trackRevisions>false</trackRevisions>
    </reviewItem>
    <reviewItem>
      <errorID>9b8509ae-94c1-41a7-b0ab-127f4f4ac5b8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73CB79A8</paraID>
      <start>0</start>
      <end>2</end>
      <status>ignored</status>
      <modifiedWord/>
      <trackRevisions>false</trackRevisions>
    </reviewItem>
    <reviewItem>
      <errorID>b9a2647a-7f62-4352-9d88-cc5b5ff8f244</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73CB79B4</paraID>
      <start>1</start>
      <end>5</end>
      <status>ignored</status>
      <modifiedWord/>
      <trackRevisions>false</trackRevisions>
    </reviewItem>
    <reviewItem>
      <errorID>faff3159-f26e-41b5-b193-192ee26a0009</errorID>
      <errorWord>~</errorWord>
      <group>L1_Format</group>
      <groupName>格式问题</groupName>
      <ability>L2_HalfPunc_CN</ability>
      <abilityName>全半角问题</abilityName>
      <candidateList>
        <item>～</item>
      </candidateList>
      <explain>文本全半角错误。</explain>
      <paraID>73CB79C0</paraID>
      <start>9</start>
      <end>10</end>
      <status>modified</status>
      <modifiedWord>～</modifiedWord>
      <trackRevisions>false</trackRevisions>
    </reviewItem>
    <reviewItem>
      <errorID>9f31555a-3c9c-4585-bcd1-be65b4c53a19</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73CB79D8</paraID>
      <start>71</start>
      <end>74</end>
      <status>ignored</status>
      <modifiedWord/>
      <trackRevisions>false</trackRevisions>
    </reviewItem>
    <reviewItem>
      <errorID>fd84119f-0258-4255-af8d-ac41e8a9e551</errorID>
      <errorWord>、以及</errorWord>
      <group>L1_Punc</group>
      <groupName>标点问题</groupName>
      <ability>L2_Punc_CN</ability>
      <abilityName>标点符号问题</abilityName>
      <candidateList>
        <item>，以及</item>
      </candidateList>
      <explain>连接词前后不宜使用顿号，建议使用逗号。</explain>
      <paraID>73CB79EE</paraID>
      <start>14</start>
      <end>17</end>
      <status>modified</status>
      <modifiedWord>，以及</modifiedWord>
      <trackRevisions>false</trackRevisions>
    </reviewItem>
    <reviewItem>
      <errorID>c7269331-9044-4d50-953e-a603815e4f9a</errorID>
      <errorWord>消防设施可</errorWord>
      <group>L1_Word</group>
      <groupName>字词问题</groupName>
      <ability>L2_Typo</ability>
      <abilityName>字词错误</abilityName>
      <candidateList>
        <item>消防设施</item>
      </candidateList>
      <explain/>
      <paraID>73CB7A0C</paraID>
      <start>32</start>
      <end>36</end>
      <status>modified</status>
      <modifiedWord>消防设施</modifiedWord>
      <trackRevisions>false</trackRevisions>
    </reviewItem>
    <reviewItem>
      <errorID>84841838-4522-43e5-b2e1-399d516b992a</errorID>
      <errorWord>&lt;</errorWord>
      <group>L1_Format</group>
      <groupName>格式问题</groupName>
      <ability>L2_HalfPunc_CN</ability>
      <abilityName>全半角问题</abilityName>
      <candidateList>
        <item>〈</item>
      </candidateList>
      <explain>文本全半角错误。</explain>
      <paraID>73CB7A10</paraID>
      <start>47</start>
      <end>48</end>
      <status>modified</status>
      <modifiedWord>〈</modifiedWord>
      <trackRevisions>false</trackRevisions>
    </reviewItem>
    <reviewItem>
      <errorID>8fb88470-3a22-4353-9510-c0815b18bb27</errorID>
      <errorWord>&gt;的通知》</errorWord>
      <group>L1_Punc</group>
      <groupName>标点问题</groupName>
      <ability>L2_Punc_CN</ability>
      <abilityName>标点符号问题</abilityName>
      <candidateList>
        <item>〉的通知》</item>
      </candidateList>
      <explain/>
      <paraID>73CB7A10</paraID>
      <start>72</start>
      <end>77</end>
      <status>modified</status>
      <modifiedWord>〉的通知》</modifiedWord>
      <trackRevisions>false</trackRevisions>
    </reviewItem>
    <reviewItem>
      <errorID>243667fd-a0e1-4dec-9c66-e38147f08687</errorID>
      <errorWord>的</errorWord>
      <group>L1_Word</group>
      <groupName>字词问题</groupName>
      <ability>L2_DDD</ability>
      <abilityName>的地得用法</abilityName>
      <candidateList>
        <item>地</item>
      </candidateList>
      <explain/>
      <paraID>73CB7A12</paraID>
      <start>15</start>
      <end>16</end>
      <status>modified</status>
      <modifiedWord>地</modifiedWord>
      <trackRevisions>false</trackRevisions>
    </reviewItem>
    <reviewItem>
      <errorID>6d4a7fec-193f-4deb-8ee4-6d03fbdd80bb</errorID>
      <errorWord>(</errorWord>
      <group>L1_Format</group>
      <groupName>格式问题</groupName>
      <ability>L2_HalfPunc_CN</ability>
      <abilityName>全半角问题</abilityName>
      <candidateList>
        <item>（</item>
      </candidateList>
      <explain>文本全半角错误。</explain>
      <paraID>73CB7A4A</paraID>
      <start>3</start>
      <end>4</end>
      <status>modified</status>
      <modifiedWord>（</modifiedWord>
      <trackRevisions>false</trackRevisions>
    </reviewItem>
    <reviewItem>
      <errorID>cd4fc230-a293-473b-aea7-7bfd51eeaa08</errorID>
      <errorWord>)</errorWord>
      <group>L1_Format</group>
      <groupName>格式问题</groupName>
      <ability>L2_HalfPunc_CN</ability>
      <abilityName>全半角问题</abilityName>
      <candidateList>
        <item>）</item>
      </candidateList>
      <explain>文本全半角错误。</explain>
      <paraID>73CB7A4A</paraID>
      <start>9</start>
      <end>10</end>
      <status>modified</status>
      <modifiedWord>）</modifiedWord>
      <trackRevisions>false</trackRevisions>
    </reviewItem>
    <reviewItem>
      <errorID>99a107c0-83d5-4efd-80ef-4d9bda5eb7da</errorID>
      <errorWord>达</errorWord>
      <group>L1_Word</group>
      <groupName>字词问题</groupName>
      <ability>L2_Typo</ability>
      <abilityName>字词错误</abilityName>
      <candidateList>
        <item>达到</item>
      </candidateList>
      <explain/>
      <paraID>73CB7A83</paraID>
      <start>3</start>
      <end>5</end>
      <status>modified</status>
      <modifiedWord>达到</modifiedWord>
      <trackRevisions>false</trackRevisions>
    </reviewItem>
    <reviewItem>
      <errorID>ee433662-5605-4f78-ae61-9e9b24dccef0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73CB7A9D</paraID>
      <start>96</start>
      <end>97</end>
      <status>modified</status>
      <modifiedWord>—</modifiedWord>
      <trackRevisions>false</trackRevisions>
    </reviewItem>
    <reviewItem>
      <errorID>edd4a529-db6d-49eb-8278-fe0c8aa41642</errorID>
      <errorWord>许</errorWord>
      <group>L1_Word</group>
      <groupName>字词问题</groupName>
      <ability>L2_Typo</ability>
      <abilityName>字词错误</abilityName>
      <candidateList>
        <item>许可</item>
      </candidateList>
      <explain/>
      <paraID>7C9F8B56</paraID>
      <start>56</start>
      <end>58</end>
      <status>modified</status>
      <modifiedWord>许可</modifiedWord>
      <trackRevisions>false</trackRevisions>
    </reviewItem>
    <reviewItem>
      <errorID>7d246c70-2615-4a01-b0a4-0f53f494ddca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2C545B35</paraID>
      <start>0</start>
      <end>2</end>
      <status>ignored</status>
      <modifiedWord/>
      <trackRevisions>false</trackRevisions>
    </reviewItem>
    <reviewItem>
      <errorID>69b5fbd8-411c-4787-927f-2fb2a1ddb811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647F5686</paraID>
      <start>0</start>
      <end>2</end>
      <status>ignored</status>
      <modifiedWord/>
      <trackRevisions>false</trackRevisions>
    </reviewItem>
    <reviewItem>
      <errorID>23eeae88-5195-4bdf-9828-7898d6a06131</errorID>
      <errorWord>并向</errorWord>
      <group>L1_Word</group>
      <groupName>字词问题</groupName>
      <ability>L2_Typo</ability>
      <abilityName>字词错误</abilityName>
      <candidateList>
        <item>并</item>
      </candidateList>
      <explain/>
      <paraID>13BA3040</paraID>
      <start>61</start>
      <end>62</end>
      <status>modified</status>
      <modifiedWord>并</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3b48a5-0523-4957-a94c-2fd4661d6734}">
  <ds:schemaRefs/>
</ds:datastoreItem>
</file>

<file path=customXml/itemProps3.xml><?xml version="1.0" encoding="utf-8"?>
<ds:datastoreItem xmlns:ds="http://schemas.openxmlformats.org/officeDocument/2006/customXml" ds:itemID="{6049824C-39E5-4947-9907-A13CD4285E41}">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88</Pages>
  <Words>1521</Words>
  <Characters>1662</Characters>
  <Lines>687</Lines>
  <Paragraphs>193</Paragraphs>
  <TotalTime>13</TotalTime>
  <ScaleCrop>false</ScaleCrop>
  <LinksUpToDate>false</LinksUpToDate>
  <CharactersWithSpaces>1725</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2025-05-18T01:32:00Z</dcterms:created>
  <dc:creator>微软用户</dc:creator>
  <cp:lastModifiedBy>Administrator</cp:lastModifiedBy>
  <cp:lastPrinted>2025-09-22T02:23:00Z</cp:lastPrinted>
  <dcterms:modified xsi:type="dcterms:W3CDTF">2026-08-25T07:15:21Z</dcterms:modified>
  <cp:revision>1323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KSOTemplateDocerSaveRecord">
    <vt:lpwstr>eyJoZGlkIjoiOGI3NDM3ZmZhMDliZmQwZWY0MzA3ZWMxYzc3MmNkMzIiLCJ1c2VySWQiOiI5ODI1MzIzNjQifQ==</vt:lpwstr>
  </property>
  <property fmtid="{D5CDD505-2E9C-101B-9397-08002B2CF9AE}" pid="4" name="ICV">
    <vt:lpwstr>BBB407953E3444E3835E5A421A5F35F7_13</vt:lpwstr>
  </property>
</Properties>
</file>