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0137483">
      <w:pPr>
        <w:ind w:left="31680" w:hanging="660" w:hangingChars="150"/>
        <w:jc w:val="center"/>
        <w:rPr>
          <w:sz w:val="44"/>
          <w:szCs w:val="44"/>
        </w:rPr>
      </w:pPr>
    </w:p>
    <w:p w14:paraId="1981D99C">
      <w:pPr>
        <w:tabs>
          <w:tab w:val="left" w:pos="7920"/>
        </w:tabs>
        <w:jc w:val="distribute"/>
        <w:rPr>
          <w:rFonts w:ascii="仿宋_GB2312" w:eastAsia="仿宋_GB2312"/>
          <w:spacing w:val="-60"/>
          <w:w w:val="80"/>
          <w:sz w:val="140"/>
          <w:szCs w:val="140"/>
        </w:rPr>
      </w:pPr>
      <w:r>
        <w:rPr>
          <w:rFonts w:hint="eastAsia" w:ascii="方正姚体" w:eastAsia="方正姚体"/>
          <w:b/>
          <w:snapToGrid w:val="0"/>
          <w:color w:val="FF0000"/>
          <w:spacing w:val="-60"/>
          <w:w w:val="80"/>
          <w:kern w:val="0"/>
          <w:sz w:val="140"/>
          <w:szCs w:val="140"/>
        </w:rPr>
        <w:t>宜良县民政局文件</w:t>
      </w:r>
    </w:p>
    <w:p w14:paraId="0F65681C">
      <w:pPr>
        <w:tabs>
          <w:tab w:val="left" w:pos="7920"/>
        </w:tabs>
        <w:rPr>
          <w:rFonts w:ascii="仿宋_GB2312" w:eastAsia="仿宋_GB2312"/>
          <w:sz w:val="32"/>
          <w:szCs w:val="32"/>
        </w:rPr>
      </w:pPr>
    </w:p>
    <w:p w14:paraId="58554934">
      <w:pPr>
        <w:tabs>
          <w:tab w:val="left" w:pos="7920"/>
        </w:tabs>
        <w:rPr>
          <w:rFonts w:ascii="仿宋_GB2312" w:eastAsia="仿宋_GB2312"/>
          <w:sz w:val="32"/>
          <w:szCs w:val="32"/>
        </w:rPr>
      </w:pPr>
    </w:p>
    <w:p w14:paraId="1645F634">
      <w:pPr>
        <w:jc w:val="center"/>
        <w:rPr>
          <w:rFonts w:ascii="仿宋_GB2312" w:eastAsia="仿宋_GB2312"/>
          <w:sz w:val="32"/>
          <w:szCs w:val="32"/>
        </w:rPr>
      </w:pPr>
      <w:r>
        <w:rPr>
          <w:rFonts w:hint="eastAsia" w:ascii="仿宋_GB2312" w:eastAsia="仿宋_GB2312"/>
          <w:sz w:val="32"/>
          <w:szCs w:val="32"/>
        </w:rPr>
        <w:t>宜民复〔2019〕</w:t>
      </w:r>
      <w:r>
        <w:rPr>
          <w:rFonts w:hint="eastAsia" w:ascii="仿宋_GB2312" w:eastAsia="仿宋_GB2312"/>
          <w:sz w:val="32"/>
          <w:szCs w:val="32"/>
          <w:lang w:val="en-US" w:eastAsia="zh-CN"/>
        </w:rPr>
        <w:t>10</w:t>
      </w:r>
      <w:r>
        <w:rPr>
          <w:rFonts w:hint="eastAsia" w:ascii="仿宋_GB2312" w:eastAsia="仿宋_GB2312"/>
          <w:sz w:val="32"/>
          <w:szCs w:val="32"/>
        </w:rPr>
        <w:t>号</w:t>
      </w:r>
    </w:p>
    <w:p w14:paraId="6C050DCC">
      <w:pPr>
        <w:spacing w:line="560" w:lineRule="exact"/>
        <w:jc w:val="center"/>
        <w:rPr>
          <w:rFonts w:ascii="方正小标宋简体" w:hAnsi="宋体" w:eastAsia="方正小标宋简体"/>
          <w:b/>
          <w:sz w:val="44"/>
          <w:szCs w:val="44"/>
        </w:rPr>
      </w:pPr>
      <w: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77470</wp:posOffset>
                </wp:positionV>
                <wp:extent cx="5600700" cy="0"/>
                <wp:effectExtent l="0" t="19050" r="0" b="19050"/>
                <wp:wrapNone/>
                <wp:docPr id="1" name="直线 2"/>
                <wp:cNvGraphicFramePr/>
                <a:graphic xmlns:a="http://schemas.openxmlformats.org/drawingml/2006/main">
                  <a:graphicData uri="http://schemas.microsoft.com/office/word/2010/wordprocessingShape">
                    <wps:wsp>
                      <wps:cNvSpPr/>
                      <wps:spPr>
                        <a:xfrm>
                          <a:off x="0" y="0"/>
                          <a:ext cx="5600700" cy="0"/>
                        </a:xfrm>
                        <a:prstGeom prst="line">
                          <a:avLst/>
                        </a:prstGeom>
                        <a:ln w="38100" cap="flat" cmpd="sng">
                          <a:solidFill>
                            <a:srgbClr val="FF0000"/>
                          </a:solidFill>
                          <a:prstDash val="solid"/>
                          <a:headEnd type="none" w="med" len="med"/>
                          <a:tailEnd type="none" w="med" len="med"/>
                        </a:ln>
                      </wps:spPr>
                      <wps:bodyPr upright="1"/>
                    </wps:wsp>
                  </a:graphicData>
                </a:graphic>
              </wp:anchor>
            </w:drawing>
          </mc:Choice>
          <mc:Fallback>
            <w:pict>
              <v:line id="直线 2" o:spid="_x0000_s1026" o:spt="20" style="position:absolute;left:0pt;margin-left:0pt;margin-top:6.1pt;height:0pt;width:441pt;z-index:251659264;mso-width-relative:page;mso-height-relative:page;" filled="f" stroked="t" coordsize="21600,21600" o:gfxdata="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46pd6tYA&#10;AAAGAQAADwAAAAAAAAABACAAAAAiAAAAZHJzL2Rvd25yZXYueG1sUEsBAhQAFAAAAAgAh07iQL6s&#10;curoAQAA3AMAAA4AAAAAAAAAAQAgAAAAJQEAAGRycy9lMm9Eb2MueG1sUEsFBgAAAAAGAAYAWQEA&#10;AH8FAAAAAA==&#10;">
                <v:fill on="f" focussize="0,0"/>
                <v:stroke weight="3pt" color="#FF0000" joinstyle="round"/>
                <v:imagedata o:title=""/>
                <o:lock v:ext="edit" aspectratio="f"/>
              </v:line>
            </w:pict>
          </mc:Fallback>
        </mc:AlternateContent>
      </w:r>
    </w:p>
    <w:p w14:paraId="5436FEC4">
      <w:pPr>
        <w:ind w:left="31680" w:hanging="660" w:hangingChars="150"/>
        <w:jc w:val="center"/>
        <w:rPr>
          <w:rFonts w:ascii="宋体"/>
          <w:sz w:val="44"/>
          <w:szCs w:val="44"/>
        </w:rPr>
      </w:pPr>
      <w:r>
        <w:rPr>
          <w:rFonts w:hint="eastAsia" w:ascii="宋体" w:hAnsi="宋体"/>
          <w:sz w:val="44"/>
          <w:szCs w:val="44"/>
        </w:rPr>
        <w:t>宜良县民政局关于对</w:t>
      </w:r>
    </w:p>
    <w:p w14:paraId="4812035B">
      <w:pPr>
        <w:ind w:left="31680" w:hanging="660" w:hangingChars="150"/>
        <w:jc w:val="center"/>
        <w:rPr>
          <w:rFonts w:ascii="宋体"/>
          <w:color w:val="000000"/>
          <w:sz w:val="44"/>
          <w:szCs w:val="44"/>
        </w:rPr>
      </w:pPr>
      <w:r>
        <w:rPr>
          <w:rFonts w:hint="eastAsia" w:ascii="宋体" w:hAnsi="宋体"/>
          <w:sz w:val="44"/>
          <w:szCs w:val="44"/>
          <w:lang w:eastAsia="zh-CN"/>
        </w:rPr>
        <w:t>县</w:t>
      </w:r>
      <w:r>
        <w:rPr>
          <w:rFonts w:hint="eastAsia" w:ascii="宋体" w:hAnsi="宋体"/>
          <w:sz w:val="44"/>
          <w:szCs w:val="44"/>
        </w:rPr>
        <w:t>人大</w:t>
      </w:r>
      <w:r>
        <w:rPr>
          <w:rFonts w:hint="eastAsia" w:ascii="宋体" w:hAnsi="宋体"/>
          <w:color w:val="000000"/>
          <w:sz w:val="44"/>
          <w:szCs w:val="44"/>
        </w:rPr>
        <w:t>十七届</w:t>
      </w:r>
      <w:r>
        <w:rPr>
          <w:rFonts w:hint="eastAsia" w:ascii="宋体" w:hAnsi="宋体"/>
          <w:color w:val="000000"/>
          <w:sz w:val="44"/>
          <w:szCs w:val="44"/>
          <w:lang w:eastAsia="zh-CN"/>
        </w:rPr>
        <w:t>四</w:t>
      </w:r>
      <w:r>
        <w:rPr>
          <w:rFonts w:hint="eastAsia" w:ascii="宋体" w:hAnsi="宋体"/>
          <w:color w:val="000000"/>
          <w:sz w:val="44"/>
          <w:szCs w:val="44"/>
        </w:rPr>
        <w:t>次会议</w:t>
      </w:r>
      <w:r>
        <w:rPr>
          <w:rFonts w:hint="eastAsia" w:ascii="宋体" w:hAnsi="宋体"/>
          <w:sz w:val="44"/>
          <w:szCs w:val="44"/>
        </w:rPr>
        <w:t>第</w:t>
      </w:r>
      <w:r>
        <w:rPr>
          <w:rFonts w:hint="eastAsia" w:ascii="宋体" w:hAnsi="宋体"/>
          <w:sz w:val="44"/>
          <w:szCs w:val="44"/>
          <w:lang w:val="en-US" w:eastAsia="zh-CN"/>
        </w:rPr>
        <w:t>105</w:t>
      </w:r>
      <w:r>
        <w:rPr>
          <w:rFonts w:hint="eastAsia" w:ascii="宋体" w:hAnsi="宋体"/>
          <w:sz w:val="44"/>
          <w:szCs w:val="44"/>
        </w:rPr>
        <w:t>号建议的答复</w:t>
      </w:r>
    </w:p>
    <w:p w14:paraId="4E7B361A">
      <w:pPr>
        <w:ind w:left="31680" w:hanging="358" w:hangingChars="112"/>
        <w:rPr>
          <w:rFonts w:ascii="仿宋_GB2312" w:eastAsia="仿宋_GB2312"/>
          <w:sz w:val="32"/>
          <w:szCs w:val="32"/>
        </w:rPr>
      </w:pPr>
    </w:p>
    <w:p w14:paraId="238C6BE0">
      <w:pPr>
        <w:spacing w:line="520" w:lineRule="exact"/>
        <w:rPr>
          <w:rFonts w:ascii="楷体" w:hAnsi="楷体" w:eastAsia="楷体"/>
          <w:color w:val="000000"/>
          <w:sz w:val="32"/>
          <w:szCs w:val="32"/>
        </w:rPr>
      </w:pPr>
      <w:r>
        <w:rPr>
          <w:rFonts w:hint="eastAsia" w:ascii="楷体" w:hAnsi="楷体" w:eastAsia="楷体"/>
          <w:color w:val="000000"/>
          <w:sz w:val="32"/>
          <w:szCs w:val="32"/>
        </w:rPr>
        <w:t>陈小琼代表：</w:t>
      </w:r>
    </w:p>
    <w:p w14:paraId="6B64E162">
      <w:pPr>
        <w:spacing w:line="520" w:lineRule="exact"/>
        <w:ind w:firstLine="660"/>
        <w:rPr>
          <w:rFonts w:hint="eastAsia" w:ascii="仿宋_GB2312" w:hAnsi="宋体" w:eastAsia="仿宋_GB2312"/>
          <w:color w:val="000000"/>
          <w:sz w:val="32"/>
          <w:szCs w:val="32"/>
        </w:rPr>
      </w:pPr>
      <w:r>
        <w:rPr>
          <w:rFonts w:hint="eastAsia" w:ascii="仿宋_GB2312" w:hAnsi="宋体" w:eastAsia="仿宋_GB2312"/>
          <w:color w:val="000000"/>
          <w:sz w:val="32"/>
          <w:szCs w:val="32"/>
        </w:rPr>
        <w:t>您在宜良县第十七</w:t>
      </w:r>
      <w:bookmarkStart w:id="0" w:name="_GoBack"/>
      <w:bookmarkEnd w:id="0"/>
      <w:r>
        <w:rPr>
          <w:rFonts w:hint="eastAsia" w:ascii="仿宋_GB2312" w:hAnsi="宋体" w:eastAsia="仿宋_GB2312"/>
          <w:color w:val="000000"/>
          <w:sz w:val="32"/>
          <w:szCs w:val="32"/>
        </w:rPr>
        <w:t>届人民代表大会</w:t>
      </w:r>
      <w:r>
        <w:rPr>
          <w:rFonts w:hint="eastAsia" w:ascii="仿宋_GB2312" w:hAnsi="宋体" w:eastAsia="仿宋_GB2312"/>
          <w:color w:val="000000"/>
          <w:sz w:val="32"/>
          <w:szCs w:val="32"/>
        </w:rPr>
        <w:t>第四次会议提交的关于《老年活动中心》的建议，已由县政府办转交我局办理。接到县政府交办件后，民政局领导高度重视，认真研究处理，并及时安排相关人员对照农村老年活动中心建设的扶持政策，认真了解九乡乡明月村委会各村小组老年活动中心的建设及管理使用情况，现结合民政当前工作实际，将您所提交的建议答复如下：</w:t>
      </w:r>
    </w:p>
    <w:p w14:paraId="6B662CBC">
      <w:pPr>
        <w:spacing w:line="520" w:lineRule="exact"/>
        <w:ind w:firstLine="660"/>
        <w:rPr>
          <w:rFonts w:hint="eastAsia" w:ascii="仿宋_GB2312" w:hAnsi="宋体" w:eastAsia="仿宋_GB2312"/>
          <w:color w:val="000000"/>
          <w:sz w:val="32"/>
          <w:szCs w:val="32"/>
        </w:rPr>
      </w:pPr>
      <w:r>
        <w:rPr>
          <w:rFonts w:hint="eastAsia" w:ascii="仿宋_GB2312" w:hAnsi="Arial" w:eastAsia="仿宋_GB2312" w:cs="Arial"/>
          <w:sz w:val="32"/>
          <w:szCs w:val="32"/>
          <w:shd w:val="clear" w:color="auto" w:fill="FFFFFF"/>
        </w:rPr>
        <w:t>据了解，</w:t>
      </w:r>
      <w:r>
        <w:rPr>
          <w:rFonts w:hint="eastAsia" w:ascii="仿宋_GB2312" w:hAnsi="宋体" w:eastAsia="仿宋_GB2312"/>
          <w:color w:val="000000"/>
          <w:sz w:val="32"/>
          <w:szCs w:val="32"/>
        </w:rPr>
        <w:t>九乡乡月照村委会辖10个村民小组，即：月照山、史竹山、大拖沟、小拖沟、大哲宗、小哲宗、俄子箐、梅新村、板田冲、吴桂庄村小组。近年来，在各级有关部门的关心支持下，已有史竹山、大拖沟、大哲宗、小哲宗、板田冲、吴桂庄6个村小组建盖了老年活动中心，基本满足了本村村民红白、喜事办理及老年人日间休闲娱乐活动需要，但月照山、小拖沟、俄子箐、梅新村4个村小组因集体经济相对薄弱，至今仍未建盖老年活动中心，村民意见较大。</w:t>
      </w:r>
    </w:p>
    <w:p w14:paraId="64C40D5D">
      <w:pPr>
        <w:spacing w:line="520" w:lineRule="exact"/>
        <w:ind w:firstLine="660"/>
        <w:rPr>
          <w:rFonts w:hint="eastAsia" w:ascii="仿宋_GB2312" w:hAnsi="宋体" w:eastAsia="仿宋_GB2312"/>
          <w:color w:val="000000"/>
          <w:sz w:val="32"/>
          <w:szCs w:val="32"/>
        </w:rPr>
      </w:pPr>
      <w:r>
        <w:rPr>
          <w:rFonts w:hint="eastAsia" w:ascii="仿宋_GB2312" w:hAnsi="宋体" w:eastAsia="仿宋_GB2312"/>
          <w:color w:val="000000"/>
          <w:sz w:val="32"/>
          <w:szCs w:val="32"/>
        </w:rPr>
        <w:t>但从已建成的6个村小组老年活动中心来看，多数村小组仍然欠债较大，加之设施设备不完善，管理不到位，活动不正常，主要满足于本村村民红、白喜事办理，其它活动基本没有开展。就吴桂庄村小组老年活动中心来说，因投资过大，建设资金又严重不足，只建设了主体工程，不但围墙、绿化等附属工程没有做，就连最基本的桌椅、碗筷都没有购置，建起来就只是一个摆设，根本发挥不了老年活动中心应有的功能和作用。但是，2017年度市级已将大哲宗、吴桂庄2个老年活动中心进行立项并分别给予55万元、15万元建设补助，这两项资金已于2018年6月下拨到两个村小组。</w:t>
      </w:r>
    </w:p>
    <w:p w14:paraId="78C40CD1">
      <w:pPr>
        <w:adjustRightInd w:val="0"/>
        <w:snapToGrid w:val="0"/>
        <w:spacing w:line="520" w:lineRule="exact"/>
        <w:ind w:firstLine="640" w:firstLineChars="200"/>
        <w:rPr>
          <w:rFonts w:hint="eastAsia" w:ascii="仿宋_GB2312" w:eastAsia="仿宋_GB2312"/>
          <w:sz w:val="32"/>
          <w:szCs w:val="32"/>
        </w:rPr>
      </w:pPr>
      <w:r>
        <w:rPr>
          <w:rFonts w:hint="eastAsia" w:ascii="仿宋_GB2312" w:eastAsia="仿宋_GB2312"/>
          <w:sz w:val="32"/>
          <w:szCs w:val="32"/>
        </w:rPr>
        <w:t>陈小琼代表，您提出的关于农村老年活动中心建设需要上级资金支持的建议很好，争取上级资金建设老年人活动场所也是民政部门的一项重要工作。鉴于九乡乡月照村委会地处少数民族边远山区，集体经济匮乏，又不能向村民集资，加之县财政非常吃紧，根本无法列支村小组老年活动中心建设补助资金。因此，</w:t>
      </w:r>
      <w:r>
        <w:rPr>
          <w:rFonts w:hint="eastAsia" w:ascii="仿宋_GB2312" w:hAnsi="宋体" w:eastAsia="仿宋_GB2312"/>
          <w:color w:val="000000"/>
          <w:sz w:val="32"/>
          <w:szCs w:val="32"/>
        </w:rPr>
        <w:t>月照山、小拖沟、俄子箐、梅新村4个村小组的老年活动中心建设补助，以及吴桂庄村小组老年活动中心的附属设施补助，只能争取省、市级的资金补助。</w:t>
      </w:r>
    </w:p>
    <w:p w14:paraId="41854562">
      <w:pPr>
        <w:adjustRightInd w:val="0"/>
        <w:snapToGrid w:val="0"/>
        <w:spacing w:line="520" w:lineRule="exact"/>
        <w:ind w:firstLine="640" w:firstLineChars="200"/>
        <w:rPr>
          <w:rFonts w:hint="eastAsia" w:ascii="仿宋_GB2312" w:eastAsia="仿宋_GB2312"/>
          <w:sz w:val="32"/>
          <w:szCs w:val="32"/>
        </w:rPr>
      </w:pPr>
      <w:r>
        <w:rPr>
          <w:rFonts w:hint="eastAsia" w:ascii="仿宋_GB2312" w:eastAsia="仿宋_GB2312"/>
          <w:sz w:val="32"/>
          <w:szCs w:val="32"/>
        </w:rPr>
        <w:t>2019年机构改革后，市民政局相关职能职责调整，明确老年活动场所建设项目申报由财政部门负责，民政部门配合做好相关工作。下一步工作中，建议月照村委会针对各个村小组的实际，按照相关程序，逐年分批申报村小组的老年活动建设补助，民政局将积极给予协助和支持，力所能及配合财政部门争取省、市级补助资金，尽快把</w:t>
      </w:r>
      <w:r>
        <w:rPr>
          <w:rFonts w:hint="eastAsia" w:ascii="仿宋_GB2312" w:hAnsi="宋体" w:eastAsia="仿宋_GB2312"/>
          <w:color w:val="000000"/>
          <w:sz w:val="32"/>
          <w:szCs w:val="32"/>
        </w:rPr>
        <w:t>月照山、小拖沟、俄子箐、梅新村4个村小组的老年活动中心</w:t>
      </w:r>
      <w:r>
        <w:rPr>
          <w:rFonts w:hint="eastAsia" w:ascii="仿宋_GB2312" w:eastAsia="仿宋_GB2312"/>
          <w:sz w:val="32"/>
          <w:szCs w:val="32"/>
        </w:rPr>
        <w:t>建设好</w:t>
      </w:r>
      <w:r>
        <w:rPr>
          <w:rFonts w:hint="eastAsia" w:ascii="仿宋_GB2312" w:hAnsi="宋体" w:eastAsia="仿宋_GB2312"/>
          <w:color w:val="000000"/>
          <w:sz w:val="32"/>
          <w:szCs w:val="32"/>
        </w:rPr>
        <w:t>。</w:t>
      </w:r>
    </w:p>
    <w:p w14:paraId="7AA1F6EE">
      <w:pPr>
        <w:spacing w:line="520" w:lineRule="exact"/>
        <w:ind w:firstLine="640" w:firstLineChars="200"/>
        <w:rPr>
          <w:rFonts w:ascii="仿宋_GB2312" w:hAnsi="仿宋" w:eastAsia="仿宋_GB2312"/>
          <w:sz w:val="32"/>
          <w:szCs w:val="32"/>
        </w:rPr>
      </w:pPr>
      <w:r>
        <w:rPr>
          <w:rFonts w:hint="eastAsia" w:ascii="仿宋_GB2312" w:eastAsia="仿宋_GB2312"/>
          <w:sz w:val="32"/>
          <w:szCs w:val="32"/>
        </w:rPr>
        <w:t>再次感谢您对九乡老年人活动场所建设的关心与支持,</w:t>
      </w:r>
      <w:r>
        <w:rPr>
          <w:rFonts w:hint="eastAsia" w:ascii="仿宋_GB2312" w:hAnsi="仿宋" w:eastAsia="仿宋_GB2312"/>
          <w:sz w:val="32"/>
          <w:szCs w:val="32"/>
        </w:rPr>
        <w:t>欢迎对我们的工作提出宝贵意见和建议。</w:t>
      </w:r>
    </w:p>
    <w:p w14:paraId="0F570124">
      <w:pPr>
        <w:spacing w:line="52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联系人：邱忠虎    联系电话：0871--67526573</w:t>
      </w:r>
    </w:p>
    <w:p w14:paraId="5B4DF1D7">
      <w:pPr>
        <w:pStyle w:val="3"/>
        <w:spacing w:beforeAutospacing="0" w:afterAutospacing="0" w:line="520" w:lineRule="exact"/>
        <w:rPr>
          <w:rFonts w:hint="eastAsia" w:ascii="仿宋_GB2312" w:eastAsia="仿宋_GB2312"/>
          <w:color w:val="000000"/>
          <w:sz w:val="32"/>
          <w:szCs w:val="32"/>
        </w:rPr>
      </w:pPr>
    </w:p>
    <w:p w14:paraId="370AA7C1">
      <w:pPr>
        <w:pStyle w:val="3"/>
        <w:spacing w:beforeAutospacing="0" w:afterAutospacing="0" w:line="520" w:lineRule="exact"/>
        <w:rPr>
          <w:rFonts w:hint="eastAsia" w:ascii="仿宋_GB2312" w:eastAsia="仿宋_GB2312"/>
          <w:color w:val="000000"/>
          <w:sz w:val="32"/>
          <w:szCs w:val="32"/>
        </w:rPr>
      </w:pPr>
    </w:p>
    <w:p w14:paraId="1C03A6DA">
      <w:pPr>
        <w:pStyle w:val="3"/>
        <w:spacing w:beforeAutospacing="0" w:afterAutospacing="0" w:line="520" w:lineRule="exact"/>
        <w:rPr>
          <w:rFonts w:hint="eastAsia" w:ascii="仿宋_GB2312" w:eastAsia="仿宋_GB2312"/>
          <w:color w:val="000000"/>
          <w:sz w:val="32"/>
          <w:szCs w:val="32"/>
        </w:rPr>
      </w:pPr>
    </w:p>
    <w:p w14:paraId="4568C269">
      <w:pPr>
        <w:pStyle w:val="3"/>
        <w:spacing w:beforeAutospacing="0" w:afterAutospacing="0" w:line="520" w:lineRule="exact"/>
        <w:ind w:firstLine="5920" w:firstLineChars="1850"/>
        <w:rPr>
          <w:rFonts w:hint="eastAsia" w:ascii="仿宋_GB2312" w:eastAsia="仿宋_GB2312"/>
          <w:color w:val="000000"/>
          <w:sz w:val="32"/>
          <w:szCs w:val="32"/>
        </w:rPr>
      </w:pPr>
      <w:r>
        <w:rPr>
          <w:rFonts w:hint="eastAsia" w:ascii="仿宋_GB2312" w:eastAsia="仿宋_GB2312"/>
          <w:color w:val="000000"/>
          <w:sz w:val="32"/>
          <w:szCs w:val="32"/>
        </w:rPr>
        <w:t>宜良县民政局</w:t>
      </w:r>
    </w:p>
    <w:p w14:paraId="1153446E">
      <w:pPr>
        <w:pStyle w:val="3"/>
        <w:spacing w:beforeAutospacing="0" w:afterAutospacing="0" w:line="520" w:lineRule="exact"/>
        <w:ind w:firstLine="5760" w:firstLineChars="1800"/>
        <w:rPr>
          <w:rFonts w:hint="eastAsia" w:ascii="仿宋_GB2312" w:hAnsi="仿宋_GB2312" w:eastAsia="仿宋_GB2312" w:cs="仿宋_GB2312"/>
          <w:color w:val="000000"/>
          <w:sz w:val="32"/>
          <w:szCs w:val="32"/>
        </w:rPr>
      </w:pPr>
      <w:r>
        <w:rPr>
          <w:rFonts w:hint="eastAsia" w:ascii="仿宋_GB2312" w:eastAsia="仿宋_GB2312"/>
          <w:sz w:val="32"/>
          <w:szCs w:val="32"/>
        </w:rPr>
        <w:t>2019年5月16日</w:t>
      </w:r>
    </w:p>
    <w:p w14:paraId="7A52DEED">
      <w:pPr>
        <w:spacing w:line="500" w:lineRule="exact"/>
        <w:ind w:firstLine="5120" w:firstLineChars="1600"/>
        <w:rPr>
          <w:rFonts w:ascii="仿宋" w:hAnsi="仿宋" w:eastAsia="仿宋"/>
          <w:sz w:val="32"/>
          <w:szCs w:val="32"/>
        </w:rPr>
      </w:pPr>
    </w:p>
    <w:p w14:paraId="432F5CAD">
      <w:pPr>
        <w:spacing w:line="560" w:lineRule="exact"/>
        <w:ind w:firstLine="5120" w:firstLineChars="1600"/>
        <w:rPr>
          <w:rFonts w:ascii="仿宋_GB2312" w:hAnsi="仿宋" w:eastAsia="仿宋_GB2312"/>
          <w:sz w:val="32"/>
          <w:szCs w:val="32"/>
        </w:rPr>
      </w:pPr>
    </w:p>
    <w:p w14:paraId="18206CAC">
      <w:pPr>
        <w:spacing w:line="560" w:lineRule="exact"/>
        <w:ind w:firstLine="5120" w:firstLineChars="1600"/>
        <w:rPr>
          <w:rFonts w:ascii="仿宋_GB2312" w:hAnsi="仿宋" w:eastAsia="仿宋_GB2312"/>
          <w:sz w:val="32"/>
          <w:szCs w:val="32"/>
        </w:rPr>
      </w:pPr>
    </w:p>
    <w:p w14:paraId="6CBDF674">
      <w:pPr>
        <w:spacing w:line="560" w:lineRule="exact"/>
        <w:ind w:firstLine="5120" w:firstLineChars="1600"/>
        <w:rPr>
          <w:rFonts w:ascii="仿宋_GB2312" w:hAnsi="仿宋" w:eastAsia="仿宋_GB2312"/>
          <w:sz w:val="32"/>
          <w:szCs w:val="32"/>
        </w:rPr>
      </w:pPr>
    </w:p>
    <w:p w14:paraId="06C257F6">
      <w:pPr>
        <w:spacing w:line="560" w:lineRule="exact"/>
        <w:ind w:firstLine="5120" w:firstLineChars="1600"/>
        <w:rPr>
          <w:rFonts w:ascii="仿宋_GB2312" w:hAnsi="仿宋" w:eastAsia="仿宋_GB2312"/>
          <w:sz w:val="32"/>
          <w:szCs w:val="32"/>
        </w:rPr>
      </w:pPr>
    </w:p>
    <w:p w14:paraId="365BF523">
      <w:pPr>
        <w:spacing w:line="560" w:lineRule="exact"/>
        <w:ind w:firstLine="5120" w:firstLineChars="1600"/>
        <w:rPr>
          <w:rFonts w:ascii="仿宋_GB2312" w:hAnsi="仿宋" w:eastAsia="仿宋_GB2312"/>
          <w:sz w:val="32"/>
          <w:szCs w:val="32"/>
        </w:rPr>
      </w:pPr>
    </w:p>
    <w:p w14:paraId="51669DC8">
      <w:pPr>
        <w:spacing w:line="560" w:lineRule="exact"/>
        <w:ind w:firstLine="5120" w:firstLineChars="1600"/>
        <w:rPr>
          <w:rFonts w:ascii="仿宋_GB2312" w:hAnsi="仿宋" w:eastAsia="仿宋_GB2312"/>
          <w:sz w:val="32"/>
          <w:szCs w:val="32"/>
        </w:rPr>
      </w:pPr>
    </w:p>
    <w:p w14:paraId="2DDB63B3">
      <w:pPr>
        <w:spacing w:line="560" w:lineRule="exact"/>
        <w:ind w:firstLine="5120" w:firstLineChars="1600"/>
        <w:rPr>
          <w:rFonts w:ascii="仿宋_GB2312" w:hAnsi="仿宋" w:eastAsia="仿宋_GB2312"/>
          <w:sz w:val="32"/>
          <w:szCs w:val="32"/>
        </w:rPr>
      </w:pPr>
    </w:p>
    <w:p w14:paraId="71CDF8BF">
      <w:pPr>
        <w:spacing w:line="560" w:lineRule="exact"/>
        <w:ind w:firstLine="5120" w:firstLineChars="1600"/>
        <w:rPr>
          <w:rFonts w:ascii="仿宋_GB2312" w:hAnsi="仿宋" w:eastAsia="仿宋_GB2312"/>
          <w:sz w:val="32"/>
          <w:szCs w:val="32"/>
        </w:rPr>
      </w:pPr>
    </w:p>
    <w:p w14:paraId="11439D4F">
      <w:pPr>
        <w:spacing w:line="560" w:lineRule="exact"/>
        <w:ind w:firstLine="5120" w:firstLineChars="1600"/>
        <w:rPr>
          <w:rFonts w:ascii="仿宋_GB2312" w:hAnsi="仿宋" w:eastAsia="仿宋_GB2312"/>
          <w:sz w:val="32"/>
          <w:szCs w:val="32"/>
        </w:rPr>
      </w:pPr>
    </w:p>
    <w:p w14:paraId="76DF704C">
      <w:pPr>
        <w:spacing w:line="560" w:lineRule="exact"/>
        <w:ind w:firstLine="5120" w:firstLineChars="1600"/>
        <w:rPr>
          <w:rFonts w:ascii="仿宋_GB2312" w:hAnsi="仿宋" w:eastAsia="仿宋_GB2312"/>
          <w:sz w:val="32"/>
          <w:szCs w:val="32"/>
        </w:rPr>
      </w:pPr>
    </w:p>
    <w:p w14:paraId="32584A05">
      <w:pPr>
        <w:spacing w:line="560" w:lineRule="exact"/>
        <w:ind w:firstLine="5120" w:firstLineChars="1600"/>
        <w:rPr>
          <w:rFonts w:ascii="仿宋_GB2312" w:hAnsi="仿宋" w:eastAsia="仿宋_GB2312"/>
          <w:sz w:val="32"/>
          <w:szCs w:val="32"/>
        </w:rPr>
      </w:pPr>
    </w:p>
    <w:p w14:paraId="3EAF70A4">
      <w:pPr>
        <w:spacing w:line="560" w:lineRule="exact"/>
        <w:rPr>
          <w:rFonts w:ascii="仿宋_GB2312" w:hAnsi="仿宋" w:eastAsia="仿宋_GB2312"/>
          <w:sz w:val="32"/>
          <w:szCs w:val="32"/>
          <w:u w:val="single"/>
        </w:rPr>
      </w:pPr>
      <w:r>
        <w:rPr>
          <w:rFonts w:ascii="仿宋_GB2312" w:hAnsi="仿宋" w:eastAsia="仿宋_GB2312"/>
          <w:b/>
          <w:sz w:val="32"/>
          <w:szCs w:val="32"/>
          <w:u w:val="single"/>
        </w:rPr>
        <w:t xml:space="preserve">                                       </w:t>
      </w:r>
      <w:r>
        <w:rPr>
          <w:rFonts w:ascii="仿宋_GB2312" w:hAnsi="仿宋" w:eastAsia="仿宋_GB2312"/>
          <w:sz w:val="32"/>
          <w:szCs w:val="32"/>
          <w:u w:val="single"/>
        </w:rPr>
        <w:t xml:space="preserve">                   </w:t>
      </w:r>
    </w:p>
    <w:p w14:paraId="08A3E4E5">
      <w:pPr>
        <w:spacing w:line="560" w:lineRule="exact"/>
        <w:jc w:val="left"/>
        <w:rPr>
          <w:rFonts w:ascii="仿宋_GB2312" w:hAnsi="仿宋" w:eastAsia="仿宋_GB2312"/>
          <w:sz w:val="32"/>
          <w:szCs w:val="32"/>
          <w:u w:val="single"/>
        </w:rPr>
      </w:pPr>
      <w:r>
        <w:rPr>
          <w:rFonts w:hint="eastAsia" w:ascii="仿宋_GB2312" w:hAnsi="仿宋" w:eastAsia="仿宋_GB2312"/>
          <w:sz w:val="32"/>
          <w:szCs w:val="32"/>
          <w:u w:val="single"/>
        </w:rPr>
        <w:t>抄</w:t>
      </w:r>
      <w:r>
        <w:rPr>
          <w:rFonts w:ascii="仿宋_GB2312" w:hAnsi="仿宋" w:eastAsia="仿宋_GB2312"/>
          <w:sz w:val="32"/>
          <w:szCs w:val="32"/>
          <w:u w:val="single"/>
        </w:rPr>
        <w:t xml:space="preserve">  </w:t>
      </w:r>
      <w:r>
        <w:rPr>
          <w:rFonts w:hint="eastAsia" w:ascii="仿宋_GB2312" w:hAnsi="仿宋" w:eastAsia="仿宋_GB2312"/>
          <w:sz w:val="32"/>
          <w:szCs w:val="32"/>
          <w:u w:val="single"/>
        </w:rPr>
        <w:t>送</w:t>
      </w:r>
      <w:r>
        <w:rPr>
          <w:rFonts w:ascii="仿宋_GB2312" w:hAnsi="仿宋" w:eastAsia="仿宋_GB2312"/>
          <w:sz w:val="32"/>
          <w:szCs w:val="32"/>
          <w:u w:val="single"/>
        </w:rPr>
        <w:t>:</w:t>
      </w:r>
      <w:r>
        <w:rPr>
          <w:rFonts w:hint="eastAsia" w:ascii="仿宋_GB2312" w:hAnsi="仿宋" w:eastAsia="仿宋_GB2312"/>
          <w:sz w:val="32"/>
          <w:szCs w:val="32"/>
          <w:u w:val="single"/>
        </w:rPr>
        <w:t>县政府目督办、县人大法工委</w:t>
      </w:r>
      <w:r>
        <w:rPr>
          <w:rFonts w:ascii="仿宋_GB2312" w:hAnsi="仿宋" w:eastAsia="仿宋_GB2312"/>
          <w:sz w:val="32"/>
          <w:szCs w:val="32"/>
          <w:u w:val="single"/>
        </w:rPr>
        <w:t xml:space="preserve">                          </w:t>
      </w:r>
    </w:p>
    <w:p w14:paraId="7C585E9D">
      <w:pPr>
        <w:autoSpaceDN w:val="0"/>
        <w:spacing w:line="560" w:lineRule="exact"/>
        <w:rPr>
          <w:rFonts w:ascii="仿宋_GB2312" w:hAnsi="仿宋" w:eastAsia="仿宋_GB2312"/>
          <w:sz w:val="32"/>
          <w:szCs w:val="32"/>
          <w:u w:val="single"/>
        </w:rPr>
      </w:pPr>
      <w:r>
        <w:rPr>
          <w:rFonts w:hint="eastAsia" w:ascii="仿宋_GB2312" w:hAnsi="仿宋" w:eastAsia="仿宋_GB2312"/>
          <w:sz w:val="32"/>
          <w:szCs w:val="32"/>
          <w:u w:val="single"/>
        </w:rPr>
        <w:t>宜良县民政局办公室</w:t>
      </w:r>
      <w:r>
        <w:rPr>
          <w:rFonts w:ascii="仿宋_GB2312" w:hAnsi="仿宋" w:eastAsia="仿宋_GB2312"/>
          <w:sz w:val="32"/>
          <w:szCs w:val="32"/>
          <w:u w:val="single"/>
        </w:rPr>
        <w:t xml:space="preserve">  (</w:t>
      </w:r>
      <w:r>
        <w:rPr>
          <w:rFonts w:hint="eastAsia" w:ascii="仿宋_GB2312" w:hAnsi="仿宋" w:eastAsia="仿宋_GB2312"/>
          <w:sz w:val="32"/>
          <w:szCs w:val="32"/>
          <w:u w:val="single"/>
        </w:rPr>
        <w:t>共印</w:t>
      </w:r>
      <w:r>
        <w:rPr>
          <w:rFonts w:ascii="仿宋_GB2312" w:hAnsi="仿宋" w:eastAsia="仿宋_GB2312"/>
          <w:sz w:val="32"/>
          <w:szCs w:val="32"/>
          <w:u w:val="single"/>
        </w:rPr>
        <w:t>10</w:t>
      </w:r>
      <w:r>
        <w:rPr>
          <w:rFonts w:hint="eastAsia" w:ascii="仿宋_GB2312" w:hAnsi="仿宋" w:eastAsia="仿宋_GB2312" w:cs="宋体"/>
          <w:sz w:val="32"/>
          <w:szCs w:val="32"/>
          <w:u w:val="single"/>
        </w:rPr>
        <w:t>份</w:t>
      </w:r>
      <w:r>
        <w:rPr>
          <w:rFonts w:ascii="仿宋_GB2312" w:hAnsi="仿宋" w:eastAsia="仿宋_GB2312" w:cs="宋体"/>
          <w:sz w:val="32"/>
          <w:szCs w:val="32"/>
          <w:u w:val="single"/>
        </w:rPr>
        <w:t>)</w:t>
      </w:r>
      <w:r>
        <w:rPr>
          <w:rFonts w:ascii="仿宋_GB2312" w:hAnsi="仿宋" w:eastAsia="仿宋_GB2312"/>
          <w:sz w:val="32"/>
          <w:szCs w:val="32"/>
          <w:u w:val="single"/>
        </w:rPr>
        <w:t xml:space="preserve">       201</w:t>
      </w:r>
      <w:r>
        <w:rPr>
          <w:rFonts w:hint="eastAsia" w:ascii="仿宋_GB2312" w:hAnsi="仿宋" w:eastAsia="仿宋_GB2312"/>
          <w:sz w:val="32"/>
          <w:szCs w:val="32"/>
          <w:u w:val="single"/>
          <w:lang w:val="en-US" w:eastAsia="zh-CN"/>
        </w:rPr>
        <w:t>9</w:t>
      </w:r>
      <w:r>
        <w:rPr>
          <w:rFonts w:hint="eastAsia" w:ascii="仿宋_GB2312" w:hAnsi="仿宋" w:eastAsia="仿宋_GB2312"/>
          <w:sz w:val="32"/>
          <w:szCs w:val="32"/>
          <w:u w:val="single"/>
        </w:rPr>
        <w:t>年</w:t>
      </w:r>
      <w:r>
        <w:rPr>
          <w:rFonts w:hint="eastAsia" w:ascii="仿宋_GB2312" w:hAnsi="仿宋" w:eastAsia="仿宋_GB2312"/>
          <w:sz w:val="32"/>
          <w:szCs w:val="32"/>
          <w:u w:val="single"/>
          <w:lang w:val="en-US" w:eastAsia="zh-CN"/>
        </w:rPr>
        <w:t>5</w:t>
      </w:r>
      <w:r>
        <w:rPr>
          <w:rFonts w:hint="eastAsia" w:ascii="仿宋_GB2312" w:hAnsi="仿宋" w:eastAsia="仿宋_GB2312"/>
          <w:sz w:val="32"/>
          <w:szCs w:val="32"/>
          <w:u w:val="single"/>
        </w:rPr>
        <w:t>月</w:t>
      </w:r>
      <w:r>
        <w:rPr>
          <w:rFonts w:ascii="仿宋_GB2312" w:hAnsi="仿宋" w:eastAsia="仿宋_GB2312"/>
          <w:sz w:val="32"/>
          <w:szCs w:val="32"/>
          <w:u w:val="single"/>
        </w:rPr>
        <w:t>1</w:t>
      </w:r>
      <w:r>
        <w:rPr>
          <w:rFonts w:hint="eastAsia" w:ascii="仿宋_GB2312" w:hAnsi="仿宋" w:eastAsia="仿宋_GB2312"/>
          <w:sz w:val="32"/>
          <w:szCs w:val="32"/>
          <w:u w:val="single"/>
          <w:lang w:val="en-US" w:eastAsia="zh-CN"/>
        </w:rPr>
        <w:t>6</w:t>
      </w:r>
      <w:r>
        <w:rPr>
          <w:rFonts w:hint="eastAsia" w:ascii="仿宋_GB2312" w:hAnsi="仿宋" w:eastAsia="仿宋_GB2312"/>
          <w:sz w:val="32"/>
          <w:szCs w:val="32"/>
          <w:u w:val="single"/>
        </w:rPr>
        <w:t>日印发</w:t>
      </w:r>
      <w:r>
        <w:rPr>
          <w:rFonts w:ascii="仿宋_GB2312" w:hAnsi="仿宋" w:eastAsia="仿宋_GB2312"/>
          <w:sz w:val="32"/>
          <w:szCs w:val="32"/>
          <w:u w:val="single"/>
        </w:rPr>
        <w:t xml:space="preserve">   </w:t>
      </w:r>
    </w:p>
    <w:p w14:paraId="425ED0CC"/>
    <w:sectPr>
      <w:pgSz w:w="11906" w:h="16838"/>
      <w:pgMar w:top="1440" w:right="1474" w:bottom="1440" w:left="1587" w:header="851" w:footer="992"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方正姚体">
    <w:panose1 w:val="02010601030101010101"/>
    <w:charset w:val="86"/>
    <w:family w:val="auto"/>
    <w:pitch w:val="default"/>
    <w:sig w:usb0="00000003" w:usb1="080E0000" w:usb2="00000000" w:usb3="00000000" w:csb0="00040000" w:csb1="00000000"/>
  </w:font>
  <w:font w:name="方正小标宋简体">
    <w:altName w:val="微软雅黑"/>
    <w:panose1 w:val="00000000000000000000"/>
    <w:charset w:val="86"/>
    <w:family w:val="auto"/>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M3N2E0MzIyYjljZDM0MGI2NWNmZjFkNDgzZjk5ZmIifQ=="/>
  </w:docVars>
  <w:rsids>
    <w:rsidRoot w:val="31D925B4"/>
    <w:rsid w:val="0000122C"/>
    <w:rsid w:val="000819E4"/>
    <w:rsid w:val="000E5192"/>
    <w:rsid w:val="00376F45"/>
    <w:rsid w:val="003C5870"/>
    <w:rsid w:val="0040199E"/>
    <w:rsid w:val="00411551"/>
    <w:rsid w:val="005C352B"/>
    <w:rsid w:val="00956E16"/>
    <w:rsid w:val="00983919"/>
    <w:rsid w:val="00C743F9"/>
    <w:rsid w:val="02B352E9"/>
    <w:rsid w:val="0D4A3031"/>
    <w:rsid w:val="134F6CF0"/>
    <w:rsid w:val="2D9A0328"/>
    <w:rsid w:val="31D925B4"/>
    <w:rsid w:val="4F796208"/>
    <w:rsid w:val="56B47263"/>
    <w:rsid w:val="652B32ED"/>
    <w:rsid w:val="7BC34888"/>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uiPriority="99" w:name="header"/>
    <w:lsdException w:qFormat="1" w:unhideWhenUsed="0" w:uiPriority="0"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qFormat/>
    <w:uiPriority w:val="99"/>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Normal (Web)"/>
    <w:basedOn w:val="1"/>
    <w:qFormat/>
    <w:uiPriority w:val="0"/>
    <w:pPr>
      <w:widowControl/>
      <w:spacing w:beforeAutospacing="1" w:afterAutospacing="1"/>
      <w:jc w:val="left"/>
    </w:pPr>
    <w:rPr>
      <w:rFonts w:ascii="宋体" w:hAnsi="宋体" w:cs="宋体"/>
      <w:kern w:val="0"/>
      <w:sz w:val="24"/>
    </w:rPr>
  </w:style>
  <w:style w:type="character" w:styleId="6">
    <w:name w:val="page number"/>
    <w:basedOn w:val="5"/>
    <w:qFormat/>
    <w:uiPriority w:val="0"/>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Pages>3</Pages>
  <Words>1153</Words>
  <Characters>1193</Characters>
  <Lines>0</Lines>
  <Paragraphs>0</Paragraphs>
  <TotalTime>1</TotalTime>
  <ScaleCrop>false</ScaleCrop>
  <LinksUpToDate>false</LinksUpToDate>
  <CharactersWithSpaces>1295</CharactersWithSpaces>
  <Application>WPS Office_12.1.0.17827_F1E327BC-269C-435d-A152-05C5408002CA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2018-05-10T07:20:00Z</dcterms:created>
  <dc:creator>TEA</dc:creator>
  <cp:lastModifiedBy>@逐梦@-林</cp:lastModifiedBy>
  <cp:lastPrinted>2019-05-20T01:19:00Z</cp:lastPrinted>
  <dcterms:modified xsi:type="dcterms:W3CDTF">2026-07-17T03:36:54Z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F458B815135646EC9061697F3C4ACB6F_13</vt:lpwstr>
  </property>
</Properties>
</file>