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rPr>
          <w:rFonts w:hint="default" w:ascii="Times New Roman" w:hAnsi="Times New Roman" w:cs="Times New Roman"/>
          <w:color w:val="auto"/>
          <w:spacing w:val="0"/>
          <w:position w:val="0"/>
        </w:rPr>
      </w:pPr>
    </w:p>
    <w:p>
      <w:pPr>
        <w:spacing w:line="240" w:lineRule="auto"/>
        <w:ind w:firstLine="0" w:firstLineChars="0"/>
        <w:rPr>
          <w:rFonts w:hint="default" w:ascii="Times New Roman" w:hAnsi="Times New Roman" w:cs="Times New Roman"/>
          <w:color w:val="auto"/>
          <w:spacing w:val="0"/>
          <w:position w:val="0"/>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rPr>
      </w:pPr>
    </w:p>
    <w:p>
      <w:pPr>
        <w:spacing w:line="480" w:lineRule="auto"/>
        <w:ind w:firstLine="0" w:firstLineChars="0"/>
        <w:jc w:val="center"/>
        <w:rPr>
          <w:rFonts w:hint="default" w:ascii="Times New Roman" w:hAnsi="Times New Roman" w:cs="Times New Roman"/>
          <w:b/>
          <w:bCs/>
          <w:color w:val="auto"/>
          <w:spacing w:val="0"/>
          <w:position w:val="0"/>
          <w:sz w:val="40"/>
          <w:szCs w:val="40"/>
          <w:lang w:val="en-US" w:eastAsia="zh-CN"/>
        </w:rPr>
      </w:pPr>
      <w:r>
        <w:rPr>
          <w:rFonts w:hint="default" w:ascii="Times New Roman" w:hAnsi="Times New Roman" w:cs="Times New Roman"/>
          <w:b/>
          <w:bCs/>
          <w:color w:val="auto"/>
          <w:spacing w:val="0"/>
          <w:position w:val="0"/>
          <w:sz w:val="40"/>
          <w:szCs w:val="40"/>
          <w:lang w:val="en-US" w:eastAsia="zh-CN"/>
        </w:rPr>
        <w:t>宜良县海马箐水库饮用水水源地</w:t>
      </w:r>
    </w:p>
    <w:p>
      <w:pPr>
        <w:spacing w:line="480" w:lineRule="auto"/>
        <w:ind w:firstLine="0" w:firstLineChars="0"/>
        <w:jc w:val="center"/>
        <w:rPr>
          <w:rFonts w:hint="default" w:ascii="Times New Roman" w:hAnsi="Times New Roman" w:cs="Times New Roman"/>
          <w:b/>
          <w:bCs/>
          <w:color w:val="auto"/>
          <w:spacing w:val="0"/>
          <w:position w:val="0"/>
          <w:sz w:val="40"/>
          <w:szCs w:val="40"/>
          <w:lang w:val="en-US" w:eastAsia="zh-CN"/>
        </w:rPr>
      </w:pPr>
      <w:r>
        <w:rPr>
          <w:rFonts w:hint="default" w:ascii="Times New Roman" w:hAnsi="Times New Roman" w:cs="Times New Roman"/>
          <w:b/>
          <w:bCs/>
          <w:color w:val="auto"/>
          <w:spacing w:val="0"/>
          <w:position w:val="0"/>
          <w:sz w:val="40"/>
          <w:szCs w:val="40"/>
          <w:lang w:val="en-US" w:eastAsia="zh-CN"/>
        </w:rPr>
        <w:t>（宜良县范围）保护项目</w:t>
      </w:r>
    </w:p>
    <w:p>
      <w:pPr>
        <w:spacing w:line="480" w:lineRule="auto"/>
        <w:ind w:firstLine="0" w:firstLineChars="0"/>
        <w:jc w:val="center"/>
        <w:rPr>
          <w:rFonts w:hint="default" w:ascii="Times New Roman" w:hAnsi="Times New Roman" w:cs="Times New Roman"/>
          <w:b/>
          <w:bCs/>
          <w:color w:val="auto"/>
          <w:spacing w:val="0"/>
          <w:position w:val="0"/>
          <w:sz w:val="40"/>
          <w:szCs w:val="40"/>
          <w:lang w:val="en-US" w:eastAsia="zh-CN"/>
        </w:rPr>
      </w:pPr>
    </w:p>
    <w:p>
      <w:pPr>
        <w:spacing w:line="480" w:lineRule="auto"/>
        <w:ind w:firstLine="0" w:firstLineChars="0"/>
        <w:jc w:val="center"/>
        <w:rPr>
          <w:rFonts w:hint="default" w:ascii="Times New Roman" w:hAnsi="Times New Roman" w:cs="Times New Roman"/>
          <w:b/>
          <w:bCs/>
          <w:color w:val="auto"/>
          <w:spacing w:val="0"/>
          <w:position w:val="0"/>
          <w:sz w:val="44"/>
          <w:szCs w:val="44"/>
        </w:rPr>
      </w:pPr>
      <w:r>
        <w:rPr>
          <w:rFonts w:hint="default" w:ascii="Times New Roman" w:hAnsi="Times New Roman" w:cs="Times New Roman"/>
          <w:b/>
          <w:bCs/>
          <w:color w:val="auto"/>
          <w:spacing w:val="0"/>
          <w:position w:val="0"/>
          <w:sz w:val="44"/>
          <w:szCs w:val="44"/>
        </w:rPr>
        <w:t>地表水环境影响专题评价</w:t>
      </w: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240" w:lineRule="auto"/>
        <w:ind w:firstLine="0" w:firstLineChars="0"/>
        <w:rPr>
          <w:rFonts w:hint="default" w:ascii="Times New Roman" w:hAnsi="Times New Roman" w:cs="Times New Roman"/>
          <w:color w:val="auto"/>
          <w:spacing w:val="0"/>
          <w:position w:val="0"/>
          <w:sz w:val="21"/>
        </w:rPr>
      </w:pPr>
    </w:p>
    <w:p>
      <w:pPr>
        <w:spacing w:line="360" w:lineRule="auto"/>
        <w:ind w:firstLine="0" w:firstLineChars="0"/>
        <w:jc w:val="center"/>
        <w:rPr>
          <w:rFonts w:hint="default" w:ascii="Times New Roman" w:hAnsi="Times New Roman" w:cs="Times New Roman"/>
          <w:b/>
          <w:bCs/>
          <w:color w:val="auto"/>
          <w:spacing w:val="0"/>
          <w:position w:val="0"/>
          <w:sz w:val="32"/>
          <w:szCs w:val="32"/>
        </w:rPr>
      </w:pPr>
      <w:r>
        <w:rPr>
          <w:rFonts w:hint="default" w:ascii="Times New Roman" w:hAnsi="Times New Roman" w:cs="Times New Roman"/>
          <w:b/>
          <w:bCs/>
          <w:color w:val="auto"/>
          <w:spacing w:val="0"/>
          <w:position w:val="0"/>
          <w:sz w:val="32"/>
          <w:szCs w:val="32"/>
        </w:rPr>
        <w:t>建设单位：宜良县</w:t>
      </w:r>
      <w:r>
        <w:rPr>
          <w:rFonts w:hint="default" w:ascii="Times New Roman" w:hAnsi="Times New Roman" w:cs="Times New Roman"/>
          <w:b/>
          <w:bCs/>
          <w:color w:val="auto"/>
          <w:spacing w:val="0"/>
          <w:position w:val="0"/>
          <w:sz w:val="32"/>
          <w:szCs w:val="32"/>
          <w:lang w:eastAsia="zh-CN"/>
        </w:rPr>
        <w:t>海马箐水库管理局</w:t>
      </w:r>
    </w:p>
    <w:p>
      <w:pPr>
        <w:spacing w:line="360" w:lineRule="auto"/>
        <w:ind w:firstLine="0" w:firstLineChars="0"/>
        <w:jc w:val="center"/>
        <w:rPr>
          <w:rFonts w:hint="default" w:ascii="Times New Roman" w:hAnsi="Times New Roman" w:cs="Times New Roman"/>
          <w:b/>
          <w:bCs/>
          <w:color w:val="auto"/>
          <w:spacing w:val="0"/>
          <w:position w:val="0"/>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bCs/>
          <w:color w:val="auto"/>
          <w:spacing w:val="0"/>
          <w:position w:val="0"/>
          <w:sz w:val="32"/>
          <w:szCs w:val="32"/>
        </w:rPr>
        <w:t>编制日期：2026年</w:t>
      </w:r>
      <w:r>
        <w:rPr>
          <w:rFonts w:hint="eastAsia" w:cs="Times New Roman"/>
          <w:b/>
          <w:bCs/>
          <w:color w:val="auto"/>
          <w:spacing w:val="0"/>
          <w:position w:val="0"/>
          <w:sz w:val="32"/>
          <w:szCs w:val="32"/>
          <w:lang w:val="en-US" w:eastAsia="zh-CN"/>
        </w:rPr>
        <w:t>7</w:t>
      </w:r>
      <w:r>
        <w:rPr>
          <w:rFonts w:hint="default" w:ascii="Times New Roman" w:hAnsi="Times New Roman" w:cs="Times New Roman"/>
          <w:b/>
          <w:bCs/>
          <w:color w:val="auto"/>
          <w:spacing w:val="0"/>
          <w:position w:val="0"/>
          <w:sz w:val="32"/>
          <w:szCs w:val="32"/>
        </w:rPr>
        <w:t>月</w:t>
      </w:r>
    </w:p>
    <w:sdt>
      <w:sdtPr>
        <w:rPr>
          <w:rFonts w:hint="default" w:ascii="Times New Roman" w:hAnsi="Times New Roman" w:eastAsia="宋体" w:cs="Times New Roman"/>
          <w:color w:val="auto"/>
          <w:spacing w:val="0"/>
          <w:kern w:val="2"/>
          <w:position w:val="0"/>
          <w:sz w:val="24"/>
          <w:szCs w:val="24"/>
          <w:lang w:val="zh-CN"/>
        </w:rPr>
        <w:id w:val="1082488683"/>
        <w:docPartObj>
          <w:docPartGallery w:val="Table of Contents"/>
          <w:docPartUnique/>
        </w:docPartObj>
      </w:sdtPr>
      <w:sdtEndPr>
        <w:rPr>
          <w:rFonts w:hint="default" w:ascii="Times New Roman" w:hAnsi="Times New Roman" w:eastAsia="宋体" w:cs="Times New Roman"/>
          <w:b/>
          <w:bCs/>
          <w:color w:val="auto"/>
          <w:spacing w:val="0"/>
          <w:kern w:val="2"/>
          <w:position w:val="0"/>
          <w:sz w:val="24"/>
          <w:szCs w:val="24"/>
          <w:lang w:val="zh-CN"/>
        </w:rPr>
      </w:sdtEndPr>
      <w:sdtContent>
        <w:p>
          <w:pPr>
            <w:pStyle w:val="62"/>
            <w:spacing w:line="360" w:lineRule="auto"/>
            <w:jc w:val="center"/>
            <w:rPr>
              <w:rFonts w:hint="default" w:ascii="Times New Roman" w:hAnsi="Times New Roman" w:eastAsia="宋体" w:cs="Times New Roman"/>
              <w:b/>
              <w:bCs/>
              <w:color w:val="auto"/>
              <w:spacing w:val="0"/>
              <w:position w:val="0"/>
            </w:rPr>
          </w:pPr>
          <w:r>
            <w:rPr>
              <w:rFonts w:hint="default" w:ascii="Times New Roman" w:hAnsi="Times New Roman" w:eastAsia="宋体" w:cs="Times New Roman"/>
              <w:b/>
              <w:bCs/>
              <w:color w:val="auto"/>
              <w:spacing w:val="0"/>
              <w:position w:val="0"/>
              <w:lang w:val="zh-CN"/>
            </w:rPr>
            <w:t>目录</w:t>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color w:val="auto"/>
              <w:spacing w:val="0"/>
              <w:position w:val="0"/>
              <w:sz w:val="24"/>
              <w:szCs w:val="24"/>
            </w:rPr>
            <w:fldChar w:fldCharType="begin"/>
          </w:r>
          <w:r>
            <w:rPr>
              <w:rFonts w:hint="default" w:ascii="Times New Roman" w:hAnsi="Times New Roman" w:eastAsia="宋体" w:cs="Times New Roman"/>
              <w:color w:val="auto"/>
              <w:spacing w:val="0"/>
              <w:position w:val="0"/>
              <w:sz w:val="24"/>
              <w:szCs w:val="24"/>
            </w:rPr>
            <w:instrText xml:space="preserve"> TOC \o "1-3" \h \z \u </w:instrText>
          </w:r>
          <w:r>
            <w:rPr>
              <w:rFonts w:hint="default" w:ascii="Times New Roman" w:hAnsi="Times New Roman" w:eastAsia="宋体" w:cs="Times New Roman"/>
              <w:color w:val="auto"/>
              <w:spacing w:val="0"/>
              <w:position w:val="0"/>
              <w:sz w:val="24"/>
              <w:szCs w:val="24"/>
            </w:rPr>
            <w:fldChar w:fldCharType="separate"/>
          </w:r>
          <w:r>
            <w:rPr>
              <w:rFonts w:hint="default" w:ascii="Times New Roman" w:hAnsi="Times New Roman" w:eastAsia="宋体" w:cs="Times New Roman"/>
              <w:color w:val="auto"/>
              <w:spacing w:val="0"/>
              <w:position w:val="0"/>
              <w:szCs w:val="24"/>
            </w:rPr>
            <w:fldChar w:fldCharType="begin"/>
          </w:r>
          <w:r>
            <w:rPr>
              <w:rFonts w:hint="default" w:ascii="Times New Roman" w:hAnsi="Times New Roman" w:eastAsia="宋体" w:cs="Times New Roman"/>
              <w:color w:val="auto"/>
              <w:spacing w:val="0"/>
              <w:position w:val="0"/>
              <w:szCs w:val="24"/>
            </w:rPr>
            <w:instrText xml:space="preserve"> HYPERLINK \l _Toc25409 </w:instrText>
          </w:r>
          <w:r>
            <w:rPr>
              <w:rFonts w:hint="default" w:ascii="Times New Roman" w:hAnsi="Times New Roman" w:eastAsia="宋体" w:cs="Times New Roman"/>
              <w:color w:val="auto"/>
              <w:spacing w:val="0"/>
              <w:position w:val="0"/>
              <w:szCs w:val="24"/>
            </w:rPr>
            <w:fldChar w:fldCharType="separate"/>
          </w:r>
          <w:r>
            <w:rPr>
              <w:rFonts w:hint="default" w:ascii="Times New Roman" w:hAnsi="Times New Roman" w:eastAsia="宋体" w:cs="Times New Roman"/>
              <w:bCs/>
              <w:color w:val="auto"/>
              <w:spacing w:val="0"/>
              <w:position w:val="0"/>
              <w:szCs w:val="28"/>
            </w:rPr>
            <w:t>1概述</w:t>
          </w:r>
          <w:r>
            <w:rPr>
              <w:color w:val="auto"/>
            </w:rPr>
            <w:tab/>
          </w:r>
          <w:r>
            <w:rPr>
              <w:color w:val="auto"/>
            </w:rPr>
            <w:fldChar w:fldCharType="begin"/>
          </w:r>
          <w:r>
            <w:rPr>
              <w:color w:val="auto"/>
            </w:rPr>
            <w:instrText xml:space="preserve"> PAGEREF _Toc25409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pacing w:val="0"/>
              <w:position w:val="0"/>
              <w:szCs w:val="24"/>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_Toc8604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8"/>
              <w:lang w:val="en-US" w:eastAsia="zh-CN"/>
            </w:rPr>
            <w:t>2</w:t>
          </w:r>
          <w:r>
            <w:rPr>
              <w:rFonts w:hint="default" w:ascii="Times New Roman" w:hAnsi="Times New Roman" w:eastAsia="宋体" w:cs="Times New Roman"/>
              <w:bCs/>
              <w:color w:val="auto"/>
              <w:spacing w:val="0"/>
              <w:position w:val="0"/>
              <w:szCs w:val="28"/>
            </w:rPr>
            <w:t>编制依据</w:t>
          </w:r>
          <w:r>
            <w:rPr>
              <w:color w:val="auto"/>
            </w:rPr>
            <w:tab/>
          </w:r>
          <w:r>
            <w:rPr>
              <w:color w:val="auto"/>
            </w:rPr>
            <w:fldChar w:fldCharType="begin"/>
          </w:r>
          <w:r>
            <w:rPr>
              <w:color w:val="auto"/>
            </w:rPr>
            <w:instrText xml:space="preserve"> PAGEREF _Toc8604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_Toc28467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4"/>
              <w:lang w:val="en-US" w:eastAsia="zh-CN"/>
            </w:rPr>
            <w:t>2.1</w:t>
          </w:r>
          <w:r>
            <w:rPr>
              <w:rFonts w:hint="default" w:ascii="Times New Roman" w:hAnsi="Times New Roman" w:eastAsia="宋体" w:cs="Times New Roman"/>
              <w:bCs/>
              <w:color w:val="auto"/>
              <w:spacing w:val="0"/>
              <w:position w:val="0"/>
              <w:szCs w:val="24"/>
            </w:rPr>
            <w:t>法律法规</w:t>
          </w:r>
          <w:r>
            <w:rPr>
              <w:color w:val="auto"/>
            </w:rPr>
            <w:tab/>
          </w:r>
          <w:r>
            <w:rPr>
              <w:color w:val="auto"/>
            </w:rPr>
            <w:fldChar w:fldCharType="begin"/>
          </w:r>
          <w:r>
            <w:rPr>
              <w:color w:val="auto"/>
            </w:rPr>
            <w:instrText xml:space="preserve"> PAGEREF _Toc28467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_Toc31271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4"/>
              <w:lang w:val="en-US" w:eastAsia="zh-CN"/>
            </w:rPr>
            <w:t>2.2技术规范</w:t>
          </w:r>
          <w:r>
            <w:rPr>
              <w:color w:val="auto"/>
            </w:rPr>
            <w:tab/>
          </w:r>
          <w:r>
            <w:rPr>
              <w:color w:val="auto"/>
            </w:rPr>
            <w:fldChar w:fldCharType="begin"/>
          </w:r>
          <w:r>
            <w:rPr>
              <w:color w:val="auto"/>
            </w:rPr>
            <w:instrText xml:space="preserve"> PAGEREF _Toc31271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_Toc5394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4"/>
              <w:lang w:val="en-US" w:eastAsia="zh-CN"/>
            </w:rPr>
            <w:t>2.3项目依据</w:t>
          </w:r>
          <w:r>
            <w:rPr>
              <w:color w:val="auto"/>
            </w:rPr>
            <w:tab/>
          </w:r>
          <w:r>
            <w:rPr>
              <w:color w:val="auto"/>
            </w:rPr>
            <w:fldChar w:fldCharType="begin"/>
          </w:r>
          <w:r>
            <w:rPr>
              <w:color w:val="auto"/>
            </w:rPr>
            <w:instrText xml:space="preserve"> PAGEREF _Toc5394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_Toc3121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8"/>
              <w:lang w:val="en-US" w:eastAsia="zh-CN"/>
            </w:rPr>
            <w:t>3评价目的</w:t>
          </w:r>
          <w:r>
            <w:rPr>
              <w:color w:val="auto"/>
            </w:rPr>
            <w:tab/>
          </w:r>
          <w:r>
            <w:rPr>
              <w:color w:val="auto"/>
            </w:rPr>
            <w:fldChar w:fldCharType="begin"/>
          </w:r>
          <w:r>
            <w:rPr>
              <w:color w:val="auto"/>
            </w:rPr>
            <w:instrText xml:space="preserve"> PAGEREF _Toc3121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_Toc7586 </w:instrText>
          </w:r>
          <w:r>
            <w:rPr>
              <w:rFonts w:hint="default" w:ascii="Times New Roman" w:hAnsi="Times New Roman" w:eastAsia="宋体" w:cs="Times New Roman"/>
              <w:bCs/>
              <w:color w:val="auto"/>
              <w:spacing w:val="0"/>
              <w:position w:val="0"/>
              <w:szCs w:val="24"/>
              <w:lang w:val="zh-CN"/>
            </w:rPr>
            <w:fldChar w:fldCharType="separate"/>
          </w:r>
          <w:r>
            <w:rPr>
              <w:rFonts w:hint="default" w:ascii="Times New Roman" w:hAnsi="Times New Roman" w:eastAsia="宋体" w:cs="Times New Roman"/>
              <w:bCs/>
              <w:color w:val="auto"/>
              <w:spacing w:val="0"/>
              <w:position w:val="0"/>
              <w:szCs w:val="24"/>
              <w:lang w:val="en-US" w:eastAsia="zh-CN"/>
            </w:rPr>
            <w:t>3.1评价等级</w:t>
          </w:r>
          <w:r>
            <w:rPr>
              <w:color w:val="auto"/>
            </w:rPr>
            <w:tab/>
          </w:r>
          <w:r>
            <w:rPr>
              <w:color w:val="auto"/>
            </w:rPr>
            <w:fldChar w:fldCharType="begin"/>
          </w:r>
          <w:r>
            <w:rPr>
              <w:color w:val="auto"/>
            </w:rPr>
            <w:instrText xml:space="preserve"> PAGEREF _Toc7586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_Toc22933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3.2</w:t>
          </w:r>
          <w:r>
            <w:rPr>
              <w:rFonts w:hint="default" w:ascii="Times New Roman" w:hAnsi="Times New Roman" w:eastAsia="宋体" w:cs="Times New Roman"/>
              <w:bCs/>
              <w:color w:val="auto"/>
              <w:spacing w:val="0"/>
              <w:position w:val="0"/>
              <w:szCs w:val="24"/>
              <w:lang w:val="en-US" w:eastAsia="zh-CN"/>
            </w:rPr>
            <w:t>评价范围</w:t>
          </w:r>
          <w:r>
            <w:rPr>
              <w:color w:val="auto"/>
            </w:rPr>
            <w:tab/>
          </w:r>
          <w:r>
            <w:rPr>
              <w:color w:val="auto"/>
            </w:rPr>
            <w:fldChar w:fldCharType="begin"/>
          </w:r>
          <w:r>
            <w:rPr>
              <w:color w:val="auto"/>
            </w:rPr>
            <w:instrText xml:space="preserve"> PAGEREF _Toc22933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_Toc5845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3.3</w:t>
          </w:r>
          <w:r>
            <w:rPr>
              <w:rFonts w:hint="default" w:ascii="Times New Roman" w:hAnsi="Times New Roman" w:eastAsia="宋体" w:cs="Times New Roman"/>
              <w:bCs/>
              <w:color w:val="auto"/>
              <w:spacing w:val="0"/>
              <w:position w:val="0"/>
              <w:szCs w:val="24"/>
              <w:lang w:val="en-US" w:eastAsia="zh-CN"/>
            </w:rPr>
            <w:t>评价标准</w:t>
          </w:r>
          <w:r>
            <w:rPr>
              <w:color w:val="auto"/>
            </w:rPr>
            <w:tab/>
          </w:r>
          <w:r>
            <w:rPr>
              <w:color w:val="auto"/>
            </w:rPr>
            <w:fldChar w:fldCharType="begin"/>
          </w:r>
          <w:r>
            <w:rPr>
              <w:color w:val="auto"/>
            </w:rPr>
            <w:instrText xml:space="preserve"> PAGEREF _Toc5845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_Toc1531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3.4</w:t>
          </w:r>
          <w:r>
            <w:rPr>
              <w:rFonts w:hint="default" w:ascii="Times New Roman" w:hAnsi="Times New Roman" w:eastAsia="宋体" w:cs="Times New Roman"/>
              <w:bCs/>
              <w:color w:val="auto"/>
              <w:spacing w:val="0"/>
              <w:position w:val="0"/>
              <w:szCs w:val="24"/>
              <w:lang w:val="en-US" w:eastAsia="zh-CN"/>
            </w:rPr>
            <w:t>评价</w:t>
          </w:r>
          <w:r>
            <w:rPr>
              <w:rFonts w:hint="eastAsia" w:ascii="Times New Roman" w:hAnsi="Times New Roman" w:cs="Times New Roman"/>
              <w:bCs/>
              <w:color w:val="auto"/>
              <w:spacing w:val="0"/>
              <w:position w:val="0"/>
              <w:szCs w:val="24"/>
              <w:lang w:val="en-US" w:eastAsia="zh-CN"/>
            </w:rPr>
            <w:t>重点</w:t>
          </w:r>
          <w:r>
            <w:rPr>
              <w:color w:val="auto"/>
            </w:rPr>
            <w:tab/>
          </w:r>
          <w:r>
            <w:rPr>
              <w:color w:val="auto"/>
            </w:rPr>
            <w:fldChar w:fldCharType="begin"/>
          </w:r>
          <w:r>
            <w:rPr>
              <w:color w:val="auto"/>
            </w:rPr>
            <w:instrText xml:space="preserve"> PAGEREF _Toc1531 \h </w:instrText>
          </w:r>
          <w:r>
            <w:rPr>
              <w:color w:val="auto"/>
            </w:rPr>
            <w:fldChar w:fldCharType="separate"/>
          </w:r>
          <w:r>
            <w:rPr>
              <w:color w:val="auto"/>
            </w:rPr>
            <w:t>6</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_Toc5448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8"/>
              <w:lang w:val="en-US" w:eastAsia="zh-CN"/>
            </w:rPr>
            <w:t>4</w:t>
          </w:r>
          <w:r>
            <w:rPr>
              <w:rFonts w:hint="default" w:ascii="Times New Roman" w:hAnsi="Times New Roman" w:eastAsia="宋体" w:cs="Times New Roman"/>
              <w:bCs/>
              <w:color w:val="auto"/>
              <w:spacing w:val="0"/>
              <w:position w:val="0"/>
              <w:szCs w:val="28"/>
              <w:lang w:val="en-US" w:eastAsia="zh-CN"/>
            </w:rPr>
            <w:t>地表水环境现状调查与评价</w:t>
          </w:r>
          <w:r>
            <w:rPr>
              <w:color w:val="auto"/>
            </w:rPr>
            <w:tab/>
          </w:r>
          <w:r>
            <w:rPr>
              <w:color w:val="auto"/>
            </w:rPr>
            <w:fldChar w:fldCharType="begin"/>
          </w:r>
          <w:r>
            <w:rPr>
              <w:color w:val="auto"/>
            </w:rPr>
            <w:instrText xml:space="preserve"> PAGEREF _Toc5448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_Toc7379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w:t>
          </w:r>
          <w:r>
            <w:rPr>
              <w:rFonts w:hint="default" w:ascii="Times New Roman" w:hAnsi="Times New Roman" w:eastAsia="宋体" w:cs="Times New Roman"/>
              <w:bCs/>
              <w:color w:val="auto"/>
              <w:spacing w:val="0"/>
              <w:position w:val="0"/>
              <w:szCs w:val="24"/>
              <w:lang w:val="en-US" w:eastAsia="zh-CN"/>
            </w:rPr>
            <w:t>.1区域水文资料</w:t>
          </w:r>
          <w:r>
            <w:rPr>
              <w:color w:val="auto"/>
            </w:rPr>
            <w:tab/>
          </w:r>
          <w:r>
            <w:rPr>
              <w:color w:val="auto"/>
            </w:rPr>
            <w:fldChar w:fldCharType="begin"/>
          </w:r>
          <w:r>
            <w:rPr>
              <w:color w:val="auto"/>
            </w:rPr>
            <w:instrText xml:space="preserve"> PAGEREF _Toc7379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_Toc17100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w:t>
          </w:r>
          <w:r>
            <w:rPr>
              <w:rFonts w:hint="default" w:ascii="Times New Roman" w:hAnsi="Times New Roman" w:eastAsia="宋体" w:cs="Times New Roman"/>
              <w:bCs/>
              <w:color w:val="auto"/>
              <w:spacing w:val="0"/>
              <w:position w:val="0"/>
              <w:szCs w:val="24"/>
              <w:lang w:val="en-US" w:eastAsia="zh-CN"/>
            </w:rPr>
            <w:t>.2地表水环境功能区划</w:t>
          </w:r>
          <w:r>
            <w:rPr>
              <w:color w:val="auto"/>
            </w:rPr>
            <w:tab/>
          </w:r>
          <w:r>
            <w:rPr>
              <w:color w:val="auto"/>
            </w:rPr>
            <w:fldChar w:fldCharType="begin"/>
          </w:r>
          <w:r>
            <w:rPr>
              <w:color w:val="auto"/>
            </w:rPr>
            <w:instrText xml:space="preserve"> PAGEREF _Toc17100 \h </w:instrText>
          </w:r>
          <w:r>
            <w:rPr>
              <w:color w:val="auto"/>
            </w:rPr>
            <w:fldChar w:fldCharType="separate"/>
          </w:r>
          <w:r>
            <w:rPr>
              <w:color w:val="auto"/>
            </w:rPr>
            <w:t>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_Toc17478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4.3</w:t>
          </w:r>
          <w:r>
            <w:rPr>
              <w:rFonts w:hint="default" w:ascii="Times New Roman" w:hAnsi="Times New Roman" w:eastAsia="宋体" w:cs="Times New Roman"/>
              <w:bCs/>
              <w:color w:val="auto"/>
              <w:spacing w:val="0"/>
              <w:position w:val="0"/>
              <w:szCs w:val="24"/>
              <w:lang w:val="en-US" w:eastAsia="zh-CN"/>
            </w:rPr>
            <w:t>地表水</w:t>
          </w:r>
          <w:r>
            <w:rPr>
              <w:rFonts w:hint="eastAsia" w:ascii="Times New Roman" w:hAnsi="Times New Roman" w:eastAsia="宋体" w:cs="Times New Roman"/>
              <w:bCs/>
              <w:color w:val="auto"/>
              <w:spacing w:val="0"/>
              <w:position w:val="0"/>
              <w:szCs w:val="24"/>
              <w:lang w:val="en-US" w:eastAsia="zh-CN"/>
            </w:rPr>
            <w:t>环境保护目标</w:t>
          </w:r>
          <w:r>
            <w:rPr>
              <w:color w:val="auto"/>
            </w:rPr>
            <w:tab/>
          </w:r>
          <w:r>
            <w:rPr>
              <w:color w:val="auto"/>
            </w:rPr>
            <w:fldChar w:fldCharType="begin"/>
          </w:r>
          <w:r>
            <w:rPr>
              <w:color w:val="auto"/>
            </w:rPr>
            <w:instrText xml:space="preserve"> PAGEREF _Toc17478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_Toc10774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w:t>
          </w:r>
          <w:r>
            <w:rPr>
              <w:rFonts w:hint="default" w:ascii="Times New Roman" w:hAnsi="Times New Roman" w:eastAsia="宋体" w:cs="Times New Roman"/>
              <w:bCs/>
              <w:color w:val="auto"/>
              <w:spacing w:val="0"/>
              <w:position w:val="0"/>
              <w:szCs w:val="24"/>
              <w:lang w:val="en-US" w:eastAsia="zh-CN"/>
            </w:rPr>
            <w:t>.</w:t>
          </w:r>
          <w:r>
            <w:rPr>
              <w:rFonts w:hint="eastAsia" w:ascii="Times New Roman" w:hAnsi="Times New Roman" w:eastAsia="宋体" w:cs="Times New Roman"/>
              <w:bCs/>
              <w:color w:val="auto"/>
              <w:spacing w:val="0"/>
              <w:position w:val="0"/>
              <w:szCs w:val="24"/>
              <w:lang w:val="en-US" w:eastAsia="zh-CN"/>
            </w:rPr>
            <w:t>4</w:t>
          </w:r>
          <w:r>
            <w:rPr>
              <w:rFonts w:hint="default" w:ascii="Times New Roman" w:hAnsi="Times New Roman" w:eastAsia="宋体" w:cs="Times New Roman"/>
              <w:bCs/>
              <w:color w:val="auto"/>
              <w:spacing w:val="0"/>
              <w:position w:val="0"/>
              <w:szCs w:val="24"/>
              <w:lang w:val="en-US" w:eastAsia="zh-CN"/>
            </w:rPr>
            <w:t>地表水环境质量评价</w:t>
          </w:r>
          <w:r>
            <w:rPr>
              <w:color w:val="auto"/>
            </w:rPr>
            <w:tab/>
          </w:r>
          <w:r>
            <w:rPr>
              <w:color w:val="auto"/>
            </w:rPr>
            <w:fldChar w:fldCharType="begin"/>
          </w:r>
          <w:r>
            <w:rPr>
              <w:color w:val="auto"/>
            </w:rPr>
            <w:instrText xml:space="preserve"> PAGEREF _Toc10774 \h </w:instrText>
          </w:r>
          <w:r>
            <w:rPr>
              <w:color w:val="auto"/>
            </w:rPr>
            <w:fldChar w:fldCharType="separate"/>
          </w:r>
          <w:r>
            <w:rPr>
              <w:color w:val="auto"/>
            </w:rPr>
            <w:t>8</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_Toc11423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w:t>
          </w:r>
          <w:r>
            <w:rPr>
              <w:rFonts w:hint="default" w:ascii="Times New Roman" w:hAnsi="Times New Roman" w:eastAsia="宋体" w:cs="Times New Roman"/>
              <w:bCs/>
              <w:color w:val="auto"/>
              <w:spacing w:val="0"/>
              <w:position w:val="0"/>
              <w:szCs w:val="24"/>
              <w:lang w:val="en-US" w:eastAsia="zh-CN"/>
            </w:rPr>
            <w:t>.</w:t>
          </w:r>
          <w:r>
            <w:rPr>
              <w:rFonts w:hint="eastAsia" w:ascii="Times New Roman" w:hAnsi="Times New Roman" w:eastAsia="宋体" w:cs="Times New Roman"/>
              <w:bCs/>
              <w:color w:val="auto"/>
              <w:spacing w:val="0"/>
              <w:position w:val="0"/>
              <w:szCs w:val="24"/>
              <w:lang w:val="en-US" w:eastAsia="zh-CN"/>
            </w:rPr>
            <w:t>5</w:t>
          </w:r>
          <w:r>
            <w:rPr>
              <w:rFonts w:hint="default" w:ascii="Times New Roman" w:hAnsi="Times New Roman" w:eastAsia="宋体" w:cs="Times New Roman"/>
              <w:bCs/>
              <w:color w:val="auto"/>
              <w:spacing w:val="0"/>
              <w:position w:val="0"/>
              <w:szCs w:val="24"/>
              <w:lang w:val="en-US" w:eastAsia="zh-CN"/>
            </w:rPr>
            <w:t>区域污染源调查</w:t>
          </w:r>
          <w:r>
            <w:rPr>
              <w:color w:val="auto"/>
            </w:rPr>
            <w:tab/>
          </w:r>
          <w:r>
            <w:rPr>
              <w:color w:val="auto"/>
            </w:rPr>
            <w:fldChar w:fldCharType="begin"/>
          </w:r>
          <w:r>
            <w:rPr>
              <w:color w:val="auto"/>
            </w:rPr>
            <w:instrText xml:space="preserve"> PAGEREF _Toc11423 \h </w:instrText>
          </w:r>
          <w:r>
            <w:rPr>
              <w:color w:val="auto"/>
            </w:rPr>
            <w:fldChar w:fldCharType="separate"/>
          </w:r>
          <w:r>
            <w:rPr>
              <w:color w:val="auto"/>
            </w:rPr>
            <w:t>10</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_Toc28935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4.6</w:t>
          </w:r>
          <w:r>
            <w:rPr>
              <w:rFonts w:hint="eastAsia" w:ascii="Times New Roman" w:hAnsi="Times New Roman" w:cs="Times New Roman"/>
              <w:bCs/>
              <w:color w:val="auto"/>
              <w:spacing w:val="0"/>
              <w:position w:val="0"/>
              <w:szCs w:val="24"/>
              <w:lang w:val="en-US" w:eastAsia="zh-CN"/>
            </w:rPr>
            <w:t>设计目标</w:t>
          </w:r>
          <w:r>
            <w:rPr>
              <w:color w:val="auto"/>
            </w:rPr>
            <w:tab/>
          </w:r>
          <w:r>
            <w:rPr>
              <w:color w:val="auto"/>
            </w:rPr>
            <w:fldChar w:fldCharType="begin"/>
          </w:r>
          <w:r>
            <w:rPr>
              <w:color w:val="auto"/>
            </w:rPr>
            <w:instrText xml:space="preserve"> PAGEREF _Toc28935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_Toc18420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8"/>
              <w:lang w:val="en-US" w:eastAsia="zh-CN"/>
            </w:rPr>
            <w:t>5</w:t>
          </w:r>
          <w:r>
            <w:rPr>
              <w:rFonts w:hint="default" w:ascii="Times New Roman" w:hAnsi="Times New Roman" w:eastAsia="宋体" w:cs="Times New Roman"/>
              <w:bCs/>
              <w:color w:val="auto"/>
              <w:spacing w:val="0"/>
              <w:position w:val="0"/>
              <w:szCs w:val="28"/>
              <w:lang w:val="en-US" w:eastAsia="zh-CN"/>
            </w:rPr>
            <w:t>地表水环境影响评价</w:t>
          </w:r>
          <w:r>
            <w:rPr>
              <w:color w:val="auto"/>
            </w:rPr>
            <w:tab/>
          </w:r>
          <w:r>
            <w:rPr>
              <w:color w:val="auto"/>
            </w:rPr>
            <w:fldChar w:fldCharType="begin"/>
          </w:r>
          <w:r>
            <w:rPr>
              <w:color w:val="auto"/>
            </w:rPr>
            <w:instrText xml:space="preserve"> PAGEREF _Toc18420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_Toc32306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5</w:t>
          </w:r>
          <w:r>
            <w:rPr>
              <w:rFonts w:hint="default" w:ascii="Times New Roman" w:hAnsi="Times New Roman" w:eastAsia="宋体" w:cs="Times New Roman"/>
              <w:bCs/>
              <w:color w:val="auto"/>
              <w:spacing w:val="0"/>
              <w:position w:val="0"/>
              <w:szCs w:val="24"/>
              <w:lang w:val="en-US" w:eastAsia="zh-CN"/>
            </w:rPr>
            <w:t>.1施工期影响分析</w:t>
          </w:r>
          <w:r>
            <w:rPr>
              <w:color w:val="auto"/>
            </w:rPr>
            <w:tab/>
          </w:r>
          <w:r>
            <w:rPr>
              <w:color w:val="auto"/>
            </w:rPr>
            <w:fldChar w:fldCharType="begin"/>
          </w:r>
          <w:r>
            <w:rPr>
              <w:color w:val="auto"/>
            </w:rPr>
            <w:instrText xml:space="preserve"> PAGEREF _Toc32306 \h </w:instrText>
          </w:r>
          <w:r>
            <w:rPr>
              <w:color w:val="auto"/>
            </w:rPr>
            <w:fldChar w:fldCharType="separate"/>
          </w:r>
          <w:r>
            <w:rPr>
              <w:color w:val="auto"/>
            </w:rPr>
            <w:t>17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_Toc29718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5</w:t>
          </w:r>
          <w:r>
            <w:rPr>
              <w:rFonts w:hint="default" w:ascii="Times New Roman" w:hAnsi="Times New Roman" w:eastAsia="宋体" w:cs="Times New Roman"/>
              <w:bCs/>
              <w:color w:val="auto"/>
              <w:spacing w:val="0"/>
              <w:position w:val="0"/>
              <w:szCs w:val="24"/>
              <w:lang w:val="en-US" w:eastAsia="zh-CN"/>
            </w:rPr>
            <w:t>.2运营期影响</w:t>
          </w:r>
          <w:r>
            <w:rPr>
              <w:rFonts w:hint="eastAsia" w:ascii="Times New Roman" w:hAnsi="Times New Roman" w:cs="Times New Roman"/>
              <w:bCs/>
              <w:color w:val="auto"/>
              <w:spacing w:val="0"/>
              <w:position w:val="0"/>
              <w:szCs w:val="24"/>
              <w:lang w:val="en-US" w:eastAsia="zh-CN"/>
            </w:rPr>
            <w:t>分析</w:t>
          </w:r>
          <w:r>
            <w:rPr>
              <w:color w:val="auto"/>
            </w:rPr>
            <w:tab/>
          </w:r>
          <w:r>
            <w:rPr>
              <w:color w:val="auto"/>
            </w:rPr>
            <w:fldChar w:fldCharType="begin"/>
          </w:r>
          <w:r>
            <w:rPr>
              <w:color w:val="auto"/>
            </w:rPr>
            <w:instrText xml:space="preserve"> PAGEREF _Toc29718 \h </w:instrText>
          </w:r>
          <w:r>
            <w:rPr>
              <w:color w:val="auto"/>
            </w:rPr>
            <w:fldChar w:fldCharType="separate"/>
          </w:r>
          <w:r>
            <w:rPr>
              <w:color w:val="auto"/>
            </w:rPr>
            <w:t>20</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_Toc11140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highlight w:val="none"/>
              <w:lang w:val="en-US" w:eastAsia="zh-CN"/>
            </w:rPr>
            <w:t>5</w:t>
          </w:r>
          <w:r>
            <w:rPr>
              <w:rFonts w:hint="default" w:ascii="Times New Roman" w:hAnsi="Times New Roman" w:eastAsia="宋体" w:cs="Times New Roman"/>
              <w:bCs/>
              <w:color w:val="auto"/>
              <w:spacing w:val="0"/>
              <w:position w:val="0"/>
              <w:szCs w:val="24"/>
              <w:highlight w:val="none"/>
              <w:lang w:val="en-US" w:eastAsia="zh-CN"/>
            </w:rPr>
            <w:t>.3地表水环境影响的综合效益分析</w:t>
          </w:r>
          <w:r>
            <w:rPr>
              <w:color w:val="auto"/>
            </w:rPr>
            <w:tab/>
          </w:r>
          <w:r>
            <w:rPr>
              <w:color w:val="auto"/>
            </w:rPr>
            <w:fldChar w:fldCharType="begin"/>
          </w:r>
          <w:r>
            <w:rPr>
              <w:color w:val="auto"/>
            </w:rPr>
            <w:instrText xml:space="preserve"> PAGEREF _Toc11140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_Toc20758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highlight w:val="none"/>
              <w:lang w:val="en-US" w:eastAsia="zh-CN"/>
            </w:rPr>
            <w:t>5</w:t>
          </w:r>
          <w:r>
            <w:rPr>
              <w:rFonts w:hint="default" w:ascii="Times New Roman" w:hAnsi="Times New Roman" w:eastAsia="宋体" w:cs="Times New Roman"/>
              <w:bCs/>
              <w:color w:val="auto"/>
              <w:spacing w:val="0"/>
              <w:position w:val="0"/>
              <w:szCs w:val="24"/>
              <w:highlight w:val="none"/>
              <w:lang w:val="en-US" w:eastAsia="zh-CN"/>
            </w:rPr>
            <w:t>.3.1生态正效益分析</w:t>
          </w:r>
          <w:r>
            <w:rPr>
              <w:color w:val="auto"/>
            </w:rPr>
            <w:tab/>
          </w:r>
          <w:r>
            <w:rPr>
              <w:color w:val="auto"/>
            </w:rPr>
            <w:fldChar w:fldCharType="begin"/>
          </w:r>
          <w:r>
            <w:rPr>
              <w:color w:val="auto"/>
            </w:rPr>
            <w:instrText xml:space="preserve"> PAGEREF _Toc20758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_Toc30526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highlight w:val="none"/>
              <w:lang w:val="en-US" w:eastAsia="zh-CN"/>
            </w:rPr>
            <w:t>5</w:t>
          </w:r>
          <w:r>
            <w:rPr>
              <w:rFonts w:hint="default" w:ascii="Times New Roman" w:hAnsi="Times New Roman" w:eastAsia="宋体" w:cs="Times New Roman"/>
              <w:bCs/>
              <w:color w:val="auto"/>
              <w:spacing w:val="0"/>
              <w:position w:val="0"/>
              <w:szCs w:val="24"/>
              <w:highlight w:val="none"/>
              <w:lang w:val="en-US" w:eastAsia="zh-CN"/>
            </w:rPr>
            <w:t>.3.2环境正能量分析</w:t>
          </w:r>
          <w:r>
            <w:rPr>
              <w:color w:val="auto"/>
            </w:rPr>
            <w:tab/>
          </w:r>
          <w:r>
            <w:rPr>
              <w:color w:val="auto"/>
            </w:rPr>
            <w:fldChar w:fldCharType="begin"/>
          </w:r>
          <w:r>
            <w:rPr>
              <w:color w:val="auto"/>
            </w:rPr>
            <w:instrText xml:space="preserve"> PAGEREF _Toc30526 \h </w:instrText>
          </w:r>
          <w:r>
            <w:rPr>
              <w:color w:val="auto"/>
            </w:rPr>
            <w:fldChar w:fldCharType="separate"/>
          </w:r>
          <w:r>
            <w:rPr>
              <w:color w:val="auto"/>
            </w:rPr>
            <w:t>23</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_Toc4320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highlight w:val="none"/>
              <w:lang w:val="en-US" w:eastAsia="zh-CN"/>
            </w:rPr>
            <w:t>5</w:t>
          </w:r>
          <w:r>
            <w:rPr>
              <w:rFonts w:hint="default" w:ascii="Times New Roman" w:hAnsi="Times New Roman" w:eastAsia="宋体" w:cs="Times New Roman"/>
              <w:bCs/>
              <w:color w:val="auto"/>
              <w:spacing w:val="0"/>
              <w:position w:val="0"/>
              <w:szCs w:val="24"/>
              <w:highlight w:val="none"/>
              <w:lang w:val="en-US" w:eastAsia="zh-CN"/>
            </w:rPr>
            <w:t>.3.3达标可行性效益总结</w:t>
          </w:r>
          <w:r>
            <w:rPr>
              <w:color w:val="auto"/>
            </w:rPr>
            <w:tab/>
          </w:r>
          <w:r>
            <w:rPr>
              <w:color w:val="auto"/>
            </w:rPr>
            <w:fldChar w:fldCharType="begin"/>
          </w:r>
          <w:r>
            <w:rPr>
              <w:color w:val="auto"/>
            </w:rPr>
            <w:instrText xml:space="preserve"> PAGEREF _Toc4320 \h </w:instrText>
          </w:r>
          <w:r>
            <w:rPr>
              <w:color w:val="auto"/>
            </w:rPr>
            <w:fldChar w:fldCharType="separate"/>
          </w:r>
          <w:r>
            <w:rPr>
              <w:color w:val="auto"/>
            </w:rPr>
            <w:t>24</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_Toc28059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8"/>
              <w:lang w:val="en-US" w:eastAsia="zh-CN"/>
            </w:rPr>
            <w:t>6</w:t>
          </w:r>
          <w:r>
            <w:rPr>
              <w:rFonts w:hint="default" w:ascii="Times New Roman" w:hAnsi="Times New Roman" w:eastAsia="宋体" w:cs="Times New Roman"/>
              <w:bCs/>
              <w:color w:val="auto"/>
              <w:spacing w:val="0"/>
              <w:position w:val="0"/>
              <w:szCs w:val="28"/>
              <w:lang w:val="en-US" w:eastAsia="zh-CN"/>
            </w:rPr>
            <w:t>地表水环境保护措施</w:t>
          </w:r>
          <w:r>
            <w:rPr>
              <w:color w:val="auto"/>
            </w:rPr>
            <w:tab/>
          </w:r>
          <w:r>
            <w:rPr>
              <w:color w:val="auto"/>
            </w:rPr>
            <w:fldChar w:fldCharType="begin"/>
          </w:r>
          <w:r>
            <w:rPr>
              <w:color w:val="auto"/>
            </w:rPr>
            <w:instrText xml:space="preserve"> PAGEREF _Toc28059 \h </w:instrText>
          </w:r>
          <w:r>
            <w:rPr>
              <w:color w:val="auto"/>
            </w:rPr>
            <w:fldChar w:fldCharType="separate"/>
          </w:r>
          <w:r>
            <w:rPr>
              <w:color w:val="auto"/>
            </w:rPr>
            <w:t>25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_Toc12473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6</w:t>
          </w:r>
          <w:r>
            <w:rPr>
              <w:rFonts w:hint="default" w:ascii="Times New Roman" w:hAnsi="Times New Roman" w:eastAsia="宋体" w:cs="Times New Roman"/>
              <w:bCs/>
              <w:color w:val="auto"/>
              <w:spacing w:val="0"/>
              <w:position w:val="0"/>
              <w:szCs w:val="24"/>
              <w:lang w:val="en-US" w:eastAsia="zh-CN"/>
            </w:rPr>
            <w:t>.1施工期地表水污染防治措施</w:t>
          </w:r>
          <w:r>
            <w:rPr>
              <w:color w:val="auto"/>
            </w:rPr>
            <w:tab/>
          </w:r>
          <w:r>
            <w:rPr>
              <w:color w:val="auto"/>
            </w:rPr>
            <w:fldChar w:fldCharType="begin"/>
          </w:r>
          <w:r>
            <w:rPr>
              <w:color w:val="auto"/>
            </w:rPr>
            <w:instrText xml:space="preserve"> PAGEREF _Toc12473 \h </w:instrText>
          </w:r>
          <w:r>
            <w:rPr>
              <w:color w:val="auto"/>
            </w:rPr>
            <w:fldChar w:fldCharType="separate"/>
          </w:r>
          <w:r>
            <w:rPr>
              <w:color w:val="auto"/>
            </w:rPr>
            <w:t>25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8"/>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_Toc6365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6</w:t>
          </w:r>
          <w:r>
            <w:rPr>
              <w:rFonts w:hint="default" w:ascii="Times New Roman" w:hAnsi="Times New Roman" w:eastAsia="宋体" w:cs="Times New Roman"/>
              <w:bCs/>
              <w:color w:val="auto"/>
              <w:spacing w:val="0"/>
              <w:position w:val="0"/>
              <w:szCs w:val="24"/>
              <w:lang w:val="en-US" w:eastAsia="zh-CN"/>
            </w:rPr>
            <w:t>.2运营期地表水污染防治措施</w:t>
          </w:r>
          <w:r>
            <w:rPr>
              <w:color w:val="auto"/>
            </w:rPr>
            <w:tab/>
          </w:r>
          <w:r>
            <w:rPr>
              <w:color w:val="auto"/>
            </w:rPr>
            <w:fldChar w:fldCharType="begin"/>
          </w:r>
          <w:r>
            <w:rPr>
              <w:color w:val="auto"/>
            </w:rPr>
            <w:instrText xml:space="preserve"> PAGEREF _Toc6365 \h </w:instrText>
          </w:r>
          <w:r>
            <w:rPr>
              <w:color w:val="auto"/>
            </w:rPr>
            <w:fldChar w:fldCharType="separate"/>
          </w:r>
          <w:r>
            <w:rPr>
              <w:color w:val="auto"/>
            </w:rPr>
            <w:t>25</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_Toc21415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8"/>
              <w:lang w:val="en-US" w:eastAsia="zh-CN"/>
            </w:rPr>
            <w:t>7</w:t>
          </w:r>
          <w:r>
            <w:rPr>
              <w:rFonts w:hint="default" w:ascii="Times New Roman" w:hAnsi="Times New Roman" w:eastAsia="宋体" w:cs="Times New Roman"/>
              <w:bCs/>
              <w:color w:val="auto"/>
              <w:spacing w:val="0"/>
              <w:position w:val="0"/>
              <w:szCs w:val="28"/>
              <w:lang w:val="en-US" w:eastAsia="zh-CN"/>
            </w:rPr>
            <w:t>环境管理与环境监测计划</w:t>
          </w:r>
          <w:r>
            <w:rPr>
              <w:color w:val="auto"/>
            </w:rPr>
            <w:tab/>
          </w:r>
          <w:r>
            <w:rPr>
              <w:color w:val="auto"/>
            </w:rPr>
            <w:fldChar w:fldCharType="begin"/>
          </w:r>
          <w:r>
            <w:rPr>
              <w:color w:val="auto"/>
            </w:rPr>
            <w:instrText xml:space="preserve"> PAGEREF _Toc21415 \h </w:instrText>
          </w:r>
          <w:r>
            <w:rPr>
              <w:color w:val="auto"/>
            </w:rPr>
            <w:fldChar w:fldCharType="separate"/>
          </w:r>
          <w:r>
            <w:rPr>
              <w:color w:val="auto"/>
            </w:rPr>
            <w:t>27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_Toc29337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7</w:t>
          </w:r>
          <w:r>
            <w:rPr>
              <w:rFonts w:hint="default" w:ascii="Times New Roman" w:hAnsi="Times New Roman" w:eastAsia="宋体" w:cs="Times New Roman"/>
              <w:bCs/>
              <w:color w:val="auto"/>
              <w:spacing w:val="0"/>
              <w:position w:val="0"/>
              <w:szCs w:val="24"/>
            </w:rPr>
            <w:t>.1环境管理</w:t>
          </w:r>
          <w:r>
            <w:rPr>
              <w:color w:val="auto"/>
            </w:rPr>
            <w:tab/>
          </w:r>
          <w:r>
            <w:rPr>
              <w:color w:val="auto"/>
            </w:rPr>
            <w:fldChar w:fldCharType="begin"/>
          </w:r>
          <w:r>
            <w:rPr>
              <w:color w:val="auto"/>
            </w:rPr>
            <w:instrText xml:space="preserve"> PAGEREF _Toc29337 \h </w:instrText>
          </w:r>
          <w:r>
            <w:rPr>
              <w:color w:val="auto"/>
            </w:rPr>
            <w:fldChar w:fldCharType="separate"/>
          </w:r>
          <w:r>
            <w:rPr>
              <w:color w:val="auto"/>
            </w:rPr>
            <w:t>27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_Toc27906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4"/>
              <w:lang w:val="en-US" w:eastAsia="zh-CN"/>
            </w:rPr>
            <w:t>7</w:t>
          </w:r>
          <w:r>
            <w:rPr>
              <w:rFonts w:hint="default" w:ascii="Times New Roman" w:hAnsi="Times New Roman" w:eastAsia="宋体" w:cs="Times New Roman"/>
              <w:bCs/>
              <w:color w:val="auto"/>
              <w:spacing w:val="0"/>
              <w:position w:val="0"/>
              <w:szCs w:val="24"/>
              <w:lang w:val="en-US" w:eastAsia="zh-CN"/>
            </w:rPr>
            <w:t>.2环境监测计划</w:t>
          </w:r>
          <w:r>
            <w:rPr>
              <w:color w:val="auto"/>
            </w:rPr>
            <w:tab/>
          </w:r>
          <w:r>
            <w:rPr>
              <w:color w:val="auto"/>
            </w:rPr>
            <w:fldChar w:fldCharType="begin"/>
          </w:r>
          <w:r>
            <w:rPr>
              <w:color w:val="auto"/>
            </w:rPr>
            <w:instrText xml:space="preserve"> PAGEREF _Toc27906 \h </w:instrText>
          </w:r>
          <w:r>
            <w:rPr>
              <w:color w:val="auto"/>
            </w:rPr>
            <w:fldChar w:fldCharType="separate"/>
          </w:r>
          <w:r>
            <w:rPr>
              <w:color w:val="auto"/>
            </w:rPr>
            <w:t>27</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pStyle w:val="17"/>
            <w:keepNext w:val="0"/>
            <w:keepLines w:val="0"/>
            <w:pageBreakBefore w:val="0"/>
            <w:tabs>
              <w:tab w:val="right" w:leader="dot" w:pos="8306"/>
            </w:tabs>
            <w:kinsoku/>
            <w:wordWrap/>
            <w:overflowPunct/>
            <w:topLinePunct w:val="0"/>
            <w:autoSpaceDE/>
            <w:autoSpaceDN/>
            <w:bidi w:val="0"/>
            <w:adjustRightInd/>
            <w:snapToGrid/>
            <w:spacing w:line="300" w:lineRule="exact"/>
            <w:textAlignment w:val="auto"/>
            <w:rPr>
              <w:color w:val="auto"/>
            </w:rPr>
          </w:pPr>
          <w:r>
            <w:rPr>
              <w:rFonts w:hint="default" w:ascii="Times New Roman" w:hAnsi="Times New Roman" w:eastAsia="宋体" w:cs="Times New Roman"/>
              <w:bCs/>
              <w:color w:val="auto"/>
              <w:spacing w:val="0"/>
              <w:position w:val="0"/>
              <w:szCs w:val="24"/>
              <w:lang w:val="zh-CN"/>
            </w:rPr>
            <w:fldChar w:fldCharType="begin"/>
          </w:r>
          <w:r>
            <w:rPr>
              <w:rFonts w:hint="default" w:ascii="Times New Roman" w:hAnsi="Times New Roman" w:eastAsia="宋体" w:cs="Times New Roman"/>
              <w:bCs/>
              <w:color w:val="auto"/>
              <w:spacing w:val="0"/>
              <w:position w:val="0"/>
              <w:szCs w:val="24"/>
              <w:lang w:val="zh-CN"/>
            </w:rPr>
            <w:instrText xml:space="preserve"> HYPERLINK \l _Toc26739 </w:instrText>
          </w:r>
          <w:r>
            <w:rPr>
              <w:rFonts w:hint="default" w:ascii="Times New Roman" w:hAnsi="Times New Roman" w:eastAsia="宋体" w:cs="Times New Roman"/>
              <w:bCs/>
              <w:color w:val="auto"/>
              <w:spacing w:val="0"/>
              <w:position w:val="0"/>
              <w:szCs w:val="24"/>
              <w:lang w:val="zh-CN"/>
            </w:rPr>
            <w:fldChar w:fldCharType="separate"/>
          </w:r>
          <w:r>
            <w:rPr>
              <w:rFonts w:hint="eastAsia" w:ascii="Times New Roman" w:hAnsi="Times New Roman" w:eastAsia="宋体" w:cs="Times New Roman"/>
              <w:bCs/>
              <w:color w:val="auto"/>
              <w:spacing w:val="0"/>
              <w:position w:val="0"/>
              <w:szCs w:val="28"/>
              <w:lang w:val="en-US" w:eastAsia="zh-CN"/>
            </w:rPr>
            <w:t>8</w:t>
          </w:r>
          <w:r>
            <w:rPr>
              <w:rFonts w:hint="default" w:ascii="Times New Roman" w:hAnsi="Times New Roman" w:eastAsia="宋体" w:cs="Times New Roman"/>
              <w:bCs/>
              <w:color w:val="auto"/>
              <w:spacing w:val="0"/>
              <w:position w:val="0"/>
              <w:szCs w:val="28"/>
              <w:lang w:val="en-US" w:eastAsia="zh-CN"/>
            </w:rPr>
            <w:t>评价结论</w:t>
          </w:r>
          <w:r>
            <w:rPr>
              <w:color w:val="auto"/>
            </w:rPr>
            <w:tab/>
          </w:r>
          <w:r>
            <w:rPr>
              <w:color w:val="auto"/>
            </w:rPr>
            <w:fldChar w:fldCharType="begin"/>
          </w:r>
          <w:r>
            <w:rPr>
              <w:color w:val="auto"/>
            </w:rPr>
            <w:instrText xml:space="preserve"> PAGEREF _Toc26739 \h </w:instrText>
          </w:r>
          <w:r>
            <w:rPr>
              <w:color w:val="auto"/>
            </w:rPr>
            <w:fldChar w:fldCharType="separate"/>
          </w:r>
          <w:r>
            <w:rPr>
              <w:color w:val="auto"/>
            </w:rPr>
            <w:t>29</w:t>
          </w:r>
          <w:r>
            <w:rPr>
              <w:color w:val="auto"/>
            </w:rPr>
            <w:fldChar w:fldCharType="end"/>
          </w:r>
          <w:r>
            <w:rPr>
              <w:rFonts w:hint="default" w:ascii="Times New Roman" w:hAnsi="Times New Roman" w:eastAsia="宋体" w:cs="Times New Roman"/>
              <w:bCs/>
              <w:color w:val="auto"/>
              <w:spacing w:val="0"/>
              <w:position w:val="0"/>
              <w:szCs w:val="24"/>
              <w:lang w:val="zh-CN"/>
            </w:rPr>
            <w:fldChar w:fldCharType="end"/>
          </w:r>
        </w:p>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spacing w:val="0"/>
              <w:position w:val="0"/>
            </w:rPr>
          </w:pPr>
          <w:r>
            <w:rPr>
              <w:rFonts w:hint="default" w:ascii="Times New Roman" w:hAnsi="Times New Roman" w:eastAsia="宋体" w:cs="Times New Roman"/>
              <w:bCs/>
              <w:color w:val="auto"/>
              <w:spacing w:val="0"/>
              <w:position w:val="0"/>
              <w:szCs w:val="24"/>
              <w:lang w:val="zh-CN"/>
            </w:rPr>
            <w:fldChar w:fldCharType="end"/>
          </w:r>
        </w:p>
      </w:sdtContent>
    </w:sdt>
    <w:p>
      <w:pPr>
        <w:pStyle w:val="2"/>
        <w:rPr>
          <w:rFonts w:hint="default" w:ascii="Times New Roman" w:hAnsi="Times New Roman" w:cs="Times New Roman"/>
          <w:color w:val="auto"/>
          <w:spacing w:val="0"/>
          <w:position w:val="0"/>
        </w:rPr>
        <w:sectPr>
          <w:footerReference r:id="rId11"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rPr>
      </w:pPr>
      <w:bookmarkStart w:id="0" w:name="_Toc25409"/>
      <w:r>
        <w:rPr>
          <w:rFonts w:hint="default" w:ascii="Times New Roman" w:hAnsi="Times New Roman" w:eastAsia="宋体" w:cs="Times New Roman"/>
          <w:b/>
          <w:bCs/>
          <w:color w:val="auto"/>
          <w:spacing w:val="0"/>
          <w:position w:val="0"/>
          <w:sz w:val="28"/>
          <w:szCs w:val="28"/>
        </w:rPr>
        <w:t>1概述</w:t>
      </w:r>
      <w:bookmarkEnd w:id="0"/>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宜良县位于云南省中部，昆明市主城区东南部，</w:t>
      </w:r>
      <w:r>
        <w:rPr>
          <w:rFonts w:hint="default" w:ascii="Times New Roman" w:hAnsi="Times New Roman" w:eastAsia="宋体" w:cs="Times New Roman"/>
          <w:color w:val="auto"/>
          <w:spacing w:val="0"/>
          <w:position w:val="0"/>
          <w:sz w:val="24"/>
          <w:szCs w:val="24"/>
          <w:lang w:eastAsia="zh-CN"/>
        </w:rPr>
        <w:t>占地</w:t>
      </w:r>
      <w:r>
        <w:rPr>
          <w:rFonts w:hint="default" w:ascii="Times New Roman" w:hAnsi="Times New Roman" w:eastAsia="宋体" w:cs="Times New Roman"/>
          <w:color w:val="auto"/>
          <w:spacing w:val="0"/>
          <w:position w:val="0"/>
          <w:sz w:val="24"/>
          <w:szCs w:val="24"/>
        </w:rPr>
        <w:t>面积1913.68平方公里，辖1个省级工业园区，4镇</w:t>
      </w:r>
      <w:r>
        <w:rPr>
          <w:rFonts w:hint="eastAsia" w:cs="Times New Roman"/>
          <w:color w:val="auto"/>
          <w:spacing w:val="0"/>
          <w:position w:val="0"/>
          <w:sz w:val="24"/>
          <w:szCs w:val="24"/>
          <w:lang w:eastAsia="zh-CN"/>
        </w:rPr>
        <w:t>、2</w:t>
      </w:r>
      <w:r>
        <w:rPr>
          <w:rFonts w:hint="default" w:ascii="Times New Roman" w:hAnsi="Times New Roman" w:eastAsia="宋体" w:cs="Times New Roman"/>
          <w:color w:val="auto"/>
          <w:spacing w:val="0"/>
          <w:position w:val="0"/>
          <w:sz w:val="24"/>
          <w:szCs w:val="24"/>
        </w:rPr>
        <w:t>乡和2个街道办事处。境内有滇越铁路、南昆铁路、云桂高铁3条铁路，有昆石、东南绕、三清、福宜</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宜石5条高速，连接三市一州九县区</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东西最大横距51.5千米，南北最大纵距85.3千米，面积1913.68平方千米（含汤池街道188.24平方千米），其中山地占88%，盆地占8%</w:t>
      </w:r>
      <w:r>
        <w:rPr>
          <w:rFonts w:hint="eastAsia"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谷地占3%，水域约1%，县城建成区面积达11.4平方千米。县人民政府驻地匡远街道，海拔1536米，距国家级风景旅游区——石林、九乡风景区分别为24</w:t>
      </w:r>
      <w:r>
        <w:rPr>
          <w:rFonts w:hint="default" w:ascii="Times New Roman" w:hAnsi="Times New Roman" w:eastAsia="宋体" w:cs="Times New Roman"/>
          <w:color w:val="auto"/>
          <w:spacing w:val="0"/>
          <w:position w:val="0"/>
          <w:sz w:val="24"/>
          <w:szCs w:val="24"/>
          <w:lang w:val="en-US" w:eastAsia="zh-CN"/>
        </w:rPr>
        <w:t>km</w:t>
      </w:r>
      <w:r>
        <w:rPr>
          <w:rFonts w:hint="default" w:ascii="Times New Roman" w:hAnsi="Times New Roman" w:eastAsia="宋体" w:cs="Times New Roman"/>
          <w:color w:val="auto"/>
          <w:spacing w:val="0"/>
          <w:position w:val="0"/>
          <w:sz w:val="24"/>
          <w:szCs w:val="24"/>
        </w:rPr>
        <w:t>和38</w:t>
      </w:r>
      <w:r>
        <w:rPr>
          <w:rFonts w:hint="default" w:ascii="Times New Roman" w:hAnsi="Times New Roman" w:eastAsia="宋体" w:cs="Times New Roman"/>
          <w:color w:val="auto"/>
          <w:spacing w:val="0"/>
          <w:position w:val="0"/>
          <w:sz w:val="24"/>
          <w:szCs w:val="24"/>
          <w:lang w:val="en-US" w:eastAsia="zh-CN"/>
        </w:rPr>
        <w:t>km</w:t>
      </w:r>
      <w:r>
        <w:rPr>
          <w:rFonts w:hint="default" w:ascii="Times New Roman" w:hAnsi="Times New Roman" w:eastAsia="宋体" w:cs="Times New Roman"/>
          <w:color w:val="auto"/>
          <w:spacing w:val="0"/>
          <w:position w:val="0"/>
          <w:sz w:val="24"/>
          <w:szCs w:val="24"/>
        </w:rPr>
        <w:t>。</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lang w:eastAsia="zh-CN"/>
        </w:rPr>
      </w:pPr>
      <w:bookmarkStart w:id="1" w:name="_Toc321139251"/>
      <w:r>
        <w:rPr>
          <w:rFonts w:hint="default" w:ascii="Times New Roman" w:hAnsi="Times New Roman" w:eastAsia="宋体" w:cs="Times New Roman"/>
          <w:color w:val="auto"/>
          <w:spacing w:val="0"/>
          <w:position w:val="0"/>
          <w:sz w:val="24"/>
          <w:szCs w:val="24"/>
        </w:rPr>
        <w:t>项目选址位于云南省</w:t>
      </w:r>
      <w:r>
        <w:rPr>
          <w:rFonts w:hint="default" w:ascii="Times New Roman" w:hAnsi="Times New Roman" w:eastAsia="宋体" w:cs="Times New Roman"/>
          <w:color w:val="auto"/>
          <w:spacing w:val="0"/>
          <w:position w:val="0"/>
          <w:sz w:val="24"/>
          <w:szCs w:val="24"/>
          <w:lang w:eastAsia="zh-CN"/>
        </w:rPr>
        <w:t>昆明市宜良县</w:t>
      </w:r>
      <w:r>
        <w:rPr>
          <w:rFonts w:hint="default" w:ascii="Times New Roman" w:hAnsi="Times New Roman" w:eastAsia="宋体" w:cs="Times New Roman"/>
          <w:color w:val="auto"/>
          <w:spacing w:val="0"/>
          <w:position w:val="0"/>
          <w:sz w:val="24"/>
          <w:szCs w:val="24"/>
        </w:rPr>
        <w:t>，本项目已于202</w:t>
      </w:r>
      <w:r>
        <w:rPr>
          <w:rFonts w:hint="default" w:ascii="Times New Roman" w:hAnsi="Times New Roman" w:eastAsia="宋体" w:cs="Times New Roman"/>
          <w:color w:val="auto"/>
          <w:spacing w:val="0"/>
          <w:position w:val="0"/>
          <w:sz w:val="24"/>
          <w:szCs w:val="24"/>
          <w:lang w:val="en-US" w:eastAsia="zh-CN"/>
        </w:rPr>
        <w:t>1</w:t>
      </w:r>
      <w:r>
        <w:rPr>
          <w:rFonts w:hint="default" w:ascii="Times New Roman" w:hAnsi="Times New Roman" w:eastAsia="宋体" w:cs="Times New Roman"/>
          <w:color w:val="auto"/>
          <w:spacing w:val="0"/>
          <w:position w:val="0"/>
          <w:sz w:val="24"/>
          <w:szCs w:val="24"/>
        </w:rPr>
        <w:t>年</w:t>
      </w:r>
      <w:r>
        <w:rPr>
          <w:rFonts w:hint="default" w:ascii="Times New Roman" w:hAnsi="Times New Roman" w:eastAsia="宋体" w:cs="Times New Roman"/>
          <w:color w:val="auto"/>
          <w:spacing w:val="0"/>
          <w:position w:val="0"/>
          <w:sz w:val="24"/>
          <w:szCs w:val="24"/>
          <w:lang w:val="en-US" w:eastAsia="zh-CN"/>
        </w:rPr>
        <w:t>8</w:t>
      </w:r>
      <w:r>
        <w:rPr>
          <w:rFonts w:hint="default" w:ascii="Times New Roman" w:hAnsi="Times New Roman" w:eastAsia="宋体" w:cs="Times New Roman"/>
          <w:color w:val="auto"/>
          <w:spacing w:val="0"/>
          <w:position w:val="0"/>
          <w:sz w:val="24"/>
          <w:szCs w:val="24"/>
        </w:rPr>
        <w:t>月</w:t>
      </w:r>
      <w:r>
        <w:rPr>
          <w:rFonts w:hint="default" w:ascii="Times New Roman" w:hAnsi="Times New Roman" w:eastAsia="宋体" w:cs="Times New Roman"/>
          <w:color w:val="auto"/>
          <w:spacing w:val="0"/>
          <w:position w:val="0"/>
          <w:sz w:val="24"/>
          <w:szCs w:val="24"/>
          <w:lang w:val="en-US" w:eastAsia="zh-CN"/>
        </w:rPr>
        <w:t>27</w:t>
      </w:r>
      <w:r>
        <w:rPr>
          <w:rFonts w:hint="default" w:ascii="Times New Roman" w:hAnsi="Times New Roman" w:eastAsia="宋体" w:cs="Times New Roman"/>
          <w:color w:val="auto"/>
          <w:spacing w:val="0"/>
          <w:position w:val="0"/>
          <w:sz w:val="24"/>
          <w:szCs w:val="24"/>
        </w:rPr>
        <w:t>日取得</w:t>
      </w:r>
      <w:r>
        <w:rPr>
          <w:rFonts w:hint="default" w:ascii="Times New Roman" w:hAnsi="Times New Roman" w:eastAsia="宋体" w:cs="Times New Roman"/>
          <w:color w:val="auto"/>
          <w:spacing w:val="0"/>
          <w:position w:val="0"/>
          <w:sz w:val="24"/>
          <w:szCs w:val="24"/>
          <w:lang w:eastAsia="zh-CN"/>
        </w:rPr>
        <w:t>宜良县</w:t>
      </w:r>
      <w:r>
        <w:rPr>
          <w:rFonts w:hint="default" w:ascii="Times New Roman" w:hAnsi="Times New Roman" w:eastAsia="宋体" w:cs="Times New Roman"/>
          <w:color w:val="auto"/>
          <w:spacing w:val="0"/>
          <w:position w:val="0"/>
          <w:sz w:val="24"/>
          <w:szCs w:val="24"/>
        </w:rPr>
        <w:t>发展和改革局出具的</w:t>
      </w:r>
      <w:r>
        <w:rPr>
          <w:rFonts w:hint="eastAsia" w:ascii="Times New Roman" w:hAnsi="Times New Roman"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宜良县海马箐水库饮用水水源地（宜良县范围）保护项目可行性研究报告</w:t>
      </w:r>
      <w:r>
        <w:rPr>
          <w:rFonts w:hint="eastAsia" w:ascii="Times New Roman" w:hAnsi="Times New Roman" w:cs="Times New Roman"/>
          <w:color w:val="auto"/>
          <w:spacing w:val="0"/>
          <w:position w:val="0"/>
          <w:sz w:val="24"/>
          <w:szCs w:val="24"/>
          <w:lang w:eastAsia="zh-CN"/>
        </w:rPr>
        <w:t>的批复》</w:t>
      </w:r>
      <w:r>
        <w:rPr>
          <w:rFonts w:hint="default" w:ascii="Times New Roman" w:hAnsi="Times New Roman" w:eastAsia="宋体" w:cs="Times New Roman"/>
          <w:color w:val="auto"/>
          <w:spacing w:val="0"/>
          <w:position w:val="0"/>
          <w:sz w:val="24"/>
          <w:szCs w:val="24"/>
        </w:rPr>
        <w:t>，2022年</w:t>
      </w:r>
      <w:r>
        <w:rPr>
          <w:rFonts w:hint="default" w:ascii="Times New Roman" w:hAnsi="Times New Roman" w:eastAsia="宋体" w:cs="Times New Roman"/>
          <w:color w:val="auto"/>
          <w:spacing w:val="0"/>
          <w:position w:val="0"/>
          <w:sz w:val="24"/>
          <w:szCs w:val="24"/>
          <w:lang w:val="en-US" w:eastAsia="zh-CN"/>
        </w:rPr>
        <w:t>11</w:t>
      </w:r>
      <w:r>
        <w:rPr>
          <w:rFonts w:hint="default" w:ascii="Times New Roman" w:hAnsi="Times New Roman" w:eastAsia="宋体" w:cs="Times New Roman"/>
          <w:color w:val="auto"/>
          <w:spacing w:val="0"/>
          <w:position w:val="0"/>
          <w:sz w:val="24"/>
          <w:szCs w:val="24"/>
        </w:rPr>
        <w:t>月</w:t>
      </w:r>
      <w:r>
        <w:rPr>
          <w:rFonts w:hint="default" w:ascii="Times New Roman" w:hAnsi="Times New Roman" w:eastAsia="宋体" w:cs="Times New Roman"/>
          <w:color w:val="auto"/>
          <w:spacing w:val="0"/>
          <w:position w:val="0"/>
          <w:sz w:val="24"/>
          <w:szCs w:val="24"/>
          <w:lang w:val="en-US" w:eastAsia="zh-CN"/>
        </w:rPr>
        <w:t>2</w:t>
      </w:r>
      <w:r>
        <w:rPr>
          <w:rFonts w:hint="default" w:ascii="Times New Roman" w:hAnsi="Times New Roman" w:eastAsia="宋体" w:cs="Times New Roman"/>
          <w:color w:val="auto"/>
          <w:spacing w:val="0"/>
          <w:position w:val="0"/>
          <w:sz w:val="24"/>
          <w:szCs w:val="24"/>
        </w:rPr>
        <w:t>4日</w:t>
      </w:r>
      <w:r>
        <w:rPr>
          <w:rFonts w:hint="default" w:ascii="Times New Roman" w:hAnsi="Times New Roman" w:eastAsia="宋体" w:cs="Times New Roman"/>
          <w:color w:val="auto"/>
          <w:spacing w:val="0"/>
          <w:position w:val="0"/>
          <w:sz w:val="24"/>
          <w:szCs w:val="24"/>
          <w:lang w:eastAsia="zh-CN"/>
        </w:rPr>
        <w:t>宜良县住房和城乡建设局</w:t>
      </w:r>
      <w:r>
        <w:rPr>
          <w:rFonts w:hint="default" w:ascii="Times New Roman" w:hAnsi="Times New Roman" w:eastAsia="宋体" w:cs="Times New Roman"/>
          <w:color w:val="auto"/>
          <w:spacing w:val="0"/>
          <w:position w:val="0"/>
          <w:sz w:val="24"/>
          <w:szCs w:val="24"/>
        </w:rPr>
        <w:t>出具了关于</w:t>
      </w:r>
      <w:r>
        <w:rPr>
          <w:rFonts w:hint="eastAsia" w:ascii="Times New Roman" w:hAnsi="Times New Roman"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宜良县海马箐水库饮用水水源地（宜良县范围）保护项目</w:t>
      </w:r>
      <w:r>
        <w:rPr>
          <w:rFonts w:hint="default" w:ascii="Times New Roman" w:hAnsi="Times New Roman" w:eastAsia="宋体" w:cs="Times New Roman"/>
          <w:color w:val="auto"/>
          <w:spacing w:val="0"/>
          <w:position w:val="0"/>
          <w:sz w:val="24"/>
          <w:szCs w:val="24"/>
          <w:lang w:eastAsia="zh-CN"/>
        </w:rPr>
        <w:t>初步设计</w:t>
      </w:r>
      <w:r>
        <w:rPr>
          <w:rFonts w:hint="eastAsia" w:ascii="Times New Roman" w:hAnsi="Times New Roman" w:cs="Times New Roman"/>
          <w:color w:val="auto"/>
          <w:spacing w:val="0"/>
          <w:position w:val="0"/>
          <w:sz w:val="24"/>
          <w:szCs w:val="24"/>
          <w:lang w:eastAsia="zh-CN"/>
        </w:rPr>
        <w:t>的批复》</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202</w:t>
      </w:r>
      <w:r>
        <w:rPr>
          <w:rFonts w:hint="default" w:ascii="Times New Roman" w:hAnsi="Times New Roman" w:eastAsia="宋体" w:cs="Times New Roman"/>
          <w:color w:val="auto"/>
          <w:spacing w:val="0"/>
          <w:position w:val="0"/>
          <w:sz w:val="24"/>
          <w:szCs w:val="24"/>
          <w:lang w:val="en-US" w:eastAsia="zh-CN"/>
        </w:rPr>
        <w:t>1</w:t>
      </w:r>
      <w:r>
        <w:rPr>
          <w:rFonts w:hint="default" w:ascii="Times New Roman" w:hAnsi="Times New Roman" w:eastAsia="宋体" w:cs="Times New Roman"/>
          <w:color w:val="auto"/>
          <w:spacing w:val="0"/>
          <w:position w:val="0"/>
          <w:sz w:val="24"/>
          <w:szCs w:val="24"/>
        </w:rPr>
        <w:t>年</w:t>
      </w:r>
      <w:r>
        <w:rPr>
          <w:rFonts w:hint="default" w:ascii="Times New Roman" w:hAnsi="Times New Roman" w:eastAsia="宋体" w:cs="Times New Roman"/>
          <w:color w:val="auto"/>
          <w:spacing w:val="0"/>
          <w:position w:val="0"/>
          <w:sz w:val="24"/>
          <w:szCs w:val="24"/>
          <w:lang w:val="en-US" w:eastAsia="zh-CN"/>
        </w:rPr>
        <w:t>8</w:t>
      </w:r>
      <w:r>
        <w:rPr>
          <w:rFonts w:hint="default" w:ascii="Times New Roman" w:hAnsi="Times New Roman" w:eastAsia="宋体" w:cs="Times New Roman"/>
          <w:color w:val="auto"/>
          <w:spacing w:val="0"/>
          <w:position w:val="0"/>
          <w:sz w:val="24"/>
          <w:szCs w:val="24"/>
        </w:rPr>
        <w:t>月1</w:t>
      </w:r>
      <w:r>
        <w:rPr>
          <w:rFonts w:hint="default" w:ascii="Times New Roman" w:hAnsi="Times New Roman" w:eastAsia="宋体" w:cs="Times New Roman"/>
          <w:color w:val="auto"/>
          <w:spacing w:val="0"/>
          <w:position w:val="0"/>
          <w:sz w:val="24"/>
          <w:szCs w:val="24"/>
          <w:lang w:val="en-US" w:eastAsia="zh-CN"/>
        </w:rPr>
        <w:t>6</w:t>
      </w:r>
      <w:r>
        <w:rPr>
          <w:rFonts w:hint="default" w:ascii="Times New Roman" w:hAnsi="Times New Roman" w:eastAsia="宋体" w:cs="Times New Roman"/>
          <w:color w:val="auto"/>
          <w:spacing w:val="0"/>
          <w:position w:val="0"/>
          <w:sz w:val="24"/>
          <w:szCs w:val="24"/>
        </w:rPr>
        <w:t>日</w:t>
      </w:r>
      <w:r>
        <w:rPr>
          <w:rFonts w:hint="default" w:ascii="Times New Roman" w:hAnsi="Times New Roman" w:eastAsia="宋体" w:cs="Times New Roman"/>
          <w:color w:val="auto"/>
          <w:spacing w:val="0"/>
          <w:position w:val="0"/>
          <w:sz w:val="24"/>
          <w:szCs w:val="24"/>
          <w:lang w:eastAsia="zh-CN"/>
        </w:rPr>
        <w:t>宜良县</w:t>
      </w:r>
      <w:r>
        <w:rPr>
          <w:rFonts w:hint="default" w:ascii="Times New Roman" w:hAnsi="Times New Roman" w:eastAsia="宋体" w:cs="Times New Roman"/>
          <w:color w:val="auto"/>
          <w:spacing w:val="0"/>
          <w:position w:val="0"/>
          <w:sz w:val="24"/>
          <w:szCs w:val="24"/>
        </w:rPr>
        <w:t>自然资源局出具了关于本项目</w:t>
      </w:r>
      <w:r>
        <w:rPr>
          <w:rFonts w:hint="default" w:ascii="Times New Roman" w:hAnsi="Times New Roman" w:eastAsia="宋体" w:cs="Times New Roman"/>
          <w:color w:val="auto"/>
          <w:spacing w:val="0"/>
          <w:position w:val="0"/>
          <w:sz w:val="24"/>
          <w:szCs w:val="24"/>
          <w:lang w:eastAsia="zh-CN"/>
        </w:rPr>
        <w:t>选址意见</w:t>
      </w:r>
      <w:r>
        <w:rPr>
          <w:rFonts w:hint="default" w:ascii="Times New Roman" w:hAnsi="Times New Roman" w:eastAsia="宋体" w:cs="Times New Roman"/>
          <w:color w:val="auto"/>
          <w:spacing w:val="0"/>
          <w:position w:val="0"/>
          <w:sz w:val="24"/>
          <w:szCs w:val="24"/>
        </w:rPr>
        <w:t>的复函，该复函明确</w:t>
      </w:r>
      <w:r>
        <w:rPr>
          <w:rFonts w:hint="default" w:ascii="Times New Roman" w:hAnsi="Times New Roman" w:eastAsia="宋体" w:cs="Times New Roman"/>
          <w:color w:val="auto"/>
          <w:spacing w:val="0"/>
          <w:position w:val="0"/>
          <w:sz w:val="24"/>
          <w:szCs w:val="24"/>
          <w:lang w:eastAsia="zh-CN"/>
        </w:rPr>
        <w:t>同意</w:t>
      </w:r>
      <w:r>
        <w:rPr>
          <w:rFonts w:hint="default" w:ascii="Times New Roman" w:hAnsi="Times New Roman" w:eastAsia="宋体" w:cs="Times New Roman"/>
          <w:color w:val="auto"/>
          <w:spacing w:val="0"/>
          <w:position w:val="0"/>
          <w:sz w:val="24"/>
          <w:szCs w:val="24"/>
        </w:rPr>
        <w:t>本项目</w:t>
      </w:r>
      <w:r>
        <w:rPr>
          <w:rFonts w:hint="default" w:ascii="Times New Roman" w:hAnsi="Times New Roman" w:eastAsia="宋体" w:cs="Times New Roman"/>
          <w:color w:val="auto"/>
          <w:spacing w:val="0"/>
          <w:position w:val="0"/>
          <w:sz w:val="24"/>
          <w:szCs w:val="24"/>
          <w:lang w:eastAsia="zh-CN"/>
        </w:rPr>
        <w:t>选址</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val="en-US" w:eastAsia="zh-CN"/>
        </w:rPr>
        <w:t>海马箐水库为《西南五省（自治区、直辖市）云南省重点水源工程近期建设规划报告》规划的131件中型水库之一，为《云南省2011年</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三个一百</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重点建设项目》（云发改重点</w:t>
      </w:r>
      <w:r>
        <w:rPr>
          <w:rStyle w:val="27"/>
          <w:rFonts w:hint="default" w:ascii="Times New Roman" w:hAnsi="Times New Roman" w:eastAsia="宋体" w:cs="Times New Roman"/>
          <w:color w:val="auto"/>
          <w:spacing w:val="0"/>
          <w:kern w:val="0"/>
          <w:position w:val="0"/>
          <w:sz w:val="24"/>
          <w:szCs w:val="24"/>
          <w:highlight w:val="none"/>
        </w:rPr>
        <w:t>〔</w:t>
      </w:r>
      <w:r>
        <w:rPr>
          <w:rStyle w:val="27"/>
          <w:rFonts w:hint="default" w:ascii="Times New Roman" w:hAnsi="Times New Roman" w:eastAsia="宋体" w:cs="Times New Roman"/>
          <w:color w:val="auto"/>
          <w:spacing w:val="0"/>
          <w:kern w:val="0"/>
          <w:position w:val="0"/>
          <w:sz w:val="24"/>
          <w:szCs w:val="24"/>
          <w:highlight w:val="none"/>
          <w:lang w:val="en-US" w:eastAsia="zh-CN"/>
        </w:rPr>
        <w:t>2011</w:t>
      </w:r>
      <w:r>
        <w:rPr>
          <w:rStyle w:val="27"/>
          <w:rFonts w:hint="default" w:ascii="Times New Roman" w:hAnsi="Times New Roman" w:eastAsia="宋体" w:cs="Times New Roman"/>
          <w:color w:val="auto"/>
          <w:spacing w:val="0"/>
          <w:kern w:val="0"/>
          <w:position w:val="0"/>
          <w:sz w:val="24"/>
          <w:szCs w:val="24"/>
          <w:highlight w:val="none"/>
        </w:rPr>
        <w:t>〕</w:t>
      </w:r>
      <w:r>
        <w:rPr>
          <w:rFonts w:hint="default" w:ascii="Times New Roman" w:hAnsi="Times New Roman" w:eastAsia="宋体" w:cs="Times New Roman"/>
          <w:color w:val="auto"/>
          <w:spacing w:val="0"/>
          <w:position w:val="0"/>
          <w:sz w:val="24"/>
          <w:szCs w:val="24"/>
          <w:lang w:val="en-US" w:eastAsia="zh-CN"/>
        </w:rPr>
        <w:t>314号）重点建设项目，是可替代阳宗海水体砷污染后的宜良县唯一水源工程。目前海马箐水库已建成并落闸蓄水，将作为宜良县城集中式饮用水源地，供水服务范围为宜良县城中心城区，北古城镇、匡远街道办事处、南羊街道办事处、耿家营乡、狗街镇等乡镇（街道）集镇及大部分村庄，规划近期服务人口43.92万人，远期服务人口63.83万人。</w:t>
      </w:r>
      <w:r>
        <w:rPr>
          <w:rFonts w:hint="default" w:ascii="Times New Roman" w:hAnsi="Times New Roman" w:eastAsia="宋体" w:cs="Times New Roman"/>
          <w:color w:val="auto"/>
          <w:spacing w:val="0"/>
          <w:position w:val="0"/>
          <w:sz w:val="24"/>
          <w:szCs w:val="24"/>
        </w:rPr>
        <w:t>为确保</w:t>
      </w:r>
      <w:r>
        <w:rPr>
          <w:rFonts w:hint="default" w:ascii="Times New Roman" w:hAnsi="Times New Roman" w:eastAsia="宋体" w:cs="Times New Roman"/>
          <w:color w:val="auto"/>
          <w:spacing w:val="0"/>
          <w:position w:val="0"/>
          <w:sz w:val="24"/>
          <w:szCs w:val="24"/>
          <w:lang w:eastAsia="zh-CN"/>
        </w:rPr>
        <w:t>海马箐水库水质满足饮用水水质，本项目对海马箐水库保护区污染（宜良片区）进行综合整治，主要包括保护区规范化建设工程、生活污水治理工程、生活垃圾收集工程、河口湿地建设工程，本次地表水评价内容为河口湿地建设工程。为保证喷水洞河</w:t>
      </w:r>
      <w:r>
        <w:rPr>
          <w:rFonts w:hint="default" w:ascii="Times New Roman" w:hAnsi="Times New Roman" w:eastAsia="宋体" w:cs="Times New Roman"/>
          <w:color w:val="auto"/>
          <w:spacing w:val="0"/>
          <w:position w:val="0"/>
          <w:sz w:val="24"/>
          <w:szCs w:val="24"/>
        </w:rPr>
        <w:t>水质</w:t>
      </w:r>
      <w:r>
        <w:rPr>
          <w:rFonts w:hint="default" w:ascii="Times New Roman" w:hAnsi="Times New Roman" w:eastAsia="宋体" w:cs="Times New Roman"/>
          <w:color w:val="auto"/>
          <w:spacing w:val="0"/>
          <w:position w:val="0"/>
          <w:sz w:val="24"/>
          <w:szCs w:val="24"/>
          <w:lang w:eastAsia="zh-CN"/>
        </w:rPr>
        <w:t>向水库水质靠近</w:t>
      </w:r>
      <w:r>
        <w:rPr>
          <w:rFonts w:hint="default" w:ascii="Times New Roman" w:hAnsi="Times New Roman" w:eastAsia="宋体" w:cs="Times New Roman"/>
          <w:color w:val="auto"/>
          <w:spacing w:val="0"/>
          <w:position w:val="0"/>
          <w:sz w:val="24"/>
          <w:szCs w:val="24"/>
        </w:rPr>
        <w:t>，本工程拟在喷水洞下游大河村至海马箐水库淹没线之间设置人工湿地，对喷水洞河水进行进一步的净化。本工程在入库河道末端建设人工湿地，使其形成海马箐水库水源保护区生态系统的一个有机组成部分，成为水库水环境的最后一道生态屏障。</w:t>
      </w:r>
      <w:r>
        <w:rPr>
          <w:rFonts w:hint="default" w:ascii="Times New Roman" w:hAnsi="Times New Roman" w:eastAsia="宋体" w:cs="Times New Roman"/>
          <w:color w:val="auto"/>
          <w:spacing w:val="0"/>
          <w:position w:val="0"/>
          <w:sz w:val="24"/>
          <w:szCs w:val="24"/>
          <w:lang w:val="en-US" w:eastAsia="zh-CN"/>
        </w:rPr>
        <w:t>为保障海马箐水库饮用水水源地水质安全，针对水库现状总磷、总</w:t>
      </w:r>
      <w:r>
        <w:rPr>
          <w:rFonts w:hint="eastAsia" w:ascii="Times New Roman" w:hAnsi="Times New Roman" w:cs="Times New Roman"/>
          <w:color w:val="auto"/>
          <w:spacing w:val="0"/>
          <w:position w:val="0"/>
          <w:sz w:val="24"/>
          <w:szCs w:val="24"/>
          <w:lang w:val="en-US" w:eastAsia="zh-CN"/>
        </w:rPr>
        <w:t>氮</w:t>
      </w:r>
      <w:r>
        <w:rPr>
          <w:rFonts w:hint="default" w:ascii="Times New Roman" w:hAnsi="Times New Roman" w:eastAsia="宋体" w:cs="Times New Roman"/>
          <w:color w:val="auto"/>
          <w:spacing w:val="0"/>
          <w:position w:val="0"/>
          <w:sz w:val="24"/>
          <w:szCs w:val="24"/>
          <w:lang w:val="en-US" w:eastAsia="zh-CN"/>
        </w:rPr>
        <w:t>超标（《地表水环境质量标准》（GB 3838-2002）Ⅱ类标准）的问题，结合喷水洞河为水库主要入库河流的特征，本工程拟在喷水洞河下游大河村至海马箐水库淹没线之间建设人工湿地，对入库河水进行净化处理。本工程在入库河道末端布设表流湿地，使其成为海马箐水库水源保护区生态系统的有机组成部分，构筑水库水环境的最后一道生态屏障。</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val="en-US" w:eastAsia="zh-CN"/>
        </w:rPr>
        <w:t>本项目采用表流湿地技术对喷水洞河入库径流进行净化处理，设计处理规模为4229m</w:t>
      </w:r>
      <w:r>
        <w:rPr>
          <w:rFonts w:hint="eastAsia" w:ascii="Times New Roman" w:hAnsi="Times New Roman"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lang w:val="en-US" w:eastAsia="zh-CN"/>
        </w:rPr>
        <w:t>/d，可有效削减入库COD</w:t>
      </w:r>
      <w:r>
        <w:rPr>
          <w:rFonts w:hint="eastAsia" w:ascii="Times New Roman" w:hAnsi="Times New Roman" w:cs="Times New Roman"/>
          <w:color w:val="auto"/>
          <w:spacing w:val="0"/>
          <w:position w:val="0"/>
          <w:sz w:val="24"/>
          <w:szCs w:val="24"/>
          <w:lang w:val="en-US" w:eastAsia="zh-CN"/>
        </w:rPr>
        <w:t>cr</w:t>
      </w:r>
      <w:r>
        <w:rPr>
          <w:rFonts w:hint="default" w:ascii="Times New Roman" w:hAnsi="Times New Roman" w:eastAsia="宋体" w:cs="Times New Roman"/>
          <w:color w:val="auto"/>
          <w:spacing w:val="0"/>
          <w:position w:val="0"/>
          <w:sz w:val="24"/>
          <w:szCs w:val="24"/>
          <w:lang w:val="en-US" w:eastAsia="zh-CN"/>
        </w:rPr>
        <w:t>、</w:t>
      </w:r>
      <w:r>
        <w:rPr>
          <w:rFonts w:hint="eastAsia" w:ascii="Times New Roman" w:hAnsi="Times New Roman" w:cs="Times New Roman"/>
          <w:color w:val="auto"/>
          <w:spacing w:val="0"/>
          <w:position w:val="0"/>
          <w:sz w:val="24"/>
          <w:szCs w:val="24"/>
          <w:lang w:val="en-US" w:eastAsia="zh-CN"/>
        </w:rPr>
        <w:t>BOD</w:t>
      </w:r>
      <w:r>
        <w:rPr>
          <w:rFonts w:hint="eastAsia" w:ascii="Times New Roman" w:hAnsi="Times New Roman" w:cs="Times New Roman"/>
          <w:color w:val="auto"/>
          <w:spacing w:val="0"/>
          <w:position w:val="0"/>
          <w:sz w:val="24"/>
          <w:szCs w:val="24"/>
          <w:vertAlign w:val="subscript"/>
          <w:lang w:val="en-US" w:eastAsia="zh-CN"/>
        </w:rPr>
        <w:t>5</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总磷等污染物负荷，提升入库水质，降低水库污染输入风险；同时打造沿河生态环境带，实现喷水洞河水环境综合治理，改善区域水环境、城乡人居环境与投资环境，提升居民生活质量，并培育都市近郊生态旅游功能，促进区域经济社会可持续发展。</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w:t>
      </w:r>
      <w:r>
        <w:rPr>
          <w:rFonts w:hint="default" w:ascii="Times New Roman" w:hAnsi="Times New Roman" w:eastAsia="宋体" w:cs="Times New Roman"/>
          <w:color w:val="auto"/>
          <w:spacing w:val="0"/>
          <w:position w:val="0"/>
          <w:sz w:val="24"/>
          <w:szCs w:val="24"/>
          <w:lang w:eastAsia="zh-CN"/>
        </w:rPr>
        <w:t>项目为城乡污水治理项目，河口湿地建设工程</w:t>
      </w:r>
      <w:r>
        <w:rPr>
          <w:rFonts w:hint="default" w:ascii="Times New Roman" w:hAnsi="Times New Roman" w:eastAsia="宋体" w:cs="Times New Roman"/>
          <w:color w:val="auto"/>
          <w:spacing w:val="0"/>
          <w:position w:val="0"/>
          <w:sz w:val="24"/>
          <w:szCs w:val="24"/>
        </w:rPr>
        <w:t>为</w:t>
      </w:r>
      <w:r>
        <w:rPr>
          <w:rFonts w:hint="default" w:ascii="Times New Roman" w:hAnsi="Times New Roman" w:eastAsia="宋体" w:cs="Times New Roman"/>
          <w:color w:val="auto"/>
          <w:spacing w:val="0"/>
          <w:position w:val="0"/>
          <w:sz w:val="24"/>
          <w:szCs w:val="24"/>
          <w:lang w:eastAsia="zh-CN"/>
        </w:rPr>
        <w:t>喷水洞水质提升净化工程</w:t>
      </w:r>
      <w:r>
        <w:rPr>
          <w:rFonts w:hint="default" w:ascii="Times New Roman" w:hAnsi="Times New Roman" w:eastAsia="宋体" w:cs="Times New Roman"/>
          <w:color w:val="auto"/>
          <w:spacing w:val="0"/>
          <w:position w:val="0"/>
          <w:sz w:val="24"/>
          <w:szCs w:val="24"/>
        </w:rPr>
        <w:t>，依据《关于印发〈建设项目环境影响报告表〉内容、格式及编制技术指南的通知》及《建设项目环境影响报告表编制技术指南（生态影响类）（试行）》</w:t>
      </w:r>
      <w:r>
        <w:rPr>
          <w:rFonts w:hint="default" w:ascii="Times New Roman" w:hAnsi="Times New Roman" w:eastAsia="宋体" w:cs="Times New Roman"/>
          <w:color w:val="auto"/>
          <w:spacing w:val="0"/>
          <w:position w:val="0"/>
          <w:sz w:val="24"/>
          <w:szCs w:val="24"/>
          <w:lang w:eastAsia="zh-CN"/>
        </w:rPr>
        <w:t>专项评价设置原则表，项目涉及人工湿地</w:t>
      </w:r>
      <w:r>
        <w:rPr>
          <w:rFonts w:hint="default" w:ascii="Times New Roman" w:hAnsi="Times New Roman" w:eastAsia="宋体" w:cs="Times New Roman"/>
          <w:color w:val="auto"/>
          <w:spacing w:val="0"/>
          <w:position w:val="0"/>
          <w:sz w:val="24"/>
          <w:szCs w:val="24"/>
        </w:rPr>
        <w:t>需编制地表水环境影响评价专章。</w:t>
      </w:r>
      <w:bookmarkEnd w:id="1"/>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rPr>
      </w:pPr>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rPr>
        <w:sectPr>
          <w:headerReference r:id="rId12" w:type="default"/>
          <w:footerReference r:id="rId13" w:type="default"/>
          <w:pgSz w:w="11906" w:h="16838"/>
          <w:pgMar w:top="1247" w:right="1247" w:bottom="1247" w:left="124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rPr>
      </w:pPr>
      <w:bookmarkStart w:id="2" w:name="_Toc8604"/>
      <w:r>
        <w:rPr>
          <w:rFonts w:hint="default" w:ascii="Times New Roman" w:hAnsi="Times New Roman" w:eastAsia="宋体" w:cs="Times New Roman"/>
          <w:b/>
          <w:bCs/>
          <w:color w:val="auto"/>
          <w:spacing w:val="0"/>
          <w:position w:val="0"/>
          <w:sz w:val="28"/>
          <w:szCs w:val="28"/>
          <w:lang w:val="en-US" w:eastAsia="zh-CN"/>
        </w:rPr>
        <w:t>2</w:t>
      </w:r>
      <w:r>
        <w:rPr>
          <w:rFonts w:hint="default" w:ascii="Times New Roman" w:hAnsi="Times New Roman" w:eastAsia="宋体" w:cs="Times New Roman"/>
          <w:b/>
          <w:bCs/>
          <w:color w:val="auto"/>
          <w:spacing w:val="0"/>
          <w:position w:val="0"/>
          <w:sz w:val="28"/>
          <w:szCs w:val="28"/>
        </w:rPr>
        <w:t>编制依据</w:t>
      </w:r>
      <w:bookmarkEnd w:id="2"/>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color w:val="auto"/>
          <w:spacing w:val="0"/>
          <w:position w:val="0"/>
          <w:sz w:val="24"/>
          <w:szCs w:val="24"/>
        </w:rPr>
      </w:pPr>
      <w:bookmarkStart w:id="3" w:name="_Toc28467"/>
      <w:r>
        <w:rPr>
          <w:rFonts w:hint="default" w:ascii="Times New Roman" w:hAnsi="Times New Roman" w:eastAsia="宋体" w:cs="Times New Roman"/>
          <w:b/>
          <w:bCs/>
          <w:color w:val="auto"/>
          <w:spacing w:val="0"/>
          <w:position w:val="0"/>
          <w:sz w:val="24"/>
          <w:szCs w:val="24"/>
          <w:lang w:val="en-US" w:eastAsia="zh-CN"/>
        </w:rPr>
        <w:t>2.1</w:t>
      </w:r>
      <w:r>
        <w:rPr>
          <w:rFonts w:hint="default" w:ascii="Times New Roman" w:hAnsi="Times New Roman" w:eastAsia="宋体" w:cs="Times New Roman"/>
          <w:b/>
          <w:bCs/>
          <w:color w:val="auto"/>
          <w:spacing w:val="0"/>
          <w:position w:val="0"/>
          <w:sz w:val="24"/>
          <w:szCs w:val="24"/>
        </w:rPr>
        <w:t>法律法规</w:t>
      </w:r>
      <w:bookmarkEnd w:id="3"/>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（1）《中华人民共和国环境保护法》（2015年1月1日施行）；</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firstLine="487"/>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（2）《中华人民共和国环境影响评价法》（2018年修订，2018年12月29日起施行）；</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firstLine="487"/>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（3）《中华人民共和国水污染防治法》（2017年6月修订，2018年1月1日起施行）。</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4" w:name="_Toc31271"/>
      <w:r>
        <w:rPr>
          <w:rFonts w:hint="default" w:ascii="Times New Roman" w:hAnsi="Times New Roman" w:eastAsia="宋体" w:cs="Times New Roman"/>
          <w:b/>
          <w:bCs/>
          <w:color w:val="auto"/>
          <w:spacing w:val="0"/>
          <w:position w:val="0"/>
          <w:sz w:val="24"/>
          <w:szCs w:val="24"/>
          <w:lang w:val="en-US" w:eastAsia="zh-CN"/>
        </w:rPr>
        <w:t>2.2技术规范</w:t>
      </w:r>
      <w:bookmarkEnd w:id="4"/>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w:t>
      </w:r>
      <w:r>
        <w:rPr>
          <w:rFonts w:hint="eastAsia" w:ascii="Times New Roman" w:hAnsi="Times New Roman" w:cs="Times New Roman"/>
          <w:color w:val="auto"/>
          <w:spacing w:val="0"/>
          <w:position w:val="0"/>
          <w:sz w:val="24"/>
          <w:szCs w:val="24"/>
          <w:lang w:eastAsia="zh-CN"/>
        </w:rPr>
        <w:t>建设项目环境影响评价技术导则 总纲</w:t>
      </w:r>
      <w:r>
        <w:rPr>
          <w:rFonts w:hint="default" w:ascii="Times New Roman" w:hAnsi="Times New Roman" w:eastAsia="宋体" w:cs="Times New Roman"/>
          <w:color w:val="auto"/>
          <w:spacing w:val="0"/>
          <w:position w:val="0"/>
          <w:sz w:val="24"/>
          <w:szCs w:val="24"/>
        </w:rPr>
        <w:t>》（HJ2.1-2016）；</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（2）《环境影响评价技术导则—地表水环境》（HJ2.3-2018）；</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jc w:val="both"/>
        <w:textAlignment w:val="auto"/>
        <w:rPr>
          <w:rFonts w:hint="eastAsia"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（3）《环境影响评价技术导则—生态影响》（HJ19-2022）</w:t>
      </w:r>
      <w:r>
        <w:rPr>
          <w:rFonts w:hint="eastAsia" w:ascii="Times New Roman" w:hAnsi="Times New Roman" w:eastAsia="宋体" w:cs="Times New Roman"/>
          <w:color w:val="auto"/>
          <w:spacing w:val="0"/>
          <w:position w:val="0"/>
          <w:sz w:val="24"/>
          <w:szCs w:val="24"/>
          <w:lang w:eastAsia="zh-CN"/>
        </w:rPr>
        <w:t>。</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5" w:name="_Toc5394"/>
      <w:r>
        <w:rPr>
          <w:rFonts w:hint="default" w:ascii="Times New Roman" w:hAnsi="Times New Roman" w:eastAsia="宋体" w:cs="Times New Roman"/>
          <w:b/>
          <w:bCs/>
          <w:color w:val="auto"/>
          <w:spacing w:val="0"/>
          <w:position w:val="0"/>
          <w:sz w:val="24"/>
          <w:szCs w:val="24"/>
          <w:lang w:val="en-US" w:eastAsia="zh-CN"/>
        </w:rPr>
        <w:t>2.3项目依据</w:t>
      </w:r>
      <w:bookmarkEnd w:id="5"/>
    </w:p>
    <w:p>
      <w:pPr>
        <w:pStyle w:val="7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kern w:val="2"/>
          <w:position w:val="0"/>
          <w:sz w:val="24"/>
          <w:szCs w:val="24"/>
          <w:lang w:val="en-US" w:eastAsia="en-US" w:bidi="ar-SA"/>
        </w:rPr>
        <w:t>（1）</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云南省水功能区划</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lang w:val="en-US" w:eastAsia="zh-CN"/>
        </w:rPr>
        <w:t>2014</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w:t>
      </w:r>
    </w:p>
    <w:p>
      <w:pPr>
        <w:pStyle w:val="7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kern w:val="2"/>
          <w:position w:val="0"/>
          <w:sz w:val="24"/>
          <w:szCs w:val="24"/>
          <w:lang w:val="en-US" w:eastAsia="zh-CN" w:bidi="ar-SA"/>
        </w:rPr>
        <w:t>（2）《昆明市和滇中产业新区水功能区划》（2010</w:t>
      </w:r>
      <w:r>
        <w:rPr>
          <w:rFonts w:hint="eastAsia" w:ascii="Times New Roman" w:hAnsi="Times New Roman"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kern w:val="2"/>
          <w:position w:val="0"/>
          <w:sz w:val="24"/>
          <w:szCs w:val="24"/>
          <w:lang w:val="en-US" w:eastAsia="zh-CN" w:bidi="ar-SA"/>
        </w:rPr>
        <w:t>2030年）；</w:t>
      </w:r>
    </w:p>
    <w:p>
      <w:pPr>
        <w:pStyle w:val="73"/>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val="en-US" w:eastAsia="zh-CN"/>
        </w:rPr>
        <w:t>3</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宜良县海马箐水库饮用水水源地（宜良县范围）保护项目可行性研究报告</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eastAsia="zh-CN"/>
        </w:rPr>
        <w:t>；</w:t>
      </w:r>
    </w:p>
    <w:p>
      <w:pPr>
        <w:pStyle w:val="73"/>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lang w:eastAsia="zh-CN"/>
        </w:rPr>
        <w:t>）《宜良县海马箐水库饮用水水源地（宜良县范围）保护项目初步设计报告》；</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lang w:val="en-US" w:eastAsia="zh-CN"/>
        </w:rPr>
        <w:t>5</w:t>
      </w:r>
      <w:r>
        <w:rPr>
          <w:rFonts w:hint="default" w:ascii="Times New Roman" w:hAnsi="Times New Roman" w:eastAsia="宋体" w:cs="Times New Roman"/>
          <w:color w:val="auto"/>
          <w:spacing w:val="0"/>
          <w:position w:val="0"/>
          <w:sz w:val="24"/>
          <w:szCs w:val="24"/>
          <w:lang w:eastAsia="zh-CN"/>
        </w:rPr>
        <w:t>）《宜良县海马箐水库饮用水水源保护区划分技术报告》。</w:t>
      </w:r>
    </w:p>
    <w:p>
      <w:pPr>
        <w:pStyle w:val="7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pacing w:val="0"/>
          <w:position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6" w:name="_Toc3121"/>
      <w:r>
        <w:rPr>
          <w:rFonts w:hint="default" w:ascii="Times New Roman" w:hAnsi="Times New Roman" w:eastAsia="宋体" w:cs="Times New Roman"/>
          <w:b/>
          <w:bCs/>
          <w:color w:val="auto"/>
          <w:spacing w:val="0"/>
          <w:position w:val="0"/>
          <w:sz w:val="28"/>
          <w:szCs w:val="28"/>
          <w:lang w:val="en-US" w:eastAsia="zh-CN"/>
        </w:rPr>
        <w:t>3评价目的</w:t>
      </w:r>
      <w:bookmarkEnd w:id="6"/>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本项目建成后，</w:t>
      </w:r>
      <w:r>
        <w:rPr>
          <w:rFonts w:hint="default" w:ascii="Times New Roman" w:hAnsi="Times New Roman" w:eastAsia="宋体" w:cs="Times New Roman"/>
          <w:color w:val="auto"/>
          <w:spacing w:val="0"/>
          <w:position w:val="0"/>
          <w:sz w:val="24"/>
          <w:szCs w:val="24"/>
          <w:lang w:eastAsia="zh-CN"/>
        </w:rPr>
        <w:t>喷水洞河</w:t>
      </w:r>
      <w:r>
        <w:rPr>
          <w:rFonts w:hint="default" w:ascii="Times New Roman" w:hAnsi="Times New Roman" w:eastAsia="宋体" w:cs="Times New Roman"/>
          <w:color w:val="auto"/>
          <w:spacing w:val="0"/>
          <w:position w:val="0"/>
          <w:sz w:val="24"/>
          <w:szCs w:val="24"/>
        </w:rPr>
        <w:t>水质得到进一步净化，</w:t>
      </w:r>
      <w:r>
        <w:rPr>
          <w:rFonts w:hint="default" w:ascii="Times New Roman" w:hAnsi="Times New Roman" w:eastAsia="宋体" w:cs="Times New Roman"/>
          <w:color w:val="auto"/>
          <w:spacing w:val="0"/>
          <w:position w:val="0"/>
          <w:sz w:val="24"/>
          <w:szCs w:val="24"/>
          <w:lang w:eastAsia="zh-CN"/>
        </w:rPr>
        <w:t>大量减少海马箐水库入库污染物，</w:t>
      </w:r>
      <w:r>
        <w:rPr>
          <w:rFonts w:hint="default" w:ascii="Times New Roman" w:hAnsi="Times New Roman" w:eastAsia="宋体" w:cs="Times New Roman"/>
          <w:color w:val="auto"/>
          <w:spacing w:val="0"/>
          <w:position w:val="0"/>
          <w:sz w:val="24"/>
          <w:szCs w:val="24"/>
        </w:rPr>
        <w:t>改善</w:t>
      </w:r>
      <w:r>
        <w:rPr>
          <w:rFonts w:hint="default" w:ascii="Times New Roman" w:hAnsi="Times New Roman" w:eastAsia="宋体" w:cs="Times New Roman"/>
          <w:color w:val="auto"/>
          <w:spacing w:val="0"/>
          <w:position w:val="0"/>
          <w:sz w:val="24"/>
          <w:szCs w:val="24"/>
          <w:lang w:eastAsia="zh-CN"/>
        </w:rPr>
        <w:t>海马箐水库入库河流喷水洞河水质</w:t>
      </w:r>
      <w:r>
        <w:rPr>
          <w:rFonts w:hint="default" w:ascii="Times New Roman" w:hAnsi="Times New Roman" w:eastAsia="宋体" w:cs="Times New Roman"/>
          <w:color w:val="auto"/>
          <w:spacing w:val="0"/>
          <w:position w:val="0"/>
          <w:sz w:val="24"/>
          <w:szCs w:val="24"/>
        </w:rPr>
        <w:t>，本次评价目的主要是：（1）通过现场调查及资料收集，了解项目所在区域地表水环境质量现状；（2）预测项目可能对该区域水环境造成的影响，并提出防护措施，从而改善该区域的地表水环境质量，保护周围敏感目标不受影响。</w:t>
      </w:r>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7" w:name="_Toc7586"/>
      <w:r>
        <w:rPr>
          <w:rFonts w:hint="default" w:ascii="Times New Roman" w:hAnsi="Times New Roman" w:eastAsia="宋体" w:cs="Times New Roman"/>
          <w:b/>
          <w:bCs/>
          <w:color w:val="auto"/>
          <w:spacing w:val="0"/>
          <w:position w:val="0"/>
          <w:sz w:val="24"/>
          <w:szCs w:val="24"/>
          <w:lang w:val="en-US" w:eastAsia="zh-CN"/>
        </w:rPr>
        <w:t>3.1评价等级</w:t>
      </w:r>
      <w:bookmarkEnd w:id="7"/>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根据《环境影响评价技术导则地表水环境》（HJ2.3-2018）规定，</w:t>
      </w:r>
      <w:r>
        <w:rPr>
          <w:rFonts w:hint="default" w:ascii="Times New Roman" w:hAnsi="Times New Roman" w:eastAsia="宋体" w:cs="Times New Roman"/>
          <w:color w:val="auto"/>
          <w:spacing w:val="0"/>
          <w:position w:val="0"/>
          <w:sz w:val="24"/>
          <w:szCs w:val="24"/>
          <w:lang w:val="en-US" w:eastAsia="zh-CN"/>
        </w:rPr>
        <w:t>本项目</w:t>
      </w:r>
      <w:r>
        <w:rPr>
          <w:rFonts w:hint="default" w:ascii="Times New Roman" w:hAnsi="Times New Roman" w:eastAsia="宋体" w:cs="Times New Roman"/>
          <w:color w:val="auto"/>
          <w:spacing w:val="0"/>
          <w:position w:val="0"/>
          <w:sz w:val="24"/>
          <w:szCs w:val="24"/>
        </w:rPr>
        <w:t>核心是针对水体中的污染物进行处理，降低污染物浓度，改善水环境质量，符合水污染影响型建设项目的特征。</w:t>
      </w:r>
      <w:r>
        <w:rPr>
          <w:rFonts w:hint="default" w:ascii="Times New Roman" w:hAnsi="Times New Roman" w:eastAsia="宋体" w:cs="Times New Roman"/>
          <w:color w:val="auto"/>
          <w:spacing w:val="0"/>
          <w:position w:val="0"/>
          <w:sz w:val="24"/>
          <w:szCs w:val="24"/>
          <w:lang w:val="en-US" w:eastAsia="zh-CN"/>
        </w:rPr>
        <w:t>为水污染影响型建设项目，评价工作等级按照影响类型、排放方式、排放量或影响情况、受纳水体环境质量现状、水环境保护目标等综合确定。</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根据《环境影响评价技术导则 地表水环境》（HJ2.3-2018），建设项目地表水评价工作等级划分见下表。</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表</w:t>
      </w:r>
      <w:r>
        <w:rPr>
          <w:rFonts w:hint="default" w:ascii="Times New Roman" w:hAnsi="Times New Roman" w:eastAsia="宋体" w:cs="Times New Roman"/>
          <w:b/>
          <w:bCs/>
          <w:color w:val="auto"/>
          <w:spacing w:val="0"/>
          <w:position w:val="0"/>
          <w:sz w:val="24"/>
          <w:szCs w:val="24"/>
          <w:lang w:val="en-US" w:eastAsia="zh-CN"/>
        </w:rPr>
        <w:t xml:space="preserve"> </w:t>
      </w:r>
      <w:r>
        <w:rPr>
          <w:rFonts w:hint="default" w:ascii="Times New Roman" w:hAnsi="Times New Roman" w:eastAsia="宋体" w:cs="Times New Roman"/>
          <w:b/>
          <w:bCs/>
          <w:color w:val="auto"/>
          <w:spacing w:val="0"/>
          <w:position w:val="0"/>
          <w:sz w:val="24"/>
          <w:szCs w:val="24"/>
        </w:rPr>
        <w:t>1-1</w:t>
      </w:r>
      <w:r>
        <w:rPr>
          <w:rFonts w:hint="default" w:ascii="Times New Roman" w:hAnsi="Times New Roman" w:eastAsia="宋体" w:cs="Times New Roman"/>
          <w:b/>
          <w:bCs/>
          <w:color w:val="auto"/>
          <w:spacing w:val="0"/>
          <w:position w:val="0"/>
          <w:sz w:val="24"/>
          <w:szCs w:val="24"/>
          <w:lang w:val="en-US" w:eastAsia="zh-CN"/>
        </w:rPr>
        <w:t xml:space="preserve"> </w:t>
      </w:r>
      <w:r>
        <w:rPr>
          <w:rFonts w:hint="default" w:ascii="Times New Roman" w:hAnsi="Times New Roman" w:eastAsia="宋体" w:cs="Times New Roman"/>
          <w:b/>
          <w:bCs/>
          <w:color w:val="auto"/>
          <w:spacing w:val="0"/>
          <w:position w:val="0"/>
          <w:sz w:val="24"/>
          <w:szCs w:val="24"/>
        </w:rPr>
        <w:t>水污染影响型建设项目评价等级判定</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1"/>
        <w:gridCol w:w="2247"/>
        <w:gridCol w:w="3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eastAsia="zh-CN"/>
              </w:rPr>
            </w:pPr>
            <w:r>
              <w:rPr>
                <w:rFonts w:hint="default" w:ascii="Times New Roman" w:hAnsi="Times New Roman" w:eastAsia="宋体" w:cs="Times New Roman"/>
                <w:b/>
                <w:bCs/>
                <w:color w:val="auto"/>
                <w:spacing w:val="0"/>
                <w:position w:val="0"/>
                <w:sz w:val="21"/>
                <w:szCs w:val="21"/>
                <w:vertAlign w:val="baseline"/>
                <w:lang w:eastAsia="zh-CN"/>
              </w:rPr>
              <w:t>评价等级</w:t>
            </w:r>
          </w:p>
        </w:tc>
        <w:tc>
          <w:tcPr>
            <w:tcW w:w="359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rPr>
            </w:pPr>
            <w:r>
              <w:rPr>
                <w:rFonts w:hint="default" w:ascii="Times New Roman" w:hAnsi="Times New Roman" w:eastAsia="宋体" w:cs="Times New Roman"/>
                <w:b/>
                <w:bCs/>
                <w:color w:val="auto"/>
                <w:spacing w:val="0"/>
                <w:position w:val="0"/>
                <w:sz w:val="21"/>
                <w:szCs w:val="21"/>
                <w:vertAlign w:val="baseline"/>
                <w:lang w:eastAsia="zh-CN"/>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rPr>
            </w:pP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eastAsia="zh-CN"/>
              </w:rPr>
            </w:pPr>
            <w:r>
              <w:rPr>
                <w:rFonts w:hint="default" w:ascii="Times New Roman" w:hAnsi="Times New Roman" w:eastAsia="宋体" w:cs="Times New Roman"/>
                <w:b/>
                <w:bCs/>
                <w:color w:val="auto"/>
                <w:spacing w:val="0"/>
                <w:position w:val="0"/>
                <w:sz w:val="21"/>
                <w:szCs w:val="21"/>
                <w:vertAlign w:val="baseline"/>
                <w:lang w:eastAsia="zh-CN"/>
              </w:rPr>
              <w:t>排放方式</w:t>
            </w:r>
          </w:p>
        </w:tc>
        <w:tc>
          <w:tcPr>
            <w:tcW w:w="22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rPr>
            </w:pPr>
            <w:r>
              <w:rPr>
                <w:rFonts w:hint="default" w:ascii="Times New Roman" w:hAnsi="Times New Roman" w:eastAsia="宋体" w:cs="Times New Roman"/>
                <w:b/>
                <w:bCs/>
                <w:color w:val="auto"/>
                <w:spacing w:val="0"/>
                <w:position w:val="0"/>
                <w:sz w:val="21"/>
                <w:szCs w:val="21"/>
              </w:rPr>
              <w:t>废水排放量Q/（m</w:t>
            </w:r>
            <w:r>
              <w:rPr>
                <w:rFonts w:hint="default" w:ascii="Times New Roman" w:hAnsi="Times New Roman" w:eastAsia="宋体" w:cs="Times New Roman"/>
                <w:b/>
                <w:bCs/>
                <w:color w:val="auto"/>
                <w:spacing w:val="0"/>
                <w:position w:val="0"/>
                <w:sz w:val="21"/>
                <w:szCs w:val="21"/>
                <w:vertAlign w:val="superscript"/>
                <w:lang w:val="en-US" w:eastAsia="zh-CN"/>
              </w:rPr>
              <w:t>3</w:t>
            </w:r>
            <w:r>
              <w:rPr>
                <w:rFonts w:hint="default" w:ascii="Times New Roman" w:hAnsi="Times New Roman" w:eastAsia="宋体" w:cs="Times New Roman"/>
                <w:b/>
                <w:bCs/>
                <w:color w:val="auto"/>
                <w:spacing w:val="0"/>
                <w:position w:val="0"/>
                <w:sz w:val="21"/>
                <w:szCs w:val="21"/>
              </w:rPr>
              <w:t>/d）；水污染当量数W/（无量纲）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eastAsia="zh-CN"/>
              </w:rPr>
            </w:pPr>
            <w:r>
              <w:rPr>
                <w:rFonts w:hint="default" w:ascii="Times New Roman" w:hAnsi="Times New Roman" w:eastAsia="宋体" w:cs="Times New Roman"/>
                <w:b/>
                <w:bCs/>
                <w:color w:val="auto"/>
                <w:spacing w:val="0"/>
                <w:position w:val="0"/>
                <w:sz w:val="21"/>
                <w:szCs w:val="21"/>
                <w:vertAlign w:val="baseline"/>
                <w:lang w:eastAsia="zh-CN"/>
              </w:rPr>
              <w:t>一级</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val="en-US" w:eastAsia="zh-CN"/>
              </w:rPr>
            </w:pPr>
            <w:r>
              <w:rPr>
                <w:rFonts w:hint="default" w:ascii="Times New Roman" w:hAnsi="Times New Roman" w:eastAsia="宋体" w:cs="Times New Roman"/>
                <w:b w:val="0"/>
                <w:bCs w:val="0"/>
                <w:color w:val="auto"/>
                <w:spacing w:val="0"/>
                <w:position w:val="0"/>
                <w:sz w:val="21"/>
                <w:szCs w:val="21"/>
                <w:vertAlign w:val="baseline"/>
                <w:lang w:val="en-US" w:eastAsia="zh-CN"/>
              </w:rPr>
              <w:t>直接排放</w:t>
            </w:r>
          </w:p>
        </w:tc>
        <w:tc>
          <w:tcPr>
            <w:tcW w:w="22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eastAsia="zh-CN"/>
              </w:rPr>
            </w:pPr>
            <w:r>
              <w:rPr>
                <w:rFonts w:hint="default" w:ascii="Times New Roman" w:hAnsi="Times New Roman" w:eastAsia="宋体" w:cs="Times New Roman"/>
                <w:b/>
                <w:bCs/>
                <w:color w:val="auto"/>
                <w:spacing w:val="0"/>
                <w:position w:val="0"/>
                <w:sz w:val="21"/>
                <w:szCs w:val="21"/>
                <w:vertAlign w:val="baseline"/>
                <w:lang w:eastAsia="zh-CN"/>
              </w:rPr>
              <w:t>二级</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eastAsia="zh-CN"/>
              </w:rPr>
            </w:pPr>
            <w:r>
              <w:rPr>
                <w:rFonts w:hint="default" w:ascii="Times New Roman" w:hAnsi="Times New Roman" w:eastAsia="宋体" w:cs="Times New Roman"/>
                <w:b w:val="0"/>
                <w:bCs w:val="0"/>
                <w:color w:val="auto"/>
                <w:spacing w:val="0"/>
                <w:position w:val="0"/>
                <w:sz w:val="21"/>
                <w:szCs w:val="21"/>
                <w:vertAlign w:val="baseline"/>
                <w:lang w:eastAsia="zh-CN"/>
              </w:rPr>
              <w:t>直接排放</w:t>
            </w:r>
          </w:p>
        </w:tc>
        <w:tc>
          <w:tcPr>
            <w:tcW w:w="22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eastAsia="zh-CN"/>
              </w:rPr>
            </w:pPr>
            <w:r>
              <w:rPr>
                <w:rFonts w:hint="default" w:ascii="Times New Roman" w:hAnsi="Times New Roman" w:eastAsia="宋体" w:cs="Times New Roman"/>
                <w:b w:val="0"/>
                <w:bCs w:val="0"/>
                <w:color w:val="auto"/>
                <w:spacing w:val="0"/>
                <w:position w:val="0"/>
                <w:sz w:val="21"/>
                <w:szCs w:val="21"/>
                <w:vertAlign w:val="baseli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default" w:ascii="Times New Roman" w:hAnsi="Times New Roman" w:eastAsia="宋体" w:cs="Times New Roman"/>
                <w:b/>
                <w:bCs/>
                <w:color w:val="auto"/>
                <w:spacing w:val="0"/>
                <w:position w:val="0"/>
                <w:sz w:val="21"/>
                <w:szCs w:val="21"/>
                <w:vertAlign w:val="baseline"/>
                <w:lang w:eastAsia="zh-CN"/>
              </w:rPr>
              <w:t>三级</w:t>
            </w:r>
            <w:r>
              <w:rPr>
                <w:rFonts w:hint="default" w:ascii="Times New Roman" w:hAnsi="Times New Roman" w:eastAsia="宋体" w:cs="Times New Roman"/>
                <w:b/>
                <w:bCs/>
                <w:color w:val="auto"/>
                <w:spacing w:val="0"/>
                <w:position w:val="0"/>
                <w:sz w:val="21"/>
                <w:szCs w:val="21"/>
                <w:vertAlign w:val="baseline"/>
                <w:lang w:val="en-US" w:eastAsia="zh-CN"/>
              </w:rPr>
              <w:t>A</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eastAsia="zh-CN"/>
              </w:rPr>
            </w:pPr>
            <w:r>
              <w:rPr>
                <w:rFonts w:hint="default" w:ascii="Times New Roman" w:hAnsi="Times New Roman" w:eastAsia="宋体" w:cs="Times New Roman"/>
                <w:b w:val="0"/>
                <w:bCs w:val="0"/>
                <w:color w:val="auto"/>
                <w:spacing w:val="0"/>
                <w:position w:val="0"/>
                <w:sz w:val="21"/>
                <w:szCs w:val="21"/>
                <w:vertAlign w:val="baseline"/>
                <w:lang w:eastAsia="zh-CN"/>
              </w:rPr>
              <w:t>直接排放</w:t>
            </w:r>
          </w:p>
        </w:tc>
        <w:tc>
          <w:tcPr>
            <w:tcW w:w="22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rPr>
            </w:pPr>
            <w:r>
              <w:rPr>
                <w:rFonts w:hint="default" w:ascii="Times New Roman" w:hAnsi="Times New Roman" w:eastAsia="宋体" w:cs="Times New Roman"/>
                <w:b w:val="0"/>
                <w:bCs w:val="0"/>
                <w:color w:val="auto"/>
                <w:spacing w:val="0"/>
                <w:position w:val="0"/>
                <w:sz w:val="21"/>
                <w:szCs w:val="21"/>
              </w:rPr>
              <w:t>Q＜200且W小于6000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default" w:ascii="Times New Roman" w:hAnsi="Times New Roman" w:eastAsia="宋体" w:cs="Times New Roman"/>
                <w:b/>
                <w:bCs/>
                <w:color w:val="auto"/>
                <w:spacing w:val="0"/>
                <w:position w:val="0"/>
                <w:sz w:val="21"/>
                <w:szCs w:val="21"/>
                <w:vertAlign w:val="baseline"/>
                <w:lang w:eastAsia="zh-CN"/>
              </w:rPr>
              <w:t>三级</w:t>
            </w:r>
            <w:r>
              <w:rPr>
                <w:rFonts w:hint="default" w:ascii="Times New Roman" w:hAnsi="Times New Roman" w:eastAsia="宋体" w:cs="Times New Roman"/>
                <w:b/>
                <w:bCs/>
                <w:color w:val="auto"/>
                <w:spacing w:val="0"/>
                <w:position w:val="0"/>
                <w:sz w:val="21"/>
                <w:szCs w:val="21"/>
                <w:vertAlign w:val="baseline"/>
                <w:lang w:val="en-US" w:eastAsia="zh-CN"/>
              </w:rPr>
              <w:t>B</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eastAsia="zh-CN"/>
              </w:rPr>
            </w:pPr>
            <w:r>
              <w:rPr>
                <w:rFonts w:hint="default" w:ascii="Times New Roman" w:hAnsi="Times New Roman" w:eastAsia="宋体" w:cs="Times New Roman"/>
                <w:b w:val="0"/>
                <w:bCs w:val="0"/>
                <w:color w:val="auto"/>
                <w:spacing w:val="0"/>
                <w:position w:val="0"/>
                <w:sz w:val="21"/>
                <w:szCs w:val="21"/>
                <w:vertAlign w:val="baseline"/>
                <w:lang w:eastAsia="zh-CN"/>
              </w:rPr>
              <w:t>间接排放</w:t>
            </w:r>
          </w:p>
        </w:tc>
        <w:tc>
          <w:tcPr>
            <w:tcW w:w="22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pacing w:val="0"/>
                <w:position w:val="0"/>
                <w:sz w:val="21"/>
                <w:szCs w:val="21"/>
                <w:vertAlign w:val="baseline"/>
                <w:lang w:val="en-US" w:eastAsia="zh-CN"/>
              </w:rPr>
            </w:pPr>
            <w:r>
              <w:rPr>
                <w:rFonts w:hint="default" w:ascii="Times New Roman" w:hAnsi="Times New Roman" w:eastAsia="宋体" w:cs="Times New Roman"/>
                <w:b w:val="0"/>
                <w:bCs w:val="0"/>
                <w:color w:val="auto"/>
                <w:spacing w:val="0"/>
                <w:positio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3"/>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1：水污染物当量数等于该污染物的年排放量除以该污染物的污染当量值，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rPr>
              <w:t>注2：废水排放量按行业排放标准中规定的废水种类统计，没有相关行业排放标准要求的通过工程分析合理确定，应统计含热量大的冷却水的排放量，可不统计间接冷却水、循环水以及其他含污染物极少的清净</w:t>
            </w:r>
            <w:r>
              <w:rPr>
                <w:rFonts w:hint="default" w:ascii="Times New Roman" w:hAnsi="Times New Roman" w:eastAsia="宋体" w:cs="Times New Roman"/>
                <w:color w:val="auto"/>
                <w:spacing w:val="0"/>
                <w:position w:val="0"/>
                <w:sz w:val="21"/>
                <w:szCs w:val="21"/>
                <w:highlight w:val="none"/>
              </w:rPr>
              <w:t>下水的排放量。</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highlight w:val="none"/>
              </w:rPr>
              <w:t>注3：厂区存在堆积物</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露天堆放的原料、燃料、废渣等以及垃圾堆放场</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、除尘污染的，应将初期雨污水纳入废水排</w:t>
            </w:r>
            <w:r>
              <w:rPr>
                <w:rFonts w:hint="default" w:ascii="Times New Roman" w:hAnsi="Times New Roman" w:eastAsia="宋体" w:cs="Times New Roman"/>
                <w:color w:val="auto"/>
                <w:spacing w:val="0"/>
                <w:position w:val="0"/>
                <w:sz w:val="21"/>
                <w:szCs w:val="21"/>
              </w:rPr>
              <w:t>放量，相应的主要污染物纳入水污染当量计算。</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注4：建设项目直接排放第一类污染物的，其评价等级为一级；建设项目直接排放的污染物为受纳水体超标因子的，评价等级不低于二级。</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注5：直接排放受纳水体影响范围涉及饮用水水源保护区、饮用水取水口、重点保护与珍稀水生生物的栖息地、重要水生生物的自然产卵场等保护目标时，评价等级不低于二级。</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注6：建设项目向河流、湖库排放温排水引起受纳水体水温变化超过水环境质量标准要求，且评价范围有水温敏感目标时，评价等级为一级。</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注7：建设项目利用海水作为调节温度介质，排水量≥500万m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rPr>
              <w:t>/d，评价等级为一级；排水量&lt;500万m</w:t>
            </w:r>
            <w:r>
              <w:rPr>
                <w:rFonts w:hint="default" w:ascii="Times New Roman" w:hAnsi="Times New Roman" w:eastAsia="宋体" w:cs="Times New Roman"/>
                <w:color w:val="auto"/>
                <w:spacing w:val="0"/>
                <w:position w:val="0"/>
                <w:sz w:val="21"/>
                <w:szCs w:val="21"/>
                <w:vertAlign w:val="superscript"/>
                <w:lang w:val="en-US" w:eastAsia="zh-CN"/>
              </w:rPr>
              <w:t>3</w:t>
            </w:r>
            <w:r>
              <w:rPr>
                <w:rFonts w:hint="default" w:ascii="Times New Roman" w:hAnsi="Times New Roman" w:eastAsia="宋体" w:cs="Times New Roman"/>
                <w:color w:val="auto"/>
                <w:spacing w:val="0"/>
                <w:position w:val="0"/>
                <w:sz w:val="21"/>
                <w:szCs w:val="21"/>
              </w:rPr>
              <w:t>/d，评价等级为二级。</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注8：仅涉及</w:t>
            </w:r>
            <w:r>
              <w:rPr>
                <w:rFonts w:hint="default" w:ascii="Times New Roman" w:hAnsi="Times New Roman" w:eastAsia="宋体" w:cs="Times New Roman"/>
                <w:color w:val="auto"/>
                <w:spacing w:val="0"/>
                <w:position w:val="0"/>
                <w:sz w:val="21"/>
                <w:szCs w:val="21"/>
                <w:highlight w:val="none"/>
              </w:rPr>
              <w:t>清净</w:t>
            </w:r>
            <w:r>
              <w:rPr>
                <w:rFonts w:hint="default" w:ascii="Times New Roman" w:hAnsi="Times New Roman" w:eastAsia="宋体" w:cs="Times New Roman"/>
                <w:color w:val="auto"/>
                <w:spacing w:val="0"/>
                <w:position w:val="0"/>
                <w:sz w:val="21"/>
                <w:szCs w:val="21"/>
              </w:rPr>
              <w:t>下水排放的，如其排放水质满足受纳水体水环境质量标准要求的，评价等级为三级A。</w:t>
            </w:r>
          </w:p>
          <w:p>
            <w:pPr>
              <w:pStyle w:val="7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注9：依托现有排放口，且对外环境未新增排放污染物的直接排放建设项目，评价等级参照间接排放，定为三级B。</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val="0"/>
                <w:bCs w:val="0"/>
                <w:color w:val="auto"/>
                <w:spacing w:val="0"/>
                <w:position w:val="0"/>
                <w:sz w:val="21"/>
                <w:szCs w:val="21"/>
                <w:vertAlign w:val="baseline"/>
                <w:lang w:val="en-US" w:eastAsia="zh-CN"/>
              </w:rPr>
            </w:pPr>
            <w:r>
              <w:rPr>
                <w:rFonts w:hint="default" w:ascii="Times New Roman" w:hAnsi="Times New Roman" w:eastAsia="宋体" w:cs="Times New Roman"/>
                <w:color w:val="auto"/>
                <w:spacing w:val="0"/>
                <w:position w:val="0"/>
                <w:sz w:val="21"/>
                <w:szCs w:val="21"/>
              </w:rPr>
              <w:t>注10：建设项目生产工艺中有废水产生，但作为回水利用，不排放到外环境的，按三级B评价。</w:t>
            </w:r>
          </w:p>
        </w:tc>
      </w:tr>
    </w:tbl>
    <w:p>
      <w:pPr>
        <w:keepNext w:val="0"/>
        <w:keepLines w:val="0"/>
        <w:pageBreakBefore w:val="0"/>
        <w:suppressLineNumbers w:val="0"/>
        <w:kinsoku/>
        <w:overflowPunct/>
        <w:topLinePunct w:val="0"/>
        <w:autoSpaceDE w:val="0"/>
        <w:autoSpaceDN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施工期施工废水</w:t>
      </w:r>
      <w:r>
        <w:rPr>
          <w:rFonts w:hint="eastAsia" w:cs="Times New Roman"/>
          <w:color w:val="auto"/>
          <w:kern w:val="0"/>
          <w:sz w:val="24"/>
          <w:szCs w:val="24"/>
          <w:lang w:eastAsia="zh-CN"/>
        </w:rPr>
        <w:t>、</w:t>
      </w:r>
      <w:r>
        <w:rPr>
          <w:rFonts w:hint="eastAsia" w:ascii="Times New Roman" w:hAnsi="Times New Roman" w:cs="Times New Roman"/>
          <w:color w:val="auto"/>
          <w:sz w:val="24"/>
          <w:szCs w:val="24"/>
          <w:lang w:val="en-US" w:eastAsia="zh-CN"/>
        </w:rPr>
        <w:t>围堰初期排水、基坑经常性排水</w:t>
      </w:r>
      <w:r>
        <w:rPr>
          <w:rFonts w:hint="default" w:ascii="Times New Roman" w:hAnsi="Times New Roman" w:eastAsia="宋体" w:cs="Times New Roman"/>
          <w:color w:val="auto"/>
          <w:kern w:val="0"/>
          <w:sz w:val="24"/>
          <w:szCs w:val="24"/>
        </w:rPr>
        <w:t>及地表径流经沉淀处理后全部用于施工场地绿化、洒水降尘；施工管理层不在现场食宿，无生活废水产生，施工人员均为当地村民也不</w:t>
      </w:r>
      <w:r>
        <w:rPr>
          <w:rFonts w:hint="eastAsia" w:cs="Times New Roman"/>
          <w:color w:val="auto"/>
          <w:kern w:val="0"/>
          <w:sz w:val="24"/>
          <w:szCs w:val="24"/>
          <w:lang w:val="en-US" w:eastAsia="zh-CN"/>
        </w:rPr>
        <w:t>在</w:t>
      </w:r>
      <w:r>
        <w:rPr>
          <w:rFonts w:hint="default" w:ascii="Times New Roman" w:hAnsi="Times New Roman" w:eastAsia="宋体" w:cs="Times New Roman"/>
          <w:color w:val="auto"/>
          <w:kern w:val="0"/>
          <w:sz w:val="24"/>
          <w:szCs w:val="24"/>
        </w:rPr>
        <w:t>现场食宿，施工期只有少量洗手废水</w:t>
      </w:r>
      <w:r>
        <w:rPr>
          <w:rFonts w:hint="eastAsia" w:cs="Times New Roman"/>
          <w:color w:val="auto"/>
          <w:kern w:val="0"/>
          <w:sz w:val="24"/>
          <w:szCs w:val="24"/>
          <w:lang w:eastAsia="zh-CN"/>
        </w:rPr>
        <w:t>，</w:t>
      </w:r>
      <w:r>
        <w:rPr>
          <w:rFonts w:hint="eastAsia" w:cs="Times New Roman"/>
          <w:color w:val="auto"/>
          <w:kern w:val="0"/>
          <w:sz w:val="24"/>
          <w:szCs w:val="24"/>
          <w:lang w:val="en-US" w:eastAsia="zh-CN"/>
        </w:rPr>
        <w:t>排入临时沉淀池</w:t>
      </w:r>
      <w:r>
        <w:rPr>
          <w:rFonts w:hint="default" w:ascii="Times New Roman" w:hAnsi="Times New Roman" w:eastAsia="宋体" w:cs="Times New Roman"/>
          <w:color w:val="auto"/>
          <w:kern w:val="0"/>
          <w:sz w:val="24"/>
          <w:szCs w:val="24"/>
        </w:rPr>
        <w:t>，入厕依托当地旱厕，无生活废水外排</w:t>
      </w:r>
      <w:r>
        <w:rPr>
          <w:rFonts w:hint="eastAsia" w:cs="Times New Roman"/>
          <w:color w:val="auto"/>
          <w:kern w:val="0"/>
          <w:sz w:val="24"/>
          <w:szCs w:val="24"/>
          <w:lang w:eastAsia="zh-CN"/>
        </w:rPr>
        <w:t>；</w:t>
      </w:r>
      <w:r>
        <w:rPr>
          <w:rFonts w:hint="eastAsia" w:cs="Times New Roman"/>
          <w:color w:val="auto"/>
          <w:kern w:val="0"/>
          <w:sz w:val="24"/>
          <w:szCs w:val="24"/>
          <w:lang w:val="en-US" w:eastAsia="zh-CN"/>
        </w:rPr>
        <w:t>运营期项目人工湿地用于净化河流，不属于排污项目，四个村污水处理站尾水全部回用于农灌，属于间接排放。</w:t>
      </w:r>
      <w:r>
        <w:rPr>
          <w:rFonts w:hint="default" w:ascii="Times New Roman" w:hAnsi="Times New Roman" w:eastAsia="宋体" w:cs="Times New Roman"/>
          <w:color w:val="auto"/>
          <w:kern w:val="0"/>
          <w:sz w:val="24"/>
          <w:szCs w:val="24"/>
        </w:rPr>
        <w:t>因此，根据《环境影响评价技术导则地表水环境》（HJ 2.3-2018）</w:t>
      </w:r>
      <w:r>
        <w:rPr>
          <w:rFonts w:hint="eastAsia" w:cs="Times New Roman"/>
          <w:color w:val="auto"/>
          <w:kern w:val="0"/>
          <w:sz w:val="24"/>
          <w:szCs w:val="24"/>
          <w:lang w:eastAsia="zh-CN"/>
        </w:rPr>
        <w:t>，</w:t>
      </w:r>
      <w:r>
        <w:rPr>
          <w:rFonts w:hint="eastAsia" w:cs="Times New Roman"/>
          <w:color w:val="auto"/>
          <w:kern w:val="0"/>
          <w:sz w:val="24"/>
          <w:szCs w:val="24"/>
          <w:lang w:val="en-US" w:eastAsia="zh-CN"/>
        </w:rPr>
        <w:t>项目地表水</w:t>
      </w:r>
      <w:r>
        <w:rPr>
          <w:rFonts w:hint="default" w:ascii="Times New Roman" w:hAnsi="Times New Roman" w:eastAsia="宋体" w:cs="Times New Roman"/>
          <w:color w:val="auto"/>
          <w:kern w:val="0"/>
          <w:sz w:val="24"/>
          <w:szCs w:val="24"/>
        </w:rPr>
        <w:t>评价等级判定为三级B</w:t>
      </w:r>
      <w:r>
        <w:rPr>
          <w:rFonts w:hint="eastAsia" w:cs="Times New Roman"/>
          <w:color w:val="auto"/>
          <w:kern w:val="0"/>
          <w:sz w:val="24"/>
          <w:szCs w:val="24"/>
          <w:lang w:eastAsia="zh-CN"/>
        </w:rPr>
        <w:t>，</w:t>
      </w:r>
      <w:r>
        <w:rPr>
          <w:rFonts w:hint="eastAsia" w:cs="Times New Roman"/>
          <w:color w:val="auto"/>
          <w:kern w:val="0"/>
          <w:sz w:val="24"/>
          <w:szCs w:val="24"/>
          <w:lang w:val="en-US" w:eastAsia="zh-CN"/>
        </w:rPr>
        <w:t>不设评价范围</w:t>
      </w:r>
      <w:r>
        <w:rPr>
          <w:rFonts w:hint="default" w:ascii="Times New Roman" w:hAnsi="Times New Roman" w:eastAsia="宋体" w:cs="Times New Roman"/>
          <w:color w:val="auto"/>
          <w:kern w:val="0"/>
          <w:sz w:val="24"/>
          <w:szCs w:val="24"/>
        </w:rPr>
        <w:t>。</w:t>
      </w:r>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8" w:name="_Toc22933"/>
      <w:r>
        <w:rPr>
          <w:rFonts w:hint="eastAsia" w:ascii="Times New Roman" w:hAnsi="Times New Roman" w:eastAsia="宋体" w:cs="Times New Roman"/>
          <w:b/>
          <w:bCs/>
          <w:color w:val="auto"/>
          <w:spacing w:val="0"/>
          <w:position w:val="0"/>
          <w:sz w:val="24"/>
          <w:szCs w:val="24"/>
          <w:lang w:val="en-US" w:eastAsia="zh-CN"/>
        </w:rPr>
        <w:t>3.2</w:t>
      </w:r>
      <w:r>
        <w:rPr>
          <w:rFonts w:hint="default" w:ascii="Times New Roman" w:hAnsi="Times New Roman" w:eastAsia="宋体" w:cs="Times New Roman"/>
          <w:b/>
          <w:bCs/>
          <w:color w:val="auto"/>
          <w:spacing w:val="0"/>
          <w:position w:val="0"/>
          <w:sz w:val="24"/>
          <w:szCs w:val="24"/>
          <w:lang w:val="en-US" w:eastAsia="zh-CN"/>
        </w:rPr>
        <w:t>评价范围</w:t>
      </w:r>
      <w:bookmarkEnd w:id="8"/>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color w:val="auto"/>
          <w:spacing w:val="0"/>
          <w:position w:val="0"/>
          <w:sz w:val="24"/>
          <w:szCs w:val="24"/>
        </w:rPr>
      </w:pPr>
      <w:r>
        <w:rPr>
          <w:rFonts w:hint="eastAsia" w:cs="Times New Roman"/>
          <w:color w:val="auto"/>
          <w:kern w:val="0"/>
          <w:sz w:val="24"/>
          <w:szCs w:val="24"/>
          <w:lang w:val="en-US" w:eastAsia="zh-CN"/>
        </w:rPr>
        <w:t>项目地表水</w:t>
      </w:r>
      <w:r>
        <w:rPr>
          <w:rFonts w:hint="default" w:ascii="Times New Roman" w:hAnsi="Times New Roman" w:eastAsia="宋体" w:cs="Times New Roman"/>
          <w:color w:val="auto"/>
          <w:kern w:val="0"/>
          <w:sz w:val="24"/>
          <w:szCs w:val="24"/>
        </w:rPr>
        <w:t>评价等级判定为三级B</w:t>
      </w:r>
      <w:r>
        <w:rPr>
          <w:rFonts w:hint="eastAsia" w:cs="Times New Roman"/>
          <w:color w:val="auto"/>
          <w:kern w:val="0"/>
          <w:sz w:val="24"/>
          <w:szCs w:val="24"/>
          <w:lang w:eastAsia="zh-CN"/>
        </w:rPr>
        <w:t>，</w:t>
      </w:r>
      <w:r>
        <w:rPr>
          <w:rFonts w:hint="eastAsia" w:cs="Times New Roman"/>
          <w:color w:val="auto"/>
          <w:kern w:val="0"/>
          <w:sz w:val="24"/>
          <w:szCs w:val="24"/>
          <w:lang w:val="en-US" w:eastAsia="zh-CN"/>
        </w:rPr>
        <w:t>不设评价范围</w:t>
      </w:r>
      <w:r>
        <w:rPr>
          <w:rFonts w:hint="default" w:ascii="Times New Roman" w:hAnsi="Times New Roman" w:eastAsia="宋体" w:cs="Times New Roman"/>
          <w:color w:val="auto"/>
          <w:kern w:val="0"/>
          <w:sz w:val="24"/>
          <w:szCs w:val="24"/>
        </w:rPr>
        <w:t>。</w:t>
      </w:r>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9" w:name="_Toc5845"/>
      <w:r>
        <w:rPr>
          <w:rFonts w:hint="eastAsia" w:ascii="Times New Roman" w:hAnsi="Times New Roman" w:eastAsia="宋体" w:cs="Times New Roman"/>
          <w:b/>
          <w:bCs/>
          <w:color w:val="auto"/>
          <w:spacing w:val="0"/>
          <w:position w:val="0"/>
          <w:sz w:val="24"/>
          <w:szCs w:val="24"/>
          <w:lang w:val="en-US" w:eastAsia="zh-CN"/>
        </w:rPr>
        <w:t>3.3</w:t>
      </w:r>
      <w:r>
        <w:rPr>
          <w:rFonts w:hint="default" w:ascii="Times New Roman" w:hAnsi="Times New Roman" w:eastAsia="宋体" w:cs="Times New Roman"/>
          <w:b/>
          <w:bCs/>
          <w:color w:val="auto"/>
          <w:spacing w:val="0"/>
          <w:position w:val="0"/>
          <w:sz w:val="24"/>
          <w:szCs w:val="24"/>
          <w:lang w:val="en-US" w:eastAsia="zh-CN"/>
        </w:rPr>
        <w:t>评价标准</w:t>
      </w:r>
      <w:bookmarkEnd w:id="9"/>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color w:val="auto"/>
          <w:spacing w:val="0"/>
          <w:position w:val="0"/>
          <w:sz w:val="24"/>
          <w:lang w:val="en-US" w:eastAsia="zh-CN"/>
        </w:rPr>
      </w:pPr>
      <w:r>
        <w:rPr>
          <w:rFonts w:hint="default" w:ascii="Times New Roman" w:hAnsi="Times New Roman" w:eastAsia="宋体" w:cs="Times New Roman"/>
          <w:color w:val="auto"/>
          <w:spacing w:val="0"/>
          <w:position w:val="0"/>
          <w:sz w:val="24"/>
          <w:lang w:val="en-US" w:eastAsia="zh-CN"/>
        </w:rPr>
        <w:t>喷水洞河为海马箐水库宜良片区主要入库河流，海马箐水库为</w:t>
      </w:r>
      <w:r>
        <w:rPr>
          <w:rFonts w:hint="eastAsia" w:ascii="Times New Roman" w:hAnsi="Times New Roman" w:eastAsia="宋体" w:cs="Times New Roman"/>
          <w:color w:val="auto"/>
          <w:spacing w:val="0"/>
          <w:position w:val="0"/>
          <w:sz w:val="24"/>
          <w:lang w:val="en-US" w:eastAsia="zh-CN"/>
        </w:rPr>
        <w:t>饮用水</w:t>
      </w:r>
      <w:r>
        <w:rPr>
          <w:rFonts w:hint="default" w:ascii="Times New Roman" w:hAnsi="Times New Roman" w:eastAsia="宋体" w:cs="Times New Roman"/>
          <w:color w:val="auto"/>
          <w:spacing w:val="0"/>
          <w:position w:val="0"/>
          <w:sz w:val="24"/>
          <w:szCs w:val="24"/>
        </w:rPr>
        <w:t>一级，执行GB3838-2002《地表水环境质量标准》Ⅱ类标准限值</w:t>
      </w:r>
      <w:r>
        <w:rPr>
          <w:rFonts w:hint="default" w:ascii="Times New Roman" w:hAnsi="Times New Roman" w:eastAsia="宋体" w:cs="Times New Roman"/>
          <w:color w:val="auto"/>
          <w:spacing w:val="0"/>
          <w:position w:val="0"/>
          <w:sz w:val="24"/>
          <w:lang w:val="en-US" w:eastAsia="zh-CN"/>
        </w:rPr>
        <w:t>，喷水洞河位于海马箐水库保护区内，故喷水洞河水质执行《地表水环境质量标准》（GB3838—2002）Ⅱ类标准，根据项目初步设计方案，项目湿地出水</w:t>
      </w:r>
      <w:r>
        <w:rPr>
          <w:rFonts w:hint="eastAsia" w:ascii="Times New Roman" w:hAnsi="Times New Roman" w:eastAsia="宋体" w:cs="Times New Roman"/>
          <w:color w:val="auto"/>
          <w:spacing w:val="0"/>
          <w:position w:val="0"/>
          <w:sz w:val="24"/>
          <w:lang w:val="en-US" w:eastAsia="zh-CN"/>
        </w:rPr>
        <w:t>水</w:t>
      </w:r>
      <w:r>
        <w:rPr>
          <w:rFonts w:hint="default" w:ascii="Times New Roman" w:hAnsi="Times New Roman" w:eastAsia="宋体" w:cs="Times New Roman"/>
          <w:color w:val="auto"/>
          <w:spacing w:val="0"/>
          <w:position w:val="0"/>
          <w:sz w:val="24"/>
          <w:lang w:val="en-US" w:eastAsia="zh-CN"/>
        </w:rPr>
        <w:t>质执行《地表水环境质量标准》（GB3838—2002）Ⅱ类标准。标准值见下表：</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表</w:t>
      </w:r>
      <w:r>
        <w:rPr>
          <w:rFonts w:hint="eastAsia" w:ascii="Times New Roman" w:hAnsi="Times New Roman" w:eastAsia="宋体" w:cs="Times New Roman"/>
          <w:b/>
          <w:bCs/>
          <w:color w:val="auto"/>
          <w:spacing w:val="0"/>
          <w:position w:val="0"/>
          <w:sz w:val="24"/>
          <w:szCs w:val="24"/>
          <w:lang w:val="en-US" w:eastAsia="zh-CN"/>
        </w:rPr>
        <w:t xml:space="preserve"> </w:t>
      </w:r>
      <w:r>
        <w:rPr>
          <w:rFonts w:hint="default" w:ascii="Times New Roman" w:hAnsi="Times New Roman" w:eastAsia="宋体" w:cs="Times New Roman"/>
          <w:b/>
          <w:bCs/>
          <w:color w:val="auto"/>
          <w:spacing w:val="0"/>
          <w:position w:val="0"/>
          <w:sz w:val="24"/>
          <w:szCs w:val="24"/>
        </w:rPr>
        <w:t>1-</w:t>
      </w:r>
      <w:r>
        <w:rPr>
          <w:rFonts w:hint="eastAsia" w:ascii="Times New Roman" w:hAnsi="Times New Roman" w:eastAsia="宋体" w:cs="Times New Roman"/>
          <w:b/>
          <w:bCs/>
          <w:color w:val="auto"/>
          <w:spacing w:val="0"/>
          <w:position w:val="0"/>
          <w:sz w:val="24"/>
          <w:szCs w:val="24"/>
          <w:lang w:val="en-US" w:eastAsia="zh-CN"/>
        </w:rPr>
        <w:t xml:space="preserve">2 </w:t>
      </w:r>
      <w:r>
        <w:rPr>
          <w:rFonts w:hint="default" w:ascii="Times New Roman" w:hAnsi="Times New Roman" w:eastAsia="宋体" w:cs="Times New Roman"/>
          <w:b/>
          <w:bCs/>
          <w:color w:val="auto"/>
          <w:spacing w:val="0"/>
          <w:position w:val="0"/>
          <w:sz w:val="24"/>
          <w:szCs w:val="24"/>
        </w:rPr>
        <w:t>地表水环境质量标准基本项目标准限值   单位：mg/L</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2969"/>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序号</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分类标准值项目</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水温（℃）</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人为造成的环境水温变化应限制在：</w:t>
            </w:r>
          </w:p>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周平均最大温升≤1；周平均最大温降≤2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pH值（无量纲）</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3</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溶解氧</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4</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高锰酸盐指数</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5</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COD</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6</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BOD</w:t>
            </w:r>
            <w:r>
              <w:rPr>
                <w:rFonts w:hint="default" w:ascii="Times New Roman" w:hAnsi="Times New Roman" w:eastAsia="宋体" w:cs="Times New Roman"/>
                <w:b w:val="0"/>
                <w:bCs w:val="0"/>
                <w:color w:val="auto"/>
                <w:spacing w:val="0"/>
                <w:position w:val="0"/>
                <w:sz w:val="21"/>
                <w:szCs w:val="21"/>
                <w:vertAlign w:val="subscript"/>
                <w:lang w:val="en-US" w:eastAsia="zh-CN"/>
              </w:rPr>
              <w:t>5</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7</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氨氮</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8</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总磷（以P计）</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≤0.1（湖、库0.025）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9</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总氮（湖、库、以N计）</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10</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铜</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11</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锌</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12</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氟化物（以Fˉ计）</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13</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硒</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14</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砷</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15</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汞</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16</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镉</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17</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铬（六价）</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18</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铅</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19</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氰化物</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20</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挥发酚</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21</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石油类</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22</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阴离子表面活性剂</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23</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硫化物</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9"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24</w:t>
            </w:r>
          </w:p>
        </w:tc>
        <w:tc>
          <w:tcPr>
            <w:tcW w:w="1742"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粪大肠菌群（个/L）</w:t>
            </w:r>
          </w:p>
        </w:tc>
        <w:tc>
          <w:tcPr>
            <w:tcW w:w="2637" w:type="pct"/>
            <w:noWrap/>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≤2000</w:t>
            </w:r>
          </w:p>
        </w:tc>
      </w:tr>
    </w:tbl>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0" w:name="_Toc1531"/>
      <w:r>
        <w:rPr>
          <w:rFonts w:hint="eastAsia" w:ascii="Times New Roman" w:hAnsi="Times New Roman" w:eastAsia="宋体" w:cs="Times New Roman"/>
          <w:b/>
          <w:bCs/>
          <w:color w:val="auto"/>
          <w:spacing w:val="0"/>
          <w:position w:val="0"/>
          <w:sz w:val="24"/>
          <w:szCs w:val="24"/>
          <w:lang w:val="en-US" w:eastAsia="zh-CN"/>
        </w:rPr>
        <w:t>3.4</w:t>
      </w:r>
      <w:r>
        <w:rPr>
          <w:rFonts w:hint="default" w:ascii="Times New Roman" w:hAnsi="Times New Roman" w:eastAsia="宋体" w:cs="Times New Roman"/>
          <w:b/>
          <w:bCs/>
          <w:color w:val="auto"/>
          <w:spacing w:val="0"/>
          <w:position w:val="0"/>
          <w:sz w:val="24"/>
          <w:szCs w:val="24"/>
          <w:lang w:val="en-US" w:eastAsia="zh-CN"/>
        </w:rPr>
        <w:t>评价</w:t>
      </w:r>
      <w:r>
        <w:rPr>
          <w:rFonts w:hint="eastAsia" w:ascii="Times New Roman" w:hAnsi="Times New Roman" w:cs="Times New Roman"/>
          <w:b/>
          <w:bCs/>
          <w:color w:val="auto"/>
          <w:spacing w:val="0"/>
          <w:position w:val="0"/>
          <w:sz w:val="24"/>
          <w:szCs w:val="24"/>
          <w:lang w:val="en-US" w:eastAsia="zh-CN"/>
        </w:rPr>
        <w:t>重点</w:t>
      </w:r>
      <w:bookmarkEnd w:id="10"/>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对于现状水质评价，河流断面水质类别评价采用单因子评价法，</w:t>
      </w:r>
      <w:r>
        <w:rPr>
          <w:rFonts w:hint="eastAsia" w:ascii="Times New Roman" w:hAnsi="Times New Roman" w:cs="Times New Roman"/>
          <w:color w:val="auto"/>
          <w:spacing w:val="0"/>
          <w:position w:val="0"/>
          <w:sz w:val="24"/>
          <w:szCs w:val="24"/>
          <w:lang w:val="en-US" w:eastAsia="zh-CN"/>
        </w:rPr>
        <w:t>本项目地表水评价等级为</w:t>
      </w:r>
      <w:r>
        <w:rPr>
          <w:rFonts w:hint="default" w:ascii="Times New Roman" w:hAnsi="Times New Roman" w:eastAsia="宋体" w:cs="Times New Roman"/>
          <w:color w:val="auto"/>
          <w:spacing w:val="0"/>
          <w:position w:val="0"/>
          <w:sz w:val="24"/>
          <w:szCs w:val="24"/>
        </w:rPr>
        <w:t>三级B</w:t>
      </w:r>
      <w:r>
        <w:rPr>
          <w:rFonts w:hint="eastAsia" w:ascii="Times New Roman" w:hAnsi="Times New Roman" w:cs="Times New Roman"/>
          <w:color w:val="auto"/>
          <w:spacing w:val="0"/>
          <w:position w:val="0"/>
          <w:sz w:val="24"/>
          <w:szCs w:val="24"/>
          <w:lang w:eastAsia="zh-CN"/>
        </w:rPr>
        <w:t>，</w:t>
      </w:r>
      <w:r>
        <w:rPr>
          <w:rFonts w:hint="eastAsia" w:ascii="Times New Roman" w:hAnsi="Times New Roman" w:cs="Times New Roman"/>
          <w:color w:val="auto"/>
          <w:spacing w:val="0"/>
          <w:position w:val="0"/>
          <w:sz w:val="24"/>
          <w:szCs w:val="24"/>
          <w:lang w:val="en-US" w:eastAsia="zh-CN"/>
        </w:rPr>
        <w:t>不设评价范围，评价重点为河口湿地设施净化效率</w:t>
      </w:r>
      <w:r>
        <w:rPr>
          <w:rFonts w:hint="default" w:ascii="Times New Roman" w:hAnsi="Times New Roman" w:eastAsia="宋体" w:cs="Times New Roman"/>
          <w:color w:val="auto"/>
          <w:spacing w:val="0"/>
          <w:position w:val="0"/>
          <w:sz w:val="24"/>
          <w:szCs w:val="24"/>
        </w:rPr>
        <w:t>可行性的论证</w:t>
      </w:r>
      <w:r>
        <w:rPr>
          <w:rFonts w:hint="eastAsia" w:ascii="Times New Roman" w:hAnsi="Times New Roman" w:cs="Times New Roman"/>
          <w:color w:val="auto"/>
          <w:spacing w:val="0"/>
          <w:position w:val="0"/>
          <w:sz w:val="24"/>
          <w:szCs w:val="24"/>
          <w:lang w:val="en-US" w:eastAsia="zh-CN"/>
        </w:rPr>
        <w:t>和生态环境效益分析。</w:t>
      </w: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9"/>
        <w:rPr>
          <w:rFonts w:hint="eastAsia" w:cs="Times New Roman"/>
          <w:b/>
          <w:bCs/>
          <w:color w:val="auto"/>
          <w:spacing w:val="0"/>
          <w:positio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9"/>
        <w:rPr>
          <w:rFonts w:hint="default"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11" w:name="_Toc5448"/>
      <w:r>
        <w:rPr>
          <w:rFonts w:hint="eastAsia" w:ascii="Times New Roman" w:hAnsi="Times New Roman" w:eastAsia="宋体" w:cs="Times New Roman"/>
          <w:b/>
          <w:bCs/>
          <w:color w:val="auto"/>
          <w:spacing w:val="0"/>
          <w:position w:val="0"/>
          <w:sz w:val="28"/>
          <w:szCs w:val="28"/>
          <w:lang w:val="en-US" w:eastAsia="zh-CN"/>
        </w:rPr>
        <w:t>4</w:t>
      </w:r>
      <w:r>
        <w:rPr>
          <w:rFonts w:hint="default" w:ascii="Times New Roman" w:hAnsi="Times New Roman" w:eastAsia="宋体" w:cs="Times New Roman"/>
          <w:b/>
          <w:bCs/>
          <w:color w:val="auto"/>
          <w:spacing w:val="0"/>
          <w:position w:val="0"/>
          <w:sz w:val="28"/>
          <w:szCs w:val="28"/>
          <w:lang w:val="en-US" w:eastAsia="zh-CN"/>
        </w:rPr>
        <w:t>地表水环境现状调查与评价</w:t>
      </w:r>
      <w:bookmarkEnd w:id="11"/>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2" w:name="_Toc7379"/>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val="en-US" w:eastAsia="zh-CN"/>
        </w:rPr>
        <w:t>.1区域水文资料</w:t>
      </w:r>
      <w:bookmarkEnd w:id="12"/>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宜良县境内河流统属珠江流域水系，</w:t>
      </w:r>
      <w:r>
        <w:rPr>
          <w:rFonts w:hint="eastAsia" w:ascii="Times New Roman" w:hAnsi="Times New Roman" w:eastAsia="宋体" w:cs="Times New Roman"/>
          <w:color w:val="auto"/>
          <w:spacing w:val="0"/>
          <w:position w:val="0"/>
          <w:sz w:val="24"/>
          <w:szCs w:val="24"/>
          <w:lang w:val="en-US" w:eastAsia="zh-CN"/>
        </w:rPr>
        <w:t>流经</w:t>
      </w:r>
      <w:r>
        <w:rPr>
          <w:rFonts w:hint="default" w:ascii="Times New Roman" w:hAnsi="Times New Roman" w:eastAsia="宋体" w:cs="Times New Roman"/>
          <w:color w:val="auto"/>
          <w:spacing w:val="0"/>
          <w:position w:val="0"/>
          <w:sz w:val="24"/>
          <w:szCs w:val="24"/>
          <w:lang w:val="en-US" w:eastAsia="zh-CN"/>
        </w:rPr>
        <w:t>面积在100平方公里以上的南盘江、贾龙河、麦田河、獐子坝河，摆衣河、巴江等。海马箐水库位于宜良县西北部马街镇西南的贾龙河上游的山区河谷地段。海马箐水库属南盘江水系贾龙河流域。贾龙河属珠江流域南盘江右岸一级支流</w:t>
      </w:r>
      <w:r>
        <w:rPr>
          <w:rFonts w:hint="eastAsia" w:ascii="Times New Roman" w:hAnsi="Times New Roman" w:eastAsia="宋体"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发源于嵩明县境内</w:t>
      </w:r>
      <w:r>
        <w:rPr>
          <w:rFonts w:hint="eastAsia" w:ascii="Times New Roman" w:hAnsi="Times New Roman" w:eastAsia="宋体" w:cs="Times New Roman"/>
          <w:color w:val="auto"/>
          <w:spacing w:val="0"/>
          <w:position w:val="0"/>
          <w:sz w:val="24"/>
          <w:szCs w:val="24"/>
          <w:lang w:val="en-US" w:eastAsia="zh-CN"/>
        </w:rPr>
        <w:t>牛栏江</w:t>
      </w:r>
      <w:r>
        <w:rPr>
          <w:rFonts w:hint="default" w:ascii="Times New Roman" w:hAnsi="Times New Roman" w:eastAsia="宋体" w:cs="Times New Roman"/>
          <w:color w:val="auto"/>
          <w:spacing w:val="0"/>
          <w:position w:val="0"/>
          <w:sz w:val="24"/>
          <w:szCs w:val="24"/>
          <w:lang w:val="en-US" w:eastAsia="zh-CN"/>
        </w:rPr>
        <w:t>与南盘江自然分界线附近的杨林镇南面玉龙山东麓（河源高程2569m），河流自西南向东蜿蜒至霞连寺附近折转向东北过石子河村（上段称大滴水、石子河），续向东北至酒豆箐后折转向东穿峡谷过海马箐村，下游不远处接纳较大的左支流（河道长11.7km，平均坡降24.74‰）后入库区，出库后河流折转至永乐村（新村）（称喷水洞河），再由西南向东北流经马家冲、西边、大蒋所后，先后与自北向南流的支流高田小河、丁所河、芹菜河与之交汇（交汇后称贾龙河），于马街附近折转向南先后经前卫、北羊街、金家营、兰家营后，并于兰家营与城北村之间接纳右支摆夷河后汇入南盘江。贾龙河流域面积820km</w:t>
      </w:r>
      <w:r>
        <w:rPr>
          <w:rFonts w:hint="default" w:ascii="Times New Roman" w:hAnsi="Times New Roman" w:eastAsia="宋体" w:cs="Times New Roman"/>
          <w:color w:val="auto"/>
          <w:spacing w:val="0"/>
          <w:position w:val="0"/>
          <w:sz w:val="24"/>
          <w:szCs w:val="24"/>
          <w:vertAlign w:val="superscript"/>
          <w:lang w:val="en-US" w:eastAsia="zh-CN"/>
        </w:rPr>
        <w:t>2</w:t>
      </w:r>
      <w:r>
        <w:rPr>
          <w:rFonts w:hint="default" w:ascii="Times New Roman" w:hAnsi="Times New Roman" w:eastAsia="宋体" w:cs="Times New Roman"/>
          <w:color w:val="auto"/>
          <w:spacing w:val="0"/>
          <w:position w:val="0"/>
          <w:sz w:val="24"/>
          <w:szCs w:val="24"/>
          <w:lang w:val="en-US" w:eastAsia="zh-CN"/>
        </w:rPr>
        <w:t>，全长57.33km，主河道河床坡降为6.2‰，流域平均高程1938m。根据现场调查，本项目最近的地表水体为工程紧邻的喷水洞河，喷水洞河全长51.8km，流域面积为721.1km</w:t>
      </w:r>
      <w:r>
        <w:rPr>
          <w:rFonts w:hint="default" w:ascii="Times New Roman" w:hAnsi="Times New Roman" w:eastAsia="宋体" w:cs="Times New Roman"/>
          <w:color w:val="auto"/>
          <w:spacing w:val="0"/>
          <w:position w:val="0"/>
          <w:sz w:val="24"/>
          <w:szCs w:val="24"/>
          <w:vertAlign w:val="superscript"/>
          <w:lang w:val="en-US" w:eastAsia="zh-CN"/>
        </w:rPr>
        <w:t>2</w:t>
      </w:r>
      <w:r>
        <w:rPr>
          <w:rFonts w:hint="default" w:ascii="Times New Roman" w:hAnsi="Times New Roman" w:eastAsia="宋体" w:cs="Times New Roman"/>
          <w:color w:val="auto"/>
          <w:spacing w:val="0"/>
          <w:position w:val="0"/>
          <w:sz w:val="24"/>
          <w:szCs w:val="24"/>
          <w:lang w:val="en-US" w:eastAsia="zh-CN"/>
        </w:rPr>
        <w:t>，喷水洞河最后汇入海马箐水库。</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3" w:name="_Toc17100"/>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val="en-US" w:eastAsia="zh-CN"/>
        </w:rPr>
        <w:t>.2地表水环境功能区划</w:t>
      </w:r>
      <w:bookmarkEnd w:id="13"/>
    </w:p>
    <w:p>
      <w:pPr>
        <w:pStyle w:val="9"/>
        <w:keepNext w:val="0"/>
        <w:keepLines w:val="0"/>
        <w:pageBreakBefore w:val="0"/>
        <w:widowControl/>
        <w:kinsoku/>
        <w:wordWrap/>
        <w:overflowPunct/>
        <w:topLinePunct w:val="0"/>
        <w:autoSpaceDE/>
        <w:autoSpaceDN/>
        <w:bidi w:val="0"/>
        <w:adjustRightInd w:val="0"/>
        <w:snapToGrid w:val="0"/>
        <w:spacing w:before="0" w:after="0"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本项目位于云南省</w:t>
      </w:r>
      <w:r>
        <w:rPr>
          <w:rFonts w:hint="default" w:ascii="Times New Roman" w:hAnsi="Times New Roman" w:eastAsia="宋体" w:cs="Times New Roman"/>
          <w:color w:val="auto"/>
          <w:spacing w:val="0"/>
          <w:position w:val="0"/>
          <w:sz w:val="24"/>
          <w:szCs w:val="24"/>
          <w:lang w:val="en-US" w:eastAsia="zh-CN"/>
        </w:rPr>
        <w:t>昆明市宜良县</w:t>
      </w:r>
      <w:r>
        <w:rPr>
          <w:rFonts w:hint="default" w:ascii="Times New Roman" w:hAnsi="Times New Roman" w:eastAsia="宋体" w:cs="Times New Roman"/>
          <w:color w:val="auto"/>
          <w:spacing w:val="0"/>
          <w:position w:val="0"/>
          <w:sz w:val="24"/>
          <w:szCs w:val="24"/>
        </w:rPr>
        <w:t>，距项目最近的地表水体为项目</w:t>
      </w:r>
      <w:r>
        <w:rPr>
          <w:rFonts w:hint="default" w:ascii="Times New Roman" w:hAnsi="Times New Roman" w:eastAsia="宋体" w:cs="Times New Roman"/>
          <w:color w:val="auto"/>
          <w:spacing w:val="0"/>
          <w:position w:val="0"/>
          <w:sz w:val="24"/>
          <w:szCs w:val="24"/>
          <w:lang w:val="en-US" w:eastAsia="zh-CN"/>
        </w:rPr>
        <w:t>紧邻</w:t>
      </w:r>
      <w:r>
        <w:rPr>
          <w:rFonts w:hint="default" w:ascii="Times New Roman" w:hAnsi="Times New Roman" w:eastAsia="宋体" w:cs="Times New Roman"/>
          <w:color w:val="auto"/>
          <w:spacing w:val="0"/>
          <w:position w:val="0"/>
          <w:sz w:val="24"/>
          <w:szCs w:val="24"/>
        </w:rPr>
        <w:t>的</w:t>
      </w:r>
      <w:r>
        <w:rPr>
          <w:rFonts w:hint="default" w:ascii="Times New Roman" w:hAnsi="Times New Roman" w:eastAsia="宋体" w:cs="Times New Roman"/>
          <w:color w:val="auto"/>
          <w:spacing w:val="0"/>
          <w:position w:val="0"/>
          <w:sz w:val="24"/>
          <w:szCs w:val="24"/>
          <w:lang w:val="en-US" w:eastAsia="zh-CN"/>
        </w:rPr>
        <w:t>喷水洞河</w:t>
      </w:r>
      <w:r>
        <w:rPr>
          <w:rFonts w:hint="default" w:ascii="Times New Roman" w:hAnsi="Times New Roman" w:eastAsia="宋体" w:cs="Times New Roman"/>
          <w:color w:val="auto"/>
          <w:spacing w:val="0"/>
          <w:position w:val="0"/>
          <w:sz w:val="24"/>
          <w:szCs w:val="24"/>
        </w:rPr>
        <w:t>，</w:t>
      </w:r>
      <w:r>
        <w:rPr>
          <w:rFonts w:hint="default" w:ascii="Times New Roman" w:hAnsi="Times New Roman" w:eastAsia="宋体" w:cs="Times New Roman"/>
          <w:color w:val="auto"/>
          <w:spacing w:val="0"/>
          <w:position w:val="0"/>
          <w:sz w:val="24"/>
          <w:szCs w:val="24"/>
          <w:lang w:val="en-US" w:eastAsia="zh-CN"/>
        </w:rPr>
        <w:t>喷水洞河</w:t>
      </w:r>
      <w:r>
        <w:rPr>
          <w:rFonts w:hint="default" w:ascii="Times New Roman" w:hAnsi="Times New Roman" w:eastAsia="宋体" w:cs="Times New Roman"/>
          <w:color w:val="auto"/>
          <w:spacing w:val="0"/>
          <w:position w:val="0"/>
          <w:sz w:val="24"/>
          <w:szCs w:val="24"/>
        </w:rPr>
        <w:t>自</w:t>
      </w:r>
      <w:r>
        <w:rPr>
          <w:rFonts w:hint="default" w:ascii="Times New Roman" w:hAnsi="Times New Roman" w:eastAsia="宋体" w:cs="Times New Roman"/>
          <w:color w:val="auto"/>
          <w:spacing w:val="0"/>
          <w:position w:val="0"/>
          <w:sz w:val="24"/>
          <w:szCs w:val="24"/>
          <w:lang w:val="en-US" w:eastAsia="zh-CN"/>
        </w:rPr>
        <w:t>西北</w:t>
      </w:r>
      <w:r>
        <w:rPr>
          <w:rFonts w:hint="default" w:ascii="Times New Roman" w:hAnsi="Times New Roman" w:eastAsia="宋体" w:cs="Times New Roman"/>
          <w:color w:val="auto"/>
          <w:spacing w:val="0"/>
          <w:position w:val="0"/>
          <w:sz w:val="24"/>
          <w:szCs w:val="24"/>
        </w:rPr>
        <w:t>向</w:t>
      </w:r>
      <w:r>
        <w:rPr>
          <w:rFonts w:hint="default" w:ascii="Times New Roman" w:hAnsi="Times New Roman" w:eastAsia="宋体" w:cs="Times New Roman"/>
          <w:color w:val="auto"/>
          <w:spacing w:val="0"/>
          <w:position w:val="0"/>
          <w:sz w:val="24"/>
          <w:szCs w:val="24"/>
          <w:lang w:val="en-US" w:eastAsia="zh-CN"/>
        </w:rPr>
        <w:t>东南</w:t>
      </w:r>
      <w:r>
        <w:rPr>
          <w:rFonts w:hint="default" w:ascii="Times New Roman" w:hAnsi="Times New Roman" w:eastAsia="宋体" w:cs="Times New Roman"/>
          <w:color w:val="auto"/>
          <w:spacing w:val="0"/>
          <w:position w:val="0"/>
          <w:sz w:val="24"/>
          <w:szCs w:val="24"/>
        </w:rPr>
        <w:t>汇入</w:t>
      </w:r>
      <w:r>
        <w:rPr>
          <w:rFonts w:hint="default" w:ascii="Times New Roman" w:hAnsi="Times New Roman" w:eastAsia="宋体" w:cs="Times New Roman"/>
          <w:color w:val="auto"/>
          <w:spacing w:val="0"/>
          <w:position w:val="0"/>
          <w:sz w:val="24"/>
          <w:szCs w:val="24"/>
          <w:lang w:eastAsia="zh-CN"/>
        </w:rPr>
        <w:t>海马箐水库</w:t>
      </w:r>
      <w:r>
        <w:rPr>
          <w:rFonts w:hint="default" w:ascii="Times New Roman" w:hAnsi="Times New Roman" w:eastAsia="宋体" w:cs="Times New Roman"/>
          <w:color w:val="auto"/>
          <w:spacing w:val="0"/>
          <w:position w:val="0"/>
          <w:sz w:val="24"/>
          <w:szCs w:val="24"/>
        </w:rPr>
        <w:t>，为</w:t>
      </w:r>
      <w:r>
        <w:rPr>
          <w:rFonts w:hint="default" w:ascii="Times New Roman" w:hAnsi="Times New Roman" w:eastAsia="宋体" w:cs="Times New Roman"/>
          <w:color w:val="auto"/>
          <w:spacing w:val="0"/>
          <w:position w:val="0"/>
          <w:sz w:val="24"/>
          <w:szCs w:val="24"/>
          <w:lang w:eastAsia="zh-CN"/>
        </w:rPr>
        <w:t>海马箐水库宜良县境内主要入库河流，海马箐水库</w:t>
      </w:r>
      <w:r>
        <w:rPr>
          <w:rFonts w:hint="default" w:ascii="Times New Roman" w:hAnsi="Times New Roman" w:eastAsia="宋体" w:cs="Times New Roman"/>
          <w:color w:val="auto"/>
          <w:spacing w:val="0"/>
          <w:position w:val="0"/>
          <w:sz w:val="24"/>
          <w:szCs w:val="24"/>
        </w:rPr>
        <w:t>位于项目</w:t>
      </w:r>
      <w:r>
        <w:rPr>
          <w:rFonts w:hint="default" w:ascii="Times New Roman" w:hAnsi="Times New Roman" w:eastAsia="宋体" w:cs="Times New Roman"/>
          <w:color w:val="auto"/>
          <w:spacing w:val="0"/>
          <w:position w:val="0"/>
          <w:sz w:val="24"/>
          <w:szCs w:val="24"/>
          <w:lang w:eastAsia="zh-CN"/>
        </w:rPr>
        <w:t>东南</w:t>
      </w:r>
      <w:r>
        <w:rPr>
          <w:rFonts w:hint="default" w:ascii="Times New Roman" w:hAnsi="Times New Roman" w:eastAsia="宋体" w:cs="Times New Roman"/>
          <w:color w:val="auto"/>
          <w:spacing w:val="0"/>
          <w:position w:val="0"/>
          <w:sz w:val="24"/>
          <w:szCs w:val="24"/>
        </w:rPr>
        <w:t>侧约</w:t>
      </w:r>
      <w:r>
        <w:rPr>
          <w:rFonts w:hint="default" w:ascii="Times New Roman" w:hAnsi="Times New Roman" w:eastAsia="宋体" w:cs="Times New Roman"/>
          <w:color w:val="auto"/>
          <w:spacing w:val="0"/>
          <w:position w:val="0"/>
          <w:sz w:val="24"/>
          <w:szCs w:val="24"/>
          <w:lang w:val="en-US" w:eastAsia="zh-CN"/>
        </w:rPr>
        <w:t>0.8</w:t>
      </w:r>
      <w:r>
        <w:rPr>
          <w:rFonts w:hint="default" w:ascii="Times New Roman" w:hAnsi="Times New Roman" w:eastAsia="宋体" w:cs="Times New Roman"/>
          <w:color w:val="auto"/>
          <w:spacing w:val="0"/>
          <w:position w:val="0"/>
          <w:sz w:val="24"/>
          <w:szCs w:val="24"/>
        </w:rPr>
        <w:t>km。</w:t>
      </w:r>
      <w:r>
        <w:rPr>
          <w:rFonts w:hint="default" w:ascii="Times New Roman" w:hAnsi="Times New Roman" w:eastAsia="宋体" w:cs="Times New Roman"/>
          <w:color w:val="auto"/>
          <w:spacing w:val="0"/>
          <w:position w:val="0"/>
          <w:sz w:val="24"/>
          <w:szCs w:val="24"/>
          <w:lang w:eastAsia="zh-CN"/>
        </w:rPr>
        <w:t>由于</w:t>
      </w:r>
      <w:r>
        <w:rPr>
          <w:rFonts w:hint="default" w:ascii="Times New Roman" w:hAnsi="Times New Roman" w:eastAsia="宋体" w:cs="Times New Roman"/>
          <w:color w:val="auto"/>
          <w:spacing w:val="0"/>
          <w:position w:val="0"/>
          <w:sz w:val="24"/>
          <w:szCs w:val="24"/>
        </w:rPr>
        <w:t>海马箐水库属南盘江水系贾龙河流域</w:t>
      </w:r>
      <w:r>
        <w:rPr>
          <w:rFonts w:hint="eastAsia"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贾龙河属珠江流域南盘江右岸一级支流，发源于嵩明县境内</w:t>
      </w:r>
      <w:r>
        <w:rPr>
          <w:rFonts w:hint="eastAsia" w:ascii="Times New Roman" w:hAnsi="Times New Roman" w:eastAsia="宋体" w:cs="Times New Roman"/>
          <w:color w:val="auto"/>
          <w:spacing w:val="0"/>
          <w:position w:val="0"/>
          <w:sz w:val="24"/>
          <w:szCs w:val="24"/>
          <w:lang w:eastAsia="zh-CN"/>
        </w:rPr>
        <w:t>牛栏</w:t>
      </w:r>
      <w:r>
        <w:rPr>
          <w:rFonts w:hint="default" w:ascii="Times New Roman" w:hAnsi="Times New Roman" w:eastAsia="宋体" w:cs="Times New Roman"/>
          <w:color w:val="auto"/>
          <w:spacing w:val="0"/>
          <w:position w:val="0"/>
          <w:sz w:val="24"/>
          <w:szCs w:val="24"/>
        </w:rPr>
        <w:t>江与南盘江自然分界线附近的杨林镇南面玉龙山东麓（河源高程2569m），河流自西南向东蜿蜒至霞连寺附近折转向东北过石子河村（上段称大滴水、石子河）</w:t>
      </w:r>
      <w:r>
        <w:rPr>
          <w:rFonts w:hint="eastAsia" w:ascii="Times New Roman" w:hAnsi="Times New Roman" w:eastAsia="宋体" w:cs="Times New Roman"/>
          <w:color w:val="auto"/>
          <w:spacing w:val="0"/>
          <w:position w:val="0"/>
          <w:sz w:val="24"/>
          <w:szCs w:val="24"/>
          <w:lang w:eastAsia="zh-CN"/>
        </w:rPr>
        <w:t>，继</w:t>
      </w:r>
      <w:r>
        <w:rPr>
          <w:rFonts w:hint="default" w:ascii="Times New Roman" w:hAnsi="Times New Roman" w:eastAsia="宋体" w:cs="Times New Roman"/>
          <w:color w:val="auto"/>
          <w:spacing w:val="0"/>
          <w:position w:val="0"/>
          <w:sz w:val="24"/>
          <w:szCs w:val="24"/>
        </w:rPr>
        <w:t>续向东北至酒豆箐后折转向东穿峡谷过海马箐村，下游不远处接纳较大的左支流（河道长11.7km，平均坡降24.74‰）后入库区，出库后河流折转至永乐村（新村</w:t>
      </w:r>
      <w:r>
        <w:rPr>
          <w:rFonts w:hint="default" w:ascii="Times New Roman" w:hAnsi="Times New Roman" w:eastAsia="宋体" w:cs="Times New Roman"/>
          <w:color w:val="auto"/>
          <w:spacing w:val="0"/>
          <w:position w:val="0"/>
          <w:sz w:val="24"/>
          <w:szCs w:val="24"/>
          <w:lang w:eastAsia="zh-CN"/>
        </w:rPr>
        <w:t>）（称</w:t>
      </w:r>
      <w:r>
        <w:rPr>
          <w:rFonts w:hint="default" w:ascii="Times New Roman" w:hAnsi="Times New Roman" w:eastAsia="宋体" w:cs="Times New Roman"/>
          <w:color w:val="auto"/>
          <w:spacing w:val="0"/>
          <w:position w:val="0"/>
          <w:sz w:val="24"/>
          <w:szCs w:val="24"/>
        </w:rPr>
        <w:t>喷水洞河），再由西南向东北流经马家冲、西边、大蒋所后，先后与自北向南流的支流高田小河、丁所河、芹菜河与之交汇</w:t>
      </w:r>
      <w:bookmarkStart w:id="14" w:name="bookmark184"/>
      <w:bookmarkEnd w:id="14"/>
      <w:r>
        <w:rPr>
          <w:rFonts w:hint="default" w:ascii="Times New Roman" w:hAnsi="Times New Roman" w:eastAsia="宋体" w:cs="Times New Roman"/>
          <w:color w:val="auto"/>
          <w:spacing w:val="0"/>
          <w:position w:val="0"/>
          <w:sz w:val="24"/>
          <w:szCs w:val="24"/>
        </w:rPr>
        <w:t>（交汇后称贾龙河），于马街附近折转向南先后经前卫、北羊街、金家营、兰家营后，并于兰家营与城北村之间接纳右支摆夷河后汇入南盘江。贾龙河流域面积820km2，全长57.33km，主河道河床坡降为6.2‰，流域平均高程1938m。</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eastAsia="zh-CN"/>
        </w:rPr>
        <w:t>海马箐水库</w:t>
      </w:r>
      <w:r>
        <w:rPr>
          <w:rFonts w:hint="eastAsia" w:cs="Times New Roman"/>
          <w:color w:val="auto"/>
          <w:spacing w:val="0"/>
          <w:position w:val="0"/>
          <w:sz w:val="24"/>
          <w:szCs w:val="24"/>
          <w:lang w:val="en-US" w:eastAsia="zh-CN"/>
        </w:rPr>
        <w:t>2018年进行了饮用水水源地保护区划分</w:t>
      </w:r>
      <w:r>
        <w:rPr>
          <w:rFonts w:hint="eastAsia" w:cs="Times New Roman"/>
          <w:color w:val="auto"/>
          <w:spacing w:val="0"/>
          <w:position w:val="0"/>
          <w:sz w:val="24"/>
          <w:szCs w:val="24"/>
          <w:lang w:eastAsia="zh-CN"/>
        </w:rPr>
        <w:t>，</w:t>
      </w:r>
      <w:r>
        <w:rPr>
          <w:rFonts w:hint="eastAsia" w:ascii="Times New Roman" w:hAnsi="Times New Roman" w:eastAsia="宋体" w:cs="Times New Roman"/>
          <w:color w:val="auto"/>
          <w:spacing w:val="0"/>
          <w:position w:val="0"/>
          <w:sz w:val="24"/>
          <w:szCs w:val="24"/>
          <w:lang w:eastAsia="zh-CN"/>
        </w:rPr>
        <w:t>作为</w:t>
      </w:r>
      <w:r>
        <w:rPr>
          <w:rFonts w:hint="default" w:ascii="Times New Roman" w:hAnsi="Times New Roman" w:eastAsia="宋体" w:cs="Times New Roman"/>
          <w:color w:val="auto"/>
          <w:spacing w:val="0"/>
          <w:position w:val="0"/>
          <w:sz w:val="24"/>
          <w:szCs w:val="24"/>
        </w:rPr>
        <w:t>宜良县城集中饮用水水源地，为</w:t>
      </w:r>
      <w:r>
        <w:rPr>
          <w:rFonts w:hint="eastAsia" w:cs="Times New Roman"/>
          <w:color w:val="auto"/>
          <w:spacing w:val="0"/>
          <w:position w:val="0"/>
          <w:sz w:val="24"/>
          <w:szCs w:val="24"/>
          <w:lang w:eastAsia="zh-CN"/>
        </w:rPr>
        <w:t>饮用水</w:t>
      </w:r>
      <w:r>
        <w:rPr>
          <w:rFonts w:hint="default" w:ascii="Times New Roman" w:hAnsi="Times New Roman" w:eastAsia="宋体" w:cs="Times New Roman"/>
          <w:color w:val="auto"/>
          <w:spacing w:val="0"/>
          <w:position w:val="0"/>
          <w:sz w:val="24"/>
          <w:szCs w:val="24"/>
        </w:rPr>
        <w:t>一级，执行GB3838-2002《地表水环境质量标准》Ⅱ类标准限值。项目</w:t>
      </w:r>
      <w:r>
        <w:rPr>
          <w:rFonts w:hint="default" w:ascii="Times New Roman" w:hAnsi="Times New Roman" w:eastAsia="宋体" w:cs="Times New Roman"/>
          <w:color w:val="auto"/>
          <w:spacing w:val="0"/>
          <w:position w:val="0"/>
          <w:sz w:val="24"/>
          <w:szCs w:val="24"/>
          <w:lang w:val="en-US" w:eastAsia="zh-CN"/>
        </w:rPr>
        <w:t>附近喷水洞河</w:t>
      </w:r>
      <w:r>
        <w:rPr>
          <w:rFonts w:hint="default" w:ascii="Times New Roman" w:hAnsi="Times New Roman" w:eastAsia="宋体" w:cs="Times New Roman"/>
          <w:color w:val="auto"/>
          <w:spacing w:val="0"/>
          <w:position w:val="0"/>
          <w:sz w:val="24"/>
          <w:szCs w:val="24"/>
        </w:rPr>
        <w:t>为</w:t>
      </w:r>
      <w:r>
        <w:rPr>
          <w:rFonts w:hint="default" w:ascii="Times New Roman" w:hAnsi="Times New Roman" w:eastAsia="宋体" w:cs="Times New Roman"/>
          <w:color w:val="auto"/>
          <w:spacing w:val="0"/>
          <w:position w:val="0"/>
          <w:sz w:val="24"/>
          <w:szCs w:val="24"/>
          <w:lang w:eastAsia="zh-CN"/>
        </w:rPr>
        <w:t>海马箐水库宜良片区主要入库河流</w:t>
      </w:r>
      <w:r>
        <w:rPr>
          <w:rFonts w:hint="default" w:ascii="Times New Roman" w:hAnsi="Times New Roman" w:eastAsia="宋体" w:cs="Times New Roman"/>
          <w:color w:val="auto"/>
          <w:spacing w:val="0"/>
          <w:position w:val="0"/>
          <w:sz w:val="24"/>
          <w:szCs w:val="24"/>
        </w:rPr>
        <w:t>，根据支流水质不低于干流的原则，</w:t>
      </w:r>
      <w:r>
        <w:rPr>
          <w:rFonts w:hint="default" w:ascii="Times New Roman" w:hAnsi="Times New Roman" w:eastAsia="宋体" w:cs="Times New Roman"/>
          <w:color w:val="auto"/>
          <w:spacing w:val="0"/>
          <w:position w:val="0"/>
          <w:sz w:val="24"/>
          <w:szCs w:val="24"/>
          <w:lang w:val="en-US" w:eastAsia="zh-CN"/>
        </w:rPr>
        <w:t>喷水洞河</w:t>
      </w:r>
      <w:r>
        <w:rPr>
          <w:rFonts w:hint="default" w:ascii="Times New Roman" w:hAnsi="Times New Roman" w:eastAsia="宋体" w:cs="Times New Roman"/>
          <w:color w:val="auto"/>
          <w:spacing w:val="0"/>
          <w:position w:val="0"/>
          <w:sz w:val="24"/>
          <w:szCs w:val="24"/>
        </w:rPr>
        <w:t>水质执行《地表水环境质量标准》（GB3838—2002）Ⅱ类标准。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本项目河口湿地位于喷水洞河沿岸，来水经过表流湿地处理达标后由下游出口自然流出，出水水质</w:t>
      </w:r>
      <w:r>
        <w:rPr>
          <w:rFonts w:hint="eastAsia" w:ascii="Times New Roman" w:hAnsi="Times New Roman" w:eastAsia="宋体" w:cs="Times New Roman"/>
          <w:color w:val="auto"/>
          <w:spacing w:val="0"/>
          <w:position w:val="0"/>
          <w:sz w:val="24"/>
          <w:szCs w:val="24"/>
          <w:lang w:val="en-US" w:eastAsia="zh-CN"/>
        </w:rPr>
        <w:t>执行</w:t>
      </w:r>
      <w:r>
        <w:rPr>
          <w:rFonts w:hint="default" w:ascii="Times New Roman" w:hAnsi="Times New Roman" w:eastAsia="宋体" w:cs="Times New Roman"/>
          <w:color w:val="auto"/>
          <w:spacing w:val="0"/>
          <w:position w:val="0"/>
          <w:sz w:val="24"/>
          <w:szCs w:val="24"/>
        </w:rPr>
        <w:t>《地表水环境质量标准》（GB3838—2002）Ⅱ类标准。</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Times New Roman" w:hAnsi="Times New Roman" w:eastAsia="宋体" w:cs="Times New Roman"/>
          <w:b/>
          <w:bCs/>
          <w:color w:val="auto"/>
          <w:spacing w:val="0"/>
          <w:position w:val="0"/>
          <w:sz w:val="24"/>
          <w:szCs w:val="24"/>
          <w:lang w:val="en-US" w:eastAsia="zh-CN"/>
        </w:rPr>
      </w:pPr>
      <w:bookmarkStart w:id="15" w:name="_Toc17478"/>
      <w:r>
        <w:rPr>
          <w:rFonts w:hint="eastAsia" w:ascii="Times New Roman" w:hAnsi="Times New Roman" w:eastAsia="宋体" w:cs="Times New Roman"/>
          <w:b/>
          <w:bCs/>
          <w:color w:val="auto"/>
          <w:spacing w:val="0"/>
          <w:position w:val="0"/>
          <w:sz w:val="24"/>
          <w:szCs w:val="24"/>
          <w:lang w:val="en-US" w:eastAsia="zh-CN"/>
        </w:rPr>
        <w:t>4.3</w:t>
      </w:r>
      <w:r>
        <w:rPr>
          <w:rFonts w:hint="default" w:ascii="Times New Roman" w:hAnsi="Times New Roman" w:eastAsia="宋体" w:cs="Times New Roman"/>
          <w:b/>
          <w:bCs/>
          <w:color w:val="auto"/>
          <w:spacing w:val="0"/>
          <w:position w:val="0"/>
          <w:sz w:val="24"/>
          <w:szCs w:val="24"/>
          <w:lang w:val="en-US" w:eastAsia="zh-CN"/>
        </w:rPr>
        <w:t>地表水</w:t>
      </w:r>
      <w:r>
        <w:rPr>
          <w:rFonts w:hint="eastAsia" w:ascii="Times New Roman" w:hAnsi="Times New Roman" w:eastAsia="宋体" w:cs="Times New Roman"/>
          <w:b/>
          <w:bCs/>
          <w:color w:val="auto"/>
          <w:spacing w:val="0"/>
          <w:position w:val="0"/>
          <w:sz w:val="24"/>
          <w:szCs w:val="24"/>
          <w:lang w:val="en-US" w:eastAsia="zh-CN"/>
        </w:rPr>
        <w:t>环境保护目标</w:t>
      </w:r>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项目涉及的地表水体为</w:t>
      </w:r>
      <w:r>
        <w:rPr>
          <w:rFonts w:hint="default" w:ascii="Times New Roman" w:hAnsi="Times New Roman" w:eastAsia="宋体" w:cs="Times New Roman"/>
          <w:color w:val="auto"/>
          <w:spacing w:val="0"/>
          <w:position w:val="0"/>
          <w:sz w:val="24"/>
          <w:szCs w:val="24"/>
          <w:lang w:eastAsia="zh-CN"/>
        </w:rPr>
        <w:t>喷水洞河、海马箐水库</w:t>
      </w:r>
      <w:r>
        <w:rPr>
          <w:rFonts w:hint="default" w:ascii="Times New Roman" w:hAnsi="Times New Roman" w:eastAsia="宋体" w:cs="Times New Roman"/>
          <w:color w:val="auto"/>
          <w:spacing w:val="0"/>
          <w:position w:val="0"/>
          <w:sz w:val="24"/>
          <w:szCs w:val="24"/>
        </w:rPr>
        <w:t>。本项目为</w:t>
      </w:r>
      <w:r>
        <w:rPr>
          <w:rFonts w:hint="default" w:ascii="Times New Roman" w:hAnsi="Times New Roman" w:eastAsia="宋体" w:cs="Times New Roman"/>
          <w:color w:val="auto"/>
          <w:spacing w:val="0"/>
          <w:position w:val="0"/>
          <w:sz w:val="24"/>
          <w:szCs w:val="24"/>
          <w:lang w:eastAsia="zh-CN"/>
        </w:rPr>
        <w:t>人工湿地水质净化</w:t>
      </w:r>
      <w:r>
        <w:rPr>
          <w:rFonts w:hint="default" w:ascii="Times New Roman" w:hAnsi="Times New Roman" w:eastAsia="宋体" w:cs="Times New Roman"/>
          <w:color w:val="auto"/>
          <w:spacing w:val="0"/>
          <w:position w:val="0"/>
          <w:sz w:val="24"/>
          <w:szCs w:val="24"/>
        </w:rPr>
        <w:t>工程，工程施工对</w:t>
      </w:r>
      <w:r>
        <w:rPr>
          <w:rFonts w:hint="default" w:ascii="Times New Roman" w:hAnsi="Times New Roman" w:eastAsia="宋体" w:cs="Times New Roman"/>
          <w:color w:val="auto"/>
          <w:spacing w:val="0"/>
          <w:position w:val="0"/>
          <w:sz w:val="24"/>
          <w:szCs w:val="24"/>
          <w:lang w:eastAsia="zh-CN"/>
        </w:rPr>
        <w:t>渠道</w:t>
      </w:r>
      <w:r>
        <w:rPr>
          <w:rFonts w:hint="default" w:ascii="Times New Roman" w:hAnsi="Times New Roman" w:eastAsia="宋体" w:cs="Times New Roman"/>
          <w:color w:val="auto"/>
          <w:spacing w:val="0"/>
          <w:position w:val="0"/>
          <w:sz w:val="24"/>
          <w:szCs w:val="24"/>
        </w:rPr>
        <w:t>水质有一定影响，以项目</w:t>
      </w:r>
      <w:r>
        <w:rPr>
          <w:rFonts w:hint="default" w:ascii="Times New Roman" w:hAnsi="Times New Roman" w:eastAsia="宋体" w:cs="Times New Roman"/>
          <w:color w:val="auto"/>
          <w:spacing w:val="0"/>
          <w:position w:val="0"/>
          <w:sz w:val="24"/>
          <w:szCs w:val="24"/>
          <w:lang w:eastAsia="zh-CN"/>
        </w:rPr>
        <w:t>东侧</w:t>
      </w:r>
      <w:r>
        <w:rPr>
          <w:rFonts w:hint="default" w:ascii="Times New Roman" w:hAnsi="Times New Roman" w:eastAsia="宋体" w:cs="Times New Roman"/>
          <w:color w:val="auto"/>
          <w:spacing w:val="0"/>
          <w:position w:val="0"/>
          <w:sz w:val="24"/>
          <w:szCs w:val="24"/>
        </w:rPr>
        <w:t>地表水体</w:t>
      </w:r>
      <w:r>
        <w:rPr>
          <w:rFonts w:hint="default" w:ascii="Times New Roman" w:hAnsi="Times New Roman" w:eastAsia="宋体" w:cs="Times New Roman"/>
          <w:color w:val="auto"/>
          <w:spacing w:val="0"/>
          <w:position w:val="0"/>
          <w:sz w:val="24"/>
          <w:szCs w:val="24"/>
          <w:lang w:eastAsia="zh-CN"/>
        </w:rPr>
        <w:t>南盘江</w:t>
      </w:r>
      <w:r>
        <w:rPr>
          <w:rFonts w:hint="default" w:ascii="Times New Roman" w:hAnsi="Times New Roman" w:eastAsia="宋体" w:cs="Times New Roman"/>
          <w:color w:val="auto"/>
          <w:spacing w:val="0"/>
          <w:position w:val="0"/>
          <w:sz w:val="24"/>
          <w:szCs w:val="24"/>
        </w:rPr>
        <w:t>为地表水的保护目标。</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0" w:firstLineChars="0"/>
        <w:jc w:val="center"/>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表</w:t>
      </w:r>
      <w:r>
        <w:rPr>
          <w:rFonts w:hint="eastAsia" w:ascii="Times New Roman" w:hAnsi="Times New Roman" w:eastAsia="宋体" w:cs="Times New Roman"/>
          <w:b/>
          <w:bCs/>
          <w:color w:val="auto"/>
          <w:spacing w:val="0"/>
          <w:position w:val="0"/>
          <w:sz w:val="24"/>
          <w:szCs w:val="24"/>
          <w:lang w:val="en-US" w:eastAsia="zh-CN"/>
        </w:rPr>
        <w:t xml:space="preserve"> </w:t>
      </w:r>
      <w:r>
        <w:rPr>
          <w:rFonts w:hint="eastAsia" w:cs="Times New Roman"/>
          <w:b/>
          <w:bCs/>
          <w:color w:val="auto"/>
          <w:spacing w:val="0"/>
          <w:position w:val="0"/>
          <w:sz w:val="24"/>
          <w:szCs w:val="24"/>
          <w:lang w:val="en-US" w:eastAsia="zh-CN"/>
        </w:rPr>
        <w:t>4</w:t>
      </w:r>
      <w:r>
        <w:rPr>
          <w:rFonts w:hint="eastAsia" w:ascii="Times New Roman" w:hAnsi="Times New Roman" w:eastAsia="宋体" w:cs="Times New Roman"/>
          <w:b/>
          <w:bCs/>
          <w:color w:val="auto"/>
          <w:spacing w:val="0"/>
          <w:position w:val="0"/>
          <w:sz w:val="24"/>
          <w:szCs w:val="24"/>
          <w:lang w:val="en-US" w:eastAsia="zh-CN"/>
        </w:rPr>
        <w:t>-</w:t>
      </w:r>
      <w:r>
        <w:rPr>
          <w:rFonts w:hint="eastAsia" w:cs="Times New Roman"/>
          <w:b/>
          <w:bCs/>
          <w:color w:val="auto"/>
          <w:spacing w:val="0"/>
          <w:position w:val="0"/>
          <w:sz w:val="24"/>
          <w:szCs w:val="24"/>
          <w:lang w:val="en-US" w:eastAsia="zh-CN"/>
        </w:rPr>
        <w:t>1</w:t>
      </w:r>
      <w:r>
        <w:rPr>
          <w:rFonts w:hint="eastAsia" w:ascii="Times New Roman" w:hAnsi="Times New Roman" w:eastAsia="宋体" w:cs="Times New Roman"/>
          <w:b/>
          <w:bCs/>
          <w:color w:val="auto"/>
          <w:spacing w:val="0"/>
          <w:position w:val="0"/>
          <w:sz w:val="24"/>
          <w:szCs w:val="24"/>
          <w:lang w:val="en-US" w:eastAsia="zh-CN"/>
        </w:rPr>
        <w:t xml:space="preserve"> </w:t>
      </w:r>
      <w:r>
        <w:rPr>
          <w:rFonts w:hint="default" w:ascii="Times New Roman" w:hAnsi="Times New Roman" w:eastAsia="宋体" w:cs="Times New Roman"/>
          <w:b/>
          <w:bCs/>
          <w:color w:val="auto"/>
          <w:spacing w:val="0"/>
          <w:position w:val="0"/>
          <w:sz w:val="24"/>
          <w:szCs w:val="24"/>
        </w:rPr>
        <w:t>项目地表水主要环境保护目标</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70"/>
        <w:gridCol w:w="1370"/>
        <w:gridCol w:w="1065"/>
        <w:gridCol w:w="1488"/>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环境要素</w:t>
            </w:r>
          </w:p>
        </w:tc>
        <w:tc>
          <w:tcPr>
            <w:tcW w:w="569"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名称</w:t>
            </w:r>
          </w:p>
        </w:tc>
        <w:tc>
          <w:tcPr>
            <w:tcW w:w="804"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保护对象</w:t>
            </w:r>
          </w:p>
        </w:tc>
        <w:tc>
          <w:tcPr>
            <w:tcW w:w="625"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相对厂址方位</w:t>
            </w:r>
          </w:p>
        </w:tc>
        <w:tc>
          <w:tcPr>
            <w:tcW w:w="873"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相对厂址距离（m）</w:t>
            </w:r>
          </w:p>
        </w:tc>
        <w:tc>
          <w:tcPr>
            <w:tcW w:w="1636"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569"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804"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625"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873"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1636"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1"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地表水</w:t>
            </w:r>
          </w:p>
        </w:tc>
        <w:tc>
          <w:tcPr>
            <w:tcW w:w="569" w:type="pc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海马箐水库</w:t>
            </w:r>
          </w:p>
        </w:tc>
        <w:tc>
          <w:tcPr>
            <w:tcW w:w="804"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地表水体</w:t>
            </w:r>
          </w:p>
        </w:tc>
        <w:tc>
          <w:tcPr>
            <w:tcW w:w="625" w:type="pc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lang w:val="en-US" w:eastAsia="zh-CN"/>
              </w:rPr>
              <w:t>东侧</w:t>
            </w:r>
          </w:p>
        </w:tc>
        <w:tc>
          <w:tcPr>
            <w:tcW w:w="873" w:type="pc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800</w:t>
            </w:r>
          </w:p>
        </w:tc>
        <w:tc>
          <w:tcPr>
            <w:tcW w:w="1636" w:type="pct"/>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《地表水环境质量标准》（GB3838-2002）Ⅱ类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91"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569" w:type="pc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eastAsia" w:ascii="Times New Roman" w:hAnsi="Times New Roman" w:eastAsia="宋体" w:cs="Times New Roman"/>
                <w:b w:val="0"/>
                <w:bCs w:val="0"/>
                <w:color w:val="auto"/>
                <w:spacing w:val="0"/>
                <w:position w:val="0"/>
                <w:sz w:val="21"/>
                <w:szCs w:val="21"/>
                <w:lang w:val="en-US" w:eastAsia="zh-CN"/>
              </w:rPr>
              <w:t>喷水洞河</w:t>
            </w:r>
          </w:p>
        </w:tc>
        <w:tc>
          <w:tcPr>
            <w:tcW w:w="804"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c>
          <w:tcPr>
            <w:tcW w:w="1498" w:type="pct"/>
            <w:gridSpan w:val="2"/>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lang w:val="en-US" w:eastAsia="zh-CN"/>
              </w:rPr>
              <w:t>湿地工程直接</w:t>
            </w:r>
            <w:r>
              <w:rPr>
                <w:rFonts w:hint="eastAsia" w:ascii="Times New Roman" w:hAnsi="Times New Roman" w:eastAsia="宋体" w:cs="Times New Roman"/>
                <w:b w:val="0"/>
                <w:bCs w:val="0"/>
                <w:color w:val="auto"/>
                <w:spacing w:val="0"/>
                <w:position w:val="0"/>
                <w:sz w:val="21"/>
                <w:szCs w:val="21"/>
                <w:lang w:val="en-US" w:eastAsia="zh-CN"/>
              </w:rPr>
              <w:t>净化</w:t>
            </w:r>
            <w:r>
              <w:rPr>
                <w:rFonts w:hint="default" w:ascii="Times New Roman" w:hAnsi="Times New Roman" w:eastAsia="宋体" w:cs="Times New Roman"/>
                <w:b w:val="0"/>
                <w:bCs w:val="0"/>
                <w:color w:val="auto"/>
                <w:spacing w:val="0"/>
                <w:position w:val="0"/>
                <w:sz w:val="21"/>
                <w:szCs w:val="21"/>
                <w:lang w:val="en-US" w:eastAsia="zh-CN"/>
              </w:rPr>
              <w:t>的</w:t>
            </w:r>
            <w:r>
              <w:rPr>
                <w:rFonts w:hint="eastAsia" w:ascii="Times New Roman" w:hAnsi="Times New Roman" w:eastAsia="宋体" w:cs="Times New Roman"/>
                <w:b w:val="0"/>
                <w:bCs w:val="0"/>
                <w:color w:val="auto"/>
                <w:spacing w:val="0"/>
                <w:position w:val="0"/>
                <w:sz w:val="21"/>
                <w:szCs w:val="21"/>
                <w:lang w:val="en-US" w:eastAsia="zh-CN"/>
              </w:rPr>
              <w:t>目标</w:t>
            </w:r>
          </w:p>
        </w:tc>
        <w:tc>
          <w:tcPr>
            <w:tcW w:w="1636" w:type="pct"/>
            <w:vMerge w:val="continue"/>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spacing w:val="0"/>
                <w:position w:val="0"/>
                <w:sz w:val="21"/>
                <w:szCs w:val="21"/>
              </w:rPr>
            </w:pPr>
          </w:p>
        </w:tc>
      </w:tr>
    </w:tbl>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6" w:name="_Toc10774"/>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val="en-US" w:eastAsia="zh-CN"/>
        </w:rPr>
        <w:t>.</w:t>
      </w:r>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val="en-US" w:eastAsia="zh-CN"/>
        </w:rPr>
        <w:t>地表水环境质量评价</w:t>
      </w:r>
      <w:bookmarkEnd w:id="16"/>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rPr>
        <w:t>本项目</w:t>
      </w:r>
      <w:r>
        <w:rPr>
          <w:rFonts w:hint="eastAsia" w:cs="Times New Roman"/>
          <w:color w:val="auto"/>
          <w:kern w:val="0"/>
          <w:sz w:val="24"/>
          <w:szCs w:val="24"/>
          <w:lang w:eastAsia="zh-CN"/>
        </w:rPr>
        <w:t>涉及</w:t>
      </w:r>
      <w:r>
        <w:rPr>
          <w:rFonts w:hint="default" w:ascii="Times New Roman" w:hAnsi="Times New Roman" w:eastAsia="宋体" w:cs="Times New Roman"/>
          <w:color w:val="auto"/>
          <w:kern w:val="0"/>
          <w:sz w:val="24"/>
          <w:szCs w:val="24"/>
        </w:rPr>
        <w:t>的地表水体为</w:t>
      </w:r>
      <w:r>
        <w:rPr>
          <w:rFonts w:hint="default" w:ascii="Times New Roman" w:hAnsi="Times New Roman" w:eastAsia="宋体" w:cs="Times New Roman"/>
          <w:color w:val="auto"/>
          <w:kern w:val="0"/>
          <w:sz w:val="24"/>
          <w:szCs w:val="24"/>
          <w:lang w:eastAsia="zh-CN"/>
        </w:rPr>
        <w:t>海马箐水库</w:t>
      </w:r>
      <w:r>
        <w:rPr>
          <w:rFonts w:hint="eastAsia" w:cs="Times New Roman"/>
          <w:color w:val="auto"/>
          <w:kern w:val="0"/>
          <w:sz w:val="24"/>
          <w:szCs w:val="24"/>
          <w:lang w:val="en-US" w:eastAsia="zh-CN"/>
        </w:rPr>
        <w:t>及上游喷水洞河</w:t>
      </w:r>
      <w:r>
        <w:rPr>
          <w:rFonts w:hint="eastAsia" w:cs="Times New Roman"/>
          <w:color w:val="auto"/>
          <w:kern w:val="0"/>
          <w:sz w:val="24"/>
          <w:szCs w:val="24"/>
          <w:lang w:eastAsia="zh-CN"/>
        </w:rPr>
        <w:t>。</w:t>
      </w:r>
      <w:r>
        <w:rPr>
          <w:rFonts w:hint="eastAsia" w:cs="Times New Roman"/>
          <w:color w:val="auto"/>
          <w:kern w:val="0"/>
          <w:sz w:val="24"/>
          <w:szCs w:val="24"/>
          <w:lang w:val="en-US" w:eastAsia="zh-CN"/>
        </w:rPr>
        <w:t>水库2018年完成饮用水水源保护区划分（昆政复〔2018〕92号），</w:t>
      </w:r>
      <w:r>
        <w:rPr>
          <w:rFonts w:hint="default" w:ascii="Times New Roman" w:hAnsi="Times New Roman" w:eastAsia="宋体" w:cs="Times New Roman"/>
          <w:color w:val="auto"/>
          <w:kern w:val="0"/>
          <w:sz w:val="24"/>
          <w:szCs w:val="24"/>
        </w:rPr>
        <w:t>作为宜良县城集中饮用水水源地，为饮用一级，</w:t>
      </w:r>
      <w:r>
        <w:rPr>
          <w:rFonts w:hint="eastAsia" w:cs="Times New Roman"/>
          <w:color w:val="auto"/>
          <w:kern w:val="0"/>
          <w:sz w:val="24"/>
          <w:szCs w:val="24"/>
          <w:lang w:val="en-US" w:eastAsia="zh-CN"/>
        </w:rPr>
        <w:t>水库及喷水洞河</w:t>
      </w:r>
      <w:r>
        <w:rPr>
          <w:rFonts w:hint="default" w:ascii="Times New Roman" w:hAnsi="Times New Roman" w:eastAsia="宋体" w:cs="Times New Roman"/>
          <w:color w:val="auto"/>
          <w:kern w:val="0"/>
          <w:sz w:val="24"/>
          <w:szCs w:val="24"/>
        </w:rPr>
        <w:t>执行GB3838-2002《地表水环境质量标准》Ⅱ类标准限值。</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kern w:val="0"/>
          <w:sz w:val="24"/>
          <w:szCs w:val="24"/>
          <w:lang w:val="en-US" w:eastAsia="zh-CN"/>
        </w:rPr>
      </w:pPr>
      <w:r>
        <w:rPr>
          <w:rFonts w:hint="eastAsia" w:cs="Times New Roman"/>
          <w:color w:val="auto"/>
          <w:kern w:val="0"/>
          <w:sz w:val="24"/>
          <w:szCs w:val="24"/>
          <w:lang w:val="en-US" w:eastAsia="zh-CN"/>
        </w:rPr>
        <w:t>宜良县海马箐水库管理局2026年6月委托贵州元烁环境检测技术有限公司对喷水洞上游及支流水质进行了补充监测，监测结果见表4-2。</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表4-2 喷水洞上游及其支流水环境质量一览表</w:t>
      </w:r>
    </w:p>
    <w:tbl>
      <w:tblPr>
        <w:tblStyle w:val="21"/>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691"/>
        <w:gridCol w:w="914"/>
        <w:gridCol w:w="777"/>
        <w:gridCol w:w="1132"/>
        <w:gridCol w:w="1022"/>
        <w:gridCol w:w="1089"/>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91"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采样点位</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检测项目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单位</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color w:val="auto"/>
                <w:spacing w:val="4"/>
                <w:sz w:val="21"/>
                <w:szCs w:val="21"/>
              </w:rPr>
              <w:t>202</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.0</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w:t>
            </w:r>
            <w:r>
              <w:rPr>
                <w:rFonts w:hint="eastAsia" w:ascii="Times New Roman" w:hAnsi="Times New Roman" w:eastAsia="宋体" w:cs="Times New Roman"/>
                <w:b/>
                <w:bCs/>
                <w:color w:val="auto"/>
                <w:spacing w:val="4"/>
                <w:sz w:val="21"/>
                <w:szCs w:val="21"/>
                <w:lang w:val="en-US" w:eastAsia="zh-CN"/>
              </w:rPr>
              <w:t>17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color w:val="auto"/>
                <w:spacing w:val="4"/>
                <w:sz w:val="21"/>
                <w:szCs w:val="21"/>
              </w:rPr>
              <w:t>202</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.0</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w:t>
            </w:r>
            <w:r>
              <w:rPr>
                <w:rFonts w:hint="eastAsia" w:ascii="Times New Roman" w:hAnsi="Times New Roman" w:eastAsia="宋体" w:cs="Times New Roman"/>
                <w:b/>
                <w:bCs/>
                <w:color w:val="auto"/>
                <w:spacing w:val="4"/>
                <w:sz w:val="21"/>
                <w:szCs w:val="21"/>
                <w:lang w:val="en-US" w:eastAsia="zh-CN"/>
              </w:rPr>
              <w:t>18</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Times New Roman" w:cs="Times New Roman"/>
                <w:b/>
                <w:bCs/>
                <w:color w:val="auto"/>
                <w:spacing w:val="4"/>
                <w:sz w:val="21"/>
                <w:szCs w:val="21"/>
              </w:rPr>
              <w:t>202</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.0</w:t>
            </w:r>
            <w:r>
              <w:rPr>
                <w:rFonts w:hint="eastAsia" w:ascii="Times New Roman" w:hAnsi="Times New Roman" w:eastAsia="宋体" w:cs="Times New Roman"/>
                <w:b/>
                <w:bCs/>
                <w:color w:val="auto"/>
                <w:spacing w:val="4"/>
                <w:sz w:val="21"/>
                <w:szCs w:val="21"/>
                <w:lang w:val="en-US" w:eastAsia="zh-CN"/>
              </w:rPr>
              <w:t>6</w:t>
            </w:r>
            <w:r>
              <w:rPr>
                <w:rFonts w:hint="default" w:ascii="Times New Roman" w:hAnsi="Times New Roman" w:eastAsia="Times New Roman" w:cs="Times New Roman"/>
                <w:b/>
                <w:bCs/>
                <w:color w:val="auto"/>
                <w:spacing w:val="4"/>
                <w:sz w:val="21"/>
                <w:szCs w:val="21"/>
              </w:rPr>
              <w:t>.</w:t>
            </w:r>
            <w:r>
              <w:rPr>
                <w:rFonts w:hint="eastAsia" w:ascii="Times New Roman" w:hAnsi="Times New Roman" w:eastAsia="宋体" w:cs="Times New Roman"/>
                <w:b/>
                <w:bCs/>
                <w:color w:val="auto"/>
                <w:spacing w:val="4"/>
                <w:sz w:val="21"/>
                <w:szCs w:val="21"/>
                <w:lang w:val="en-US" w:eastAsia="zh-CN"/>
              </w:rPr>
              <w:t>19</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i w:val="0"/>
                <w:iCs w:val="0"/>
                <w:caps w:val="0"/>
                <w:color w:val="auto"/>
                <w:spacing w:val="0"/>
                <w:sz w:val="21"/>
                <w:szCs w:val="21"/>
              </w:rPr>
            </w:pPr>
            <w:r>
              <w:rPr>
                <w:rFonts w:hint="default" w:ascii="Times New Roman" w:hAnsi="Times New Roman" w:eastAsia="宋体" w:cs="Times New Roman"/>
                <w:b/>
                <w:bCs/>
                <w:i w:val="0"/>
                <w:iCs w:val="0"/>
                <w:caps w:val="0"/>
                <w:color w:val="auto"/>
                <w:spacing w:val="0"/>
                <w:kern w:val="0"/>
                <w:sz w:val="21"/>
                <w:szCs w:val="21"/>
                <w:lang w:val="en-US" w:eastAsia="zh-CN" w:bidi="ar"/>
              </w:rPr>
              <w:t>《地表水环境质量标准》（GB3838-2002）Ⅱ类标准限值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喷水洞河项目河口湿地入口处W1#</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7.2</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8"/>
                <w:sz w:val="21"/>
                <w:szCs w:val="21"/>
                <w:lang w:val="en-US" w:eastAsia="zh-CN"/>
              </w:rPr>
              <w:t>16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8"/>
                <w:sz w:val="21"/>
                <w:szCs w:val="21"/>
              </w:rPr>
              <w:t>1</w:t>
            </w:r>
            <w:r>
              <w:rPr>
                <w:rFonts w:hint="eastAsia" w:ascii="Times New Roman" w:hAnsi="Times New Roman" w:eastAsia="宋体" w:cs="Times New Roman"/>
                <w:color w:val="auto"/>
                <w:spacing w:val="-8"/>
                <w:sz w:val="21"/>
                <w:szCs w:val="21"/>
                <w:lang w:val="en-US" w:eastAsia="zh-CN"/>
              </w:rPr>
              <w:t>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8"/>
                <w:sz w:val="21"/>
                <w:szCs w:val="21"/>
              </w:rPr>
              <w:t>1</w:t>
            </w:r>
            <w:r>
              <w:rPr>
                <w:rFonts w:hint="eastAsia" w:ascii="Times New Roman" w:hAnsi="Times New Roman" w:eastAsia="宋体" w:cs="Times New Roman"/>
                <w:color w:val="auto"/>
                <w:spacing w:val="-8"/>
                <w:sz w:val="21"/>
                <w:szCs w:val="21"/>
                <w:lang w:val="en-US" w:eastAsia="zh-CN"/>
              </w:rPr>
              <w:t>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2.5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2.6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2.6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3"/>
                <w:sz w:val="21"/>
                <w:szCs w:val="21"/>
              </w:rPr>
              <w:t>0.</w:t>
            </w:r>
            <w:r>
              <w:rPr>
                <w:rFonts w:hint="eastAsia" w:ascii="Times New Roman" w:hAnsi="Times New Roman" w:eastAsia="宋体" w:cs="Times New Roman"/>
                <w:color w:val="auto"/>
                <w:spacing w:val="3"/>
                <w:sz w:val="21"/>
                <w:szCs w:val="21"/>
                <w:lang w:val="en-US" w:eastAsia="zh-CN"/>
              </w:rPr>
              <w:t>521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3"/>
                <w:sz w:val="21"/>
                <w:szCs w:val="21"/>
              </w:rPr>
              <w:t>0.</w:t>
            </w:r>
            <w:r>
              <w:rPr>
                <w:rFonts w:hint="eastAsia" w:ascii="Times New Roman" w:hAnsi="Times New Roman" w:eastAsia="宋体" w:cs="Times New Roman"/>
                <w:color w:val="auto"/>
                <w:spacing w:val="3"/>
                <w:sz w:val="21"/>
                <w:szCs w:val="21"/>
                <w:lang w:val="en-US" w:eastAsia="zh-CN"/>
              </w:rPr>
              <w:t>495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532</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88</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91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86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3.1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3"/>
                <w:sz w:val="21"/>
                <w:szCs w:val="21"/>
                <w:lang w:val="en-US" w:eastAsia="zh-CN"/>
              </w:rPr>
              <w:t>3.2</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3.3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6.54</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6.29</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w:t>
            </w:r>
            <w:r>
              <w:rPr>
                <w:rFonts w:hint="default" w:ascii="Times New Roman" w:hAnsi="Times New Roman" w:eastAsia="Times New Roman" w:cs="Times New Roman"/>
                <w:color w:val="auto"/>
                <w:spacing w:val="2"/>
                <w:sz w:val="21"/>
                <w:szCs w:val="21"/>
              </w:rPr>
              <w:t>.3</w:t>
            </w:r>
            <w:r>
              <w:rPr>
                <w:rFonts w:hint="eastAsia" w:ascii="Times New Roman" w:hAnsi="Times New Roman" w:eastAsia="宋体" w:cs="Times New Roman"/>
                <w:color w:val="auto"/>
                <w:spacing w:val="2"/>
                <w:sz w:val="21"/>
                <w:szCs w:val="21"/>
                <w:lang w:val="en-US" w:eastAsia="zh-CN"/>
              </w:rPr>
              <w:t>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河口湿地入口上游W2#</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1"/>
                <w:sz w:val="21"/>
                <w:szCs w:val="21"/>
                <w:lang w:val="en-US" w:eastAsia="zh-CN"/>
              </w:rPr>
              <w:t>6.9</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6.9</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7.0</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tabs>
                <w:tab w:val="center" w:pos="597"/>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8"/>
                <w:sz w:val="21"/>
                <w:szCs w:val="21"/>
                <w:lang w:val="en-US" w:eastAsia="zh-CN"/>
              </w:rPr>
              <w:t>17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16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8"/>
                <w:sz w:val="21"/>
                <w:szCs w:val="21"/>
                <w:lang w:val="en-US" w:eastAsia="zh-CN"/>
              </w:rPr>
              <w:t>16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3.0</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3.1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3.1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465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471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3"/>
                <w:sz w:val="21"/>
                <w:szCs w:val="21"/>
              </w:rPr>
              <w:t>0.</w:t>
            </w:r>
            <w:r>
              <w:rPr>
                <w:rFonts w:hint="eastAsia" w:ascii="Times New Roman" w:hAnsi="Times New Roman" w:eastAsia="宋体" w:cs="Times New Roman"/>
                <w:color w:val="auto"/>
                <w:spacing w:val="3"/>
                <w:sz w:val="21"/>
                <w:szCs w:val="21"/>
                <w:lang w:val="en-US" w:eastAsia="zh-CN"/>
              </w:rPr>
              <w:t>488</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4</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75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80</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73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3.5</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3.6</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w:t>
            </w:r>
            <w:r>
              <w:rPr>
                <w:rFonts w:hint="default" w:ascii="Times New Roman" w:hAnsi="Times New Roman" w:eastAsia="Times New Roman" w:cs="Times New Roman"/>
                <w:color w:val="auto"/>
                <w:spacing w:val="2"/>
                <w:sz w:val="21"/>
                <w:szCs w:val="21"/>
              </w:rPr>
              <w:t>.</w:t>
            </w:r>
            <w:r>
              <w:rPr>
                <w:rFonts w:hint="eastAsia" w:ascii="Times New Roman" w:hAnsi="Times New Roman" w:eastAsia="宋体" w:cs="Times New Roman"/>
                <w:color w:val="auto"/>
                <w:spacing w:val="2"/>
                <w:sz w:val="21"/>
                <w:szCs w:val="21"/>
                <w:lang w:val="en-US" w:eastAsia="zh-CN"/>
              </w:rPr>
              <w:t>9</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w:t>
            </w:r>
            <w:r>
              <w:rPr>
                <w:rFonts w:hint="default" w:ascii="Times New Roman" w:hAnsi="Times New Roman" w:eastAsia="Times New Roman" w:cs="Times New Roman"/>
                <w:color w:val="auto"/>
                <w:spacing w:val="2"/>
                <w:sz w:val="21"/>
                <w:szCs w:val="21"/>
              </w:rPr>
              <w:t>.</w:t>
            </w:r>
            <w:r>
              <w:rPr>
                <w:rFonts w:hint="eastAsia" w:ascii="Times New Roman" w:hAnsi="Times New Roman" w:eastAsia="宋体" w:cs="Times New Roman"/>
                <w:color w:val="auto"/>
                <w:spacing w:val="2"/>
                <w:sz w:val="21"/>
                <w:szCs w:val="21"/>
                <w:lang w:val="en-US" w:eastAsia="zh-CN"/>
              </w:rPr>
              <w:t>8</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2"/>
                <w:sz w:val="21"/>
                <w:szCs w:val="21"/>
                <w:lang w:val="en-US" w:eastAsia="zh-CN"/>
              </w:rPr>
              <w:t>6.7</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restart"/>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河口湿地入口上游W3#</w:t>
            </w: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pH值</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无量纲</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1"/>
                <w:sz w:val="21"/>
                <w:szCs w:val="21"/>
                <w:lang w:val="en-US" w:eastAsia="zh-CN"/>
              </w:rPr>
              <w:t>7.0</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1"/>
                <w:sz w:val="21"/>
                <w:szCs w:val="21"/>
              </w:rPr>
              <w:t>7.0</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z w:val="21"/>
                <w:szCs w:val="21"/>
              </w:rPr>
              <w:t>7.</w:t>
            </w:r>
            <w:r>
              <w:rPr>
                <w:rFonts w:hint="default" w:ascii="Times New Roman" w:hAnsi="Times New Roman" w:eastAsia="Times New Roman" w:cs="Times New Roman"/>
                <w:color w:val="auto"/>
                <w:spacing w:val="-25"/>
                <w:sz w:val="21"/>
                <w:szCs w:val="21"/>
              </w:rPr>
              <w:t xml:space="preserve"> </w:t>
            </w:r>
            <w:r>
              <w:rPr>
                <w:rFonts w:hint="default" w:ascii="Times New Roman" w:hAnsi="Times New Roman" w:eastAsia="Times New Roman" w:cs="Times New Roman"/>
                <w:color w:val="auto"/>
                <w:sz w:val="21"/>
                <w:szCs w:val="21"/>
              </w:rPr>
              <w:t>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化学需氧量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8"/>
                <w:sz w:val="21"/>
                <w:szCs w:val="21"/>
                <w:lang w:val="en-US" w:eastAsia="zh-CN"/>
              </w:rPr>
              <w:t>16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15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15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五日生化需氧量</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pacing w:val="1"/>
                <w:sz w:val="21"/>
                <w:szCs w:val="21"/>
                <w:lang w:val="en-US" w:eastAsia="zh-CN"/>
              </w:rPr>
              <w:t>3.2</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3.1</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2.9</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氨氮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0.406</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0.425</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0.443</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总磷</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4</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4</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1</w:t>
            </w:r>
            <w:r>
              <w:rPr>
                <w:rFonts w:hint="default" w:ascii="Times New Roman" w:hAnsi="Times New Roman" w:eastAsia="Times New Roman" w:cs="Times New Roman"/>
                <w:color w:val="auto"/>
                <w:spacing w:val="2"/>
                <w:sz w:val="21"/>
                <w:szCs w:val="21"/>
              </w:rPr>
              <w:t>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总氮</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7</w:t>
            </w:r>
            <w:r>
              <w:rPr>
                <w:rFonts w:hint="default" w:ascii="Times New Roman" w:hAnsi="Times New Roman" w:eastAsia="Times New Roman" w:cs="Times New Roman"/>
                <w:color w:val="auto"/>
                <w:spacing w:val="2"/>
                <w:sz w:val="21"/>
                <w:szCs w:val="21"/>
              </w:rPr>
              <w:t>8</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7</w:t>
            </w:r>
            <w:r>
              <w:rPr>
                <w:rFonts w:hint="default" w:ascii="Times New Roman" w:hAnsi="Times New Roman" w:eastAsia="Times New Roman" w:cs="Times New Roman"/>
                <w:color w:val="auto"/>
                <w:spacing w:val="2"/>
                <w:sz w:val="21"/>
                <w:szCs w:val="21"/>
              </w:rPr>
              <w:t>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Times New Roman" w:cs="Times New Roman"/>
                <w:color w:val="auto"/>
                <w:spacing w:val="2"/>
                <w:sz w:val="21"/>
                <w:szCs w:val="21"/>
              </w:rPr>
              <w:t>0.</w:t>
            </w:r>
            <w:r>
              <w:rPr>
                <w:rFonts w:hint="eastAsia" w:ascii="Times New Roman" w:hAnsi="Times New Roman" w:eastAsia="宋体" w:cs="Times New Roman"/>
                <w:color w:val="auto"/>
                <w:spacing w:val="2"/>
                <w:sz w:val="21"/>
                <w:szCs w:val="21"/>
                <w:lang w:val="en-US" w:eastAsia="zh-CN"/>
              </w:rPr>
              <w:t>7</w:t>
            </w:r>
            <w:r>
              <w:rPr>
                <w:rFonts w:hint="default" w:ascii="Times New Roman" w:hAnsi="Times New Roman" w:eastAsia="Times New Roman" w:cs="Times New Roman"/>
                <w:color w:val="auto"/>
                <w:spacing w:val="2"/>
                <w:sz w:val="21"/>
                <w:szCs w:val="21"/>
              </w:rPr>
              <w:t>7</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cs="Times New Roman"/>
                <w:i w:val="0"/>
                <w:iCs w:val="0"/>
                <w:caps w:val="0"/>
                <w:color w:val="auto"/>
                <w:spacing w:val="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高锰酸盐指数</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3.7</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3.6</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3.5</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691" w:type="dxa"/>
            <w:vMerge w:val="continue"/>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p>
        </w:tc>
        <w:tc>
          <w:tcPr>
            <w:tcW w:w="914"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溶解氧</w:t>
            </w:r>
          </w:p>
        </w:tc>
        <w:tc>
          <w:tcPr>
            <w:tcW w:w="777"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mg/L</w:t>
            </w:r>
          </w:p>
        </w:tc>
        <w:tc>
          <w:tcPr>
            <w:tcW w:w="113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7.1</w:t>
            </w:r>
          </w:p>
        </w:tc>
        <w:tc>
          <w:tcPr>
            <w:tcW w:w="102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7.2</w:t>
            </w:r>
          </w:p>
        </w:tc>
        <w:tc>
          <w:tcPr>
            <w:tcW w:w="1089"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eastAsia" w:ascii="Times New Roman" w:hAnsi="Times New Roman" w:eastAsia="宋体" w:cs="Times New Roman"/>
                <w:color w:val="auto"/>
                <w:sz w:val="21"/>
                <w:szCs w:val="21"/>
                <w:lang w:val="en-US" w:eastAsia="zh-CN"/>
              </w:rPr>
              <w:t>7.1</w:t>
            </w:r>
          </w:p>
        </w:tc>
        <w:tc>
          <w:tcPr>
            <w:tcW w:w="1352" w:type="dxa"/>
            <w:tcBorders>
              <w:tl2br w:val="nil"/>
              <w:tr2bl w:val="nil"/>
            </w:tcBorders>
            <w:shd w:val="clear" w:color="auto" w:fill="FFFFFF"/>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w:t>
            </w:r>
          </w:p>
        </w:tc>
      </w:tr>
    </w:tbl>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eastAsia="zh-CN"/>
        </w:rPr>
        <w:t>根据监测结果，喷水洞上游及其支流水质COD、氨氮、总磷出现超标，水质不满足GB3838-2002《地表水环境质量标准》Ⅱ类标准限值。</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kern w:val="0"/>
          <w:sz w:val="24"/>
          <w:szCs w:val="24"/>
          <w:lang w:val="en-US" w:eastAsia="zh-CN"/>
        </w:rPr>
      </w:pPr>
      <w:r>
        <w:rPr>
          <w:rFonts w:hint="eastAsia" w:cs="Times New Roman"/>
          <w:color w:val="auto"/>
          <w:kern w:val="0"/>
          <w:sz w:val="24"/>
          <w:szCs w:val="24"/>
          <w:lang w:val="en-US" w:eastAsia="zh-CN"/>
        </w:rPr>
        <w:t>根据宜良县人民政府发布的集中式生活饮用水源水质状况，可以得到海马箐水库最近2年的水质情况，2024年第三季度监测海马箐水库水质为</w:t>
      </w:r>
      <w:r>
        <w:rPr>
          <w:rFonts w:hint="default" w:ascii="Times New Roman" w:hAnsi="Times New Roman" w:eastAsia="宋体" w:cs="Times New Roman"/>
          <w:color w:val="auto"/>
          <w:kern w:val="0"/>
          <w:sz w:val="24"/>
          <w:szCs w:val="24"/>
        </w:rPr>
        <w:t>Ⅱ类</w:t>
      </w:r>
      <w:r>
        <w:rPr>
          <w:rFonts w:hint="eastAsia" w:cs="Times New Roman"/>
          <w:color w:val="auto"/>
          <w:kern w:val="0"/>
          <w:sz w:val="24"/>
          <w:szCs w:val="24"/>
          <w:lang w:val="en-US" w:eastAsia="zh-CN"/>
        </w:rPr>
        <w:t>、第四季度监测为</w:t>
      </w:r>
      <w:r>
        <w:rPr>
          <w:rFonts w:hint="eastAsia" w:cs="Times New Roman"/>
          <w:color w:val="auto"/>
          <w:kern w:val="0"/>
          <w:sz w:val="24"/>
          <w:szCs w:val="24"/>
          <w:lang w:val="en-US" w:eastAsia="zh-CN"/>
        </w:rPr>
        <w:fldChar w:fldCharType="begin"/>
      </w:r>
      <w:r>
        <w:rPr>
          <w:rFonts w:hint="eastAsia" w:cs="Times New Roman"/>
          <w:color w:val="auto"/>
          <w:kern w:val="0"/>
          <w:sz w:val="24"/>
          <w:szCs w:val="24"/>
          <w:lang w:val="en-US" w:eastAsia="zh-CN"/>
        </w:rPr>
        <w:instrText xml:space="preserve"> = 3 \* ROMAN \* MERGEFORMAT </w:instrText>
      </w:r>
      <w:r>
        <w:rPr>
          <w:rFonts w:hint="eastAsia" w:cs="Times New Roman"/>
          <w:color w:val="auto"/>
          <w:kern w:val="0"/>
          <w:sz w:val="24"/>
          <w:szCs w:val="24"/>
          <w:lang w:val="en-US" w:eastAsia="zh-CN"/>
        </w:rPr>
        <w:fldChar w:fldCharType="separate"/>
      </w:r>
      <w:r>
        <w:rPr>
          <w:rFonts w:hint="default"/>
          <w:color w:val="auto"/>
          <w:sz w:val="24"/>
          <w:szCs w:val="24"/>
        </w:rPr>
        <w:t>III</w:t>
      </w:r>
      <w:r>
        <w:rPr>
          <w:rFonts w:hint="eastAsia" w:cs="Times New Roman"/>
          <w:color w:val="auto"/>
          <w:kern w:val="0"/>
          <w:sz w:val="24"/>
          <w:szCs w:val="24"/>
          <w:lang w:val="en-US" w:eastAsia="zh-CN"/>
        </w:rPr>
        <w:fldChar w:fldCharType="end"/>
      </w:r>
      <w:r>
        <w:rPr>
          <w:rFonts w:hint="eastAsia" w:cs="Times New Roman"/>
          <w:color w:val="auto"/>
          <w:kern w:val="0"/>
          <w:sz w:val="24"/>
          <w:szCs w:val="24"/>
          <w:lang w:val="en-US" w:eastAsia="zh-CN"/>
        </w:rPr>
        <w:t>类（溶解氧为Ⅲ类）；2025年第一季度海马箐水库水质为</w:t>
      </w:r>
      <w:r>
        <w:rPr>
          <w:rFonts w:hint="default" w:ascii="Times New Roman" w:hAnsi="Times New Roman" w:eastAsia="宋体" w:cs="Times New Roman"/>
          <w:color w:val="auto"/>
          <w:kern w:val="0"/>
          <w:sz w:val="24"/>
          <w:szCs w:val="24"/>
        </w:rPr>
        <w:t>Ⅱ类</w:t>
      </w:r>
      <w:r>
        <w:rPr>
          <w:rFonts w:hint="eastAsia" w:cs="Times New Roman"/>
          <w:color w:val="auto"/>
          <w:kern w:val="0"/>
          <w:sz w:val="24"/>
          <w:szCs w:val="24"/>
          <w:lang w:val="en-US" w:eastAsia="zh-CN"/>
        </w:rPr>
        <w:t>、第二季度为</w:t>
      </w:r>
      <w:r>
        <w:rPr>
          <w:rFonts w:hint="eastAsia" w:cs="Times New Roman"/>
          <w:color w:val="auto"/>
          <w:kern w:val="0"/>
          <w:sz w:val="24"/>
          <w:szCs w:val="24"/>
          <w:lang w:val="en-US" w:eastAsia="zh-CN"/>
        </w:rPr>
        <w:fldChar w:fldCharType="begin"/>
      </w:r>
      <w:r>
        <w:rPr>
          <w:rFonts w:hint="eastAsia" w:cs="Times New Roman"/>
          <w:color w:val="auto"/>
          <w:kern w:val="0"/>
          <w:sz w:val="24"/>
          <w:szCs w:val="24"/>
          <w:lang w:val="en-US" w:eastAsia="zh-CN"/>
        </w:rPr>
        <w:instrText xml:space="preserve"> = 3 \* ROMAN \* MERGEFORMAT </w:instrText>
      </w:r>
      <w:r>
        <w:rPr>
          <w:rFonts w:hint="eastAsia" w:cs="Times New Roman"/>
          <w:color w:val="auto"/>
          <w:kern w:val="0"/>
          <w:sz w:val="24"/>
          <w:szCs w:val="24"/>
          <w:lang w:val="en-US" w:eastAsia="zh-CN"/>
        </w:rPr>
        <w:fldChar w:fldCharType="separate"/>
      </w:r>
      <w:r>
        <w:rPr>
          <w:rFonts w:hint="default"/>
          <w:color w:val="auto"/>
          <w:sz w:val="24"/>
          <w:szCs w:val="24"/>
        </w:rPr>
        <w:t>III</w:t>
      </w:r>
      <w:r>
        <w:rPr>
          <w:rFonts w:hint="eastAsia" w:cs="Times New Roman"/>
          <w:color w:val="auto"/>
          <w:kern w:val="0"/>
          <w:sz w:val="24"/>
          <w:szCs w:val="24"/>
          <w:lang w:val="en-US" w:eastAsia="zh-CN"/>
        </w:rPr>
        <w:fldChar w:fldCharType="end"/>
      </w:r>
      <w:r>
        <w:rPr>
          <w:rFonts w:hint="eastAsia" w:cs="Times New Roman"/>
          <w:color w:val="auto"/>
          <w:kern w:val="0"/>
          <w:sz w:val="24"/>
          <w:szCs w:val="24"/>
          <w:lang w:val="en-US" w:eastAsia="zh-CN"/>
        </w:rPr>
        <w:t>类（五日生化需氧量、总磷为Ⅲ类）、第三季度为</w:t>
      </w:r>
      <w:r>
        <w:rPr>
          <w:rFonts w:hint="default" w:ascii="Times New Roman" w:hAnsi="Times New Roman" w:eastAsia="宋体" w:cs="Times New Roman"/>
          <w:color w:val="auto"/>
          <w:kern w:val="0"/>
          <w:sz w:val="24"/>
          <w:szCs w:val="24"/>
        </w:rPr>
        <w:t>Ⅱ类</w:t>
      </w:r>
      <w:r>
        <w:rPr>
          <w:rFonts w:hint="eastAsia" w:cs="Times New Roman"/>
          <w:color w:val="auto"/>
          <w:kern w:val="0"/>
          <w:sz w:val="24"/>
          <w:szCs w:val="24"/>
          <w:lang w:val="en-US" w:eastAsia="zh-CN"/>
        </w:rPr>
        <w:t>、第四季度为</w:t>
      </w:r>
      <w:r>
        <w:rPr>
          <w:rFonts w:hint="default" w:ascii="Times New Roman" w:hAnsi="Times New Roman" w:eastAsia="宋体" w:cs="Times New Roman"/>
          <w:color w:val="auto"/>
          <w:kern w:val="0"/>
          <w:sz w:val="24"/>
          <w:szCs w:val="24"/>
        </w:rPr>
        <w:t>Ⅱ类</w:t>
      </w:r>
      <w:r>
        <w:rPr>
          <w:rFonts w:hint="eastAsia" w:cs="Times New Roman"/>
          <w:color w:val="auto"/>
          <w:kern w:val="0"/>
          <w:sz w:val="24"/>
          <w:szCs w:val="24"/>
          <w:lang w:eastAsia="zh-CN"/>
        </w:rPr>
        <w:t>；</w:t>
      </w:r>
      <w:r>
        <w:rPr>
          <w:rFonts w:hint="eastAsia" w:cs="Times New Roman"/>
          <w:color w:val="auto"/>
          <w:kern w:val="0"/>
          <w:sz w:val="24"/>
          <w:szCs w:val="24"/>
          <w:lang w:val="en-US" w:eastAsia="zh-CN"/>
        </w:rPr>
        <w:t>2026年海马箐水库水质第一季度为</w:t>
      </w:r>
      <w:r>
        <w:rPr>
          <w:rFonts w:hint="default" w:ascii="Times New Roman" w:hAnsi="Times New Roman" w:eastAsia="宋体" w:cs="Times New Roman"/>
          <w:color w:val="auto"/>
          <w:kern w:val="0"/>
          <w:sz w:val="24"/>
          <w:szCs w:val="24"/>
        </w:rPr>
        <w:t>Ⅱ类</w:t>
      </w:r>
      <w:r>
        <w:rPr>
          <w:rFonts w:hint="eastAsia" w:cs="Times New Roman"/>
          <w:color w:val="auto"/>
          <w:kern w:val="0"/>
          <w:sz w:val="24"/>
          <w:szCs w:val="24"/>
          <w:lang w:val="en-US" w:eastAsia="zh-CN"/>
        </w:rPr>
        <w:t>、第二季度为</w:t>
      </w:r>
      <w:r>
        <w:rPr>
          <w:rFonts w:hint="eastAsia" w:cs="Times New Roman"/>
          <w:color w:val="auto"/>
          <w:kern w:val="0"/>
          <w:sz w:val="24"/>
          <w:szCs w:val="24"/>
          <w:lang w:val="en-US" w:eastAsia="zh-CN"/>
        </w:rPr>
        <w:fldChar w:fldCharType="begin"/>
      </w:r>
      <w:r>
        <w:rPr>
          <w:rFonts w:hint="eastAsia" w:cs="Times New Roman"/>
          <w:color w:val="auto"/>
          <w:kern w:val="0"/>
          <w:sz w:val="24"/>
          <w:szCs w:val="24"/>
          <w:lang w:val="en-US" w:eastAsia="zh-CN"/>
        </w:rPr>
        <w:instrText xml:space="preserve"> = 3 \* ROMAN \* MERGEFORMAT </w:instrText>
      </w:r>
      <w:r>
        <w:rPr>
          <w:rFonts w:hint="eastAsia" w:cs="Times New Roman"/>
          <w:color w:val="auto"/>
          <w:kern w:val="0"/>
          <w:sz w:val="24"/>
          <w:szCs w:val="24"/>
          <w:lang w:val="en-US" w:eastAsia="zh-CN"/>
        </w:rPr>
        <w:fldChar w:fldCharType="separate"/>
      </w:r>
      <w:r>
        <w:rPr>
          <w:rFonts w:hint="default"/>
          <w:color w:val="auto"/>
          <w:sz w:val="24"/>
          <w:szCs w:val="24"/>
        </w:rPr>
        <w:t>III</w:t>
      </w:r>
      <w:r>
        <w:rPr>
          <w:rFonts w:hint="eastAsia" w:cs="Times New Roman"/>
          <w:color w:val="auto"/>
          <w:kern w:val="0"/>
          <w:sz w:val="24"/>
          <w:szCs w:val="24"/>
          <w:lang w:val="en-US" w:eastAsia="zh-CN"/>
        </w:rPr>
        <w:fldChar w:fldCharType="end"/>
      </w:r>
      <w:r>
        <w:rPr>
          <w:rFonts w:hint="eastAsia" w:cs="Times New Roman"/>
          <w:color w:val="auto"/>
          <w:kern w:val="0"/>
          <w:sz w:val="24"/>
          <w:szCs w:val="24"/>
          <w:lang w:val="en-US" w:eastAsia="zh-CN"/>
        </w:rPr>
        <w:t>类（粪大肠菌群为Ⅲ类）。</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kern w:val="0"/>
          <w:sz w:val="24"/>
          <w:szCs w:val="24"/>
        </w:rPr>
        <w:t>由上述结果可知</w:t>
      </w:r>
      <w:r>
        <w:rPr>
          <w:rFonts w:hint="eastAsia"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海马箐水库水质总体稳定，但不能完全满足</w:t>
      </w:r>
      <w:r>
        <w:rPr>
          <w:rFonts w:hint="default" w:ascii="Times New Roman" w:hAnsi="Times New Roman" w:eastAsia="宋体" w:cs="Times New Roman"/>
          <w:color w:val="auto"/>
          <w:kern w:val="0"/>
          <w:sz w:val="24"/>
          <w:szCs w:val="24"/>
        </w:rPr>
        <w:t>功能区划水质要求，</w:t>
      </w:r>
      <w:r>
        <w:rPr>
          <w:rFonts w:hint="eastAsia" w:cs="Times New Roman"/>
          <w:color w:val="auto"/>
          <w:kern w:val="0"/>
          <w:sz w:val="24"/>
          <w:szCs w:val="24"/>
          <w:lang w:val="en-US" w:eastAsia="zh-CN"/>
        </w:rPr>
        <w:t>部分指标出现超标，如溶解氧、BOD</w:t>
      </w:r>
      <w:r>
        <w:rPr>
          <w:rFonts w:hint="eastAsia" w:cs="Times New Roman"/>
          <w:color w:val="auto"/>
          <w:kern w:val="0"/>
          <w:sz w:val="24"/>
          <w:szCs w:val="24"/>
          <w:vertAlign w:val="subscript"/>
          <w:lang w:val="en-US" w:eastAsia="zh-CN"/>
        </w:rPr>
        <w:t>5</w:t>
      </w:r>
      <w:r>
        <w:rPr>
          <w:rFonts w:hint="eastAsia" w:cs="Times New Roman"/>
          <w:color w:val="auto"/>
          <w:kern w:val="0"/>
          <w:sz w:val="24"/>
          <w:szCs w:val="24"/>
          <w:lang w:val="en-US" w:eastAsia="zh-CN"/>
        </w:rPr>
        <w:t>、TP和最近一次监测出现粪大肠菌群超标，同时，海马箐水库管理局还提供了一份例行监测资料，</w:t>
      </w:r>
      <w:r>
        <w:rPr>
          <w:rFonts w:hint="default" w:ascii="Times New Roman" w:hAnsi="Times New Roman" w:eastAsia="宋体" w:cs="Times New Roman"/>
          <w:color w:val="auto"/>
          <w:kern w:val="0"/>
          <w:sz w:val="24"/>
          <w:szCs w:val="24"/>
        </w:rPr>
        <w:t>202</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年</w:t>
      </w:r>
      <w:r>
        <w:rPr>
          <w:rFonts w:hint="default" w:ascii="Times New Roman" w:hAnsi="Times New Roman" w:eastAsia="宋体" w:cs="Times New Roman"/>
          <w:color w:val="auto"/>
          <w:kern w:val="0"/>
          <w:sz w:val="24"/>
          <w:szCs w:val="24"/>
          <w:lang w:val="en-US" w:eastAsia="zh-CN"/>
        </w:rPr>
        <w:t>7月至2025年5月海马箐水库</w:t>
      </w:r>
      <w:r>
        <w:rPr>
          <w:rFonts w:hint="default" w:ascii="Times New Roman" w:hAnsi="Times New Roman" w:eastAsia="宋体" w:cs="Times New Roman"/>
          <w:color w:val="auto"/>
          <w:kern w:val="0"/>
          <w:sz w:val="24"/>
          <w:szCs w:val="24"/>
        </w:rPr>
        <w:t>的水质</w:t>
      </w:r>
      <w:r>
        <w:rPr>
          <w:rFonts w:hint="default" w:ascii="Times New Roman" w:hAnsi="Times New Roman" w:eastAsia="宋体" w:cs="Times New Roman"/>
          <w:color w:val="auto"/>
          <w:kern w:val="0"/>
          <w:sz w:val="24"/>
          <w:szCs w:val="24"/>
          <w:lang w:eastAsia="zh-CN"/>
        </w:rPr>
        <w:t>总磷在</w:t>
      </w:r>
      <w:r>
        <w:rPr>
          <w:rFonts w:hint="default" w:ascii="Times New Roman" w:hAnsi="Times New Roman" w:eastAsia="宋体" w:cs="Times New Roman"/>
          <w:color w:val="auto"/>
          <w:kern w:val="0"/>
          <w:sz w:val="24"/>
          <w:szCs w:val="24"/>
          <w:lang w:val="en-US" w:eastAsia="zh-CN"/>
        </w:rPr>
        <w:t>2024年7月、10月，2025年3月、4月不达标，</w:t>
      </w:r>
      <w:r>
        <w:rPr>
          <w:rFonts w:hint="default" w:ascii="Times New Roman" w:hAnsi="Times New Roman" w:eastAsia="宋体" w:cs="Times New Roman"/>
          <w:color w:val="auto"/>
          <w:kern w:val="0"/>
          <w:sz w:val="24"/>
          <w:szCs w:val="24"/>
        </w:rPr>
        <w:t>总氮均</w:t>
      </w:r>
      <w:r>
        <w:rPr>
          <w:rFonts w:hint="default" w:ascii="Times New Roman" w:hAnsi="Times New Roman" w:eastAsia="宋体" w:cs="Times New Roman"/>
          <w:color w:val="auto"/>
          <w:kern w:val="0"/>
          <w:sz w:val="24"/>
          <w:szCs w:val="24"/>
          <w:lang w:eastAsia="zh-CN"/>
        </w:rPr>
        <w:t>不</w:t>
      </w:r>
      <w:r>
        <w:rPr>
          <w:rFonts w:hint="default" w:ascii="Times New Roman" w:hAnsi="Times New Roman" w:eastAsia="宋体" w:cs="Times New Roman"/>
          <w:color w:val="auto"/>
          <w:kern w:val="0"/>
          <w:sz w:val="24"/>
          <w:szCs w:val="24"/>
        </w:rPr>
        <w:t>达标，其他因子均能达Ⅱ类水质标准。项目所在区域地表水体达不到功能区划水质要求，主要超标原因为居民生活污水面源污染</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库区周边农业面源污染及雨季地表径流携带氮磷负荷影响。</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7" w:name="_Toc11423"/>
      <w:r>
        <w:rPr>
          <w:rFonts w:hint="eastAsia" w:ascii="Times New Roman" w:hAnsi="Times New Roman" w:eastAsia="宋体"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val="en-US" w:eastAsia="zh-CN"/>
        </w:rPr>
        <w:t>.</w:t>
      </w:r>
      <w:r>
        <w:rPr>
          <w:rFonts w:hint="eastAsia"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val="en-US" w:eastAsia="zh-CN"/>
        </w:rPr>
        <w:t>区域污染源调查</w:t>
      </w:r>
      <w:bookmarkEnd w:id="17"/>
    </w:p>
    <w:p>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海马箐水库饮用水水源地2018年就已完成保护区范围的划定，但尚未采取较规范的防护措施，存在环境风险，并且保护区内存在农业工业农业面源污染。因此对其进行规范化建设和污染治理，保护居民饮水安全迫在眉睫。</w:t>
      </w:r>
      <w:bookmarkStart w:id="18" w:name="_Toc57837722"/>
      <w:r>
        <w:rPr>
          <w:rFonts w:hint="default" w:ascii="Times New Roman" w:hAnsi="Times New Roman" w:eastAsia="宋体" w:cs="Times New Roman"/>
          <w:color w:val="auto"/>
          <w:sz w:val="24"/>
          <w:szCs w:val="24"/>
          <w:lang w:val="en-US" w:eastAsia="zh-CN"/>
        </w:rPr>
        <w:t>但根据现场勘查，目前海马箐水库饮用水水源地尚存在以下问题</w:t>
      </w:r>
      <w:bookmarkEnd w:id="18"/>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1、未实施污水处理设施前的农村污水收集现状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（1）收集设施配置情况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项目区涉及的4个自然村均无专业化污水收集管网，仅靠村民自主搭建的简易排水沟实现污水收集：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水沟多为村民就地取材搭建，以土沟为主，部分路段用砖石简单堆砌，无水泥砂浆抹面或防渗处理，沟渠内壁粗糙、密封性差；沟渠沿村内主要道路零散分布，仅覆盖村庄核心聚居区，偏远农户和村边散户无配套收集设施，生活污水完全无收集路径；无专用污水检查井、隔油池、沉淀池等配套设施，污水直接排入沟渠，杂物、油污等随污水直接流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position w:val="-56"/>
          <w:sz w:val="24"/>
          <w:szCs w:val="24"/>
        </w:rPr>
      </w:pPr>
      <w:r>
        <w:rPr>
          <w:rFonts w:hint="default" w:ascii="Times New Roman" w:hAnsi="Times New Roman" w:eastAsia="宋体" w:cs="Times New Roman"/>
          <w:color w:val="auto"/>
          <w:position w:val="-56"/>
          <w:sz w:val="24"/>
          <w:szCs w:val="24"/>
        </w:rPr>
        <w:drawing>
          <wp:inline distT="0" distB="0" distL="114300" distR="114300">
            <wp:extent cx="5128895" cy="1764030"/>
            <wp:effectExtent l="0" t="0" r="14605" b="7620"/>
            <wp:docPr id="3" name="图片 195"/>
            <wp:cNvGraphicFramePr/>
            <a:graphic xmlns:a="http://schemas.openxmlformats.org/drawingml/2006/main">
              <a:graphicData uri="http://schemas.openxmlformats.org/drawingml/2006/picture">
                <pic:pic xmlns:pic="http://schemas.openxmlformats.org/drawingml/2006/picture">
                  <pic:nvPicPr>
                    <pic:cNvPr id="3" name="图片 195"/>
                    <pic:cNvPicPr/>
                  </pic:nvPicPr>
                  <pic:blipFill>
                    <a:blip r:embed="rId15"/>
                    <a:stretch>
                      <a:fillRect/>
                    </a:stretch>
                  </pic:blipFill>
                  <pic:spPr>
                    <a:xfrm>
                      <a:off x="0" y="0"/>
                      <a:ext cx="5128895" cy="176403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4"/>
          <w:sz w:val="24"/>
          <w:szCs w:val="24"/>
        </w:rPr>
        <w:t>图</w:t>
      </w:r>
      <w:r>
        <w:rPr>
          <w:rFonts w:hint="default" w:ascii="Times New Roman" w:hAnsi="Times New Roman" w:eastAsia="宋体" w:cs="Times New Roman"/>
          <w:b/>
          <w:bCs/>
          <w:color w:val="auto"/>
          <w:spacing w:val="4"/>
          <w:sz w:val="24"/>
          <w:szCs w:val="24"/>
          <w:lang w:val="en-US" w:eastAsia="zh-CN"/>
        </w:rPr>
        <w:t xml:space="preserve">4-1 </w:t>
      </w:r>
      <w:r>
        <w:rPr>
          <w:rFonts w:hint="default" w:ascii="Times New Roman" w:hAnsi="Times New Roman" w:eastAsia="宋体" w:cs="Times New Roman"/>
          <w:b/>
          <w:bCs/>
          <w:color w:val="auto"/>
          <w:spacing w:val="4"/>
          <w:sz w:val="24"/>
          <w:szCs w:val="24"/>
        </w:rPr>
        <w:t>村内道路及排污现状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（2）污水收集路径与模式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雨水、生活污水、地表冲洗水共用同一沟渠，无任何分流措施。雨天时，雨水裹挟路面泥沙、垃圾、农药残留等污染物涌入沟渠，大幅增加污水总量和污染浓度。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沟渠坡度不合理，部分路段存在积水、倒灌现象，无法依靠重力实现污水自流收集，收集效率极低（不到10%）；沟渠宽度较窄，且常年未清理，淤积严重，排水能力不足，雨天污水漫流至道路、农田，旱季污水在沟渠内停滞发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收集到的污水无固定排放终点，部分直接流入村内农田、自然洼地，其余通过沟渠汇入入库河道，最终全部进入海马箐水库。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2、未实施污水处理设施前的污染治理设施现状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区无任何专业化生活污水处理设施，也无简易污水处理措施，污水治理完全处于空白状态：未建设一体化污水处理设备、氧化塘、人工湿地等任何形式的集中处理设施，生活污水未经任何净化处理直接排放；大部分农户家中无化粪池等分散式污水处理装置，厨房洗涤水、卫生间污水、畜禽养殖冲洗水等直接排入屋外沟渠；入库河道、水库周边未设置任何生态拦截带、沉淀池等污染拦截设施，污水携带的污染物可直接进入水库水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3、对周边环境的污染影响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未经处理的生活污水直接进入喷水洞及其支流，可能导致海马箐水库超标，2025年第二季度海马箐水库</w:t>
      </w:r>
      <w:r>
        <w:rPr>
          <w:rFonts w:hint="default" w:ascii="Times New Roman" w:hAnsi="Times New Roman" w:eastAsia="宋体" w:cs="Times New Roman"/>
          <w:color w:val="auto"/>
          <w:kern w:val="0"/>
          <w:sz w:val="24"/>
          <w:szCs w:val="24"/>
          <w:lang w:val="en-US" w:eastAsia="zh-CN"/>
        </w:rPr>
        <w:t>五日生化需氧量、总磷超标，</w:t>
      </w:r>
      <w:r>
        <w:rPr>
          <w:rFonts w:hint="default" w:ascii="Times New Roman" w:hAnsi="Times New Roman" w:eastAsia="宋体" w:cs="Times New Roman"/>
          <w:color w:val="auto"/>
          <w:sz w:val="24"/>
          <w:szCs w:val="24"/>
          <w:lang w:val="en-US" w:eastAsia="zh-CN"/>
        </w:rPr>
        <w:t>2026年第二季度海马箐水库</w:t>
      </w:r>
      <w:r>
        <w:rPr>
          <w:rFonts w:hint="default" w:ascii="Times New Roman" w:hAnsi="Times New Roman" w:eastAsia="宋体" w:cs="Times New Roman"/>
          <w:color w:val="auto"/>
          <w:kern w:val="0"/>
          <w:sz w:val="24"/>
          <w:szCs w:val="24"/>
          <w:lang w:val="en-US" w:eastAsia="zh-CN"/>
        </w:rPr>
        <w:t>粪大肠菌群超标</w:t>
      </w:r>
      <w:r>
        <w:rPr>
          <w:rFonts w:hint="default" w:ascii="Times New Roman" w:hAnsi="Times New Roman" w:eastAsia="宋体" w:cs="Times New Roman"/>
          <w:color w:val="auto"/>
          <w:sz w:val="24"/>
          <w:szCs w:val="24"/>
          <w:lang w:val="en-US" w:eastAsia="zh-CN"/>
        </w:rPr>
        <w:t>；部分漫流的污水直接进入农田，污水中的氮、磷养分过量积累，导致土壤板结、肥力失衡，降雨、自然流失等又可能将多余的氮、磷带入河流、水库，同时污水中的病菌、重金属等有害物质威胁农产品质量安全；停滞的污水在沟渠内发酵发臭，滋生蚊虫、苍蝇，夏季异味弥漫，严重影响村民居住环境；污水漫流导致道路泥泞，增加村民出行不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4、农村生活垃圾现状分析</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（1）收集设施配置情况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项目区4个自然村均设有一定数量的垃圾房，但设施配置存在明显短板：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①设施布局不合理：垃圾房主要集中在村庄核心聚居区，偏远散户和田间地头未设置收集点，距离部分农户家最远超过500米，村民投放垃圾的便利性不足。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②设施容量与规格不足：现有垃圾房多为简易砖混结构，单座容量仅1-2立方米，且无分类投放区域，无法满足村庄日常垃圾产生量需求，也不利于后期垃圾分类处置。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③配套设施缺失：垃圾房无防雨、防渗、除臭设计，雨天垃圾渗滤液直接流淌至周边地面，旱季垃圾异味扩散，同时未配备垃圾清运车辆专用停靠点，清运作业效率低下。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（2）垃圾收集与转运现状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①收集模式依赖村民自主投放：垃圾收集完全依靠村民自行将垃圾送至垃圾房，无上门收集服务，对于行动不便的老人、偏远农户而言，投放难度较大。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②转运不及时问题突出：垃圾房的垃圾由集镇垃圾转运单位定期清运，但清运周期不固定（最短3天、最长可达7天），导致垃圾房经常出现满溢情况，村民只能将垃圾随意堆放。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③垃圾去向不规范：清运后的垃圾仅进行简单填埋处理，未进入正规垃圾处理厂进行无害化处置，存在二次污染风险。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color w:val="auto"/>
          <w:position w:val="-125"/>
          <w:sz w:val="24"/>
          <w:szCs w:val="24"/>
        </w:rPr>
        <w:drawing>
          <wp:inline distT="0" distB="0" distL="114300" distR="114300">
            <wp:extent cx="5144770" cy="3969385"/>
            <wp:effectExtent l="0" t="0" r="17780" b="12065"/>
            <wp:docPr id="4" name="图片 196"/>
            <wp:cNvGraphicFramePr/>
            <a:graphic xmlns:a="http://schemas.openxmlformats.org/drawingml/2006/main">
              <a:graphicData uri="http://schemas.openxmlformats.org/drawingml/2006/picture">
                <pic:pic xmlns:pic="http://schemas.openxmlformats.org/drawingml/2006/picture">
                  <pic:nvPicPr>
                    <pic:cNvPr id="4" name="图片 196"/>
                    <pic:cNvPicPr/>
                  </pic:nvPicPr>
                  <pic:blipFill>
                    <a:blip r:embed="rId16"/>
                    <a:stretch>
                      <a:fillRect/>
                    </a:stretch>
                  </pic:blipFill>
                  <pic:spPr>
                    <a:xfrm>
                      <a:off x="0" y="0"/>
                      <a:ext cx="5144770" cy="396938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图</w:t>
      </w:r>
      <w:r>
        <w:rPr>
          <w:rFonts w:hint="default" w:ascii="Times New Roman" w:hAnsi="Times New Roman" w:eastAsia="宋体" w:cs="Times New Roman"/>
          <w:b/>
          <w:bCs/>
          <w:color w:val="auto"/>
          <w:spacing w:val="4"/>
          <w:sz w:val="24"/>
          <w:szCs w:val="24"/>
          <w:lang w:val="en-US" w:eastAsia="zh-CN"/>
        </w:rPr>
        <w:t xml:space="preserve"> 4-2 </w:t>
      </w:r>
      <w:r>
        <w:rPr>
          <w:rFonts w:hint="default" w:ascii="Times New Roman" w:hAnsi="Times New Roman" w:eastAsia="宋体" w:cs="Times New Roman"/>
          <w:b/>
          <w:bCs/>
          <w:color w:val="auto"/>
          <w:spacing w:val="4"/>
          <w:sz w:val="24"/>
          <w:szCs w:val="24"/>
        </w:rPr>
        <w:t>项目区生活垃圾排放现状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（3）污染情况与影响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①随意堆放现象严重：部分村民将垃圾直接丢弃在道路旁、自然沟箐边，其中大河村有村民将垃圾丢弃至入库河道内，垃圾中的塑料、厨余杂物等直接污染河道水体。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②渗滤液污染风险：旱季时，堆放的垃圾滋生蚊虫、散发恶臭，影响村容村貌；雨天时，垃圾渗滤液随雨水冲刷进入河流，最终汇入海马箐水库，增加水库水体的COD、总氮、总磷等污染物含量。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③土壤与植被破坏：路边堆放的垃圾占用农田、破坏植被，垃圾中的重金属、有毒有害物质渗入土壤，导致土壤质量下降，影响农作物生长。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5、畜禽粪便处理现状分析</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（1）畜禽养殖基本情况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项目区4个自然村均以散养模式为主，养殖规模如下：大牲畜（牛）：148头；猪：278头；羊：435只；家禽（鸡、鸭等）：771只。保护区内放牧情况严重，村民常将牛、羊赶至入库河道及水库周边草地放养。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color w:val="auto"/>
          <w:sz w:val="24"/>
          <w:szCs w:val="24"/>
        </w:rPr>
        <w:drawing>
          <wp:inline distT="0" distB="0" distL="114300" distR="114300">
            <wp:extent cx="5024120" cy="1863725"/>
            <wp:effectExtent l="0" t="0" r="5080" b="3175"/>
            <wp:docPr id="26" name="图片 3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40"/>
                    <pic:cNvPicPr>
                      <a:picLocks noChangeAspect="true"/>
                    </pic:cNvPicPr>
                  </pic:nvPicPr>
                  <pic:blipFill>
                    <a:blip r:embed="rId17"/>
                    <a:stretch>
                      <a:fillRect/>
                    </a:stretch>
                  </pic:blipFill>
                  <pic:spPr>
                    <a:xfrm>
                      <a:off x="0" y="0"/>
                      <a:ext cx="5024120" cy="18637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图</w:t>
      </w:r>
      <w:r>
        <w:rPr>
          <w:rFonts w:hint="default" w:ascii="Times New Roman" w:hAnsi="Times New Roman" w:eastAsia="宋体" w:cs="Times New Roman"/>
          <w:b/>
          <w:bCs/>
          <w:color w:val="auto"/>
          <w:spacing w:val="4"/>
          <w:sz w:val="24"/>
          <w:szCs w:val="24"/>
          <w:lang w:val="en-US" w:eastAsia="zh-CN"/>
        </w:rPr>
        <w:t xml:space="preserve"> 4-3 </w:t>
      </w:r>
      <w:r>
        <w:rPr>
          <w:rFonts w:hint="default" w:ascii="Times New Roman" w:hAnsi="Times New Roman" w:eastAsia="宋体" w:cs="Times New Roman"/>
          <w:b/>
          <w:bCs/>
          <w:color w:val="auto"/>
          <w:spacing w:val="4"/>
          <w:sz w:val="24"/>
          <w:szCs w:val="24"/>
        </w:rPr>
        <w:t>畜禽粪便处置现状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color w:val="auto"/>
          <w:sz w:val="24"/>
          <w:szCs w:val="24"/>
        </w:rPr>
        <w:drawing>
          <wp:inline distT="0" distB="0" distL="114300" distR="114300">
            <wp:extent cx="5024120" cy="1757680"/>
            <wp:effectExtent l="0" t="0" r="5080" b="13970"/>
            <wp:docPr id="27" name="图片 3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41"/>
                    <pic:cNvPicPr>
                      <a:picLocks noChangeAspect="true"/>
                    </pic:cNvPicPr>
                  </pic:nvPicPr>
                  <pic:blipFill>
                    <a:blip r:embed="rId18"/>
                    <a:stretch>
                      <a:fillRect/>
                    </a:stretch>
                  </pic:blipFill>
                  <pic:spPr>
                    <a:xfrm>
                      <a:off x="0" y="0"/>
                      <a:ext cx="5024120" cy="175768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pacing w:val="4"/>
          <w:sz w:val="24"/>
          <w:szCs w:val="24"/>
        </w:rPr>
      </w:pPr>
      <w:r>
        <w:rPr>
          <w:rFonts w:hint="default" w:ascii="Times New Roman" w:hAnsi="Times New Roman" w:eastAsia="宋体" w:cs="Times New Roman"/>
          <w:b/>
          <w:bCs/>
          <w:color w:val="auto"/>
          <w:spacing w:val="4"/>
          <w:sz w:val="24"/>
          <w:szCs w:val="24"/>
        </w:rPr>
        <w:t>图</w:t>
      </w:r>
      <w:r>
        <w:rPr>
          <w:rFonts w:hint="default" w:ascii="Times New Roman" w:hAnsi="Times New Roman" w:eastAsia="宋体" w:cs="Times New Roman"/>
          <w:b/>
          <w:bCs/>
          <w:color w:val="auto"/>
          <w:spacing w:val="4"/>
          <w:sz w:val="24"/>
          <w:szCs w:val="24"/>
          <w:lang w:val="en-US" w:eastAsia="zh-CN"/>
        </w:rPr>
        <w:t xml:space="preserve"> 4-4 </w:t>
      </w:r>
      <w:r>
        <w:rPr>
          <w:rFonts w:hint="default" w:ascii="Times New Roman" w:hAnsi="Times New Roman" w:eastAsia="宋体" w:cs="Times New Roman"/>
          <w:b/>
          <w:bCs/>
          <w:color w:val="auto"/>
          <w:spacing w:val="4"/>
          <w:sz w:val="24"/>
          <w:szCs w:val="24"/>
        </w:rPr>
        <w:t>入库河道及库区放牧现状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（2）粪便收集与处理现状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①无专用收集设施：村民未建设畜禽粪便收集池、沼气池等专用设施，粪便多随意堆放在路边空地、庭院角落或田埂边，无任何遮盖措施。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②资源化利用率极低：大量畜禽粪便未得到有效利用，仅少数农户会将少量粪便直接撒入农田，大部分粪便长期堆放、自然发酵后随雨水流失。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③无无害化处理环节：粪便未经过堆肥、腐熟等无害化处理，直接进入环境后，其中的病菌、寄生虫卵等会污染土壤和水体。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（3）污染情况与影响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①水体污染：随意堆放的粪便在降雨时，会被雨水冲刷进入入库河道和水库，粪便中的氮、磷是导致水库总氮、总磷超标的重要污染源之一；同时，粪便中的有机物分解会消耗水体溶解氧，导致水体发黑发臭。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②空气污染：粪便长期堆放会散发恶臭气味，滋生蚊蝇，影响村民居住环境，尤其是夏季异味扩散范围可达数百米。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③土壤污染：未经无害化处理的粪便直接进入农田，会导致土壤中病菌、重金属积累，影响土壤微生物群落平衡，降低土壤质量。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六、农业面源污染现状分析</w:t>
      </w:r>
      <w:r>
        <w:rPr>
          <w:rFonts w:hint="default" w:ascii="Times New Roman" w:hAnsi="Times New Roman" w:eastAsia="宋体" w:cs="Times New Roman"/>
          <w:color w:val="auto"/>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（1）农业种植基本情况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项目区涉及海马箐水库保护区内耕地1076亩，均为旱地，主要种植玉米、烤烟等作物，种植模式以传统散户种植为主，无规模化种植基地。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（2）污染源头现状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①农业秸秆处置不当：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每年产生的农业秸秆中，仅约30%燃烧后还田，其余70%多堆放在田埂边，部分直接倾倒入入库河道，造成河道堵塞，秸秆腐烂后释放有机物、氮、磷等污染物，影响河道水质。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秸秆燃烧还田过程中，会产生大量烟雾，污染空气，同时未完全燃烧的灰烬随雨水冲刷进入水体，也会增加水体污染负荷。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②化肥农药过量施用：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村民片面追求农作物高产，缺乏合理施肥、平衡施肥的意识，盲目过量施用化肥，氮肥、磷肥施用量远超作物需求，部分未被作物吸收的化肥随雨水冲刷进入水库。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农药施用缺乏科学指导，存在滥用高毒农药、用药量超标等问题，农药残留随雨水进入水体和土壤，威胁生态安全和农产品质量安全。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③环境管理机制缺失：项目区未建立农业面源污染管控机制，无职能部门或科技人员开展生态农业、绿色种植的宣传指导，也未对过量施用化肥农药的行为进行监管或奖惩。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（3）污染情况与影响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①水体污染：过量施用的化肥、农药，以及处置不当的秸秆，随雨水冲刷进入入库河道和水库，是导致水库总氮、总磷超标的重要面源污染源，加剧了水体富营养化风险。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②土壤质量下降：长期过量施用化肥导致土壤板结、肥力失衡，土壤有机质含量降低，同时农药残留积累会破坏土壤微生物群落，影响土壤可持续利用。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color w:val="auto"/>
          <w:sz w:val="24"/>
          <w:szCs w:val="24"/>
          <w:lang w:val="en-US" w:eastAsia="zh-CN"/>
        </w:rPr>
        <w:t>③生态系统破坏：农药残留会杀死农田中的有益昆虫、微生物，破坏农田生态平衡；进入水体的农药会影响水生生物生存，威胁水库生态系统稳定性。</w:t>
      </w:r>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19" w:name="_Toc28935"/>
      <w:r>
        <w:rPr>
          <w:rFonts w:hint="eastAsia" w:ascii="Times New Roman" w:hAnsi="Times New Roman" w:eastAsia="宋体" w:cs="Times New Roman"/>
          <w:b/>
          <w:bCs/>
          <w:color w:val="auto"/>
          <w:spacing w:val="0"/>
          <w:position w:val="0"/>
          <w:sz w:val="24"/>
          <w:szCs w:val="24"/>
          <w:lang w:val="en-US" w:eastAsia="zh-CN"/>
        </w:rPr>
        <w:t>4.6</w:t>
      </w:r>
      <w:r>
        <w:rPr>
          <w:rFonts w:hint="eastAsia" w:ascii="Times New Roman" w:hAnsi="Times New Roman" w:cs="Times New Roman"/>
          <w:b/>
          <w:bCs/>
          <w:color w:val="auto"/>
          <w:spacing w:val="0"/>
          <w:position w:val="0"/>
          <w:sz w:val="24"/>
          <w:szCs w:val="24"/>
          <w:lang w:val="en-US" w:eastAsia="zh-CN"/>
        </w:rPr>
        <w:t>设计目标</w:t>
      </w:r>
      <w:bookmarkEnd w:id="19"/>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1"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（1）</w:t>
      </w:r>
      <w:r>
        <w:rPr>
          <w:rFonts w:hint="default" w:ascii="Times New Roman" w:hAnsi="Times New Roman" w:eastAsia="宋体" w:cs="Times New Roman"/>
          <w:b/>
          <w:bCs/>
          <w:color w:val="auto"/>
          <w:spacing w:val="0"/>
          <w:position w:val="0"/>
          <w:sz w:val="24"/>
          <w:szCs w:val="24"/>
        </w:rPr>
        <w:t>进水水量确定</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根据《云南省昆明市宜良县海马箐水库工程可行性研究报告》（昆明市水利水电勘测设计院2011.8），</w:t>
      </w:r>
      <w:r>
        <w:rPr>
          <w:rFonts w:hint="default" w:ascii="Times New Roman" w:hAnsi="Times New Roman" w:eastAsia="宋体" w:cs="Times New Roman"/>
          <w:color w:val="auto"/>
          <w:spacing w:val="0"/>
          <w:position w:val="0"/>
          <w:sz w:val="24"/>
          <w:szCs w:val="24"/>
          <w:highlight w:val="none"/>
        </w:rPr>
        <w:t>喷水洞河2008年12月11日实测流量为0.46m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rPr>
        <w:t>/s，2009年2月12日实测0.492m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rPr>
        <w:t>/s，2009年至2010年巡测的月平均流量在0.281~1.48m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rPr>
        <w:t>/s之间，其中枯水期12月至次年5月平均流量在0.281~0.463m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rPr>
        <w:t>/s之间，汛期6~10月平均流量在0.85~1.48m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rPr>
        <w:t>/s之间。</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本工程设计按平均流量的中位数取值，则流量取0.88m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/s，日均流量为7.6万m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/d。</w:t>
      </w:r>
    </w:p>
    <w:p>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rPr>
        <w:t>根据《人工湿地水质净化技术指南》（2021年4月），云南大部分地区（除玉溪）处于Ⅴ区，设计水力负荷取0.4m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/m</w:t>
      </w:r>
      <w:r>
        <w:rPr>
          <w:rFonts w:hint="default" w:ascii="Times New Roman" w:hAnsi="Times New Roman" w:eastAsia="宋体" w:cs="Times New Roman"/>
          <w:color w:val="auto"/>
          <w:spacing w:val="0"/>
          <w:position w:val="0"/>
          <w:sz w:val="24"/>
          <w:szCs w:val="24"/>
          <w:vertAlign w:val="superscript"/>
          <w:lang w:val="en-US" w:eastAsia="zh-CN"/>
        </w:rPr>
        <w:t>2</w:t>
      </w:r>
      <w:r>
        <w:rPr>
          <w:rFonts w:hint="default" w:ascii="Times New Roman" w:hAnsi="Times New Roman" w:eastAsia="宋体" w:cs="Times New Roman"/>
          <w:color w:val="auto"/>
          <w:spacing w:val="0"/>
          <w:position w:val="0"/>
          <w:sz w:val="24"/>
          <w:szCs w:val="24"/>
        </w:rPr>
        <w:t>/.d，经计算河口湿地处理规模为4229m</w:t>
      </w:r>
      <w:r>
        <w:rPr>
          <w:rFonts w:hint="default" w:ascii="Times New Roman" w:hAnsi="Times New Roman" w:eastAsia="宋体" w:cs="Times New Roman"/>
          <w:color w:val="auto"/>
          <w:spacing w:val="0"/>
          <w:position w:val="0"/>
          <w:sz w:val="24"/>
          <w:szCs w:val="24"/>
          <w:vertAlign w:val="superscript"/>
          <w:lang w:val="en-US" w:eastAsia="zh-CN"/>
        </w:rPr>
        <w:t>3</w:t>
      </w:r>
      <w:r>
        <w:rPr>
          <w:rFonts w:hint="default" w:ascii="Times New Roman" w:hAnsi="Times New Roman" w:eastAsia="宋体" w:cs="Times New Roman"/>
          <w:color w:val="auto"/>
          <w:spacing w:val="0"/>
          <w:position w:val="0"/>
          <w:sz w:val="24"/>
          <w:szCs w:val="24"/>
        </w:rPr>
        <w:t>/d。</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right="0" w:rightChars="0" w:firstLine="481" w:firstLineChars="200"/>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kern w:val="2"/>
          <w:position w:val="0"/>
          <w:sz w:val="24"/>
          <w:szCs w:val="24"/>
          <w:lang w:val="en-US" w:eastAsia="zh-CN" w:bidi="ar-SA"/>
        </w:rPr>
        <w:t>（2）</w:t>
      </w:r>
      <w:r>
        <w:rPr>
          <w:rFonts w:hint="eastAsia" w:cs="Times New Roman"/>
          <w:b/>
          <w:bCs/>
          <w:color w:val="auto"/>
          <w:spacing w:val="0"/>
          <w:kern w:val="2"/>
          <w:position w:val="0"/>
          <w:sz w:val="24"/>
          <w:szCs w:val="24"/>
          <w:lang w:val="en-US" w:eastAsia="zh-CN" w:bidi="ar-SA"/>
        </w:rPr>
        <w:t>出水水质目标</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lang w:val="en-US" w:eastAsia="zh-CN"/>
        </w:rPr>
        <w:t>该项目人工湿地位于</w:t>
      </w:r>
      <w:r>
        <w:rPr>
          <w:rFonts w:hint="default" w:ascii="Times New Roman" w:hAnsi="Times New Roman" w:eastAsia="宋体" w:cs="Times New Roman"/>
          <w:color w:val="auto"/>
          <w:spacing w:val="0"/>
          <w:position w:val="0"/>
          <w:sz w:val="24"/>
          <w:szCs w:val="24"/>
        </w:rPr>
        <w:t>喷水洞下游大河村至海马箐水库淹没线之间</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喷水洞河为海马箐水库最主要的入库河流</w:t>
      </w:r>
      <w:r>
        <w:rPr>
          <w:rFonts w:hint="default" w:ascii="Times New Roman" w:hAnsi="Times New Roman" w:eastAsia="宋体" w:cs="Times New Roman"/>
          <w:color w:val="auto"/>
          <w:spacing w:val="0"/>
          <w:position w:val="0"/>
          <w:sz w:val="24"/>
          <w:szCs w:val="24"/>
          <w:lang w:eastAsia="zh-CN"/>
        </w:rPr>
        <w:t>，因此人工湿地出水水质应满足海马箐水库水质目标，</w:t>
      </w:r>
      <w:r>
        <w:rPr>
          <w:rFonts w:hint="default" w:ascii="Times New Roman" w:hAnsi="Times New Roman" w:eastAsia="宋体" w:cs="Times New Roman"/>
          <w:color w:val="auto"/>
          <w:spacing w:val="0"/>
          <w:position w:val="0"/>
          <w:sz w:val="24"/>
          <w:szCs w:val="24"/>
        </w:rPr>
        <w:t>根据海马箐水库保护目标，海马箐水库水质达到《地表水环境质量标准》（GB3838-2002）Ⅱ类标准。因此，河口湿地设计出水水质为《地表水环境质量标准》（GB3838-2002）Ⅱ类标准。主要指标详见下表：</w:t>
      </w:r>
    </w:p>
    <w:p>
      <w:pPr>
        <w:keepNext w:val="0"/>
        <w:keepLines w:val="0"/>
        <w:pageBreakBefore w:val="0"/>
        <w:widowControl w:val="0"/>
        <w:kinsoku/>
        <w:wordWrap/>
        <w:overflowPunct/>
        <w:topLinePunct w:val="0"/>
        <w:autoSpaceDE/>
        <w:autoSpaceDN/>
        <w:bidi w:val="0"/>
        <w:adjustRightInd/>
        <w:snapToGrid/>
        <w:ind w:left="0" w:right="0" w:firstLine="0" w:firstLineChars="0"/>
        <w:jc w:val="center"/>
        <w:textAlignment w:val="auto"/>
        <w:rPr>
          <w:rFonts w:hint="default" w:ascii="Times New Roman" w:hAnsi="Times New Roman" w:eastAsia="宋体" w:cs="Times New Roman"/>
          <w:b/>
          <w:bCs/>
          <w:color w:val="auto"/>
          <w:spacing w:val="0"/>
          <w:position w:val="0"/>
          <w:sz w:val="24"/>
          <w:szCs w:val="24"/>
          <w:lang w:eastAsia="zh-CN"/>
        </w:rPr>
      </w:pPr>
      <w:r>
        <w:rPr>
          <w:rFonts w:hint="default" w:ascii="Times New Roman" w:hAnsi="Times New Roman" w:eastAsia="宋体" w:cs="Times New Roman"/>
          <w:b/>
          <w:bCs/>
          <w:color w:val="auto"/>
          <w:spacing w:val="0"/>
          <w:position w:val="0"/>
          <w:sz w:val="24"/>
          <w:szCs w:val="24"/>
          <w:lang w:eastAsia="zh-CN"/>
        </w:rPr>
        <w:t>表</w:t>
      </w:r>
      <w:r>
        <w:rPr>
          <w:rFonts w:hint="eastAsia" w:ascii="Times New Roman" w:hAnsi="Times New Roman" w:eastAsia="宋体" w:cs="Times New Roman"/>
          <w:b/>
          <w:bCs/>
          <w:color w:val="auto"/>
          <w:spacing w:val="0"/>
          <w:position w:val="0"/>
          <w:sz w:val="24"/>
          <w:szCs w:val="24"/>
          <w:lang w:val="en-US" w:eastAsia="zh-CN"/>
        </w:rPr>
        <w:t xml:space="preserve"> </w:t>
      </w:r>
      <w:r>
        <w:rPr>
          <w:rFonts w:hint="eastAsia" w:cs="Times New Roman"/>
          <w:b/>
          <w:bCs/>
          <w:color w:val="auto"/>
          <w:spacing w:val="0"/>
          <w:position w:val="0"/>
          <w:sz w:val="24"/>
          <w:szCs w:val="24"/>
          <w:lang w:val="en-US" w:eastAsia="zh-CN"/>
        </w:rPr>
        <w:t>4</w:t>
      </w:r>
      <w:r>
        <w:rPr>
          <w:rFonts w:hint="eastAsia" w:ascii="Times New Roman" w:hAnsi="Times New Roman" w:eastAsia="宋体" w:cs="Times New Roman"/>
          <w:b/>
          <w:bCs/>
          <w:color w:val="auto"/>
          <w:spacing w:val="0"/>
          <w:position w:val="0"/>
          <w:sz w:val="24"/>
          <w:szCs w:val="24"/>
          <w:lang w:val="en-US" w:eastAsia="zh-CN"/>
        </w:rPr>
        <w:t>-</w:t>
      </w:r>
      <w:r>
        <w:rPr>
          <w:rFonts w:hint="eastAsia" w:cs="Times New Roman"/>
          <w:b/>
          <w:bCs/>
          <w:color w:val="auto"/>
          <w:spacing w:val="0"/>
          <w:position w:val="0"/>
          <w:sz w:val="24"/>
          <w:szCs w:val="24"/>
          <w:lang w:val="en-US" w:eastAsia="zh-CN"/>
        </w:rPr>
        <w:t>3</w:t>
      </w:r>
      <w:r>
        <w:rPr>
          <w:rFonts w:hint="eastAsia" w:ascii="Times New Roman" w:hAnsi="Times New Roman" w:eastAsia="宋体" w:cs="Times New Roman"/>
          <w:b/>
          <w:bCs/>
          <w:color w:val="auto"/>
          <w:spacing w:val="0"/>
          <w:position w:val="0"/>
          <w:sz w:val="24"/>
          <w:szCs w:val="24"/>
          <w:lang w:val="en-US" w:eastAsia="zh-CN"/>
        </w:rPr>
        <w:t xml:space="preserve"> </w:t>
      </w:r>
      <w:r>
        <w:rPr>
          <w:rFonts w:hint="default" w:ascii="Times New Roman" w:hAnsi="Times New Roman" w:eastAsia="宋体" w:cs="Times New Roman"/>
          <w:b/>
          <w:bCs/>
          <w:color w:val="auto"/>
          <w:spacing w:val="0"/>
          <w:position w:val="0"/>
          <w:sz w:val="24"/>
          <w:szCs w:val="24"/>
          <w:lang w:eastAsia="zh-CN"/>
        </w:rPr>
        <w:t>河口湿地设计出水水质</w:t>
      </w:r>
      <w:r>
        <w:rPr>
          <w:rFonts w:hint="eastAsia" w:ascii="Times New Roman" w:hAnsi="Times New Roman" w:eastAsia="宋体" w:cs="Times New Roman"/>
          <w:b/>
          <w:bCs/>
          <w:color w:val="auto"/>
          <w:spacing w:val="0"/>
          <w:position w:val="0"/>
          <w:sz w:val="24"/>
          <w:szCs w:val="24"/>
          <w:lang w:val="en-US" w:eastAsia="zh-CN"/>
        </w:rPr>
        <w:t xml:space="preserve">   单位</w:t>
      </w:r>
      <w:r>
        <w:rPr>
          <w:rFonts w:hint="default" w:ascii="Times New Roman" w:hAnsi="Times New Roman" w:eastAsia="宋体" w:cs="Times New Roman"/>
          <w:b/>
          <w:bCs/>
          <w:color w:val="auto"/>
          <w:spacing w:val="0"/>
          <w:position w:val="0"/>
          <w:sz w:val="24"/>
          <w:szCs w:val="24"/>
          <w:lang w:eastAsia="zh-CN"/>
        </w:rPr>
        <w:t>mg/L</w:t>
      </w:r>
    </w:p>
    <w:tbl>
      <w:tblPr>
        <w:tblStyle w:val="65"/>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18"/>
        <w:gridCol w:w="2537"/>
        <w:gridCol w:w="4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vMerge w:val="restart"/>
            <w:tcBorders>
              <w:bottom w:val="nil"/>
            </w:tcBorders>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序号</w:t>
            </w:r>
          </w:p>
        </w:tc>
        <w:tc>
          <w:tcPr>
            <w:tcW w:w="1525" w:type="pct"/>
            <w:vMerge w:val="restart"/>
            <w:tcBorders>
              <w:bottom w:val="nil"/>
            </w:tcBorders>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2801"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地表水环境质量标准（GB3838-2002）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525" w:type="pct"/>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2801"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Ⅱ类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pH值</w:t>
            </w:r>
            <w:r>
              <w:rPr>
                <w:rFonts w:hint="eastAsia"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无量纲）</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6</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2</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溶解氧</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3</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高锰酸盐指数</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4</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化学耗氧量</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5</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生化耗氧量</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6</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氨氮</w:t>
            </w:r>
          </w:p>
        </w:tc>
        <w:tc>
          <w:tcPr>
            <w:tcW w:w="28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7</w:t>
            </w:r>
          </w:p>
        </w:tc>
        <w:tc>
          <w:tcPr>
            <w:tcW w:w="1525"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总磷</w:t>
            </w:r>
          </w:p>
        </w:tc>
        <w:tc>
          <w:tcPr>
            <w:tcW w:w="2801" w:type="pct"/>
            <w:noWrap w:val="0"/>
            <w:vAlign w:val="center"/>
          </w:tcPr>
          <w:p>
            <w:pPr>
              <w:pStyle w:val="7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0.1（湖、库0.025）</w:t>
            </w:r>
          </w:p>
        </w:tc>
      </w:tr>
    </w:tbl>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eastAsia" w:ascii="Times New Roman" w:hAnsi="Times New Roman" w:eastAsia="宋体"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20" w:name="_Toc18420"/>
      <w:r>
        <w:rPr>
          <w:rFonts w:hint="eastAsia" w:ascii="Times New Roman" w:hAnsi="Times New Roman" w:eastAsia="宋体" w:cs="Times New Roman"/>
          <w:b/>
          <w:bCs/>
          <w:color w:val="auto"/>
          <w:spacing w:val="0"/>
          <w:position w:val="0"/>
          <w:sz w:val="28"/>
          <w:szCs w:val="28"/>
          <w:lang w:val="en-US" w:eastAsia="zh-CN"/>
        </w:rPr>
        <w:t>5</w:t>
      </w:r>
      <w:r>
        <w:rPr>
          <w:rFonts w:hint="default" w:ascii="Times New Roman" w:hAnsi="Times New Roman" w:eastAsia="宋体" w:cs="Times New Roman"/>
          <w:b/>
          <w:bCs/>
          <w:color w:val="auto"/>
          <w:spacing w:val="0"/>
          <w:position w:val="0"/>
          <w:sz w:val="28"/>
          <w:szCs w:val="28"/>
          <w:lang w:val="en-US" w:eastAsia="zh-CN"/>
        </w:rPr>
        <w:t>地表水环境影响评价</w:t>
      </w:r>
      <w:bookmarkEnd w:id="20"/>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21" w:name="_Toc32306"/>
      <w:r>
        <w:rPr>
          <w:rFonts w:hint="eastAsia"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val="en-US" w:eastAsia="zh-CN"/>
        </w:rPr>
        <w:t>.1施工期影响分析</w:t>
      </w:r>
      <w:bookmarkEnd w:id="21"/>
    </w:p>
    <w:p>
      <w:pPr>
        <w:pStyle w:val="73"/>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1</w:t>
      </w:r>
      <w:r>
        <w:rPr>
          <w:rFonts w:hint="eastAsia" w:ascii="Times New Roman" w:hAnsi="Times New Roman" w:cs="Times New Roman"/>
          <w:b/>
          <w:bCs/>
          <w:color w:val="auto"/>
          <w:spacing w:val="0"/>
          <w:position w:val="0"/>
          <w:sz w:val="24"/>
          <w:szCs w:val="24"/>
          <w:lang w:val="en-US" w:eastAsia="zh-CN"/>
        </w:rPr>
        <w:t>、</w:t>
      </w:r>
      <w:r>
        <w:rPr>
          <w:rFonts w:hint="default" w:ascii="Times New Roman" w:hAnsi="Times New Roman" w:eastAsia="宋体" w:cs="Times New Roman"/>
          <w:b/>
          <w:bCs/>
          <w:color w:val="auto"/>
          <w:spacing w:val="0"/>
          <w:position w:val="0"/>
          <w:sz w:val="24"/>
          <w:szCs w:val="24"/>
        </w:rPr>
        <w:t>施工期废水源强</w:t>
      </w:r>
    </w:p>
    <w:p>
      <w:pPr>
        <w:keepNext w:val="0"/>
        <w:keepLines w:val="0"/>
        <w:pageBreakBefore w:val="0"/>
        <w:widowControl w:val="0"/>
        <w:kinsoku/>
        <w:wordWrap/>
        <w:overflowPunct/>
        <w:topLinePunct w:val="0"/>
        <w:autoSpaceDE/>
        <w:autoSpaceDN/>
        <w:bidi w:val="0"/>
        <w:adjustRightInd/>
        <w:snapToGrid w:val="0"/>
        <w:spacing w:line="440" w:lineRule="exact"/>
        <w:ind w:left="0" w:right="0" w:firstLine="480" w:firstLineChars="200"/>
        <w:textAlignment w:val="auto"/>
        <w:rPr>
          <w:rFonts w:hint="default" w:ascii="Times New Roman" w:hAnsi="Times New Roman" w:eastAsia="宋体" w:cs="Times New Roman"/>
          <w:color w:val="auto"/>
          <w:spacing w:val="0"/>
          <w:position w:val="0"/>
          <w:sz w:val="24"/>
        </w:rPr>
      </w:pPr>
      <w:r>
        <w:rPr>
          <w:rFonts w:hint="default" w:ascii="Times New Roman" w:hAnsi="Times New Roman" w:eastAsia="宋体" w:cs="Times New Roman"/>
          <w:color w:val="auto"/>
          <w:spacing w:val="0"/>
          <w:position w:val="0"/>
          <w:sz w:val="24"/>
        </w:rPr>
        <w:t>项目施工期废水主要包括施工废水、雨天地表径流、基坑废水、施工人员洗手废水、管道闭水试验废水。</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rPr>
        <w:t>项目施工期间租用</w:t>
      </w:r>
      <w:r>
        <w:rPr>
          <w:rFonts w:hint="default" w:ascii="Times New Roman" w:hAnsi="Times New Roman" w:eastAsia="宋体" w:cs="Times New Roman"/>
          <w:color w:val="auto"/>
          <w:spacing w:val="0"/>
          <w:position w:val="0"/>
          <w:sz w:val="24"/>
          <w:lang w:eastAsia="zh-CN"/>
        </w:rPr>
        <w:t>项目</w:t>
      </w:r>
      <w:r>
        <w:rPr>
          <w:rFonts w:hint="default" w:ascii="Times New Roman" w:hAnsi="Times New Roman" w:eastAsia="宋体" w:cs="Times New Roman"/>
          <w:color w:val="auto"/>
          <w:spacing w:val="0"/>
          <w:position w:val="0"/>
          <w:sz w:val="24"/>
        </w:rPr>
        <w:t>沿线居民的民房作为施工指挥部，主要用于现场指挥人员办公、施工工具的堆放，不设食堂、住宿。施工人员依托项目村庄公厕。项目在施工期会产生少量施工人员洗手废水，员工洗手废水主要含有少量的SS，经桶收集后汇入临时沉淀池沉淀后回用于项目洒水抑尘、车辆冲洗等，不外排。</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rPr>
      </w:pPr>
      <w:r>
        <w:rPr>
          <w:rFonts w:hint="default" w:ascii="Times New Roman" w:hAnsi="Times New Roman" w:eastAsia="宋体" w:cs="Times New Roman"/>
          <w:color w:val="auto"/>
          <w:spacing w:val="0"/>
          <w:position w:val="0"/>
          <w:sz w:val="24"/>
          <w:szCs w:val="24"/>
        </w:rPr>
        <w:t>施工废水</w:t>
      </w:r>
      <w:r>
        <w:rPr>
          <w:rFonts w:hint="default" w:ascii="Times New Roman" w:hAnsi="Times New Roman" w:eastAsia="宋体" w:cs="Times New Roman"/>
          <w:color w:val="auto"/>
          <w:spacing w:val="0"/>
          <w:position w:val="0"/>
        </w:rPr>
        <w:t>主要为车辆清洗废水。施工废水经沉淀池沉淀后用于洒水抑尘和周围绿化用水，不外排。</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kern w:val="0"/>
          <w:position w:val="0"/>
          <w:szCs w:val="24"/>
        </w:rPr>
      </w:pPr>
      <w:r>
        <w:rPr>
          <w:rFonts w:hint="default" w:ascii="Times New Roman" w:hAnsi="Times New Roman" w:eastAsia="宋体" w:cs="Times New Roman"/>
          <w:color w:val="auto"/>
          <w:spacing w:val="0"/>
          <w:position w:val="0"/>
          <w:lang w:eastAsia="zh-CN"/>
        </w:rPr>
        <w:t>雨天地表</w:t>
      </w:r>
      <w:r>
        <w:rPr>
          <w:rFonts w:hint="eastAsia" w:ascii="Times New Roman" w:hAnsi="Times New Roman" w:cs="Times New Roman"/>
          <w:color w:val="auto"/>
          <w:spacing w:val="0"/>
          <w:position w:val="0"/>
          <w:lang w:eastAsia="zh-CN"/>
        </w:rPr>
        <w:t>径流</w:t>
      </w:r>
      <w:r>
        <w:rPr>
          <w:rFonts w:hint="default" w:ascii="Times New Roman" w:hAnsi="Times New Roman" w:eastAsia="宋体" w:cs="Times New Roman"/>
          <w:color w:val="auto"/>
          <w:spacing w:val="0"/>
          <w:position w:val="0"/>
          <w:lang w:eastAsia="zh-CN"/>
        </w:rPr>
        <w:t>主要由施工过程地表裸露经雨水冲刷产生，</w:t>
      </w:r>
      <w:r>
        <w:rPr>
          <w:rFonts w:hint="default" w:ascii="Times New Roman" w:hAnsi="Times New Roman" w:eastAsia="宋体" w:cs="Times New Roman"/>
          <w:color w:val="auto"/>
          <w:spacing w:val="0"/>
          <w:position w:val="0"/>
          <w:szCs w:val="24"/>
        </w:rPr>
        <w:t>根据建设单位提供的资料，项目主要集中在旱季施工，此部分废水排放量较少，悬浮物的浓度500～1300mg/L，</w:t>
      </w:r>
      <w:r>
        <w:rPr>
          <w:rFonts w:hint="default" w:ascii="Times New Roman" w:hAnsi="Times New Roman" w:eastAsia="宋体" w:cs="Times New Roman"/>
          <w:color w:val="auto"/>
          <w:spacing w:val="0"/>
          <w:kern w:val="0"/>
          <w:position w:val="0"/>
          <w:szCs w:val="24"/>
        </w:rPr>
        <w:t>项目在施工场地内修建临时沉淀池，经沉淀处理后回用于洒水抑尘和车辆冲洗等，不外排。</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kern w:val="0"/>
          <w:position w:val="0"/>
          <w:szCs w:val="24"/>
        </w:rPr>
      </w:pPr>
      <w:r>
        <w:rPr>
          <w:rFonts w:hint="default" w:ascii="Times New Roman" w:hAnsi="Times New Roman" w:eastAsia="宋体" w:cs="Times New Roman"/>
          <w:color w:val="auto"/>
          <w:spacing w:val="0"/>
          <w:position w:val="0"/>
          <w:sz w:val="24"/>
        </w:rPr>
        <w:t>基坑废水通过潜水泵抽入地面上的临时排水沟，排入沉淀池进行沉淀处理，使悬浮物浓度降低，静置澄清后回用于场内洒水抑尘、车辆冲洗等，不外排。</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right="0" w:rightChars="0" w:firstLine="481" w:firstLineChars="200"/>
        <w:jc w:val="both"/>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kern w:val="2"/>
          <w:position w:val="0"/>
          <w:sz w:val="24"/>
          <w:szCs w:val="24"/>
          <w:lang w:val="en-US" w:eastAsia="zh-CN" w:bidi="ar-SA"/>
        </w:rPr>
        <w:t>2</w:t>
      </w:r>
      <w:r>
        <w:rPr>
          <w:rFonts w:hint="eastAsia" w:cs="Times New Roman"/>
          <w:b/>
          <w:bCs/>
          <w:color w:val="auto"/>
          <w:spacing w:val="0"/>
          <w:kern w:val="2"/>
          <w:position w:val="0"/>
          <w:sz w:val="24"/>
          <w:szCs w:val="24"/>
          <w:lang w:val="en-US" w:eastAsia="zh-CN" w:bidi="ar-SA"/>
        </w:rPr>
        <w:t>、</w:t>
      </w:r>
      <w:r>
        <w:rPr>
          <w:rFonts w:hint="default" w:ascii="Times New Roman" w:hAnsi="Times New Roman" w:eastAsia="宋体" w:cs="Times New Roman"/>
          <w:b/>
          <w:bCs/>
          <w:color w:val="auto"/>
          <w:spacing w:val="0"/>
          <w:position w:val="0"/>
          <w:sz w:val="24"/>
          <w:szCs w:val="24"/>
        </w:rPr>
        <w:t>施工期对</w:t>
      </w:r>
      <w:r>
        <w:rPr>
          <w:rFonts w:hint="default" w:ascii="Times New Roman" w:hAnsi="Times New Roman" w:eastAsia="宋体" w:cs="Times New Roman"/>
          <w:b/>
          <w:bCs/>
          <w:color w:val="auto"/>
          <w:spacing w:val="0"/>
          <w:position w:val="0"/>
          <w:sz w:val="24"/>
          <w:szCs w:val="24"/>
          <w:lang w:eastAsia="zh-CN"/>
        </w:rPr>
        <w:t>河流</w:t>
      </w:r>
      <w:r>
        <w:rPr>
          <w:rFonts w:hint="default" w:ascii="Times New Roman" w:hAnsi="Times New Roman" w:eastAsia="宋体" w:cs="Times New Roman"/>
          <w:b/>
          <w:bCs/>
          <w:color w:val="auto"/>
          <w:spacing w:val="0"/>
          <w:position w:val="0"/>
          <w:sz w:val="24"/>
          <w:szCs w:val="24"/>
        </w:rPr>
        <w:t>生态影响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1" w:firstLineChars="200"/>
        <w:jc w:val="both"/>
        <w:textAlignment w:val="auto"/>
        <w:rPr>
          <w:rFonts w:hint="default" w:ascii="Times New Roman" w:hAnsi="Times New Roman" w:eastAsia="宋体" w:cs="Times New Roman"/>
          <w:b/>
          <w:bCs/>
          <w:color w:val="auto"/>
          <w:spacing w:val="0"/>
          <w:position w:val="0"/>
          <w:sz w:val="24"/>
          <w:szCs w:val="24"/>
        </w:rPr>
      </w:pPr>
      <w:r>
        <w:rPr>
          <w:rFonts w:hint="eastAsia" w:ascii="Times New Roman" w:hAnsi="Times New Roman" w:cs="Times New Roman"/>
          <w:b/>
          <w:bCs/>
          <w:color w:val="auto"/>
          <w:spacing w:val="0"/>
          <w:position w:val="0"/>
          <w:sz w:val="24"/>
          <w:szCs w:val="24"/>
          <w:lang w:eastAsia="zh-CN"/>
        </w:rPr>
        <w:t>（</w:t>
      </w:r>
      <w:r>
        <w:rPr>
          <w:rFonts w:hint="eastAsia" w:ascii="Times New Roman" w:hAnsi="Times New Roman" w:cs="Times New Roman"/>
          <w:b/>
          <w:bCs/>
          <w:color w:val="auto"/>
          <w:spacing w:val="0"/>
          <w:position w:val="0"/>
          <w:sz w:val="24"/>
          <w:szCs w:val="24"/>
          <w:lang w:val="en-US" w:eastAsia="zh-CN"/>
        </w:rPr>
        <w:t>1</w:t>
      </w:r>
      <w:r>
        <w:rPr>
          <w:rFonts w:hint="eastAsia" w:ascii="Times New Roman" w:hAnsi="Times New Roman"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施工区域水生生态现状调查</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施工区域主要涉及喷水洞河、海马箐水库入库河口及人工湿地建设区，水域生态以河流、库塘、浅滩湿地为主。根据项目生态调查附录，区域水生生物现状如下：</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cs="Times New Roman"/>
          <w:color w:val="auto"/>
          <w:spacing w:val="0"/>
          <w:position w:val="0"/>
          <w:sz w:val="24"/>
          <w:szCs w:val="24"/>
          <w:lang w:val="en-US" w:eastAsia="zh-CN"/>
        </w:rPr>
        <w:t>1</w:t>
      </w:r>
      <w:r>
        <w:rPr>
          <w:rFonts w:hint="eastAsia" w:ascii="Times New Roman" w:hAnsi="Times New Roman"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鱼类种类与分布</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评价区共记录鱼类22种，隶属3目6科18属，均为南盘江水系常见土著鱼类与少量引入种：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主要类群：以鲤形目为主，包括马口鱼、华南鲤、鲫、云南盘鮈、宜良墨头鱼、光唇裂腹鱼等；鳅科、平鳍鳅科、鲇科、鮡科、合鳃鱼科种类均有分布。</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栖息类型：流水型鱼类占比最高（马口鱼、南方白甲鱼、云南华鲮、盘鮈、爬岩鳅等），集中分布于喷水洞河河道及入库口急流浅滩；静水/缓流型鱼类（鲫、泥鳅、黄鳝、鳙、鲢等）主要分布于水库近岸、缓水区及农田沟渠。</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保护状况：区域鱼类以常见小型经济鱼类、土著溪流鱼类为主，未记录国家级保护鱼类、濒危鱼类及重要水生生物产卵场、索饵场、越冬场。</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空间分布：施工河道内以小型底栖鱼类、溪流鱼类为主，种群密度中等，无大规模鱼群集中分布区。</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cs="Times New Roman"/>
          <w:color w:val="auto"/>
          <w:spacing w:val="0"/>
          <w:position w:val="0"/>
          <w:sz w:val="24"/>
          <w:szCs w:val="24"/>
          <w:lang w:val="en-US" w:eastAsia="zh-CN"/>
        </w:rPr>
        <w:t>2</w:t>
      </w:r>
      <w:r>
        <w:rPr>
          <w:rFonts w:hint="eastAsia" w:ascii="Times New Roman" w:hAnsi="Times New Roman"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水生植物与底栖生物</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水生植物：评价区有水生植物满江红、田字萍、狐尾藻、浮萍、紫萍、菖蒲、芦苇等，多分布于浅水区、沟塘及湿地边缘，为鱼类、两栖类提供栖息环境。</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两栖类：共记录5种，以华西蟾蜍、滇蛙、昭觉林蛙、饰纹姬蛙为主，主要栖息于溪流、水田、湿地边缘。</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爬行类：记录6种，八线腹链蛇、紫灰锦蛇、红脖颈槽蛇等常活动于水域岸边，其中紫灰锦蛇列入《中国濒危动物红皮书》易危等级。</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1" w:firstLineChars="200"/>
        <w:jc w:val="both"/>
        <w:textAlignment w:val="auto"/>
        <w:rPr>
          <w:rFonts w:hint="eastAsia" w:ascii="Times New Roman" w:hAnsi="Times New Roman" w:cs="Times New Roman"/>
          <w:b/>
          <w:bCs/>
          <w:color w:val="auto"/>
          <w:spacing w:val="0"/>
          <w:position w:val="0"/>
          <w:sz w:val="24"/>
          <w:szCs w:val="24"/>
          <w:lang w:eastAsia="zh-CN"/>
        </w:rPr>
      </w:pPr>
      <w:r>
        <w:rPr>
          <w:rFonts w:hint="eastAsia" w:ascii="Times New Roman" w:hAnsi="Times New Roman" w:cs="Times New Roman"/>
          <w:b/>
          <w:bCs/>
          <w:color w:val="auto"/>
          <w:spacing w:val="0"/>
          <w:position w:val="0"/>
          <w:sz w:val="24"/>
          <w:szCs w:val="24"/>
          <w:lang w:eastAsia="zh-CN"/>
        </w:rPr>
        <w:t>（</w:t>
      </w:r>
      <w:r>
        <w:rPr>
          <w:rFonts w:hint="eastAsia" w:ascii="Times New Roman" w:hAnsi="Times New Roman" w:cs="Times New Roman"/>
          <w:b/>
          <w:bCs/>
          <w:color w:val="auto"/>
          <w:spacing w:val="0"/>
          <w:position w:val="0"/>
          <w:sz w:val="24"/>
          <w:szCs w:val="24"/>
          <w:lang w:val="en-US" w:eastAsia="zh-CN"/>
        </w:rPr>
        <w:t>2</w:t>
      </w:r>
      <w:r>
        <w:rPr>
          <w:rFonts w:hint="eastAsia" w:ascii="Times New Roman" w:hAnsi="Times New Roman" w:cs="Times New Roman"/>
          <w:b/>
          <w:bCs/>
          <w:color w:val="auto"/>
          <w:spacing w:val="0"/>
          <w:position w:val="0"/>
          <w:sz w:val="24"/>
          <w:szCs w:val="24"/>
          <w:lang w:eastAsia="zh-CN"/>
        </w:rPr>
        <w:t>）工程施工对水生生态的潜在影响分析</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1）对鱼类的影响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施工扰动、围堰、排水、清淤会造成局部河段水流紊乱、水体浑浊，影响溪流鱼类（特别是喜急流、底栖种类）的呼吸、觅食与躲避行为。</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施工机械噪声、岸坡开挖会驱赶鱼类，短期阻隔鱼类小规模迁移，但不阻断河道、不改变干流连通性，无长期洄游阻隔风险。</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施工废水、泥沙入河会短期降低水体透明度与溶解氧，对幼鱼、鱼卵存在轻微胁迫，但影响范围小、持续时间短。</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2）对两栖、爬行动物的影响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岸线、湿地开挖会临时占用两栖类繁殖栖息场所。</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施工人员活动、机械碾压可能对爬行动物造成惊扰或误伤。</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3）对水生植物与底栖生物的影响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湿地建设区清基、整形会移除部分原生水生植被，底栖动物生境短期被破坏。泥沙沉积会覆盖底质，影响底栖藻类、无脊椎动物生存，进而影响鱼类饵料。</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总体影响判断施工对水生生态影响为局部、短期、可逆，主要集中在施工期河道与湿地作业区；区域无珍稀保护鱼类、无重要“三场一道”，整体生态风险可控。</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1"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（3）施工期水生生态保护应急预案</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1）应急组织机构与职责</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总指挥：项目经理</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成员：施工负责人、环保专员、安全员、现场监理</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职责：监测预警、现场处置、信息上报、生态补救、事后恢复</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2）应急启动条件</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满足任一即启动：河道悬浮物浓度骤升、水体严重浑浊，影响范围&gt;50m；施工废水、油料泄漏入河，出现油膜、异味、变色；发现鱼类浮头、死亡或两栖/爬行类受困、受伤；暴雨导致水土流失、大量泥沙冲入河道。</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3）应急响应流程</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发现异常→立即停工→现场隔离/截污→水质/生态监测→处置补救→评估恢复→复工。</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eastAsia="宋体" w:cs="Times New Roman"/>
          <w:color w:val="auto"/>
          <w:spacing w:val="0"/>
          <w:kern w:val="2"/>
          <w:position w:val="0"/>
          <w:sz w:val="24"/>
          <w:szCs w:val="24"/>
          <w:lang w:val="en-US" w:eastAsia="zh-CN" w:bidi="ar-SA"/>
        </w:rPr>
        <w:t>4）</w:t>
      </w:r>
      <w:r>
        <w:rPr>
          <w:rFonts w:hint="eastAsia" w:ascii="Times New Roman" w:hAnsi="Times New Roman" w:cs="Times New Roman"/>
          <w:color w:val="auto"/>
          <w:spacing w:val="0"/>
          <w:position w:val="0"/>
          <w:sz w:val="24"/>
          <w:szCs w:val="24"/>
          <w:lang w:val="en-US" w:eastAsia="zh-CN"/>
        </w:rPr>
        <w:t>针对性应急补救措施</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①泥沙浑浊应急：立即停止涉水作业，设置土工布围堰、沉沙池，拦截泥沙；</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上游临时导流，降低扰动；待水质澄清后再复工。</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②废水/油污泄漏应急：切断污染源，用吸油毡、拦截带、沙袋围堵；油污、废水收集后外运处置，严禁入河；对受污染岸边进行清理，必要时局部换水。</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③鱼类/水生生物应急：发现鱼类受困、死亡：紧急增氧、导流分流，协助鱼类逃离扰动区；严禁施工人员捕捞、伤害鱼类；设置临时暂养区域，必要时人工转移至未扰动河段。</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④两栖、爬行动物应急：发现紫灰锦蛇等受扰/受伤，立即停止作业，隔离保护，联系林业部门处置；对蛙类产卵场、幼体区进行围挡保护，禁止机械进入。</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⑤水生植被与底质恢复：施工结束后原位补种水生植物（芦苇、香蒲、水葱等）；对扰动底质进行轻度翻晒、恢复微地形，促进底栖生物恢复。</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1"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5）监测与信息上报</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应急期间：每1小时监测pH、溶解氧、悬浮物、透明度；</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一般事件：内部处置并记录；较大生态事件：30分钟内上报建设单位、生态环境部门。</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1"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eastAsia" w:ascii="Times New Roman" w:hAnsi="Times New Roman" w:cs="Times New Roman"/>
          <w:b/>
          <w:bCs/>
          <w:color w:val="auto"/>
          <w:spacing w:val="0"/>
          <w:position w:val="0"/>
          <w:sz w:val="24"/>
          <w:szCs w:val="24"/>
          <w:lang w:val="en-US" w:eastAsia="zh-CN"/>
        </w:rPr>
        <w:t>6）应急终止与恢复</w:t>
      </w:r>
    </w:p>
    <w:p>
      <w:pPr>
        <w:pStyle w:val="7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s="Times New Roman"/>
          <w:color w:val="auto"/>
          <w:spacing w:val="0"/>
          <w:position w:val="0"/>
          <w:sz w:val="24"/>
          <w:szCs w:val="24"/>
          <w:lang w:val="en-US" w:eastAsia="zh-CN"/>
        </w:rPr>
      </w:pPr>
      <w:r>
        <w:rPr>
          <w:rFonts w:hint="eastAsia" w:ascii="Times New Roman" w:hAnsi="Times New Roman" w:cs="Times New Roman"/>
          <w:color w:val="auto"/>
          <w:spacing w:val="0"/>
          <w:position w:val="0"/>
          <w:sz w:val="24"/>
          <w:szCs w:val="24"/>
          <w:lang w:val="en-US" w:eastAsia="zh-CN"/>
        </w:rPr>
        <w:t>满足以下可终止应急：污染得到控制，水质恢复至背景水平；无生物死亡、无生态扩大风险；现场清理完成，水生植被逐步恢复。事后开展水生生态跟踪监测（1个月、3个月、6个月），确保完全恢复。</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本项目施工期土石方阶段及管道铺设施工中，</w:t>
      </w:r>
      <w:r>
        <w:rPr>
          <w:rFonts w:hint="default" w:ascii="Times New Roman" w:hAnsi="Times New Roman" w:eastAsia="宋体" w:cs="Times New Roman"/>
          <w:color w:val="auto"/>
          <w:spacing w:val="0"/>
          <w:kern w:val="0"/>
          <w:position w:val="0"/>
          <w:sz w:val="24"/>
          <w:highlight w:val="none"/>
        </w:rPr>
        <w:t>管道靠近</w:t>
      </w:r>
      <w:r>
        <w:rPr>
          <w:rFonts w:hint="default" w:ascii="Times New Roman" w:hAnsi="Times New Roman" w:eastAsia="宋体" w:cs="Times New Roman"/>
          <w:color w:val="auto"/>
          <w:spacing w:val="0"/>
          <w:kern w:val="0"/>
          <w:position w:val="0"/>
          <w:sz w:val="24"/>
          <w:highlight w:val="none"/>
          <w:lang w:eastAsia="zh-CN"/>
        </w:rPr>
        <w:t>喷水洞河</w:t>
      </w:r>
      <w:r>
        <w:rPr>
          <w:rFonts w:hint="default" w:ascii="Times New Roman" w:hAnsi="Times New Roman" w:eastAsia="宋体" w:cs="Times New Roman"/>
          <w:color w:val="auto"/>
          <w:spacing w:val="0"/>
          <w:kern w:val="0"/>
          <w:position w:val="0"/>
          <w:sz w:val="24"/>
          <w:highlight w:val="none"/>
        </w:rPr>
        <w:t>岸施工时，禁止将泥沙、施工垃圾及生活垃圾堆</w:t>
      </w:r>
      <w:r>
        <w:rPr>
          <w:rFonts w:hint="eastAsia" w:ascii="Times New Roman" w:hAnsi="Times New Roman" w:cs="Times New Roman"/>
          <w:color w:val="auto"/>
          <w:spacing w:val="0"/>
          <w:kern w:val="0"/>
          <w:position w:val="0"/>
          <w:sz w:val="24"/>
          <w:highlight w:val="none"/>
          <w:lang w:eastAsia="zh-CN"/>
        </w:rPr>
        <w:t>放在</w:t>
      </w:r>
      <w:r>
        <w:rPr>
          <w:rFonts w:hint="default" w:ascii="Times New Roman" w:hAnsi="Times New Roman" w:eastAsia="宋体" w:cs="Times New Roman"/>
          <w:color w:val="auto"/>
          <w:spacing w:val="0"/>
          <w:kern w:val="0"/>
          <w:position w:val="0"/>
          <w:sz w:val="24"/>
          <w:highlight w:val="none"/>
        </w:rPr>
        <w:t>靠近</w:t>
      </w:r>
      <w:r>
        <w:rPr>
          <w:rFonts w:hint="default" w:ascii="Times New Roman" w:hAnsi="Times New Roman" w:eastAsia="宋体" w:cs="Times New Roman"/>
          <w:color w:val="auto"/>
          <w:spacing w:val="0"/>
          <w:kern w:val="0"/>
          <w:position w:val="0"/>
          <w:sz w:val="24"/>
          <w:highlight w:val="none"/>
          <w:lang w:eastAsia="zh-CN"/>
        </w:rPr>
        <w:t>喷水洞河</w:t>
      </w:r>
      <w:r>
        <w:rPr>
          <w:rFonts w:hint="default" w:ascii="Times New Roman" w:hAnsi="Times New Roman" w:eastAsia="宋体" w:cs="Times New Roman"/>
          <w:color w:val="auto"/>
          <w:spacing w:val="0"/>
          <w:kern w:val="0"/>
          <w:position w:val="0"/>
          <w:sz w:val="24"/>
          <w:highlight w:val="none"/>
        </w:rPr>
        <w:t>岸两侧</w:t>
      </w:r>
      <w:r>
        <w:rPr>
          <w:rFonts w:hint="default" w:ascii="Times New Roman" w:hAnsi="Times New Roman" w:eastAsia="宋体" w:cs="Times New Roman"/>
          <w:color w:val="auto"/>
          <w:spacing w:val="0"/>
          <w:kern w:val="0"/>
          <w:position w:val="0"/>
          <w:sz w:val="24"/>
          <w:highlight w:val="none"/>
          <w:lang w:eastAsia="zh-CN"/>
        </w:rPr>
        <w:t>及靠近海马箐水库的方向</w:t>
      </w:r>
      <w:r>
        <w:rPr>
          <w:rFonts w:hint="default" w:ascii="Times New Roman" w:hAnsi="Times New Roman" w:eastAsia="宋体" w:cs="Times New Roman"/>
          <w:color w:val="auto"/>
          <w:spacing w:val="0"/>
          <w:kern w:val="0"/>
          <w:position w:val="0"/>
          <w:sz w:val="24"/>
          <w:highlight w:val="none"/>
        </w:rPr>
        <w:t>，禁止将污水排入</w:t>
      </w:r>
      <w:r>
        <w:rPr>
          <w:rFonts w:hint="default" w:ascii="Times New Roman" w:hAnsi="Times New Roman" w:eastAsia="宋体" w:cs="Times New Roman"/>
          <w:color w:val="auto"/>
          <w:spacing w:val="0"/>
          <w:kern w:val="0"/>
          <w:position w:val="0"/>
          <w:sz w:val="24"/>
          <w:highlight w:val="none"/>
          <w:lang w:eastAsia="zh-CN"/>
        </w:rPr>
        <w:t>喷水洞河及海马箐水库</w:t>
      </w:r>
      <w:r>
        <w:rPr>
          <w:rFonts w:hint="eastAsia" w:ascii="Times New Roman" w:hAnsi="Times New Roman" w:cs="Times New Roman"/>
          <w:color w:val="auto"/>
          <w:spacing w:val="0"/>
          <w:kern w:val="0"/>
          <w:position w:val="0"/>
          <w:sz w:val="24"/>
          <w:highlight w:val="none"/>
          <w:lang w:eastAsia="zh-CN"/>
        </w:rPr>
        <w:t>，及时拆除施工设施</w:t>
      </w:r>
      <w:r>
        <w:rPr>
          <w:rFonts w:hint="default" w:ascii="Times New Roman" w:hAnsi="Times New Roman" w:eastAsia="宋体" w:cs="Times New Roman"/>
          <w:color w:val="auto"/>
          <w:spacing w:val="0"/>
          <w:kern w:val="0"/>
          <w:position w:val="0"/>
          <w:sz w:val="24"/>
          <w:highlight w:val="none"/>
        </w:rPr>
        <w:t>，并对场地的杂草、垃圾、废渣等杂物彻底清除，保持</w:t>
      </w:r>
      <w:r>
        <w:rPr>
          <w:rFonts w:hint="default" w:ascii="Times New Roman" w:hAnsi="Times New Roman" w:eastAsia="宋体" w:cs="Times New Roman"/>
          <w:color w:val="auto"/>
          <w:spacing w:val="0"/>
          <w:kern w:val="0"/>
          <w:position w:val="0"/>
          <w:sz w:val="24"/>
          <w:highlight w:val="none"/>
          <w:lang w:eastAsia="zh-CN"/>
        </w:rPr>
        <w:t>江岸</w:t>
      </w:r>
      <w:r>
        <w:rPr>
          <w:rFonts w:hint="default" w:ascii="Times New Roman" w:hAnsi="Times New Roman" w:eastAsia="宋体" w:cs="Times New Roman"/>
          <w:color w:val="auto"/>
          <w:spacing w:val="0"/>
          <w:kern w:val="0"/>
          <w:position w:val="0"/>
          <w:sz w:val="24"/>
          <w:highlight w:val="none"/>
        </w:rPr>
        <w:t>的清洁。</w:t>
      </w:r>
      <w:r>
        <w:rPr>
          <w:rFonts w:hint="default" w:ascii="Times New Roman" w:hAnsi="Times New Roman" w:eastAsia="宋体" w:cs="Times New Roman"/>
          <w:color w:val="auto"/>
          <w:spacing w:val="0"/>
          <w:position w:val="0"/>
          <w:sz w:val="24"/>
          <w:szCs w:val="24"/>
          <w:highlight w:val="none"/>
        </w:rPr>
        <w:t>如果</w:t>
      </w:r>
      <w:r>
        <w:rPr>
          <w:rFonts w:hint="default" w:ascii="Times New Roman" w:hAnsi="Times New Roman" w:eastAsia="宋体" w:cs="Times New Roman"/>
          <w:color w:val="auto"/>
          <w:spacing w:val="0"/>
          <w:position w:val="0"/>
          <w:sz w:val="24"/>
          <w:szCs w:val="24"/>
        </w:rPr>
        <w:t>遇到降水和大风</w:t>
      </w:r>
      <w:r>
        <w:rPr>
          <w:rFonts w:hint="eastAsia" w:ascii="Times New Roman" w:hAnsi="Times New Roman" w:cs="Times New Roman"/>
          <w:color w:val="auto"/>
          <w:spacing w:val="0"/>
          <w:position w:val="0"/>
          <w:sz w:val="24"/>
          <w:szCs w:val="24"/>
          <w:lang w:eastAsia="zh-CN"/>
        </w:rPr>
        <w:t>天气，</w:t>
      </w:r>
      <w:r>
        <w:rPr>
          <w:rFonts w:hint="default" w:ascii="Times New Roman" w:hAnsi="Times New Roman" w:eastAsia="宋体" w:cs="Times New Roman"/>
          <w:color w:val="auto"/>
          <w:spacing w:val="0"/>
          <w:position w:val="0"/>
          <w:sz w:val="24"/>
          <w:szCs w:val="24"/>
        </w:rPr>
        <w:t>易</w:t>
      </w:r>
      <w:r>
        <w:rPr>
          <w:rFonts w:hint="eastAsia" w:ascii="Times New Roman" w:hAnsi="Times New Roman" w:cs="Times New Roman"/>
          <w:color w:val="auto"/>
          <w:spacing w:val="0"/>
          <w:position w:val="0"/>
          <w:sz w:val="24"/>
          <w:szCs w:val="24"/>
          <w:lang w:eastAsia="zh-CN"/>
        </w:rPr>
        <w:t>造成河道淤积</w:t>
      </w:r>
      <w:r>
        <w:rPr>
          <w:rFonts w:hint="default" w:ascii="Times New Roman" w:hAnsi="Times New Roman" w:eastAsia="宋体" w:cs="Times New Roman"/>
          <w:color w:val="auto"/>
          <w:spacing w:val="0"/>
          <w:position w:val="0"/>
          <w:sz w:val="24"/>
          <w:szCs w:val="24"/>
        </w:rPr>
        <w:t>，影响蓄水和行洪，进而影响水中鱼类及植被。为了减少建设项目施工对</w:t>
      </w:r>
      <w:r>
        <w:rPr>
          <w:rFonts w:hint="default" w:ascii="Times New Roman" w:hAnsi="Times New Roman" w:eastAsia="宋体" w:cs="Times New Roman"/>
          <w:color w:val="auto"/>
          <w:spacing w:val="0"/>
          <w:position w:val="0"/>
          <w:sz w:val="24"/>
          <w:szCs w:val="24"/>
          <w:lang w:eastAsia="zh-CN"/>
        </w:rPr>
        <w:t>喷水洞河</w:t>
      </w:r>
      <w:r>
        <w:rPr>
          <w:rFonts w:hint="default" w:ascii="Times New Roman" w:hAnsi="Times New Roman" w:eastAsia="宋体" w:cs="Times New Roman"/>
          <w:color w:val="auto"/>
          <w:spacing w:val="0"/>
          <w:position w:val="0"/>
          <w:sz w:val="24"/>
          <w:szCs w:val="24"/>
        </w:rPr>
        <w:t>的影响，评价建议项目土石方及管道铺设等施工工段避开雨季和大风天气，施工结束后，</w:t>
      </w:r>
      <w:r>
        <w:rPr>
          <w:rFonts w:hint="default" w:ascii="Times New Roman" w:hAnsi="Times New Roman" w:eastAsia="宋体" w:cs="Times New Roman"/>
          <w:color w:val="auto"/>
          <w:spacing w:val="0"/>
          <w:position w:val="0"/>
          <w:sz w:val="24"/>
        </w:rPr>
        <w:t>要求按开挖前原貌</w:t>
      </w:r>
      <w:r>
        <w:rPr>
          <w:rFonts w:hint="default" w:ascii="Times New Roman" w:hAnsi="Times New Roman" w:eastAsia="宋体" w:cs="Times New Roman"/>
          <w:color w:val="auto"/>
          <w:spacing w:val="0"/>
          <w:position w:val="0"/>
          <w:sz w:val="24"/>
          <w:lang w:eastAsia="zh-CN"/>
        </w:rPr>
        <w:t>对喷水洞</w:t>
      </w:r>
      <w:r>
        <w:rPr>
          <w:rFonts w:hint="eastAsia" w:ascii="Times New Roman" w:hAnsi="Times New Roman" w:cs="Times New Roman"/>
          <w:color w:val="auto"/>
          <w:spacing w:val="0"/>
          <w:position w:val="0"/>
          <w:sz w:val="24"/>
          <w:lang w:eastAsia="zh-CN"/>
        </w:rPr>
        <w:t>河岸</w:t>
      </w:r>
      <w:r>
        <w:rPr>
          <w:rFonts w:hint="default" w:ascii="Times New Roman" w:hAnsi="Times New Roman" w:eastAsia="宋体" w:cs="Times New Roman"/>
          <w:color w:val="auto"/>
          <w:spacing w:val="0"/>
          <w:position w:val="0"/>
          <w:sz w:val="24"/>
        </w:rPr>
        <w:t>植被进行恢复，尽可能对河堤进行绿化，</w:t>
      </w:r>
      <w:r>
        <w:rPr>
          <w:rFonts w:hint="eastAsia" w:ascii="Times New Roman" w:hAnsi="Times New Roman" w:cs="Times New Roman"/>
          <w:color w:val="auto"/>
          <w:spacing w:val="0"/>
          <w:position w:val="0"/>
          <w:sz w:val="24"/>
          <w:lang w:eastAsia="zh-CN"/>
        </w:rPr>
        <w:t>种植</w:t>
      </w:r>
      <w:r>
        <w:rPr>
          <w:rFonts w:hint="default" w:ascii="Times New Roman" w:hAnsi="Times New Roman" w:eastAsia="宋体" w:cs="Times New Roman"/>
          <w:color w:val="auto"/>
          <w:spacing w:val="0"/>
          <w:position w:val="0"/>
          <w:sz w:val="24"/>
        </w:rPr>
        <w:t>大型</w:t>
      </w:r>
      <w:r>
        <w:rPr>
          <w:rFonts w:hint="eastAsia" w:ascii="Times New Roman" w:hAnsi="Times New Roman" w:cs="Times New Roman"/>
          <w:color w:val="auto"/>
          <w:spacing w:val="0"/>
          <w:position w:val="0"/>
          <w:sz w:val="24"/>
          <w:lang w:eastAsia="zh-CN"/>
        </w:rPr>
        <w:t>乔木</w:t>
      </w:r>
      <w:r>
        <w:rPr>
          <w:rFonts w:hint="default" w:ascii="Times New Roman" w:hAnsi="Times New Roman" w:eastAsia="宋体" w:cs="Times New Roman"/>
          <w:color w:val="auto"/>
          <w:spacing w:val="0"/>
          <w:position w:val="0"/>
          <w:sz w:val="24"/>
        </w:rPr>
        <w:t>，有利于稳固河堤，还可美化</w:t>
      </w:r>
      <w:r>
        <w:rPr>
          <w:rFonts w:hint="default" w:ascii="Times New Roman" w:hAnsi="Times New Roman" w:eastAsia="宋体" w:cs="Times New Roman"/>
          <w:color w:val="auto"/>
          <w:spacing w:val="0"/>
          <w:position w:val="0"/>
          <w:sz w:val="24"/>
          <w:lang w:eastAsia="zh-CN"/>
        </w:rPr>
        <w:t>江岸</w:t>
      </w:r>
      <w:r>
        <w:rPr>
          <w:rFonts w:hint="default" w:ascii="Times New Roman" w:hAnsi="Times New Roman" w:eastAsia="宋体" w:cs="Times New Roman"/>
          <w:color w:val="auto"/>
          <w:spacing w:val="0"/>
          <w:position w:val="0"/>
          <w:sz w:val="24"/>
        </w:rPr>
        <w:t>景观</w:t>
      </w:r>
      <w:r>
        <w:rPr>
          <w:rFonts w:hint="default" w:ascii="Times New Roman" w:hAnsi="Times New Roman" w:eastAsia="宋体" w:cs="Times New Roman"/>
          <w:color w:val="auto"/>
          <w:spacing w:val="0"/>
          <w:position w:val="0"/>
          <w:sz w:val="24"/>
          <w:szCs w:val="24"/>
        </w:rPr>
        <w:t>。经采取上述措施，可有效减少项目对</w:t>
      </w:r>
      <w:r>
        <w:rPr>
          <w:rFonts w:hint="eastAsia" w:ascii="Times New Roman" w:hAnsi="Times New Roman" w:cs="Times New Roman"/>
          <w:color w:val="auto"/>
          <w:spacing w:val="0"/>
          <w:position w:val="0"/>
          <w:sz w:val="24"/>
          <w:szCs w:val="24"/>
          <w:lang w:val="en-US" w:eastAsia="zh-CN"/>
        </w:rPr>
        <w:t>水生生态</w:t>
      </w:r>
      <w:r>
        <w:rPr>
          <w:rFonts w:hint="default" w:ascii="Times New Roman" w:hAnsi="Times New Roman" w:eastAsia="宋体" w:cs="Times New Roman"/>
          <w:color w:val="auto"/>
          <w:spacing w:val="0"/>
          <w:position w:val="0"/>
          <w:sz w:val="24"/>
          <w:szCs w:val="24"/>
        </w:rPr>
        <w:t>的影响。</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22" w:name="_Toc29718"/>
      <w:r>
        <w:rPr>
          <w:rFonts w:hint="eastAsia" w:ascii="Times New Roman" w:hAnsi="Times New Roman" w:eastAsia="宋体"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val="en-US" w:eastAsia="zh-CN"/>
        </w:rPr>
        <w:t>.2运营期影响</w:t>
      </w:r>
      <w:r>
        <w:rPr>
          <w:rFonts w:hint="eastAsia" w:ascii="Times New Roman" w:hAnsi="Times New Roman" w:cs="Times New Roman"/>
          <w:b/>
          <w:bCs/>
          <w:color w:val="auto"/>
          <w:spacing w:val="0"/>
          <w:position w:val="0"/>
          <w:sz w:val="24"/>
          <w:szCs w:val="24"/>
          <w:lang w:val="en-US" w:eastAsia="zh-CN"/>
        </w:rPr>
        <w:t>分析</w:t>
      </w:r>
      <w:bookmarkEnd w:id="22"/>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运营期的影响主要体现在河口湿地净化系统对喷水洞河水质的改善作用，以及对海马箐水库水质的正面提升效应。</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 xml:space="preserve">5.2.1 河口湿地净化效果与达标可行性分析 </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1"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（1）湿地工艺与设计参数</w:t>
      </w:r>
      <w:bookmarkStart w:id="34" w:name="_GoBack"/>
      <w:bookmarkEnd w:id="34"/>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工艺选择：采用“表流湿地”技术。这是一种模拟自然湿地，利用土壤-植物-微生物复合生态系统进行水质净化的生态工程。污染物通过物理沉淀、植物吸收、微生物降解等协同作用被去除。</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设计规模：处理规模为4229 m³/d，对应喷水洞河日均径流量，确保绝大部分入库河水得到处理。</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设计进水：承接喷水洞河现状河水及周边分散径流。</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出水目标：达到《地表水环境质量标准》（GB3838-2002）Ⅱ类标准。</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关键设计要素：水力停留时间：通过合理的湿地面积、水深及透水坝调控，设计足够的停留时间（通常为数小时至数天），以确保污染物与生态系统的充分接触和反应。</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植物配置：选取适宜本地生长的、具有高效氮磷吸收能力的水生植物（如芦苇、香蒲、</w:t>
      </w:r>
      <w:r>
        <w:rPr>
          <w:rFonts w:hint="eastAsia" w:ascii="Times New Roman" w:hAnsi="Times New Roman" w:cs="Times New Roman"/>
          <w:b w:val="0"/>
          <w:bCs w:val="0"/>
          <w:color w:val="auto"/>
          <w:spacing w:val="0"/>
          <w:position w:val="0"/>
          <w:sz w:val="24"/>
          <w:szCs w:val="24"/>
          <w:highlight w:val="none"/>
          <w:lang w:val="en-US" w:eastAsia="zh-CN"/>
        </w:rPr>
        <w:t>水葱</w:t>
      </w:r>
      <w:r>
        <w:rPr>
          <w:rFonts w:hint="default" w:ascii="Times New Roman" w:hAnsi="Times New Roman" w:eastAsia="宋体" w:cs="Times New Roman"/>
          <w:b w:val="0"/>
          <w:bCs w:val="0"/>
          <w:color w:val="auto"/>
          <w:spacing w:val="0"/>
          <w:position w:val="0"/>
          <w:sz w:val="24"/>
          <w:szCs w:val="24"/>
          <w:highlight w:val="none"/>
          <w:lang w:val="en-US" w:eastAsia="zh-CN"/>
        </w:rPr>
        <w:t>等），构建多层次植物群落。</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基质优化：选用具有吸附和微生物附着功能的天然或改良基质，增强对污染物的截留与转化。</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（2）污染物去除机理与效率论证</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①去除机理</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总磷（TP）去除机理：主要通过：① 物理沉淀与基质吸附：磷酸盐与钙、铁等离子结合沉淀，或被基质吸附固定；② 植物吸收；③ 微生物同化。</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化学需氧量（COD）去除机理：主要通过微生物降解、植物吸收和沉淀作用。</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②</w:t>
      </w:r>
      <w:r>
        <w:rPr>
          <w:rFonts w:hint="eastAsia" w:ascii="Times New Roman" w:hAnsi="Times New Roman" w:cs="Times New Roman"/>
          <w:b w:val="0"/>
          <w:bCs w:val="0"/>
          <w:color w:val="auto"/>
          <w:spacing w:val="0"/>
          <w:position w:val="0"/>
          <w:sz w:val="24"/>
          <w:szCs w:val="24"/>
          <w:highlight w:val="none"/>
          <w:lang w:val="en-US" w:eastAsia="zh-CN"/>
        </w:rPr>
        <w:t>净化</w:t>
      </w:r>
      <w:r>
        <w:rPr>
          <w:rFonts w:hint="default" w:ascii="Times New Roman" w:hAnsi="Times New Roman" w:eastAsia="宋体" w:cs="Times New Roman"/>
          <w:b w:val="0"/>
          <w:bCs w:val="0"/>
          <w:color w:val="auto"/>
          <w:spacing w:val="0"/>
          <w:position w:val="0"/>
          <w:sz w:val="24"/>
          <w:szCs w:val="24"/>
          <w:highlight w:val="none"/>
          <w:lang w:val="en-US" w:eastAsia="zh-CN"/>
        </w:rPr>
        <w:t>效率论证</w:t>
      </w:r>
      <w:r>
        <w:rPr>
          <w:rFonts w:hint="eastAsia" w:ascii="Times New Roman" w:hAnsi="Times New Roman" w:cs="Times New Roman"/>
          <w:b w:val="0"/>
          <w:bCs w:val="0"/>
          <w:color w:val="auto"/>
          <w:spacing w:val="0"/>
          <w:position w:val="0"/>
          <w:sz w:val="24"/>
          <w:szCs w:val="24"/>
          <w:highlight w:val="none"/>
          <w:lang w:val="en-US" w:eastAsia="zh-CN"/>
        </w:rPr>
        <w:t>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76" w:firstLineChars="200"/>
        <w:textAlignment w:val="auto"/>
        <w:rPr>
          <w:rFonts w:hint="default" w:ascii="Times New Roman" w:hAnsi="Times New Roman" w:eastAsia="宋体" w:cs="Times New Roman"/>
          <w:i w:val="0"/>
          <w:iCs w:val="0"/>
          <w:caps w:val="0"/>
          <w:color w:val="auto"/>
          <w:spacing w:val="0"/>
          <w:sz w:val="24"/>
          <w:szCs w:val="24"/>
          <w:shd w:val="clear" w:fill="FFFFFF"/>
          <w:lang w:eastAsia="zh-CN"/>
        </w:rPr>
      </w:pPr>
      <w:r>
        <w:rPr>
          <w:rFonts w:hint="default" w:ascii="Times New Roman" w:hAnsi="Times New Roman" w:cs="Times New Roman"/>
          <w:b w:val="0"/>
          <w:bCs w:val="0"/>
          <w:color w:val="auto"/>
          <w:spacing w:val="-1"/>
          <w:sz w:val="24"/>
          <w:szCs w:val="24"/>
          <w:lang w:val="en-US" w:eastAsia="zh-CN"/>
        </w:rPr>
        <w:t>项目河口湿地划分为6块，</w:t>
      </w:r>
      <w:r>
        <w:rPr>
          <w:rFonts w:hint="default" w:ascii="Times New Roman" w:hAnsi="Times New Roman" w:eastAsia="宋体" w:cs="Times New Roman"/>
          <w:b w:val="0"/>
          <w:bCs w:val="0"/>
          <w:color w:val="auto"/>
          <w:spacing w:val="-1"/>
          <w:sz w:val="24"/>
          <w:szCs w:val="24"/>
          <w:lang w:eastAsia="zh-CN"/>
        </w:rPr>
        <w:t>其中1#、2#湿地，3#、4#湿地，5#、6#湿地串联运行，3#、4#湿地与5#、6#湿地并联运行</w:t>
      </w:r>
      <w:r>
        <w:rPr>
          <w:rFonts w:hint="default" w:ascii="Times New Roman" w:hAnsi="Times New Roman" w:cs="Times New Roman"/>
          <w:b w:val="0"/>
          <w:bCs w:val="0"/>
          <w:color w:val="auto"/>
          <w:spacing w:val="-1"/>
          <w:sz w:val="24"/>
          <w:szCs w:val="24"/>
          <w:lang w:eastAsia="zh-CN"/>
        </w:rPr>
        <w:t>。</w:t>
      </w:r>
      <w:r>
        <w:rPr>
          <w:rFonts w:hint="default" w:ascii="Times New Roman" w:hAnsi="Times New Roman" w:eastAsia="宋体" w:cs="Times New Roman"/>
          <w:color w:val="auto"/>
          <w:spacing w:val="1"/>
          <w:sz w:val="24"/>
          <w:szCs w:val="24"/>
        </w:rPr>
        <w:t>2#与3#湿地中间采用过水桥进行连通</w:t>
      </w:r>
      <w:r>
        <w:rPr>
          <w:rFonts w:hint="default" w:ascii="Times New Roman" w:hAnsi="Times New Roman" w:cs="Times New Roman"/>
          <w:color w:val="auto"/>
          <w:spacing w:val="1"/>
          <w:sz w:val="24"/>
          <w:szCs w:val="24"/>
          <w:lang w:eastAsia="zh-CN"/>
        </w:rPr>
        <w:t>，</w:t>
      </w:r>
      <w:r>
        <w:rPr>
          <w:rFonts w:hint="default" w:ascii="Times New Roman" w:hAnsi="Times New Roman" w:cs="Times New Roman"/>
          <w:b w:val="0"/>
          <w:bCs w:val="0"/>
          <w:color w:val="auto"/>
          <w:spacing w:val="-1"/>
          <w:sz w:val="24"/>
          <w:szCs w:val="24"/>
          <w:lang w:val="en-US" w:eastAsia="zh-CN"/>
        </w:rPr>
        <w:t>2#与5#又相连，因此，河流进入1、2</w:t>
      </w:r>
      <w:r>
        <w:rPr>
          <w:rFonts w:hint="default" w:ascii="Times New Roman" w:hAnsi="Times New Roman" w:eastAsia="宋体" w:cs="Times New Roman"/>
          <w:b w:val="0"/>
          <w:bCs w:val="0"/>
          <w:color w:val="auto"/>
          <w:spacing w:val="-1"/>
          <w:sz w:val="24"/>
          <w:szCs w:val="24"/>
          <w:lang w:eastAsia="zh-CN"/>
        </w:rPr>
        <w:t>#</w:t>
      </w:r>
      <w:r>
        <w:rPr>
          <w:rFonts w:hint="default" w:ascii="Times New Roman" w:hAnsi="Times New Roman" w:cs="Times New Roman"/>
          <w:b w:val="0"/>
          <w:bCs w:val="0"/>
          <w:color w:val="auto"/>
          <w:spacing w:val="-1"/>
          <w:sz w:val="24"/>
          <w:szCs w:val="24"/>
          <w:lang w:val="en-US" w:eastAsia="zh-CN"/>
        </w:rPr>
        <w:t>湿地处理后，分成两部分，一部分进入3、4</w:t>
      </w:r>
      <w:r>
        <w:rPr>
          <w:rFonts w:hint="default" w:ascii="Times New Roman" w:hAnsi="Times New Roman" w:eastAsia="宋体" w:cs="Times New Roman"/>
          <w:b w:val="0"/>
          <w:bCs w:val="0"/>
          <w:color w:val="auto"/>
          <w:spacing w:val="-1"/>
          <w:sz w:val="24"/>
          <w:szCs w:val="24"/>
          <w:lang w:eastAsia="zh-CN"/>
        </w:rPr>
        <w:t>#</w:t>
      </w:r>
      <w:r>
        <w:rPr>
          <w:rFonts w:hint="default" w:ascii="Times New Roman" w:hAnsi="Times New Roman" w:cs="Times New Roman"/>
          <w:b w:val="0"/>
          <w:bCs w:val="0"/>
          <w:color w:val="auto"/>
          <w:spacing w:val="-1"/>
          <w:sz w:val="24"/>
          <w:szCs w:val="24"/>
          <w:lang w:val="en-US" w:eastAsia="zh-CN"/>
        </w:rPr>
        <w:t>湿地处理，一部分进入</w:t>
      </w:r>
      <w:r>
        <w:rPr>
          <w:rFonts w:hint="default" w:ascii="Times New Roman" w:hAnsi="Times New Roman" w:eastAsia="宋体" w:cs="Times New Roman"/>
          <w:b w:val="0"/>
          <w:bCs w:val="0"/>
          <w:color w:val="auto"/>
          <w:spacing w:val="-1"/>
          <w:sz w:val="24"/>
          <w:szCs w:val="24"/>
          <w:lang w:eastAsia="zh-CN"/>
        </w:rPr>
        <w:t>5、6#湿地</w:t>
      </w:r>
      <w:r>
        <w:rPr>
          <w:rFonts w:hint="default" w:ascii="Times New Roman" w:hAnsi="Times New Roman" w:cs="Times New Roman"/>
          <w:b w:val="0"/>
          <w:bCs w:val="0"/>
          <w:color w:val="auto"/>
          <w:spacing w:val="-1"/>
          <w:sz w:val="24"/>
          <w:szCs w:val="24"/>
          <w:lang w:val="en-US" w:eastAsia="zh-CN"/>
        </w:rPr>
        <w:t>处理，根据《人工湿地污水处理工程技术规范》（HJ 2005-2010）和《污水自然处理工程技术规程》（CJJ∕T 54-2017），理论单元表面径流净化效率为COD:50~60%、BOD：40-70%、氨氮：20-50%、TP：35~70%，</w:t>
      </w:r>
      <w:r>
        <w:rPr>
          <w:rFonts w:hint="default" w:ascii="Times New Roman" w:hAnsi="Times New Roman" w:eastAsia="宋体" w:cs="Times New Roman"/>
          <w:b w:val="0"/>
          <w:bCs w:val="0"/>
          <w:color w:val="auto"/>
          <w:spacing w:val="-1"/>
          <w:sz w:val="24"/>
          <w:szCs w:val="24"/>
          <w:lang w:val="en-US" w:eastAsia="zh-CN"/>
        </w:rPr>
        <w:t>经湿地串联和并联处理后的最终理论净化效率为CODcr:</w:t>
      </w:r>
      <w:r>
        <w:rPr>
          <w:rFonts w:hint="default" w:ascii="Times New Roman" w:hAnsi="Times New Roman" w:eastAsia="宋体" w:cs="Times New Roman"/>
          <w:i w:val="0"/>
          <w:iCs w:val="0"/>
          <w:caps w:val="0"/>
          <w:color w:val="auto"/>
          <w:spacing w:val="0"/>
          <w:sz w:val="24"/>
          <w:szCs w:val="24"/>
          <w:shd w:val="clear" w:fill="FFFFFF"/>
        </w:rPr>
        <w:t>93.2%</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rPr>
        <w:t>97.7%</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b w:val="0"/>
          <w:bCs w:val="0"/>
          <w:color w:val="auto"/>
          <w:spacing w:val="-1"/>
          <w:sz w:val="24"/>
          <w:szCs w:val="24"/>
          <w:lang w:val="en-US" w:eastAsia="zh-CN"/>
        </w:rPr>
        <w:t>BOD</w:t>
      </w:r>
      <w:r>
        <w:rPr>
          <w:rFonts w:hint="default" w:ascii="Times New Roman" w:hAnsi="Times New Roman" w:eastAsia="宋体" w:cs="Times New Roman"/>
          <w:b w:val="0"/>
          <w:bCs w:val="0"/>
          <w:color w:val="auto"/>
          <w:spacing w:val="-1"/>
          <w:sz w:val="24"/>
          <w:szCs w:val="24"/>
          <w:vertAlign w:val="subscript"/>
          <w:lang w:val="en-US" w:eastAsia="zh-CN"/>
        </w:rPr>
        <w:t>5</w:t>
      </w:r>
      <w:r>
        <w:rPr>
          <w:rFonts w:hint="default" w:ascii="Times New Roman" w:hAnsi="Times New Roman" w:eastAsia="宋体" w:cs="Times New Roman"/>
          <w:b w:val="0"/>
          <w:bCs w:val="0"/>
          <w:color w:val="auto"/>
          <w:spacing w:val="-1"/>
          <w:sz w:val="24"/>
          <w:szCs w:val="24"/>
          <w:lang w:val="en-US" w:eastAsia="zh-CN"/>
        </w:rPr>
        <w:t>:</w:t>
      </w:r>
      <w:r>
        <w:rPr>
          <w:rFonts w:hint="default" w:ascii="Times New Roman" w:hAnsi="Times New Roman" w:eastAsia="宋体" w:cs="Times New Roman"/>
          <w:i w:val="0"/>
          <w:iCs w:val="0"/>
          <w:caps w:val="0"/>
          <w:color w:val="auto"/>
          <w:spacing w:val="0"/>
          <w:sz w:val="24"/>
          <w:szCs w:val="24"/>
          <w:shd w:val="clear" w:fill="FFFFFF"/>
        </w:rPr>
        <w:t>89.1%</w:t>
      </w:r>
      <w:r>
        <w:rPr>
          <w:rFonts w:hint="default" w:ascii="Times New Roman" w:hAnsi="Times New Roman" w:eastAsia="宋体" w:cs="Times New Roman"/>
          <w:i w:val="0"/>
          <w:iCs w:val="0"/>
          <w:caps w:val="0"/>
          <w:color w:val="auto"/>
          <w:spacing w:val="0"/>
          <w:sz w:val="24"/>
          <w:szCs w:val="24"/>
          <w:shd w:val="clear" w:fill="FFFFFF"/>
          <w:lang w:val="en-US" w:eastAsia="zh-CN"/>
        </w:rPr>
        <w:t>-98.8%、</w:t>
      </w:r>
      <w:r>
        <w:rPr>
          <w:rFonts w:hint="default" w:ascii="Times New Roman" w:hAnsi="Times New Roman" w:eastAsia="宋体" w:cs="Times New Roman"/>
          <w:b w:val="0"/>
          <w:bCs w:val="0"/>
          <w:color w:val="auto"/>
          <w:spacing w:val="-1"/>
          <w:sz w:val="24"/>
          <w:szCs w:val="24"/>
          <w:lang w:val="en-US" w:eastAsia="zh-CN"/>
        </w:rPr>
        <w:t>氨氮：</w:t>
      </w:r>
      <w:r>
        <w:rPr>
          <w:rFonts w:hint="default" w:ascii="Times New Roman" w:hAnsi="Times New Roman" w:eastAsia="宋体" w:cs="Times New Roman"/>
          <w:i w:val="0"/>
          <w:iCs w:val="0"/>
          <w:caps w:val="0"/>
          <w:color w:val="auto"/>
          <w:spacing w:val="0"/>
          <w:sz w:val="24"/>
          <w:szCs w:val="24"/>
          <w:shd w:val="clear" w:fill="FFFFFF"/>
        </w:rPr>
        <w:t>67.8%</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rPr>
        <w:t>90.8%</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b w:val="0"/>
          <w:bCs w:val="0"/>
          <w:color w:val="auto"/>
          <w:spacing w:val="-1"/>
          <w:sz w:val="24"/>
          <w:szCs w:val="24"/>
          <w:lang w:val="en-US" w:eastAsia="zh-CN"/>
        </w:rPr>
        <w:t>TP：</w:t>
      </w:r>
      <w:r>
        <w:rPr>
          <w:rFonts w:hint="default" w:ascii="Times New Roman" w:hAnsi="Times New Roman" w:eastAsia="宋体" w:cs="Times New Roman"/>
          <w:i w:val="0"/>
          <w:iCs w:val="0"/>
          <w:caps w:val="0"/>
          <w:color w:val="auto"/>
          <w:spacing w:val="0"/>
          <w:sz w:val="24"/>
          <w:szCs w:val="24"/>
          <w:shd w:val="clear" w:fill="FFFFFF"/>
        </w:rPr>
        <w:t>86.5%</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rPr>
        <w:t>98.5%</w:t>
      </w:r>
      <w:r>
        <w:rPr>
          <w:rFonts w:hint="default" w:ascii="Times New Roman" w:hAnsi="Times New Roman" w:eastAsia="宋体" w:cs="Times New Roman"/>
          <w:i w:val="0"/>
          <w:iCs w:val="0"/>
          <w:caps w:val="0"/>
          <w:color w:val="auto"/>
          <w:spacing w:val="0"/>
          <w:sz w:val="24"/>
          <w:szCs w:val="24"/>
          <w:shd w:val="clear" w:fill="FFFFFF"/>
          <w:lang w:eastAsia="zh-CN"/>
        </w:rPr>
        <w:t>。</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i w:val="0"/>
          <w:iCs w:val="0"/>
          <w:caps w:val="0"/>
          <w:color w:val="auto"/>
          <w:spacing w:val="0"/>
          <w:sz w:val="24"/>
          <w:szCs w:val="24"/>
          <w:shd w:val="clear" w:fill="FFFFFF"/>
          <w:lang w:val="en-US" w:eastAsia="zh-CN"/>
        </w:rPr>
        <w:t>以上是基于理论得出的净化效率，国内研究和已投入运行的小型人工湿地实验表明，挺水+沉水+浮水的植物配置</w:t>
      </w:r>
      <w:r>
        <w:rPr>
          <w:rFonts w:hint="default" w:ascii="Times New Roman" w:hAnsi="Times New Roman" w:cs="Times New Roman"/>
          <w:i w:val="0"/>
          <w:iCs w:val="0"/>
          <w:caps w:val="0"/>
          <w:color w:val="auto"/>
          <w:spacing w:val="0"/>
          <w:sz w:val="24"/>
          <w:szCs w:val="24"/>
          <w:shd w:val="clear" w:fill="FFFFFF"/>
          <w:lang w:val="en-US" w:eastAsia="zh-CN"/>
        </w:rPr>
        <w:t>比单纯一类型植物配置净化效率更好，</w:t>
      </w:r>
      <w:r>
        <w:rPr>
          <w:rFonts w:hint="default" w:ascii="Times New Roman" w:hAnsi="Times New Roman" w:eastAsia="宋体" w:cs="Times New Roman"/>
          <w:i w:val="0"/>
          <w:iCs w:val="0"/>
          <w:caps w:val="0"/>
          <w:color w:val="auto"/>
          <w:spacing w:val="0"/>
          <w:sz w:val="24"/>
          <w:szCs w:val="24"/>
          <w:shd w:val="clear" w:fill="FFFFFF"/>
          <w:lang w:val="en-US" w:eastAsia="zh-CN"/>
        </w:rPr>
        <w:t>本项目河口湿地配置的植物基本全是挺水植物，根据《植物配置对表层流湿地净化效果的影响研究》（郭萧</w:t>
      </w:r>
      <w:r>
        <w:rPr>
          <w:rFonts w:hint="default" w:ascii="Times New Roman" w:hAnsi="Times New Roman" w:cs="Times New Roman"/>
          <w:i w:val="0"/>
          <w:iCs w:val="0"/>
          <w:caps w:val="0"/>
          <w:color w:val="auto"/>
          <w:spacing w:val="0"/>
          <w:sz w:val="24"/>
          <w:szCs w:val="24"/>
          <w:shd w:val="clear" w:fill="FFFFFF"/>
          <w:lang w:val="en-US" w:eastAsia="zh-CN"/>
        </w:rPr>
        <w:t>等</w:t>
      </w:r>
      <w:r>
        <w:rPr>
          <w:rFonts w:hint="default" w:ascii="Times New Roman" w:hAnsi="Times New Roman" w:eastAsia="宋体" w:cs="Times New Roman"/>
          <w:i w:val="0"/>
          <w:iCs w:val="0"/>
          <w:caps w:val="0"/>
          <w:color w:val="auto"/>
          <w:spacing w:val="0"/>
          <w:sz w:val="24"/>
          <w:szCs w:val="24"/>
          <w:shd w:val="clear" w:fill="FFFFFF"/>
          <w:lang w:val="en-US" w:eastAsia="zh-CN"/>
        </w:rPr>
        <w:t>），以郑州市贾鲁河河水为处理对象，研究了不同植物配置表层流湿地的水质净化效果，实测结果表明单一挺水植物湿地单元平均净化效率为TP：58%、氨氮：49%和COD：26%。《表面流人工湿地处理农村生活污水工程实例》（叶先建），其对广东梅州农村生活污水表流湿地单元的研究表明，BOD的净化效率在60-70%，但受季节影响，本次环评取其最低60%净化效率。如果按照研究实测数据计算，</w:t>
      </w:r>
      <w:r>
        <w:rPr>
          <w:rFonts w:hint="default" w:ascii="Times New Roman" w:hAnsi="Times New Roman" w:eastAsia="宋体" w:cs="Times New Roman"/>
          <w:b w:val="0"/>
          <w:bCs w:val="0"/>
          <w:color w:val="auto"/>
          <w:spacing w:val="-1"/>
          <w:sz w:val="24"/>
          <w:szCs w:val="24"/>
          <w:lang w:val="en-US" w:eastAsia="zh-CN"/>
        </w:rPr>
        <w:t>经湿地串联和并联处理后的最终理论净化效率为CODcr:</w:t>
      </w:r>
      <w:r>
        <w:rPr>
          <w:rFonts w:hint="default" w:ascii="Times New Roman" w:hAnsi="Times New Roman" w:eastAsia="宋体" w:cs="Times New Roman"/>
          <w:i w:val="0"/>
          <w:iCs w:val="0"/>
          <w:caps w:val="0"/>
          <w:color w:val="auto"/>
          <w:spacing w:val="0"/>
          <w:sz w:val="24"/>
          <w:szCs w:val="24"/>
          <w:shd w:val="clear" w:fill="FFFFFF"/>
          <w:lang w:eastAsia="zh-CN"/>
        </w:rPr>
        <w:t>70%、</w:t>
      </w:r>
      <w:r>
        <w:rPr>
          <w:rFonts w:hint="default" w:ascii="Times New Roman" w:hAnsi="Times New Roman" w:eastAsia="宋体" w:cs="Times New Roman"/>
          <w:b w:val="0"/>
          <w:bCs w:val="0"/>
          <w:color w:val="auto"/>
          <w:spacing w:val="-1"/>
          <w:sz w:val="24"/>
          <w:szCs w:val="24"/>
          <w:lang w:val="en-US" w:eastAsia="zh-CN"/>
        </w:rPr>
        <w:t>BOD</w:t>
      </w:r>
      <w:r>
        <w:rPr>
          <w:rFonts w:hint="default" w:ascii="Times New Roman" w:hAnsi="Times New Roman" w:eastAsia="宋体" w:cs="Times New Roman"/>
          <w:b w:val="0"/>
          <w:bCs w:val="0"/>
          <w:color w:val="auto"/>
          <w:spacing w:val="-1"/>
          <w:sz w:val="24"/>
          <w:szCs w:val="24"/>
          <w:vertAlign w:val="subscript"/>
          <w:lang w:val="en-US" w:eastAsia="zh-CN"/>
        </w:rPr>
        <w:t>5</w:t>
      </w:r>
      <w:r>
        <w:rPr>
          <w:rFonts w:hint="default" w:ascii="Times New Roman" w:hAnsi="Times New Roman" w:eastAsia="宋体" w:cs="Times New Roman"/>
          <w:b w:val="0"/>
          <w:bCs w:val="0"/>
          <w:color w:val="auto"/>
          <w:spacing w:val="-1"/>
          <w:sz w:val="24"/>
          <w:szCs w:val="24"/>
          <w:lang w:val="en-US" w:eastAsia="zh-CN"/>
        </w:rPr>
        <w:t>:</w:t>
      </w:r>
      <w:r>
        <w:rPr>
          <w:rFonts w:hint="default" w:ascii="Times New Roman" w:hAnsi="Times New Roman" w:cs="Times New Roman"/>
          <w:i w:val="0"/>
          <w:iCs w:val="0"/>
          <w:caps w:val="0"/>
          <w:color w:val="auto"/>
          <w:spacing w:val="0"/>
          <w:sz w:val="24"/>
          <w:szCs w:val="24"/>
          <w:shd w:val="clear" w:fill="FFFFFF"/>
          <w:lang w:val="en-US" w:eastAsia="zh-CN"/>
        </w:rPr>
        <w:t>97.4%</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b w:val="0"/>
          <w:bCs w:val="0"/>
          <w:color w:val="auto"/>
          <w:spacing w:val="-1"/>
          <w:sz w:val="24"/>
          <w:szCs w:val="24"/>
          <w:lang w:val="en-US" w:eastAsia="zh-CN"/>
        </w:rPr>
        <w:t>氨氮：</w:t>
      </w:r>
      <w:r>
        <w:rPr>
          <w:rFonts w:hint="default" w:ascii="Times New Roman" w:hAnsi="Times New Roman" w:eastAsia="宋体" w:cs="Times New Roman"/>
          <w:i w:val="0"/>
          <w:iCs w:val="0"/>
          <w:caps w:val="0"/>
          <w:color w:val="auto"/>
          <w:spacing w:val="0"/>
          <w:sz w:val="24"/>
          <w:szCs w:val="24"/>
          <w:shd w:val="clear" w:fill="FFFFFF"/>
          <w:lang w:eastAsia="zh-CN"/>
        </w:rPr>
        <w:t>93.2</w:t>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b w:val="0"/>
          <w:bCs w:val="0"/>
          <w:color w:val="auto"/>
          <w:spacing w:val="-1"/>
          <w:sz w:val="24"/>
          <w:szCs w:val="24"/>
          <w:lang w:val="en-US" w:eastAsia="zh-CN"/>
        </w:rPr>
        <w:t>TP：</w:t>
      </w:r>
      <w:r>
        <w:rPr>
          <w:rFonts w:hint="default" w:ascii="Times New Roman" w:hAnsi="Times New Roman" w:eastAsia="宋体" w:cs="Times New Roman"/>
          <w:i w:val="0"/>
          <w:iCs w:val="0"/>
          <w:caps w:val="0"/>
          <w:color w:val="auto"/>
          <w:spacing w:val="0"/>
          <w:sz w:val="24"/>
          <w:szCs w:val="24"/>
          <w:shd w:val="clear" w:fill="FFFFFF"/>
          <w:lang w:eastAsia="zh-CN"/>
        </w:rPr>
        <w:t>96.9</w:t>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cs="Times New Roman"/>
          <w:i w:val="0"/>
          <w:iCs w:val="0"/>
          <w:caps w:val="0"/>
          <w:color w:val="auto"/>
          <w:spacing w:val="0"/>
          <w:sz w:val="24"/>
          <w:szCs w:val="24"/>
          <w:shd w:val="clear" w:fill="FFFFFF"/>
          <w:lang w:val="en-US" w:eastAsia="zh-CN"/>
        </w:rPr>
        <w:t>对比理论值可以看出，BOD</w:t>
      </w:r>
      <w:r>
        <w:rPr>
          <w:rFonts w:hint="default" w:ascii="Times New Roman" w:hAnsi="Times New Roman" w:cs="Times New Roman"/>
          <w:i w:val="0"/>
          <w:iCs w:val="0"/>
          <w:caps w:val="0"/>
          <w:color w:val="auto"/>
          <w:spacing w:val="0"/>
          <w:sz w:val="24"/>
          <w:szCs w:val="24"/>
          <w:shd w:val="clear" w:fill="FFFFFF"/>
          <w:vertAlign w:val="subscript"/>
          <w:lang w:val="en-US" w:eastAsia="zh-CN"/>
        </w:rPr>
        <w:t>5</w:t>
      </w:r>
      <w:r>
        <w:rPr>
          <w:rFonts w:hint="default" w:ascii="Times New Roman" w:hAnsi="Times New Roman" w:cs="Times New Roman"/>
          <w:i w:val="0"/>
          <w:iCs w:val="0"/>
          <w:caps w:val="0"/>
          <w:color w:val="auto"/>
          <w:spacing w:val="0"/>
          <w:sz w:val="24"/>
          <w:szCs w:val="24"/>
          <w:shd w:val="clear" w:fill="FFFFFF"/>
          <w:lang w:val="en-US" w:eastAsia="zh-CN"/>
        </w:rPr>
        <w:t>、氨氮、TP均与理论相符，只有CODcr比理论值下降较多，本次环评按实际值修正CODcr的净化效率为</w:t>
      </w:r>
      <w:r>
        <w:rPr>
          <w:rFonts w:hint="default" w:ascii="Times New Roman" w:hAnsi="Times New Roman" w:eastAsia="宋体" w:cs="Times New Roman"/>
          <w:b w:val="0"/>
          <w:bCs w:val="0"/>
          <w:color w:val="auto"/>
          <w:spacing w:val="-1"/>
          <w:sz w:val="24"/>
          <w:szCs w:val="24"/>
          <w:lang w:val="en-US" w:eastAsia="zh-CN"/>
        </w:rPr>
        <w:t>CODcr:</w:t>
      </w:r>
      <w:r>
        <w:rPr>
          <w:rFonts w:hint="default" w:ascii="Times New Roman" w:hAnsi="Times New Roman" w:cs="Times New Roman"/>
          <w:i w:val="0"/>
          <w:iCs w:val="0"/>
          <w:caps w:val="0"/>
          <w:color w:val="auto"/>
          <w:spacing w:val="0"/>
          <w:sz w:val="24"/>
          <w:szCs w:val="24"/>
          <w:shd w:val="clear" w:fill="FFFFFF"/>
          <w:lang w:val="en-US" w:eastAsia="zh-CN"/>
        </w:rPr>
        <w:t>70</w:t>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shd w:val="clear" w:fill="FFFFFF"/>
          <w:lang w:val="en-US" w:eastAsia="zh-CN"/>
        </w:rPr>
        <w:t>-</w:t>
      </w:r>
      <w:r>
        <w:rPr>
          <w:rFonts w:hint="default" w:ascii="Times New Roman" w:hAnsi="Times New Roman" w:eastAsia="宋体" w:cs="Times New Roman"/>
          <w:i w:val="0"/>
          <w:iCs w:val="0"/>
          <w:caps w:val="0"/>
          <w:color w:val="auto"/>
          <w:spacing w:val="0"/>
          <w:sz w:val="24"/>
          <w:szCs w:val="24"/>
          <w:shd w:val="clear" w:fill="FFFFFF"/>
        </w:rPr>
        <w:t>97.7%</w:t>
      </w:r>
      <w:r>
        <w:rPr>
          <w:rFonts w:hint="default" w:ascii="Times New Roman" w:hAnsi="Times New Roman"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lang w:val="en-US" w:eastAsia="zh-CN"/>
        </w:rPr>
        <w:t>如果按照《地表水环境质量标准》（GB3838-2002）Ⅱ类要求反推，当河水出现污染的情况，河口湿地能承受的最低和最高入水水质范围为</w:t>
      </w:r>
      <w:r>
        <w:rPr>
          <w:rFonts w:hint="default" w:ascii="Times New Roman" w:hAnsi="Times New Roman" w:cs="Times New Roman"/>
          <w:b w:val="0"/>
          <w:bCs w:val="0"/>
          <w:color w:val="auto"/>
          <w:spacing w:val="-1"/>
          <w:sz w:val="24"/>
          <w:szCs w:val="24"/>
          <w:lang w:val="en-US" w:eastAsia="zh-CN"/>
        </w:rPr>
        <w:t>CODcr:50-652mg/L、BOD</w:t>
      </w:r>
      <w:r>
        <w:rPr>
          <w:rFonts w:hint="default" w:ascii="Times New Roman" w:hAnsi="Times New Roman" w:cs="Times New Roman"/>
          <w:b w:val="0"/>
          <w:bCs w:val="0"/>
          <w:color w:val="auto"/>
          <w:spacing w:val="-1"/>
          <w:sz w:val="24"/>
          <w:szCs w:val="24"/>
          <w:vertAlign w:val="subscript"/>
          <w:lang w:val="en-US" w:eastAsia="zh-CN"/>
        </w:rPr>
        <w:t>5</w:t>
      </w:r>
      <w:r>
        <w:rPr>
          <w:rFonts w:hint="default" w:ascii="Times New Roman" w:hAnsi="Times New Roman" w:cs="Times New Roman"/>
          <w:b w:val="0"/>
          <w:bCs w:val="0"/>
          <w:color w:val="auto"/>
          <w:spacing w:val="-1"/>
          <w:sz w:val="24"/>
          <w:szCs w:val="24"/>
          <w:lang w:val="en-US" w:eastAsia="zh-CN"/>
        </w:rPr>
        <w:t>:27.5-250mg/L、氨氮：1.55-5.4mg/L、TP：0.74-6.7mg/L。意味着当喷水洞河出现CODcr超标3.33倍、BOD超标5.5倍、氨氮超标3.1倍、TP超标7.4倍情况下能完全净化，极限情况是出现CODcr超标43倍、BOD超标50倍、氨氮超标10.8倍、TP超标67倍，这种情况就需要湿地净化效率必须满足最高要求。根据</w:t>
      </w:r>
      <w:r>
        <w:rPr>
          <w:rFonts w:hint="default" w:ascii="Times New Roman" w:hAnsi="Times New Roman" w:cs="Times New Roman"/>
          <w:b w:val="0"/>
          <w:bCs w:val="0"/>
          <w:color w:val="auto"/>
          <w:sz w:val="24"/>
          <w:szCs w:val="24"/>
          <w:lang w:val="en-US" w:eastAsia="zh-CN"/>
        </w:rPr>
        <w:t>贵州元烁环境检测技术有限公司202</w:t>
      </w:r>
      <w:r>
        <w:rPr>
          <w:rFonts w:hint="default" w:ascii="Times New Roman" w:hAnsi="Times New Roman" w:cs="Times New Roman"/>
          <w:b w:val="0"/>
          <w:bCs w:val="0"/>
          <w:color w:val="auto"/>
          <w:sz w:val="24"/>
          <w:szCs w:val="24"/>
          <w:u w:val="dotted"/>
          <w:lang w:val="en-US" w:eastAsia="zh-CN"/>
        </w:rPr>
        <w:t>6年7月1日出具的报告，湿地上游喷水洞水质不满足地表水环境质量标准（GB3838-2002）</w:t>
      </w:r>
      <w:r>
        <w:rPr>
          <w:rFonts w:hint="default" w:ascii="Times New Roman" w:hAnsi="Times New Roman" w:eastAsia="宋体" w:cs="Times New Roman"/>
          <w:i w:val="0"/>
          <w:iCs w:val="0"/>
          <w:caps w:val="0"/>
          <w:color w:val="auto"/>
          <w:spacing w:val="0"/>
          <w:sz w:val="24"/>
          <w:szCs w:val="24"/>
          <w:shd w:val="clear" w:fill="FFFFFF"/>
          <w:lang w:val="en-US" w:eastAsia="zh-CN"/>
        </w:rPr>
        <w:t>Ⅱ类</w:t>
      </w:r>
      <w:r>
        <w:rPr>
          <w:rFonts w:hint="default" w:ascii="Times New Roman" w:hAnsi="Times New Roman" w:cs="Times New Roman"/>
          <w:i w:val="0"/>
          <w:iCs w:val="0"/>
          <w:caps w:val="0"/>
          <w:color w:val="auto"/>
          <w:spacing w:val="0"/>
          <w:sz w:val="24"/>
          <w:szCs w:val="24"/>
          <w:shd w:val="clear" w:fill="FFFFFF"/>
          <w:lang w:val="en-US" w:eastAsia="zh-CN"/>
        </w:rPr>
        <w:t>要求</w:t>
      </w:r>
      <w:r>
        <w:rPr>
          <w:rFonts w:hint="default" w:ascii="Times New Roman" w:hAnsi="Times New Roman" w:cs="Times New Roman"/>
          <w:b w:val="0"/>
          <w:bCs w:val="0"/>
          <w:color w:val="auto"/>
          <w:sz w:val="24"/>
          <w:szCs w:val="24"/>
          <w:u w:val="dotted"/>
          <w:lang w:val="en-US" w:eastAsia="zh-CN"/>
        </w:rPr>
        <w:t>，其中CODcr最高值16mg/L、氨氮</w:t>
      </w:r>
      <w:r>
        <w:rPr>
          <w:rFonts w:hint="default" w:ascii="Times New Roman" w:hAnsi="Times New Roman" w:eastAsia="Times New Roman" w:cs="Times New Roman"/>
          <w:color w:val="auto"/>
          <w:spacing w:val="2"/>
          <w:sz w:val="24"/>
          <w:szCs w:val="24"/>
        </w:rPr>
        <w:t>0.</w:t>
      </w:r>
      <w:r>
        <w:rPr>
          <w:rFonts w:hint="default" w:ascii="Times New Roman" w:hAnsi="Times New Roman" w:eastAsia="宋体" w:cs="Times New Roman"/>
          <w:color w:val="auto"/>
          <w:spacing w:val="2"/>
          <w:sz w:val="24"/>
          <w:szCs w:val="24"/>
          <w:lang w:val="en-US" w:eastAsia="zh-CN"/>
        </w:rPr>
        <w:t>532</w:t>
      </w:r>
      <w:r>
        <w:rPr>
          <w:rFonts w:hint="default" w:ascii="Times New Roman" w:hAnsi="Times New Roman" w:cs="Times New Roman"/>
          <w:b w:val="0"/>
          <w:bCs w:val="0"/>
          <w:color w:val="auto"/>
          <w:sz w:val="24"/>
          <w:szCs w:val="24"/>
          <w:u w:val="dotted"/>
          <w:lang w:val="en-US" w:eastAsia="zh-CN"/>
        </w:rPr>
        <w:t>mg/L、TP</w:t>
      </w:r>
      <w:r>
        <w:rPr>
          <w:rFonts w:hint="default" w:ascii="Times New Roman" w:hAnsi="Times New Roman" w:eastAsia="Times New Roman" w:cs="Times New Roman"/>
          <w:color w:val="auto"/>
          <w:spacing w:val="2"/>
          <w:sz w:val="24"/>
          <w:szCs w:val="24"/>
        </w:rPr>
        <w:t>0.</w:t>
      </w:r>
      <w:r>
        <w:rPr>
          <w:rFonts w:hint="default" w:ascii="Times New Roman" w:hAnsi="Times New Roman" w:eastAsia="宋体" w:cs="Times New Roman"/>
          <w:color w:val="auto"/>
          <w:spacing w:val="2"/>
          <w:sz w:val="24"/>
          <w:szCs w:val="24"/>
          <w:lang w:val="en-US" w:eastAsia="zh-CN"/>
        </w:rPr>
        <w:t>16</w:t>
      </w:r>
      <w:r>
        <w:rPr>
          <w:rFonts w:hint="default" w:ascii="Times New Roman" w:hAnsi="Times New Roman" w:cs="Times New Roman"/>
          <w:b w:val="0"/>
          <w:bCs w:val="0"/>
          <w:color w:val="auto"/>
          <w:sz w:val="24"/>
          <w:szCs w:val="24"/>
          <w:u w:val="dotted"/>
          <w:lang w:val="en-US" w:eastAsia="zh-CN"/>
        </w:rPr>
        <w:t>mg/L，分别超标1.067倍，1.064倍，1.6倍，主要超标原因可能与</w:t>
      </w:r>
      <w:r>
        <w:rPr>
          <w:rFonts w:hint="default" w:ascii="Times New Roman" w:hAnsi="Times New Roman" w:cs="Times New Roman"/>
          <w:b w:val="0"/>
          <w:bCs w:val="0"/>
          <w:color w:val="auto"/>
          <w:sz w:val="24"/>
          <w:szCs w:val="24"/>
          <w:lang w:val="en-US" w:eastAsia="zh-CN"/>
        </w:rPr>
        <w:t>入库河流沿岸村民随意抛弃垃圾入河、农业面源污染、农村生活污水污染源、水库内源污染释放等有关。按照进入最低承载浓度要求，本项目河口湿地是完全能够净化喷水洞河水，使其达到</w:t>
      </w:r>
      <w:r>
        <w:rPr>
          <w:rFonts w:hint="default" w:ascii="Times New Roman" w:hAnsi="Times New Roman" w:eastAsia="宋体" w:cs="Times New Roman"/>
          <w:i w:val="0"/>
          <w:iCs w:val="0"/>
          <w:caps w:val="0"/>
          <w:color w:val="auto"/>
          <w:spacing w:val="0"/>
          <w:sz w:val="24"/>
          <w:szCs w:val="24"/>
          <w:shd w:val="clear" w:fill="FFFFFF"/>
          <w:lang w:val="en-US" w:eastAsia="zh-CN"/>
        </w:rPr>
        <w:t>Ⅱ类</w:t>
      </w:r>
      <w:r>
        <w:rPr>
          <w:rFonts w:hint="default" w:ascii="Times New Roman" w:hAnsi="Times New Roman" w:cs="Times New Roman"/>
          <w:i w:val="0"/>
          <w:iCs w:val="0"/>
          <w:caps w:val="0"/>
          <w:color w:val="auto"/>
          <w:spacing w:val="0"/>
          <w:sz w:val="24"/>
          <w:szCs w:val="24"/>
          <w:shd w:val="clear" w:fill="FFFFFF"/>
          <w:lang w:val="en-US" w:eastAsia="zh-CN"/>
        </w:rPr>
        <w:t>水质要求。</w:t>
      </w:r>
      <w:r>
        <w:rPr>
          <w:rFonts w:hint="default" w:ascii="Times New Roman" w:hAnsi="Times New Roman" w:cs="Times New Roman"/>
          <w:b w:val="0"/>
          <w:bCs w:val="0"/>
          <w:color w:val="auto"/>
          <w:spacing w:val="-1"/>
          <w:sz w:val="24"/>
          <w:szCs w:val="24"/>
          <w:lang w:val="en-US" w:eastAsia="zh-CN"/>
        </w:rPr>
        <w:t>海马箐水库保护区已经于2018年划定，随着本项目保护工程的推进，可以</w:t>
      </w:r>
      <w:r>
        <w:rPr>
          <w:rFonts w:hint="default" w:ascii="Times New Roman" w:hAnsi="Times New Roman" w:cs="Times New Roman"/>
          <w:b w:val="0"/>
          <w:bCs w:val="0"/>
          <w:color w:val="auto"/>
          <w:sz w:val="24"/>
          <w:szCs w:val="24"/>
          <w:lang w:val="en-US" w:eastAsia="zh-CN"/>
        </w:rPr>
        <w:t>将污染风险降低，以保证入库河流水质稳定达标，即便出现偶然的超标风险，也可以经过河口湿地净化控制，保证下游水质的安全，因此，湿地水质净化目标是可以完全实现的。</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 xml:space="preserve">③达标可行性综合结论 </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从工艺成熟度、设计参数合理性、去除机理科学性、配套工程协同性（</w:t>
      </w:r>
      <w:r>
        <w:rPr>
          <w:rFonts w:hint="default" w:ascii="Times New Roman" w:hAnsi="Times New Roman" w:eastAsia="宋体" w:cs="Times New Roman"/>
          <w:color w:val="auto"/>
          <w:spacing w:val="0"/>
          <w:position w:val="0"/>
          <w:sz w:val="24"/>
          <w:szCs w:val="24"/>
          <w:lang w:val="en-US" w:eastAsia="zh-CN"/>
        </w:rPr>
        <w:t>本项目配套农村生活污水治理工程，将评价范围内4个自然村生活污水全收集、全处理，处理后出水全部回用于农田灌溉及村庄绿化，不外排至喷水洞河</w:t>
      </w:r>
      <w:r>
        <w:rPr>
          <w:rFonts w:hint="eastAsia" w:ascii="Times New Roman" w:hAnsi="Times New Roman"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治理后实现生活污染源100%削减，彻底消除生活污水直排污染，显著降低湿地进水负荷</w:t>
      </w:r>
      <w:r>
        <w:rPr>
          <w:rFonts w:hint="default" w:ascii="Times New Roman" w:hAnsi="Times New Roman" w:eastAsia="宋体" w:cs="Times New Roman"/>
          <w:b w:val="0"/>
          <w:bCs w:val="0"/>
          <w:color w:val="auto"/>
          <w:spacing w:val="0"/>
          <w:position w:val="0"/>
          <w:sz w:val="24"/>
          <w:szCs w:val="24"/>
          <w:highlight w:val="none"/>
          <w:lang w:val="en-US" w:eastAsia="zh-CN"/>
        </w:rPr>
        <w:t>）以及同类工程实证效果等多方面分析，本项目河口湿地建设工程具备可靠的技术可行性，能够有效净化喷水洞河水体，大幅削减CODcr、BOD</w:t>
      </w:r>
      <w:r>
        <w:rPr>
          <w:rFonts w:hint="default" w:ascii="Times New Roman" w:hAnsi="Times New Roman" w:eastAsia="宋体" w:cs="Times New Roman"/>
          <w:b w:val="0"/>
          <w:bCs w:val="0"/>
          <w:color w:val="auto"/>
          <w:spacing w:val="0"/>
          <w:position w:val="0"/>
          <w:sz w:val="24"/>
          <w:szCs w:val="24"/>
          <w:highlight w:val="none"/>
          <w:vertAlign w:val="subscript"/>
          <w:lang w:val="en-US" w:eastAsia="zh-CN"/>
        </w:rPr>
        <w:t>5</w:t>
      </w:r>
      <w:r>
        <w:rPr>
          <w:rFonts w:hint="default" w:ascii="Times New Roman" w:hAnsi="Times New Roman" w:eastAsia="宋体" w:cs="Times New Roman"/>
          <w:b w:val="0"/>
          <w:bCs w:val="0"/>
          <w:color w:val="auto"/>
          <w:spacing w:val="0"/>
          <w:position w:val="0"/>
          <w:sz w:val="24"/>
          <w:szCs w:val="24"/>
          <w:highlight w:val="none"/>
          <w:lang w:val="en-US" w:eastAsia="zh-CN"/>
        </w:rPr>
        <w:t>、TP</w:t>
      </w:r>
      <w:r>
        <w:rPr>
          <w:rFonts w:hint="eastAsia" w:ascii="Times New Roman" w:hAnsi="Times New Roman" w:cs="Times New Roman"/>
          <w:b w:val="0"/>
          <w:bCs w:val="0"/>
          <w:color w:val="auto"/>
          <w:spacing w:val="0"/>
          <w:position w:val="0"/>
          <w:sz w:val="24"/>
          <w:szCs w:val="24"/>
          <w:highlight w:val="none"/>
          <w:lang w:val="en-US" w:eastAsia="zh-CN"/>
        </w:rPr>
        <w:t>、氨氮</w:t>
      </w:r>
      <w:r>
        <w:rPr>
          <w:rFonts w:hint="default" w:ascii="Times New Roman" w:hAnsi="Times New Roman" w:eastAsia="宋体" w:cs="Times New Roman"/>
          <w:b w:val="0"/>
          <w:bCs w:val="0"/>
          <w:color w:val="auto"/>
          <w:spacing w:val="0"/>
          <w:position w:val="0"/>
          <w:sz w:val="24"/>
          <w:szCs w:val="24"/>
          <w:highlight w:val="none"/>
          <w:lang w:val="en-US" w:eastAsia="zh-CN"/>
        </w:rPr>
        <w:t>等污染物负荷。其出水水质有望稳定达到或优于《地表水环境质量标准》Ⅱ类标准，从而为海马箐水库水质达标提供关键保障。</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 xml:space="preserve">5.2.2 对海马箐水库水质的改善效应分析 </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河口湿地作为入库河流的最后一道生态屏障，其净化效果将直接传导至海马箐水库：</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1、</w:t>
      </w:r>
      <w:r>
        <w:rPr>
          <w:rFonts w:hint="default" w:ascii="Times New Roman" w:hAnsi="Times New Roman" w:eastAsia="宋体" w:cs="Times New Roman"/>
          <w:b w:val="0"/>
          <w:bCs w:val="0"/>
          <w:color w:val="auto"/>
          <w:spacing w:val="0"/>
          <w:position w:val="0"/>
          <w:sz w:val="24"/>
          <w:szCs w:val="24"/>
          <w:highlight w:val="none"/>
          <w:lang w:val="en-US" w:eastAsia="zh-CN"/>
        </w:rPr>
        <w:t>直接降低入库污染浓度</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经过湿地深度净化后的喷水洞河水，其COD</w:t>
      </w:r>
      <w:r>
        <w:rPr>
          <w:rFonts w:hint="eastAsia" w:ascii="Times New Roman" w:hAnsi="Times New Roman" w:cs="Times New Roman"/>
          <w:b w:val="0"/>
          <w:bCs w:val="0"/>
          <w:color w:val="auto"/>
          <w:spacing w:val="0"/>
          <w:position w:val="0"/>
          <w:sz w:val="24"/>
          <w:szCs w:val="24"/>
          <w:highlight w:val="none"/>
          <w:lang w:val="en-US" w:eastAsia="zh-CN"/>
        </w:rPr>
        <w:t>cr、BOD</w:t>
      </w:r>
      <w:r>
        <w:rPr>
          <w:rFonts w:hint="eastAsia" w:ascii="Times New Roman" w:hAnsi="Times New Roman" w:cs="Times New Roman"/>
          <w:b w:val="0"/>
          <w:bCs w:val="0"/>
          <w:color w:val="auto"/>
          <w:spacing w:val="0"/>
          <w:position w:val="0"/>
          <w:sz w:val="24"/>
          <w:szCs w:val="24"/>
          <w:highlight w:val="none"/>
          <w:vertAlign w:val="subscript"/>
          <w:lang w:val="en-US" w:eastAsia="zh-CN"/>
        </w:rPr>
        <w:t>5</w:t>
      </w:r>
      <w:r>
        <w:rPr>
          <w:rFonts w:hint="default" w:ascii="Times New Roman" w:hAnsi="Times New Roman" w:eastAsia="宋体" w:cs="Times New Roman"/>
          <w:b w:val="0"/>
          <w:bCs w:val="0"/>
          <w:color w:val="auto"/>
          <w:spacing w:val="0"/>
          <w:position w:val="0"/>
          <w:sz w:val="24"/>
          <w:szCs w:val="24"/>
          <w:highlight w:val="none"/>
          <w:lang w:val="en-US" w:eastAsia="zh-CN"/>
        </w:rPr>
        <w:t>、TP</w:t>
      </w:r>
      <w:r>
        <w:rPr>
          <w:rFonts w:hint="eastAsia" w:ascii="Times New Roman" w:hAnsi="Times New Roman" w:cs="Times New Roman"/>
          <w:b w:val="0"/>
          <w:bCs w:val="0"/>
          <w:color w:val="auto"/>
          <w:spacing w:val="0"/>
          <w:position w:val="0"/>
          <w:sz w:val="24"/>
          <w:szCs w:val="24"/>
          <w:highlight w:val="none"/>
          <w:lang w:val="en-US" w:eastAsia="zh-CN"/>
        </w:rPr>
        <w:t>、氨氮</w:t>
      </w:r>
      <w:r>
        <w:rPr>
          <w:rFonts w:hint="default" w:ascii="Times New Roman" w:hAnsi="Times New Roman" w:eastAsia="宋体" w:cs="Times New Roman"/>
          <w:b w:val="0"/>
          <w:bCs w:val="0"/>
          <w:color w:val="auto"/>
          <w:spacing w:val="0"/>
          <w:position w:val="0"/>
          <w:sz w:val="24"/>
          <w:szCs w:val="24"/>
          <w:highlight w:val="none"/>
          <w:lang w:val="en-US" w:eastAsia="zh-CN"/>
        </w:rPr>
        <w:t>等关键指标浓度显著降低，以更清洁的状态进入水库，直接改善入库口附近及库区的水质。</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2、</w:t>
      </w:r>
      <w:r>
        <w:rPr>
          <w:rFonts w:hint="default" w:ascii="Times New Roman" w:hAnsi="Times New Roman" w:eastAsia="宋体" w:cs="Times New Roman"/>
          <w:b w:val="0"/>
          <w:bCs w:val="0"/>
          <w:color w:val="auto"/>
          <w:spacing w:val="0"/>
          <w:position w:val="0"/>
          <w:sz w:val="24"/>
          <w:szCs w:val="24"/>
          <w:highlight w:val="none"/>
          <w:lang w:val="en-US" w:eastAsia="zh-CN"/>
        </w:rPr>
        <w:t>减少水库内源性污染风险</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减少氮磷输入是控制水库富营养化、抑制藻类繁殖（降低叶绿素a）的根本措施。长期运行下，有助于提升水库透明度，稳定溶解氧水平，维持健康的水生生态系统。</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3、</w:t>
      </w:r>
      <w:r>
        <w:rPr>
          <w:rFonts w:hint="default" w:ascii="Times New Roman" w:hAnsi="Times New Roman" w:eastAsia="宋体" w:cs="Times New Roman"/>
          <w:b w:val="0"/>
          <w:bCs w:val="0"/>
          <w:color w:val="auto"/>
          <w:spacing w:val="0"/>
          <w:position w:val="0"/>
          <w:sz w:val="24"/>
          <w:szCs w:val="24"/>
          <w:highlight w:val="none"/>
          <w:lang w:val="en-US" w:eastAsia="zh-CN"/>
        </w:rPr>
        <w:t>累积性长期改善</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项目并非一次性工程，湿地生态系统一旦建立并稳定运行，其净化功能将持续发挥。随着时间积累，水库水质将从当前的超标状态逐步向Ⅱ类标准收敛，最终实现稳定达标。对于一个中型水库，这种持续性的源头负荷削减，将对其水质改善产生显著的、积极的正面影响。</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5.2.3 运营期潜在负面影响及防控</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1、</w:t>
      </w:r>
      <w:r>
        <w:rPr>
          <w:rFonts w:hint="default" w:ascii="Times New Roman" w:hAnsi="Times New Roman" w:eastAsia="宋体" w:cs="Times New Roman"/>
          <w:b w:val="0"/>
          <w:bCs w:val="0"/>
          <w:color w:val="auto"/>
          <w:spacing w:val="0"/>
          <w:position w:val="0"/>
          <w:sz w:val="24"/>
          <w:szCs w:val="24"/>
          <w:highlight w:val="none"/>
          <w:lang w:val="en-US" w:eastAsia="zh-CN"/>
        </w:rPr>
        <w:t>湿地堵塞或效率下降</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长期运行后，基质可能堵塞，植物可能老化。防控措施：制定定期维护计划，包括基质清理或更换、植物收割与补种、水力通道疏通等。</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cs="Times New Roman"/>
          <w:b w:val="0"/>
          <w:bCs w:val="0"/>
          <w:color w:val="auto"/>
          <w:spacing w:val="0"/>
          <w:position w:val="0"/>
          <w:sz w:val="24"/>
          <w:szCs w:val="24"/>
          <w:highlight w:val="none"/>
          <w:lang w:val="en-US" w:eastAsia="zh-CN"/>
        </w:rPr>
        <w:t>2、</w:t>
      </w:r>
      <w:r>
        <w:rPr>
          <w:rFonts w:hint="default" w:ascii="Times New Roman" w:hAnsi="Times New Roman" w:eastAsia="宋体" w:cs="Times New Roman"/>
          <w:b w:val="0"/>
          <w:bCs w:val="0"/>
          <w:color w:val="auto"/>
          <w:spacing w:val="0"/>
          <w:position w:val="0"/>
          <w:sz w:val="24"/>
          <w:szCs w:val="24"/>
          <w:highlight w:val="none"/>
          <w:lang w:val="en-US" w:eastAsia="zh-CN"/>
        </w:rPr>
        <w:t>生态风险</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 xml:space="preserve">引入的水生植物若管理不当，可能过度繁殖。防控措施：选择本地物种，定期管理控制种群规模。 </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这些潜在负面影响均可通过科学设计和规范管理来预防和缓解，不影响湿地整体的正面环境效益。</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1"/>
        <w:rPr>
          <w:rFonts w:hint="default" w:ascii="Times New Roman" w:hAnsi="Times New Roman" w:eastAsia="宋体" w:cs="Times New Roman"/>
          <w:b/>
          <w:bCs/>
          <w:color w:val="auto"/>
          <w:spacing w:val="0"/>
          <w:position w:val="0"/>
          <w:sz w:val="24"/>
          <w:szCs w:val="24"/>
          <w:highlight w:val="none"/>
          <w:lang w:val="en-US" w:eastAsia="zh-CN"/>
        </w:rPr>
      </w:pPr>
      <w:bookmarkStart w:id="23" w:name="_Toc11140"/>
      <w:r>
        <w:rPr>
          <w:rFonts w:hint="eastAsia" w:ascii="Times New Roman" w:hAnsi="Times New Roman" w:eastAsia="宋体" w:cs="Times New Roman"/>
          <w:b/>
          <w:bCs/>
          <w:color w:val="auto"/>
          <w:spacing w:val="0"/>
          <w:position w:val="0"/>
          <w:sz w:val="24"/>
          <w:szCs w:val="24"/>
          <w:highlight w:val="none"/>
          <w:lang w:val="en-US" w:eastAsia="zh-CN"/>
        </w:rPr>
        <w:t>5</w:t>
      </w:r>
      <w:r>
        <w:rPr>
          <w:rFonts w:hint="default" w:ascii="Times New Roman" w:hAnsi="Times New Roman" w:eastAsia="宋体" w:cs="Times New Roman"/>
          <w:b/>
          <w:bCs/>
          <w:color w:val="auto"/>
          <w:spacing w:val="0"/>
          <w:position w:val="0"/>
          <w:sz w:val="24"/>
          <w:szCs w:val="24"/>
          <w:highlight w:val="none"/>
          <w:lang w:val="en-US" w:eastAsia="zh-CN"/>
        </w:rPr>
        <w:t>.3地表水环境影响的综合效益分析</w:t>
      </w:r>
      <w:bookmarkEnd w:id="23"/>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2"/>
        <w:rPr>
          <w:rFonts w:hint="default" w:ascii="Times New Roman" w:hAnsi="Times New Roman" w:eastAsia="宋体" w:cs="Times New Roman"/>
          <w:b/>
          <w:bCs/>
          <w:color w:val="auto"/>
          <w:spacing w:val="0"/>
          <w:position w:val="0"/>
          <w:sz w:val="24"/>
          <w:szCs w:val="24"/>
          <w:highlight w:val="none"/>
          <w:lang w:val="en-US" w:eastAsia="zh-CN"/>
        </w:rPr>
      </w:pPr>
      <w:bookmarkStart w:id="24" w:name="_Toc20758"/>
      <w:r>
        <w:rPr>
          <w:rFonts w:hint="eastAsia" w:ascii="Times New Roman" w:hAnsi="Times New Roman" w:eastAsia="宋体" w:cs="Times New Roman"/>
          <w:b/>
          <w:bCs/>
          <w:color w:val="auto"/>
          <w:spacing w:val="0"/>
          <w:position w:val="0"/>
          <w:sz w:val="24"/>
          <w:szCs w:val="24"/>
          <w:highlight w:val="none"/>
          <w:lang w:val="en-US" w:eastAsia="zh-CN"/>
        </w:rPr>
        <w:t>5</w:t>
      </w:r>
      <w:r>
        <w:rPr>
          <w:rFonts w:hint="default" w:ascii="Times New Roman" w:hAnsi="Times New Roman" w:eastAsia="宋体" w:cs="Times New Roman"/>
          <w:b/>
          <w:bCs/>
          <w:color w:val="auto"/>
          <w:spacing w:val="0"/>
          <w:position w:val="0"/>
          <w:sz w:val="24"/>
          <w:szCs w:val="24"/>
          <w:highlight w:val="none"/>
          <w:lang w:val="en-US" w:eastAsia="zh-CN"/>
        </w:rPr>
        <w:t>.3.1生态正效益分析</w:t>
      </w:r>
      <w:bookmarkEnd w:id="24"/>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1、水生生态系统修复与增强</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河口湿地本身就是一个新构建的、高生物多样性的水生生态系统。它为鱼类、昆虫、鸟类等提供了栖息、觅食和繁殖场所，丰富了区域生物多样性。通过净化水质，为下游海马箐水库提供了更清洁的水源，有助于水库内原生水生生物（如鱼类、底栖动物）的生存与繁衍，促进整个流域水生生态系统的健康。湿地植物群落（芦苇、香蒲等）不仅净化水质，还能稳固河岸，减少水土流失，形成优美的滨水景观。</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2、</w:t>
      </w:r>
      <w:r>
        <w:rPr>
          <w:rFonts w:hint="default" w:ascii="Times New Roman" w:hAnsi="Times New Roman" w:eastAsia="宋体" w:cs="Times New Roman"/>
          <w:b w:val="0"/>
          <w:bCs w:val="0"/>
          <w:color w:val="auto"/>
          <w:spacing w:val="0"/>
          <w:position w:val="0"/>
          <w:sz w:val="24"/>
          <w:szCs w:val="24"/>
          <w:highlight w:val="none"/>
          <w:lang w:val="en-US" w:eastAsia="zh-CN"/>
        </w:rPr>
        <w:t>陆地生态系统的间接保护</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改善的水质有助于维持沿岸植被的健康。项目配套的生态隔离带建设，能进一步阻隔人类活动直接干扰，保护河岸带植被。</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整体上，项目通过水环境改善，促进了“水-陆”生态系统的良性联动。</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2"/>
        <w:rPr>
          <w:rFonts w:hint="default" w:ascii="Times New Roman" w:hAnsi="Times New Roman" w:eastAsia="宋体" w:cs="Times New Roman"/>
          <w:b/>
          <w:bCs/>
          <w:color w:val="auto"/>
          <w:spacing w:val="0"/>
          <w:position w:val="0"/>
          <w:sz w:val="24"/>
          <w:szCs w:val="24"/>
          <w:highlight w:val="none"/>
          <w:lang w:val="en-US" w:eastAsia="zh-CN"/>
        </w:rPr>
      </w:pPr>
      <w:bookmarkStart w:id="25" w:name="_Toc30526"/>
      <w:r>
        <w:rPr>
          <w:rFonts w:hint="eastAsia" w:ascii="Times New Roman" w:hAnsi="Times New Roman" w:eastAsia="宋体" w:cs="Times New Roman"/>
          <w:b/>
          <w:bCs/>
          <w:color w:val="auto"/>
          <w:spacing w:val="0"/>
          <w:position w:val="0"/>
          <w:sz w:val="24"/>
          <w:szCs w:val="24"/>
          <w:highlight w:val="none"/>
          <w:lang w:val="en-US" w:eastAsia="zh-CN"/>
        </w:rPr>
        <w:t>5</w:t>
      </w:r>
      <w:r>
        <w:rPr>
          <w:rFonts w:hint="default" w:ascii="Times New Roman" w:hAnsi="Times New Roman" w:eastAsia="宋体" w:cs="Times New Roman"/>
          <w:b/>
          <w:bCs/>
          <w:color w:val="auto"/>
          <w:spacing w:val="0"/>
          <w:position w:val="0"/>
          <w:sz w:val="24"/>
          <w:szCs w:val="24"/>
          <w:highlight w:val="none"/>
          <w:lang w:val="en-US" w:eastAsia="zh-CN"/>
        </w:rPr>
        <w:t>.3.2环境正能量分析</w:t>
      </w:r>
      <w:bookmarkEnd w:id="25"/>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1、</w:t>
      </w:r>
      <w:r>
        <w:rPr>
          <w:rFonts w:hint="default" w:ascii="Times New Roman" w:hAnsi="Times New Roman" w:eastAsia="宋体" w:cs="Times New Roman"/>
          <w:b w:val="0"/>
          <w:bCs w:val="0"/>
          <w:color w:val="auto"/>
          <w:spacing w:val="0"/>
          <w:position w:val="0"/>
          <w:sz w:val="24"/>
          <w:szCs w:val="24"/>
          <w:highlight w:val="none"/>
          <w:lang w:val="en-US" w:eastAsia="zh-CN"/>
        </w:rPr>
        <w:t>保障数十万居民饮水安全</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海马箐水库是宜良县核心饮用水源地</w:t>
      </w:r>
      <w:r>
        <w:rPr>
          <w:rFonts w:hint="eastAsia" w:ascii="Times New Roman" w:hAnsi="Times New Roman" w:eastAsia="宋体" w:cs="Times New Roman"/>
          <w:b w:val="0"/>
          <w:bCs w:val="0"/>
          <w:color w:val="auto"/>
          <w:spacing w:val="0"/>
          <w:position w:val="0"/>
          <w:sz w:val="24"/>
          <w:szCs w:val="24"/>
          <w:highlight w:val="none"/>
          <w:lang w:val="en-US" w:eastAsia="zh-CN"/>
        </w:rPr>
        <w:t>，自2023年1月15日实现成功通水后，海马箐水库向宜良县城供水，日供水量达14000m</w:t>
      </w:r>
      <w:r>
        <w:rPr>
          <w:rFonts w:hint="eastAsia" w:ascii="Times New Roman" w:hAnsi="Times New Roman" w:eastAsia="宋体" w:cs="Times New Roman"/>
          <w:b w:val="0"/>
          <w:bCs w:val="0"/>
          <w:color w:val="auto"/>
          <w:spacing w:val="0"/>
          <w:position w:val="0"/>
          <w:sz w:val="24"/>
          <w:szCs w:val="24"/>
          <w:highlight w:val="none"/>
          <w:vertAlign w:val="superscript"/>
          <w:lang w:val="en-US" w:eastAsia="zh-CN"/>
        </w:rPr>
        <w:t>3</w:t>
      </w:r>
      <w:r>
        <w:rPr>
          <w:rFonts w:hint="eastAsia" w:ascii="Times New Roman" w:hAnsi="Times New Roman" w:eastAsia="宋体" w:cs="Times New Roman"/>
          <w:b w:val="0"/>
          <w:bCs w:val="0"/>
          <w:color w:val="auto"/>
          <w:spacing w:val="0"/>
          <w:position w:val="0"/>
          <w:sz w:val="24"/>
          <w:szCs w:val="24"/>
          <w:highlight w:val="none"/>
          <w:lang w:val="en-US" w:eastAsia="zh-CN"/>
        </w:rPr>
        <w:t>，解决了县城区缺水问题，同时覆盖杨家山水厂片区，规划年覆盖总人口248082人，主要为农村居民人畜饮水</w:t>
      </w:r>
      <w:r>
        <w:rPr>
          <w:rFonts w:hint="default" w:ascii="Times New Roman" w:hAnsi="Times New Roman" w:eastAsia="宋体" w:cs="Times New Roman"/>
          <w:b w:val="0"/>
          <w:bCs w:val="0"/>
          <w:color w:val="auto"/>
          <w:spacing w:val="0"/>
          <w:position w:val="0"/>
          <w:sz w:val="24"/>
          <w:szCs w:val="24"/>
          <w:highlight w:val="none"/>
          <w:lang w:val="en-US" w:eastAsia="zh-CN"/>
        </w:rPr>
        <w:t>。项目直接针对水库水质超标问题进行治理，通过源头截污（生活污水）和末端净化（河口湿地），双管齐下，从根本上提升水源水质，保障了约30多万居民的饮水安全与健康，社会效益巨大。</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2、践行国家水污染防治战略</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项目完全符合《水污染防治行动计划》（“水十条”）中关于“推进农业农村污染防治”、“建设生态沟渠、污水净化塘”的要求，是落实国家战略在地方的具体示范。</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3、促进区域可持续发展</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①环境改善：提升了库区及河流水环境质量，改善了城乡人居环境。</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②经济潜在动力：优良的水环境和生态景观，为区域发展生态旅游、休闲产业创造了条件，可能带动绿色经济增长。</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③示范效应：为云南省乃至全国类似水源地保护，特别是针对农业面源和农村生活污水治理，提供了可借鉴的“源头收集+末端湿地净化”的综合技术模式。</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4、符合多重规划与政策</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项目与《昆明市生态环境分区管控方案》、《饮用水水源保护区污染防治管理规定》、《河道管理条例》等高度契合，体现了在生态保护红线、水源保护区等敏感区域内开展正向生态保护工程的合法性与先进性。</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2"/>
        <w:rPr>
          <w:rFonts w:hint="default" w:ascii="Times New Roman" w:hAnsi="Times New Roman" w:eastAsia="宋体" w:cs="Times New Roman"/>
          <w:b/>
          <w:bCs/>
          <w:color w:val="auto"/>
          <w:spacing w:val="0"/>
          <w:position w:val="0"/>
          <w:sz w:val="24"/>
          <w:szCs w:val="24"/>
          <w:highlight w:val="none"/>
          <w:lang w:val="en-US" w:eastAsia="zh-CN"/>
        </w:rPr>
      </w:pPr>
      <w:bookmarkStart w:id="26" w:name="_Toc4320"/>
      <w:r>
        <w:rPr>
          <w:rFonts w:hint="eastAsia" w:ascii="Times New Roman" w:hAnsi="Times New Roman" w:eastAsia="宋体" w:cs="Times New Roman"/>
          <w:b/>
          <w:bCs/>
          <w:color w:val="auto"/>
          <w:spacing w:val="0"/>
          <w:position w:val="0"/>
          <w:sz w:val="24"/>
          <w:szCs w:val="24"/>
          <w:highlight w:val="none"/>
          <w:lang w:val="en-US" w:eastAsia="zh-CN"/>
        </w:rPr>
        <w:t>5</w:t>
      </w:r>
      <w:r>
        <w:rPr>
          <w:rFonts w:hint="default" w:ascii="Times New Roman" w:hAnsi="Times New Roman" w:eastAsia="宋体" w:cs="Times New Roman"/>
          <w:b/>
          <w:bCs/>
          <w:color w:val="auto"/>
          <w:spacing w:val="0"/>
          <w:position w:val="0"/>
          <w:sz w:val="24"/>
          <w:szCs w:val="24"/>
          <w:highlight w:val="none"/>
          <w:lang w:val="en-US" w:eastAsia="zh-CN"/>
        </w:rPr>
        <w:t>.3.3达标可行性效益总结</w:t>
      </w:r>
      <w:bookmarkEnd w:id="26"/>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default" w:ascii="Times New Roman" w:hAnsi="Times New Roman" w:eastAsia="宋体" w:cs="Times New Roman"/>
          <w:b w:val="0"/>
          <w:bCs w:val="0"/>
          <w:color w:val="auto"/>
          <w:spacing w:val="0"/>
          <w:position w:val="0"/>
          <w:sz w:val="24"/>
          <w:szCs w:val="24"/>
          <w:highlight w:val="none"/>
          <w:lang w:val="en-US" w:eastAsia="zh-CN"/>
        </w:rPr>
        <w:t>项目的达标可行性不仅建立在科学的工艺设计和可靠的去除机理上，更体现在其系统性、协同性和可持续性</w:t>
      </w:r>
      <w:r>
        <w:rPr>
          <w:rFonts w:hint="eastAsia" w:ascii="Times New Roman" w:hAnsi="Times New Roman" w:eastAsia="宋体" w:cs="Times New Roman"/>
          <w:b w:val="0"/>
          <w:bCs w:val="0"/>
          <w:color w:val="auto"/>
          <w:spacing w:val="0"/>
          <w:position w:val="0"/>
          <w:sz w:val="24"/>
          <w:szCs w:val="24"/>
          <w:highlight w:val="none"/>
          <w:lang w:val="en-US" w:eastAsia="zh-CN"/>
        </w:rPr>
        <w:t>。</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1、</w:t>
      </w:r>
      <w:r>
        <w:rPr>
          <w:rFonts w:hint="default" w:ascii="Times New Roman" w:hAnsi="Times New Roman" w:eastAsia="宋体" w:cs="Times New Roman"/>
          <w:b w:val="0"/>
          <w:bCs w:val="0"/>
          <w:color w:val="auto"/>
          <w:spacing w:val="0"/>
          <w:position w:val="0"/>
          <w:sz w:val="24"/>
          <w:szCs w:val="24"/>
          <w:highlight w:val="none"/>
          <w:lang w:val="en-US" w:eastAsia="zh-CN"/>
        </w:rPr>
        <w:t>项目不是单一工程，而是包含规范化建设、污水治理、垃圾收集、湿地净化等多个子项的系统解决方案，全方位打击污染源。</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2、</w:t>
      </w:r>
      <w:r>
        <w:rPr>
          <w:rFonts w:hint="default" w:ascii="Times New Roman" w:hAnsi="Times New Roman" w:eastAsia="宋体" w:cs="Times New Roman"/>
          <w:b w:val="0"/>
          <w:bCs w:val="0"/>
          <w:color w:val="auto"/>
          <w:spacing w:val="0"/>
          <w:position w:val="0"/>
          <w:sz w:val="24"/>
          <w:szCs w:val="24"/>
          <w:highlight w:val="none"/>
          <w:lang w:val="en-US" w:eastAsia="zh-CN"/>
        </w:rPr>
        <w:t>生活污水治理工程（源头控制）与河口湿地（末端净化）协同作用，前者大幅削减点源负荷，后者深度处理面源及残余污染，形成“1+1&gt;2”的净化效果。</w:t>
      </w:r>
    </w:p>
    <w:p>
      <w:pPr>
        <w:pStyle w:val="7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lang w:val="en-US" w:eastAsia="zh-CN"/>
        </w:rPr>
        <w:t>3、</w:t>
      </w:r>
      <w:r>
        <w:rPr>
          <w:rFonts w:hint="default" w:ascii="Times New Roman" w:hAnsi="Times New Roman" w:eastAsia="宋体" w:cs="Times New Roman"/>
          <w:b w:val="0"/>
          <w:bCs w:val="0"/>
          <w:color w:val="auto"/>
          <w:spacing w:val="0"/>
          <w:position w:val="0"/>
          <w:sz w:val="24"/>
          <w:szCs w:val="24"/>
          <w:highlight w:val="none"/>
          <w:lang w:val="en-US" w:eastAsia="zh-CN"/>
        </w:rPr>
        <w:t>以生态工程（湿地）为主，依靠自然力量净化，运营成本相对较低，且能自我维护和更新（植物生长），具有长期可持续运行的优势，确保了水质达标效果的持久性。</w:t>
      </w: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eastAsia" w:ascii="Times New Roman" w:hAnsi="Times New Roman" w:eastAsia="宋体"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27" w:name="_Toc28059"/>
      <w:r>
        <w:rPr>
          <w:rFonts w:hint="eastAsia" w:ascii="Times New Roman" w:hAnsi="Times New Roman" w:eastAsia="宋体" w:cs="Times New Roman"/>
          <w:b/>
          <w:bCs/>
          <w:color w:val="auto"/>
          <w:spacing w:val="0"/>
          <w:position w:val="0"/>
          <w:sz w:val="28"/>
          <w:szCs w:val="28"/>
          <w:lang w:val="en-US" w:eastAsia="zh-CN"/>
        </w:rPr>
        <w:t>6</w:t>
      </w:r>
      <w:r>
        <w:rPr>
          <w:rFonts w:hint="default" w:ascii="Times New Roman" w:hAnsi="Times New Roman" w:eastAsia="宋体" w:cs="Times New Roman"/>
          <w:b/>
          <w:bCs/>
          <w:color w:val="auto"/>
          <w:spacing w:val="0"/>
          <w:position w:val="0"/>
          <w:sz w:val="28"/>
          <w:szCs w:val="28"/>
          <w:lang w:val="en-US" w:eastAsia="zh-CN"/>
        </w:rPr>
        <w:t>地表水环境保护措施</w:t>
      </w:r>
      <w:bookmarkEnd w:id="27"/>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28" w:name="_Toc12473"/>
      <w:r>
        <w:rPr>
          <w:rFonts w:hint="eastAsia" w:ascii="Times New Roman" w:hAnsi="Times New Roman" w:eastAsia="宋体" w:cs="Times New Roman"/>
          <w:b/>
          <w:bCs/>
          <w:color w:val="auto"/>
          <w:spacing w:val="0"/>
          <w:position w:val="0"/>
          <w:sz w:val="24"/>
          <w:szCs w:val="24"/>
          <w:lang w:val="en-US" w:eastAsia="zh-CN"/>
        </w:rPr>
        <w:t>6</w:t>
      </w:r>
      <w:r>
        <w:rPr>
          <w:rFonts w:hint="default" w:ascii="Times New Roman" w:hAnsi="Times New Roman" w:eastAsia="宋体" w:cs="Times New Roman"/>
          <w:b/>
          <w:bCs/>
          <w:color w:val="auto"/>
          <w:spacing w:val="0"/>
          <w:position w:val="0"/>
          <w:sz w:val="24"/>
          <w:szCs w:val="24"/>
          <w:lang w:val="en-US" w:eastAsia="zh-CN"/>
        </w:rPr>
        <w:t>.1施工期地表水污染防治措施</w:t>
      </w:r>
      <w:bookmarkEnd w:id="28"/>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为了减轻施工废水对</w:t>
      </w:r>
      <w:r>
        <w:rPr>
          <w:rFonts w:hint="eastAsia" w:ascii="Times New Roman" w:hAnsi="Times New Roman" w:cs="Times New Roman"/>
          <w:color w:val="auto"/>
          <w:spacing w:val="0"/>
          <w:position w:val="0"/>
          <w:sz w:val="24"/>
          <w:szCs w:val="24"/>
          <w:lang w:eastAsia="zh-CN"/>
        </w:rPr>
        <w:t>周围环境的影响</w:t>
      </w:r>
      <w:r>
        <w:rPr>
          <w:rFonts w:hint="default" w:ascii="Times New Roman" w:hAnsi="Times New Roman" w:eastAsia="宋体" w:cs="Times New Roman"/>
          <w:color w:val="auto"/>
          <w:spacing w:val="0"/>
          <w:position w:val="0"/>
          <w:sz w:val="24"/>
          <w:szCs w:val="24"/>
        </w:rPr>
        <w:t>，评价建议：</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eastAsia="zh-CN"/>
        </w:rPr>
        <w:t>1.</w:t>
      </w:r>
      <w:r>
        <w:rPr>
          <w:rFonts w:hint="default" w:ascii="Times New Roman" w:hAnsi="Times New Roman" w:eastAsia="宋体" w:cs="Times New Roman"/>
          <w:color w:val="auto"/>
          <w:spacing w:val="0"/>
          <w:position w:val="0"/>
          <w:sz w:val="24"/>
          <w:szCs w:val="24"/>
        </w:rPr>
        <w:t>设置临时沉淀池，含泥沙雨水、泥浆水经沉砂池沉淀后上清液用于道路洒水和场地抑尘</w:t>
      </w:r>
      <w:r>
        <w:rPr>
          <w:rFonts w:hint="eastAsia" w:ascii="Times New Roman" w:hAnsi="Times New Roman" w:cs="Times New Roman"/>
          <w:color w:val="auto"/>
          <w:spacing w:val="0"/>
          <w:position w:val="0"/>
          <w:sz w:val="24"/>
          <w:szCs w:val="24"/>
          <w:lang w:eastAsia="zh-CN"/>
        </w:rPr>
        <w:t>，不得外排；</w:t>
      </w:r>
      <w:r>
        <w:rPr>
          <w:rFonts w:hint="default" w:ascii="Times New Roman" w:hAnsi="Times New Roman" w:eastAsia="宋体" w:cs="Times New Roman"/>
          <w:color w:val="auto"/>
          <w:spacing w:val="0"/>
          <w:position w:val="0"/>
          <w:sz w:val="24"/>
          <w:szCs w:val="24"/>
        </w:rPr>
        <w:t>不得外排；</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eastAsia="zh-CN"/>
        </w:rPr>
        <w:t>2.</w:t>
      </w:r>
      <w:r>
        <w:rPr>
          <w:rFonts w:hint="default" w:ascii="Times New Roman" w:hAnsi="Times New Roman" w:eastAsia="宋体" w:cs="Times New Roman"/>
          <w:color w:val="auto"/>
          <w:spacing w:val="0"/>
          <w:position w:val="0"/>
          <w:sz w:val="24"/>
          <w:szCs w:val="24"/>
        </w:rPr>
        <w:t>生活污水</w:t>
      </w:r>
      <w:r>
        <w:rPr>
          <w:rFonts w:hint="default" w:ascii="Times New Roman" w:hAnsi="Times New Roman" w:eastAsia="宋体" w:cs="Times New Roman"/>
          <w:color w:val="auto"/>
          <w:spacing w:val="0"/>
          <w:position w:val="0"/>
          <w:sz w:val="24"/>
          <w:szCs w:val="24"/>
          <w:lang w:eastAsia="zh-CN"/>
        </w:rPr>
        <w:t>经过沉淀池</w:t>
      </w:r>
      <w:r>
        <w:rPr>
          <w:rFonts w:hint="default" w:ascii="Times New Roman" w:hAnsi="Times New Roman" w:eastAsia="宋体" w:cs="Times New Roman"/>
          <w:color w:val="auto"/>
          <w:spacing w:val="0"/>
          <w:position w:val="0"/>
          <w:sz w:val="24"/>
          <w:szCs w:val="24"/>
          <w:lang w:val="en-US" w:eastAsia="zh-CN"/>
        </w:rPr>
        <w:t>处理后用于施工期道路清扫、车辆冲洗等，</w:t>
      </w:r>
      <w:r>
        <w:rPr>
          <w:rFonts w:hint="default" w:ascii="Times New Roman" w:hAnsi="Times New Roman" w:eastAsia="宋体" w:cs="Times New Roman"/>
          <w:color w:val="auto"/>
          <w:spacing w:val="0"/>
          <w:position w:val="0"/>
          <w:sz w:val="24"/>
          <w:szCs w:val="24"/>
        </w:rPr>
        <w:t>不外排；</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eastAsia="zh-CN"/>
        </w:rPr>
        <w:t>3.</w:t>
      </w:r>
      <w:r>
        <w:rPr>
          <w:rFonts w:hint="default" w:ascii="Times New Roman" w:hAnsi="Times New Roman" w:eastAsia="宋体" w:cs="Times New Roman"/>
          <w:color w:val="auto"/>
          <w:spacing w:val="0"/>
          <w:position w:val="0"/>
          <w:sz w:val="24"/>
          <w:szCs w:val="24"/>
        </w:rPr>
        <w:t>混凝土输送泵及运输车辆清洗废水进入临时沉淀池，这部分废水经二次沉淀后可用于降尘，不向外环境排放；</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4.</w:t>
      </w:r>
      <w:r>
        <w:rPr>
          <w:rFonts w:hint="default" w:ascii="Times New Roman" w:hAnsi="Times New Roman" w:eastAsia="宋体" w:cs="Times New Roman"/>
          <w:color w:val="auto"/>
          <w:spacing w:val="0"/>
          <w:position w:val="0"/>
          <w:sz w:val="24"/>
          <w:szCs w:val="24"/>
        </w:rPr>
        <w:t>沉淀池泥浆和沉淀下来的土石及钻渣等作为建筑垃圾外运处置，严禁沿水体堆放和直接倾入河中；</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position w:val="0"/>
          <w:sz w:val="24"/>
          <w:szCs w:val="24"/>
          <w:lang w:val="en-US" w:eastAsia="zh-CN"/>
        </w:rPr>
        <w:t>5.</w:t>
      </w:r>
      <w:r>
        <w:rPr>
          <w:rFonts w:hint="default" w:ascii="Times New Roman" w:hAnsi="Times New Roman" w:eastAsia="宋体" w:cs="Times New Roman"/>
          <w:color w:val="auto"/>
          <w:spacing w:val="0"/>
          <w:position w:val="0"/>
          <w:sz w:val="24"/>
          <w:szCs w:val="24"/>
        </w:rPr>
        <w:t>另外，土石方阶段应尽量避开雨季施工，若需</w:t>
      </w:r>
      <w:r>
        <w:rPr>
          <w:rFonts w:hint="eastAsia" w:ascii="Times New Roman" w:hAnsi="Times New Roman" w:cs="Times New Roman"/>
          <w:color w:val="auto"/>
          <w:spacing w:val="0"/>
          <w:position w:val="0"/>
          <w:sz w:val="24"/>
          <w:szCs w:val="24"/>
          <w:lang w:eastAsia="zh-CN"/>
        </w:rPr>
        <w:t>在雨季</w:t>
      </w:r>
      <w:r>
        <w:rPr>
          <w:rFonts w:hint="default" w:ascii="Times New Roman" w:hAnsi="Times New Roman" w:eastAsia="宋体" w:cs="Times New Roman"/>
          <w:color w:val="auto"/>
          <w:spacing w:val="0"/>
          <w:position w:val="0"/>
          <w:sz w:val="24"/>
          <w:szCs w:val="24"/>
        </w:rPr>
        <w:t>施工，要根据场地情况设置雨水沟和沉淀池。</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经采取以上污染防治措施后，本项目施工期产生的废水对周围地表水</w:t>
      </w:r>
      <w:r>
        <w:rPr>
          <w:rFonts w:hint="eastAsia" w:ascii="Times New Roman" w:hAnsi="Times New Roman" w:cs="Times New Roman"/>
          <w:color w:val="auto"/>
          <w:spacing w:val="0"/>
          <w:position w:val="0"/>
          <w:sz w:val="24"/>
          <w:szCs w:val="24"/>
          <w:lang w:eastAsia="zh-CN"/>
        </w:rPr>
        <w:t>环境的影响</w:t>
      </w:r>
      <w:r>
        <w:rPr>
          <w:rFonts w:hint="default" w:ascii="Times New Roman" w:hAnsi="Times New Roman" w:eastAsia="宋体" w:cs="Times New Roman"/>
          <w:color w:val="auto"/>
          <w:spacing w:val="0"/>
          <w:position w:val="0"/>
          <w:sz w:val="24"/>
          <w:szCs w:val="24"/>
        </w:rPr>
        <w:t>可以接受。</w:t>
      </w:r>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firstLine="0" w:firstLineChars="0"/>
        <w:jc w:val="left"/>
        <w:textAlignment w:val="auto"/>
        <w:outlineLvl w:val="1"/>
        <w:rPr>
          <w:rFonts w:hint="default" w:ascii="Times New Roman" w:hAnsi="Times New Roman" w:eastAsia="宋体" w:cs="Times New Roman"/>
          <w:b/>
          <w:bCs/>
          <w:color w:val="auto"/>
          <w:spacing w:val="0"/>
          <w:position w:val="0"/>
          <w:sz w:val="24"/>
          <w:szCs w:val="24"/>
          <w:lang w:val="en-US" w:eastAsia="zh-CN"/>
        </w:rPr>
      </w:pPr>
      <w:bookmarkStart w:id="29" w:name="_Toc6365"/>
      <w:r>
        <w:rPr>
          <w:rFonts w:hint="eastAsia" w:ascii="Times New Roman" w:hAnsi="Times New Roman" w:eastAsia="宋体" w:cs="Times New Roman"/>
          <w:b/>
          <w:bCs/>
          <w:color w:val="auto"/>
          <w:spacing w:val="0"/>
          <w:position w:val="0"/>
          <w:sz w:val="24"/>
          <w:szCs w:val="24"/>
          <w:lang w:val="en-US" w:eastAsia="zh-CN"/>
        </w:rPr>
        <w:t>6</w:t>
      </w:r>
      <w:r>
        <w:rPr>
          <w:rFonts w:hint="default" w:ascii="Times New Roman" w:hAnsi="Times New Roman" w:eastAsia="宋体" w:cs="Times New Roman"/>
          <w:b/>
          <w:bCs/>
          <w:color w:val="auto"/>
          <w:spacing w:val="0"/>
          <w:position w:val="0"/>
          <w:sz w:val="24"/>
          <w:szCs w:val="24"/>
          <w:lang w:val="en-US" w:eastAsia="zh-CN"/>
        </w:rPr>
        <w:t>.2运营期地表水污染防治措施</w:t>
      </w:r>
      <w:bookmarkEnd w:id="29"/>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本项目运营期</w:t>
      </w:r>
      <w:r>
        <w:rPr>
          <w:rFonts w:hint="default" w:ascii="Times New Roman" w:hAnsi="Times New Roman" w:eastAsia="宋体" w:cs="Times New Roman"/>
          <w:color w:val="auto"/>
          <w:spacing w:val="0"/>
          <w:position w:val="0"/>
          <w:sz w:val="24"/>
          <w:szCs w:val="24"/>
          <w:lang w:eastAsia="zh-CN"/>
        </w:rPr>
        <w:t>不</w:t>
      </w:r>
      <w:r>
        <w:rPr>
          <w:rFonts w:hint="default" w:ascii="Times New Roman" w:hAnsi="Times New Roman" w:eastAsia="宋体" w:cs="Times New Roman"/>
          <w:color w:val="auto"/>
          <w:spacing w:val="0"/>
          <w:position w:val="0"/>
          <w:sz w:val="24"/>
          <w:szCs w:val="24"/>
        </w:rPr>
        <w:t>产生</w:t>
      </w:r>
      <w:r>
        <w:rPr>
          <w:rFonts w:hint="default" w:ascii="Times New Roman" w:hAnsi="Times New Roman" w:eastAsia="宋体" w:cs="Times New Roman"/>
          <w:color w:val="auto"/>
          <w:spacing w:val="0"/>
          <w:position w:val="0"/>
          <w:sz w:val="24"/>
          <w:szCs w:val="24"/>
          <w:lang w:eastAsia="zh-CN"/>
        </w:rPr>
        <w:t>废水，河口</w:t>
      </w:r>
      <w:r>
        <w:rPr>
          <w:rFonts w:hint="default" w:ascii="Times New Roman" w:hAnsi="Times New Roman" w:eastAsia="宋体" w:cs="Times New Roman"/>
          <w:color w:val="auto"/>
          <w:spacing w:val="0"/>
          <w:position w:val="0"/>
          <w:sz w:val="24"/>
          <w:szCs w:val="24"/>
        </w:rPr>
        <w:t>湿地系统是对</w:t>
      </w:r>
      <w:r>
        <w:rPr>
          <w:rFonts w:hint="default" w:ascii="Times New Roman" w:hAnsi="Times New Roman" w:eastAsia="宋体" w:cs="Times New Roman"/>
          <w:color w:val="auto"/>
          <w:spacing w:val="0"/>
          <w:position w:val="0"/>
          <w:sz w:val="24"/>
          <w:szCs w:val="24"/>
          <w:lang w:eastAsia="zh-CN"/>
        </w:rPr>
        <w:t>喷水洞河上游</w:t>
      </w:r>
      <w:r>
        <w:rPr>
          <w:rFonts w:hint="default" w:ascii="Times New Roman" w:hAnsi="Times New Roman" w:eastAsia="宋体" w:cs="Times New Roman"/>
          <w:color w:val="auto"/>
          <w:spacing w:val="0"/>
          <w:position w:val="0"/>
          <w:sz w:val="24"/>
          <w:szCs w:val="24"/>
        </w:rPr>
        <w:t>来水的净化提升，因此湿地处理系统出水不会对区域水环境造成不利影响，而是有利于区域水环境的进一步改善。为防止极端天气影响湿地系统运行，导致湿地对河流水质</w:t>
      </w:r>
      <w:r>
        <w:rPr>
          <w:rFonts w:hint="eastAsia" w:ascii="Times New Roman" w:hAnsi="Times New Roman" w:cs="Times New Roman"/>
          <w:color w:val="auto"/>
          <w:spacing w:val="0"/>
          <w:position w:val="0"/>
          <w:sz w:val="24"/>
          <w:szCs w:val="24"/>
          <w:lang w:eastAsia="zh-CN"/>
        </w:rPr>
        <w:t>稳定</w:t>
      </w:r>
      <w:r>
        <w:rPr>
          <w:rFonts w:hint="default" w:ascii="Times New Roman" w:hAnsi="Times New Roman" w:eastAsia="宋体" w:cs="Times New Roman"/>
          <w:color w:val="auto"/>
          <w:spacing w:val="0"/>
          <w:position w:val="0"/>
          <w:sz w:val="24"/>
          <w:szCs w:val="24"/>
        </w:rPr>
        <w:t>作用下降，评价建议：</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（1）项目运营期间应采取严格的工作制度及管理措施，严防事故排污</w:t>
      </w:r>
      <w:r>
        <w:rPr>
          <w:rFonts w:hint="eastAsia" w:ascii="Times New Roman" w:hAnsi="Times New Roman" w:cs="Times New Roman"/>
          <w:color w:val="auto"/>
          <w:spacing w:val="0"/>
          <w:position w:val="0"/>
          <w:sz w:val="24"/>
          <w:szCs w:val="24"/>
          <w:lang w:eastAsia="zh-CN"/>
        </w:rPr>
        <w:t>。</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（2）注重</w:t>
      </w:r>
      <w:r>
        <w:rPr>
          <w:rFonts w:hint="eastAsia" w:ascii="Times New Roman" w:hAnsi="Times New Roman" w:cs="Times New Roman"/>
          <w:color w:val="auto"/>
          <w:spacing w:val="0"/>
          <w:position w:val="0"/>
          <w:sz w:val="24"/>
          <w:szCs w:val="24"/>
          <w:lang w:eastAsia="zh-CN"/>
        </w:rPr>
        <w:t>在冬季</w:t>
      </w:r>
      <w:r>
        <w:rPr>
          <w:rFonts w:hint="default" w:ascii="Times New Roman" w:hAnsi="Times New Roman" w:eastAsia="宋体" w:cs="Times New Roman"/>
          <w:color w:val="auto"/>
          <w:spacing w:val="0"/>
          <w:position w:val="0"/>
          <w:sz w:val="24"/>
          <w:szCs w:val="24"/>
        </w:rPr>
        <w:t>对湿地运行采取强化措施，确保冬季</w:t>
      </w:r>
      <w:r>
        <w:rPr>
          <w:rFonts w:hint="default" w:ascii="Times New Roman" w:hAnsi="Times New Roman" w:eastAsia="宋体" w:cs="Times New Roman"/>
          <w:color w:val="auto"/>
          <w:spacing w:val="0"/>
          <w:position w:val="0"/>
          <w:sz w:val="24"/>
          <w:szCs w:val="24"/>
          <w:lang w:eastAsia="zh-CN"/>
        </w:rPr>
        <w:t>河口</w:t>
      </w:r>
      <w:r>
        <w:rPr>
          <w:rFonts w:hint="default" w:ascii="Times New Roman" w:hAnsi="Times New Roman" w:eastAsia="宋体" w:cs="Times New Roman"/>
          <w:color w:val="auto"/>
          <w:spacing w:val="0"/>
          <w:position w:val="0"/>
          <w:sz w:val="24"/>
          <w:szCs w:val="24"/>
        </w:rPr>
        <w:t>湿地运行效率，如表流湿地采用逐级密植挺水植物的方式进行植物覆盖保温等；</w:t>
      </w:r>
    </w:p>
    <w:p>
      <w:pPr>
        <w:pStyle w:val="73"/>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rPr>
        <w:t>（3）</w:t>
      </w:r>
      <w:r>
        <w:rPr>
          <w:rFonts w:hint="default" w:ascii="Times New Roman" w:hAnsi="Times New Roman" w:eastAsia="宋体" w:cs="Times New Roman"/>
          <w:b w:val="0"/>
          <w:bCs w:val="0"/>
          <w:color w:val="auto"/>
          <w:spacing w:val="0"/>
          <w:position w:val="0"/>
          <w:sz w:val="24"/>
          <w:szCs w:val="24"/>
          <w:lang w:val="en-US" w:eastAsia="zh-CN"/>
        </w:rPr>
        <w:t>为保障湿地长效稳定运行，</w:t>
      </w:r>
      <w:r>
        <w:rPr>
          <w:rFonts w:hint="eastAsia" w:ascii="Times New Roman" w:hAnsi="Times New Roman" w:eastAsia="宋体" w:cs="Times New Roman"/>
          <w:b w:val="0"/>
          <w:bCs w:val="0"/>
          <w:color w:val="auto"/>
          <w:spacing w:val="0"/>
          <w:position w:val="0"/>
          <w:sz w:val="24"/>
          <w:szCs w:val="24"/>
          <w:lang w:val="en-US" w:eastAsia="zh-CN"/>
        </w:rPr>
        <w:t>应</w:t>
      </w:r>
      <w:r>
        <w:rPr>
          <w:rFonts w:hint="default" w:ascii="Times New Roman" w:hAnsi="Times New Roman" w:eastAsia="宋体" w:cs="Times New Roman"/>
          <w:b w:val="0"/>
          <w:bCs w:val="0"/>
          <w:color w:val="auto"/>
          <w:spacing w:val="0"/>
          <w:position w:val="0"/>
          <w:sz w:val="24"/>
          <w:szCs w:val="24"/>
        </w:rPr>
        <w:t>做好</w:t>
      </w:r>
      <w:r>
        <w:rPr>
          <w:rFonts w:hint="default" w:ascii="Times New Roman" w:hAnsi="Times New Roman" w:eastAsia="宋体" w:cs="Times New Roman"/>
          <w:b w:val="0"/>
          <w:bCs w:val="0"/>
          <w:color w:val="auto"/>
          <w:spacing w:val="0"/>
          <w:position w:val="0"/>
          <w:sz w:val="24"/>
          <w:szCs w:val="24"/>
          <w:lang w:eastAsia="zh-CN"/>
        </w:rPr>
        <w:t>河口</w:t>
      </w:r>
      <w:r>
        <w:rPr>
          <w:rFonts w:hint="default" w:ascii="Times New Roman" w:hAnsi="Times New Roman" w:eastAsia="宋体" w:cs="Times New Roman"/>
          <w:b w:val="0"/>
          <w:bCs w:val="0"/>
          <w:color w:val="auto"/>
          <w:spacing w:val="0"/>
          <w:position w:val="0"/>
          <w:sz w:val="24"/>
          <w:szCs w:val="24"/>
        </w:rPr>
        <w:t>湿地</w:t>
      </w:r>
      <w:r>
        <w:rPr>
          <w:rFonts w:hint="default" w:ascii="Times New Roman" w:hAnsi="Times New Roman" w:eastAsia="宋体" w:cs="Times New Roman"/>
          <w:b w:val="0"/>
          <w:bCs w:val="0"/>
          <w:color w:val="auto"/>
          <w:spacing w:val="0"/>
          <w:position w:val="0"/>
          <w:sz w:val="24"/>
          <w:szCs w:val="24"/>
          <w:lang w:val="en-US" w:eastAsia="zh-CN"/>
        </w:rPr>
        <w:t>长期运行维护方案</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1）</w:t>
      </w:r>
      <w:r>
        <w:rPr>
          <w:rFonts w:hint="default" w:ascii="Times New Roman" w:hAnsi="Times New Roman" w:eastAsia="宋体" w:cs="Times New Roman"/>
          <w:b w:val="0"/>
          <w:bCs w:val="0"/>
          <w:color w:val="auto"/>
          <w:spacing w:val="0"/>
          <w:position w:val="0"/>
          <w:sz w:val="24"/>
          <w:szCs w:val="24"/>
          <w:lang w:val="en-US" w:eastAsia="zh-CN"/>
        </w:rPr>
        <w:t>植被维护</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定期补种：每年春季（3–4月）对枯萎、死亡的水生植物进行补种，确保植被覆盖率维持在80%以上；每5年进行一次植被更新，防止单一物种退化。</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收割管理：每年秋冬季（10–12月）收割地上部分植株，避免植物腐解造成二次污染，收割物外运至指定地点资源化利用（如堆肥）。</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2）</w:t>
      </w:r>
      <w:r>
        <w:rPr>
          <w:rFonts w:hint="default" w:ascii="Times New Roman" w:hAnsi="Times New Roman" w:eastAsia="宋体" w:cs="Times New Roman"/>
          <w:b w:val="0"/>
          <w:bCs w:val="0"/>
          <w:color w:val="auto"/>
          <w:spacing w:val="0"/>
          <w:position w:val="0"/>
          <w:sz w:val="24"/>
          <w:szCs w:val="24"/>
          <w:lang w:val="en-US" w:eastAsia="zh-CN"/>
        </w:rPr>
        <w:t>沉积物清理</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清淤周期：每3–5年对湿地底泥进行一次局部清淤，清除沉积的氮磷及有机质，避免底泥内源污染释放；清淤避开鸟类繁殖期（4–7月）。</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清淤方式：采用环保清淤设备，减少对水生生态的扰动，清淤底泥经脱水处理后，用于周边林地绿化用土，实现资源化利用。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kern w:val="2"/>
          <w:position w:val="0"/>
          <w:sz w:val="24"/>
          <w:szCs w:val="24"/>
          <w:lang w:val="en-US" w:eastAsia="zh-CN" w:bidi="ar-SA"/>
        </w:rPr>
        <w:t>3）</w:t>
      </w:r>
      <w:r>
        <w:rPr>
          <w:rFonts w:hint="default" w:ascii="Times New Roman" w:hAnsi="Times New Roman" w:eastAsia="宋体" w:cs="Times New Roman"/>
          <w:b w:val="0"/>
          <w:bCs w:val="0"/>
          <w:color w:val="auto"/>
          <w:spacing w:val="0"/>
          <w:position w:val="0"/>
          <w:sz w:val="24"/>
          <w:szCs w:val="24"/>
          <w:lang w:val="en-US" w:eastAsia="zh-CN"/>
        </w:rPr>
        <w:t>设施维护</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定期检查进水、出水堰及配水系统，确保水流均匀分布；及时清理进水口杂物，防止堵塞。建立设备台账，每年对水位调控设施、监测设备进行校准与维护，保障系统正常运行。</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在采取上述评价建议措施的基础上，本项目运营期污水污染对环境的影响较小，技术措施可行。</w:t>
      </w:r>
    </w:p>
    <w:p>
      <w:pPr>
        <w:pStyle w:val="73"/>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default" w:ascii="Times New Roman" w:hAnsi="Times New Roman" w:eastAsia="宋体" w:cs="Times New Roman"/>
          <w:color w:val="auto"/>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eastAsia" w:ascii="Times New Roman" w:hAnsi="Times New Roman" w:eastAsia="宋体"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30" w:name="_Toc21415"/>
      <w:r>
        <w:rPr>
          <w:rFonts w:hint="eastAsia" w:ascii="Times New Roman" w:hAnsi="Times New Roman" w:eastAsia="宋体" w:cs="Times New Roman"/>
          <w:b/>
          <w:bCs/>
          <w:color w:val="auto"/>
          <w:spacing w:val="0"/>
          <w:position w:val="0"/>
          <w:sz w:val="28"/>
          <w:szCs w:val="28"/>
          <w:lang w:val="en-US" w:eastAsia="zh-CN"/>
        </w:rPr>
        <w:t>7</w:t>
      </w:r>
      <w:r>
        <w:rPr>
          <w:rFonts w:hint="default" w:ascii="Times New Roman" w:hAnsi="Times New Roman" w:eastAsia="宋体" w:cs="Times New Roman"/>
          <w:b/>
          <w:bCs/>
          <w:color w:val="auto"/>
          <w:spacing w:val="0"/>
          <w:position w:val="0"/>
          <w:sz w:val="28"/>
          <w:szCs w:val="28"/>
          <w:lang w:val="en-US" w:eastAsia="zh-CN"/>
        </w:rPr>
        <w:t>环境管理与环境监测计划</w:t>
      </w:r>
      <w:bookmarkEnd w:id="30"/>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right="113" w:firstLine="0" w:firstLineChars="0"/>
        <w:textAlignment w:val="auto"/>
        <w:outlineLvl w:val="2"/>
        <w:rPr>
          <w:rFonts w:hint="default" w:ascii="Times New Roman" w:hAnsi="Times New Roman" w:eastAsia="宋体" w:cs="Times New Roman"/>
          <w:color w:val="auto"/>
          <w:spacing w:val="0"/>
          <w:position w:val="0"/>
          <w:sz w:val="24"/>
          <w:szCs w:val="24"/>
        </w:rPr>
      </w:pPr>
      <w:bookmarkStart w:id="31" w:name="_Toc29337"/>
      <w:r>
        <w:rPr>
          <w:rFonts w:hint="eastAsia" w:ascii="Times New Roman" w:hAnsi="Times New Roman" w:eastAsia="宋体" w:cs="Times New Roman"/>
          <w:b/>
          <w:bCs/>
          <w:color w:val="auto"/>
          <w:spacing w:val="0"/>
          <w:position w:val="0"/>
          <w:sz w:val="24"/>
          <w:szCs w:val="24"/>
          <w:lang w:val="en-US" w:eastAsia="zh-CN"/>
        </w:rPr>
        <w:t>7</w:t>
      </w:r>
      <w:r>
        <w:rPr>
          <w:rFonts w:hint="default" w:ascii="Times New Roman" w:hAnsi="Times New Roman" w:eastAsia="宋体" w:cs="Times New Roman"/>
          <w:b/>
          <w:bCs/>
          <w:color w:val="auto"/>
          <w:spacing w:val="0"/>
          <w:position w:val="0"/>
          <w:sz w:val="24"/>
          <w:szCs w:val="24"/>
        </w:rPr>
        <w:t>.1环境管理</w:t>
      </w:r>
      <w:bookmarkEnd w:id="31"/>
    </w:p>
    <w:p>
      <w:pPr>
        <w:pStyle w:val="73"/>
        <w:keepNext w:val="0"/>
        <w:keepLines w:val="0"/>
        <w:pageBreakBefore w:val="0"/>
        <w:widowControl w:val="0"/>
        <w:kinsoku/>
        <w:wordWrap/>
        <w:overflowPunct/>
        <w:topLinePunct w:val="0"/>
        <w:autoSpaceDE/>
        <w:autoSpaceDN/>
        <w:bidi w:val="0"/>
        <w:adjustRightInd/>
        <w:snapToGrid/>
        <w:spacing w:line="440" w:lineRule="exact"/>
        <w:ind w:left="0" w:right="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1</w:t>
      </w:r>
      <w:r>
        <w:rPr>
          <w:rFonts w:hint="eastAsia" w:ascii="Times New Roman" w:hAnsi="Times New Roman" w:cs="Times New Roman"/>
          <w:b/>
          <w:bCs/>
          <w:color w:val="auto"/>
          <w:spacing w:val="0"/>
          <w:position w:val="0"/>
          <w:sz w:val="24"/>
          <w:szCs w:val="24"/>
          <w:lang w:val="en-US" w:eastAsia="zh-CN"/>
        </w:rPr>
        <w:t>、</w:t>
      </w:r>
      <w:r>
        <w:rPr>
          <w:rFonts w:hint="default" w:ascii="Times New Roman" w:hAnsi="Times New Roman" w:eastAsia="宋体" w:cs="Times New Roman"/>
          <w:b/>
          <w:bCs/>
          <w:color w:val="auto"/>
          <w:spacing w:val="0"/>
          <w:position w:val="0"/>
          <w:sz w:val="24"/>
          <w:szCs w:val="24"/>
        </w:rPr>
        <w:t>环境管理机构</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根据《建设项目环境保护设计规定》的有关要求和本项目的实际需要，本项目应设置环境保护管理机构，负责项目施工期、运营期的环境管理工作。环境保护管理机构设置专职环境管理人员1名，安排专业环保人员负责施工中的环境管理工作，负责</w:t>
      </w:r>
      <w:r>
        <w:rPr>
          <w:rFonts w:hint="eastAsia" w:ascii="Times New Roman" w:hAnsi="Times New Roman" w:eastAsia="宋体" w:cs="Times New Roman"/>
          <w:color w:val="auto"/>
          <w:spacing w:val="0"/>
          <w:position w:val="0"/>
          <w:sz w:val="24"/>
          <w:szCs w:val="24"/>
          <w:lang w:eastAsia="zh-CN"/>
        </w:rPr>
        <w:t>制定</w:t>
      </w:r>
      <w:r>
        <w:rPr>
          <w:rFonts w:hint="default" w:ascii="Times New Roman" w:hAnsi="Times New Roman" w:eastAsia="宋体" w:cs="Times New Roman"/>
          <w:color w:val="auto"/>
          <w:spacing w:val="0"/>
          <w:position w:val="0"/>
          <w:sz w:val="24"/>
          <w:szCs w:val="24"/>
        </w:rPr>
        <w:t>各种环境管理制度及本项目的日常环境管理工作。为保证各项措施有效实施，环境管理员在工程筹建期设置。</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lang w:val="en-US" w:eastAsia="zh-CN"/>
        </w:rPr>
        <w:t>2</w:t>
      </w:r>
      <w:r>
        <w:rPr>
          <w:rFonts w:hint="eastAsia" w:ascii="Times New Roman" w:hAnsi="Times New Roman" w:cs="Times New Roman"/>
          <w:b/>
          <w:bCs/>
          <w:color w:val="auto"/>
          <w:spacing w:val="0"/>
          <w:position w:val="0"/>
          <w:sz w:val="24"/>
          <w:szCs w:val="24"/>
          <w:lang w:val="en-US" w:eastAsia="zh-CN"/>
        </w:rPr>
        <w:t>、</w:t>
      </w:r>
      <w:r>
        <w:rPr>
          <w:rFonts w:hint="default" w:ascii="Times New Roman" w:hAnsi="Times New Roman" w:eastAsia="宋体" w:cs="Times New Roman"/>
          <w:b/>
          <w:bCs/>
          <w:color w:val="auto"/>
          <w:spacing w:val="0"/>
          <w:position w:val="0"/>
          <w:sz w:val="24"/>
          <w:szCs w:val="24"/>
        </w:rPr>
        <w:t>环境管理机构的职责</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本项目环境保护管理机构应承担以下职责：</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（1）认真贯彻执行国家、省、市环保法规及行业环保规定，解决本项目施工期及运营</w:t>
      </w:r>
      <w:r>
        <w:rPr>
          <w:rFonts w:hint="default" w:ascii="Times New Roman" w:hAnsi="Times New Roman" w:eastAsia="宋体" w:cs="Times New Roman"/>
          <w:color w:val="auto"/>
          <w:spacing w:val="0"/>
          <w:position w:val="0"/>
          <w:sz w:val="24"/>
          <w:szCs w:val="24"/>
          <w:lang w:val="en-US" w:eastAsia="zh-CN"/>
        </w:rPr>
        <w:t>期</w:t>
      </w:r>
      <w:r>
        <w:rPr>
          <w:rFonts w:hint="default" w:ascii="Times New Roman" w:hAnsi="Times New Roman" w:eastAsia="宋体" w:cs="Times New Roman"/>
          <w:color w:val="auto"/>
          <w:spacing w:val="0"/>
          <w:position w:val="0"/>
          <w:sz w:val="24"/>
          <w:szCs w:val="24"/>
        </w:rPr>
        <w:t>存在的环境问题；</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（2）负责制定本项目环保设施运行的管理计划、操作规程，并定期对其进行检查，及时发现并解决存在的问题，或提交上级部门解决；</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（3）监督、检查监测工作，负责环境资料的保管与整理，建立完整的环保档案，掌握区内各环保设施运行状况；</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（4）与施工单位一起制定</w:t>
      </w:r>
      <w:r>
        <w:rPr>
          <w:rFonts w:hint="eastAsia" w:ascii="Times New Roman" w:hAnsi="Times New Roman" w:cs="Times New Roman"/>
          <w:color w:val="auto"/>
          <w:spacing w:val="0"/>
          <w:position w:val="0"/>
          <w:sz w:val="24"/>
          <w:szCs w:val="24"/>
          <w:lang w:eastAsia="zh-CN"/>
        </w:rPr>
        <w:t>施工期</w:t>
      </w:r>
      <w:r>
        <w:rPr>
          <w:rFonts w:hint="default" w:ascii="Times New Roman" w:hAnsi="Times New Roman" w:eastAsia="宋体" w:cs="Times New Roman"/>
          <w:color w:val="auto"/>
          <w:spacing w:val="0"/>
          <w:position w:val="0"/>
          <w:sz w:val="24"/>
          <w:szCs w:val="24"/>
        </w:rPr>
        <w:t>环境管理计划，拟定施工方案，并报环保</w:t>
      </w:r>
      <w:r>
        <w:rPr>
          <w:rFonts w:hint="default" w:ascii="Times New Roman" w:hAnsi="Times New Roman" w:eastAsia="宋体" w:cs="Times New Roman"/>
          <w:color w:val="auto"/>
          <w:spacing w:val="0"/>
          <w:position w:val="0"/>
          <w:lang w:val="en-US" w:eastAsia="zh-CN"/>
        </w:rPr>
        <w:t>部门</w:t>
      </w:r>
      <w:r>
        <w:rPr>
          <w:rFonts w:hint="default" w:ascii="Times New Roman" w:hAnsi="Times New Roman" w:eastAsia="宋体" w:cs="Times New Roman"/>
          <w:color w:val="auto"/>
          <w:spacing w:val="0"/>
          <w:position w:val="0"/>
          <w:sz w:val="24"/>
          <w:szCs w:val="24"/>
        </w:rPr>
        <w:t>批准，在施工过程中严格执行；</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（5）在施工结束后，督促施工单位及时撤出临时占用场地，组织全面检查拆除临时设施及工程环保设施，落实施工现场的环境恢复情况。</w:t>
      </w:r>
    </w:p>
    <w:p>
      <w:pPr>
        <w:pStyle w:val="73"/>
        <w:keepNext w:val="0"/>
        <w:keepLines w:val="0"/>
        <w:pageBreakBefore w:val="0"/>
        <w:widowControl w:val="0"/>
        <w:kinsoku/>
        <w:wordWrap/>
        <w:overflowPunct/>
        <w:topLinePunct w:val="0"/>
        <w:autoSpaceDE/>
        <w:autoSpaceDN/>
        <w:bidi w:val="0"/>
        <w:adjustRightInd/>
        <w:snapToGrid/>
        <w:spacing w:line="360" w:lineRule="auto"/>
        <w:ind w:left="0" w:leftChars="0" w:right="113" w:firstLine="0" w:firstLineChars="0"/>
        <w:textAlignment w:val="auto"/>
        <w:outlineLvl w:val="2"/>
        <w:rPr>
          <w:rFonts w:hint="eastAsia" w:ascii="Times New Roman" w:hAnsi="Times New Roman" w:eastAsia="宋体" w:cs="Times New Roman"/>
          <w:b/>
          <w:bCs/>
          <w:color w:val="auto"/>
          <w:spacing w:val="0"/>
          <w:position w:val="0"/>
          <w:sz w:val="24"/>
          <w:szCs w:val="24"/>
          <w:lang w:val="en-US" w:eastAsia="zh-CN"/>
        </w:rPr>
      </w:pPr>
      <w:bookmarkStart w:id="32" w:name="_Toc27906"/>
      <w:r>
        <w:rPr>
          <w:rFonts w:hint="eastAsia" w:ascii="Times New Roman" w:hAnsi="Times New Roman" w:eastAsia="宋体" w:cs="Times New Roman"/>
          <w:b/>
          <w:bCs/>
          <w:color w:val="auto"/>
          <w:spacing w:val="0"/>
          <w:position w:val="0"/>
          <w:sz w:val="24"/>
          <w:szCs w:val="24"/>
          <w:lang w:val="en-US" w:eastAsia="zh-CN"/>
        </w:rPr>
        <w:t>7</w:t>
      </w:r>
      <w:r>
        <w:rPr>
          <w:rFonts w:hint="default" w:ascii="Times New Roman" w:hAnsi="Times New Roman" w:eastAsia="宋体" w:cs="Times New Roman"/>
          <w:b/>
          <w:bCs/>
          <w:color w:val="auto"/>
          <w:spacing w:val="0"/>
          <w:position w:val="0"/>
          <w:sz w:val="24"/>
          <w:szCs w:val="24"/>
          <w:lang w:val="en-US" w:eastAsia="zh-CN"/>
        </w:rPr>
        <w:t>.2环境监测计划</w:t>
      </w:r>
      <w:bookmarkEnd w:id="32"/>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为实时掌握湿地净化效果及生态系统健康状况，制定以下监测</w:t>
      </w:r>
      <w:r>
        <w:rPr>
          <w:rFonts w:hint="eastAsia" w:ascii="Times New Roman" w:hAnsi="Times New Roman" w:eastAsia="宋体" w:cs="Times New Roman"/>
          <w:b w:val="0"/>
          <w:bCs w:val="0"/>
          <w:color w:val="auto"/>
          <w:spacing w:val="0"/>
          <w:position w:val="0"/>
          <w:sz w:val="24"/>
          <w:szCs w:val="24"/>
          <w:lang w:val="en-US" w:eastAsia="zh-CN"/>
        </w:rPr>
        <w:t>计划。</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1）</w:t>
      </w:r>
      <w:r>
        <w:rPr>
          <w:rFonts w:hint="default" w:ascii="Times New Roman" w:hAnsi="Times New Roman" w:eastAsia="宋体" w:cs="Times New Roman"/>
          <w:b w:val="0"/>
          <w:bCs w:val="0"/>
          <w:color w:val="auto"/>
          <w:spacing w:val="0"/>
          <w:position w:val="0"/>
          <w:sz w:val="24"/>
          <w:szCs w:val="24"/>
          <w:lang w:val="en-US" w:eastAsia="zh-CN"/>
        </w:rPr>
        <w:t>监测点位</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进水口：湿地前端（喷水洞河进入湿地入口断面），监测进水水质。</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出水口：湿地末端（入库前断面），监测出水水质。</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湿地内部：在湿地中部设置1个监测点，掌握中间净化过程。</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eastAsia" w:ascii="Times New Roman" w:hAnsi="Times New Roman" w:eastAsia="宋体" w:cs="Times New Roman"/>
          <w:b w:val="0"/>
          <w:bCs w:val="0"/>
          <w:color w:val="auto"/>
          <w:spacing w:val="0"/>
          <w:position w:val="0"/>
          <w:sz w:val="24"/>
          <w:szCs w:val="24"/>
          <w:lang w:val="en-US" w:eastAsia="zh-CN"/>
        </w:rPr>
        <w:t>2）</w:t>
      </w:r>
      <w:r>
        <w:rPr>
          <w:rFonts w:hint="default" w:ascii="Times New Roman" w:hAnsi="Times New Roman" w:eastAsia="宋体" w:cs="Times New Roman"/>
          <w:b w:val="0"/>
          <w:bCs w:val="0"/>
          <w:color w:val="auto"/>
          <w:spacing w:val="0"/>
          <w:position w:val="0"/>
          <w:sz w:val="24"/>
          <w:szCs w:val="24"/>
          <w:lang w:val="en-US" w:eastAsia="zh-CN"/>
        </w:rPr>
        <w:t>监测指标与频率</w:t>
      </w:r>
    </w:p>
    <w:p>
      <w:pPr>
        <w:keepNext w:val="0"/>
        <w:keepLines w:val="0"/>
        <w:pageBreakBefore w:val="0"/>
        <w:widowControl w:val="0"/>
        <w:kinsoku/>
        <w:wordWrap/>
        <w:overflowPunct/>
        <w:topLinePunct w:val="0"/>
        <w:autoSpaceDE/>
        <w:autoSpaceDN/>
        <w:bidi w:val="0"/>
        <w:adjustRightInd/>
        <w:snapToGrid/>
        <w:spacing w:line="440" w:lineRule="exact"/>
        <w:ind w:left="0" w:right="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常规水质指标：COD</w:t>
      </w:r>
      <w:r>
        <w:rPr>
          <w:rFonts w:hint="eastAsia" w:ascii="Times New Roman" w:hAnsi="Times New Roman" w:eastAsia="宋体" w:cs="Times New Roman"/>
          <w:b w:val="0"/>
          <w:bCs w:val="0"/>
          <w:color w:val="auto"/>
          <w:spacing w:val="0"/>
          <w:position w:val="0"/>
          <w:sz w:val="24"/>
          <w:szCs w:val="24"/>
          <w:lang w:val="en-US" w:eastAsia="zh-CN"/>
        </w:rPr>
        <w:t>cr</w:t>
      </w:r>
      <w:r>
        <w:rPr>
          <w:rFonts w:hint="default" w:ascii="Times New Roman" w:hAnsi="Times New Roman" w:eastAsia="宋体" w:cs="Times New Roman"/>
          <w:b w:val="0"/>
          <w:bCs w:val="0"/>
          <w:color w:val="auto"/>
          <w:spacing w:val="0"/>
          <w:position w:val="0"/>
          <w:sz w:val="24"/>
          <w:szCs w:val="24"/>
          <w:lang w:val="en-US" w:eastAsia="zh-CN"/>
        </w:rPr>
        <w:t>、</w:t>
      </w:r>
      <w:r>
        <w:rPr>
          <w:rFonts w:hint="eastAsia" w:ascii="Times New Roman" w:hAnsi="Times New Roman" w:eastAsia="宋体" w:cs="Times New Roman"/>
          <w:b w:val="0"/>
          <w:bCs w:val="0"/>
          <w:color w:val="auto"/>
          <w:spacing w:val="0"/>
          <w:position w:val="0"/>
          <w:sz w:val="24"/>
          <w:szCs w:val="24"/>
          <w:lang w:val="en-US" w:eastAsia="zh-CN"/>
        </w:rPr>
        <w:t>BOD</w:t>
      </w:r>
      <w:r>
        <w:rPr>
          <w:rFonts w:hint="eastAsia" w:ascii="Times New Roman" w:hAnsi="Times New Roman" w:eastAsia="宋体" w:cs="Times New Roman"/>
          <w:b w:val="0"/>
          <w:bCs w:val="0"/>
          <w:color w:val="auto"/>
          <w:spacing w:val="0"/>
          <w:position w:val="0"/>
          <w:sz w:val="24"/>
          <w:szCs w:val="24"/>
          <w:vertAlign w:val="subscript"/>
          <w:lang w:val="en-US" w:eastAsia="zh-CN"/>
        </w:rPr>
        <w:t>5</w:t>
      </w:r>
      <w:r>
        <w:rPr>
          <w:rFonts w:hint="eastAsia" w:ascii="Times New Roman" w:hAnsi="Times New Roman" w:eastAsia="宋体" w:cs="Times New Roman"/>
          <w:b w:val="0"/>
          <w:bCs w:val="0"/>
          <w:color w:val="auto"/>
          <w:spacing w:val="0"/>
          <w:position w:val="0"/>
          <w:sz w:val="24"/>
          <w:szCs w:val="24"/>
          <w:lang w:val="en-US" w:eastAsia="zh-CN"/>
        </w:rPr>
        <w:t>、</w:t>
      </w:r>
      <w:r>
        <w:rPr>
          <w:rFonts w:hint="default" w:ascii="Times New Roman" w:hAnsi="Times New Roman" w:eastAsia="宋体" w:cs="Times New Roman"/>
          <w:b w:val="0"/>
          <w:bCs w:val="0"/>
          <w:color w:val="auto"/>
          <w:spacing w:val="0"/>
          <w:position w:val="0"/>
          <w:sz w:val="24"/>
          <w:szCs w:val="24"/>
          <w:lang w:val="en-US" w:eastAsia="zh-CN"/>
        </w:rPr>
        <w:t>TN、TP、NH₃-N、pH、溶解氧（DO），每</w:t>
      </w:r>
      <w:r>
        <w:rPr>
          <w:rFonts w:hint="eastAsia" w:ascii="Times New Roman" w:hAnsi="Times New Roman" w:eastAsia="宋体" w:cs="Times New Roman"/>
          <w:b w:val="0"/>
          <w:bCs w:val="0"/>
          <w:color w:val="auto"/>
          <w:spacing w:val="0"/>
          <w:position w:val="0"/>
          <w:sz w:val="24"/>
          <w:szCs w:val="24"/>
          <w:lang w:val="en-US" w:eastAsia="zh-CN"/>
        </w:rPr>
        <w:t>季度</w:t>
      </w:r>
      <w:r>
        <w:rPr>
          <w:rFonts w:hint="default" w:ascii="Times New Roman" w:hAnsi="Times New Roman" w:eastAsia="宋体" w:cs="Times New Roman"/>
          <w:b w:val="0"/>
          <w:bCs w:val="0"/>
          <w:color w:val="auto"/>
          <w:spacing w:val="0"/>
          <w:position w:val="0"/>
          <w:sz w:val="24"/>
          <w:szCs w:val="24"/>
          <w:lang w:val="en-US" w:eastAsia="zh-CN"/>
        </w:rPr>
        <w:t>监测1次。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kern w:val="2"/>
          <w:position w:val="0"/>
          <w:sz w:val="24"/>
          <w:szCs w:val="24"/>
          <w:lang w:val="en-US" w:eastAsia="zh-CN" w:bidi="ar-SA"/>
        </w:rPr>
        <w:t>3）</w:t>
      </w:r>
      <w:r>
        <w:rPr>
          <w:rFonts w:hint="default" w:ascii="Times New Roman" w:hAnsi="Times New Roman" w:eastAsia="宋体" w:cs="Times New Roman"/>
          <w:b w:val="0"/>
          <w:bCs w:val="0"/>
          <w:color w:val="auto"/>
          <w:spacing w:val="0"/>
          <w:position w:val="0"/>
          <w:sz w:val="24"/>
          <w:szCs w:val="24"/>
          <w:lang w:val="en-US" w:eastAsia="zh-CN"/>
        </w:rPr>
        <w:t>数据管理与应急响应</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建立监测数据库，定期编制水质与生态报告，分析湿地净化效率及生态系统变化趋势。若出水水质超标或生态指标异常，立即启动应急预案，排查原因并采取强化净化、应急补水等措施，确保入库水质安全。</w:t>
      </w:r>
    </w:p>
    <w:p>
      <w:pPr>
        <w:pStyle w:val="73"/>
        <w:keepNext w:val="0"/>
        <w:keepLines w:val="0"/>
        <w:pageBreakBefore w:val="0"/>
        <w:widowControl w:val="0"/>
        <w:kinsoku/>
        <w:wordWrap/>
        <w:overflowPunct/>
        <w:topLinePunct w:val="0"/>
        <w:autoSpaceDE/>
        <w:autoSpaceDN/>
        <w:bidi w:val="0"/>
        <w:adjustRightInd/>
        <w:snapToGrid/>
        <w:spacing w:line="440" w:lineRule="exact"/>
        <w:ind w:left="0" w:right="0" w:firstLine="482"/>
        <w:jc w:val="both"/>
        <w:textAlignment w:val="auto"/>
        <w:rPr>
          <w:rFonts w:hint="default" w:ascii="Times New Roman" w:hAnsi="Times New Roman" w:eastAsia="宋体" w:cs="Times New Roman"/>
          <w:color w:val="auto"/>
          <w:spacing w:val="0"/>
          <w:position w:val="0"/>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eastAsia" w:ascii="Times New Roman" w:hAnsi="Times New Roman" w:eastAsia="宋体" w:cs="Times New Roman"/>
          <w:b/>
          <w:bCs/>
          <w:color w:val="auto"/>
          <w:spacing w:val="0"/>
          <w:position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right="0" w:firstLine="0" w:firstLineChars="0"/>
        <w:jc w:val="left"/>
        <w:textAlignment w:val="auto"/>
        <w:outlineLvl w:val="0"/>
        <w:rPr>
          <w:rFonts w:hint="default" w:ascii="Times New Roman" w:hAnsi="Times New Roman" w:eastAsia="宋体" w:cs="Times New Roman"/>
          <w:b/>
          <w:bCs/>
          <w:color w:val="auto"/>
          <w:spacing w:val="0"/>
          <w:position w:val="0"/>
          <w:sz w:val="28"/>
          <w:szCs w:val="28"/>
          <w:lang w:val="en-US" w:eastAsia="zh-CN"/>
        </w:rPr>
      </w:pPr>
      <w:bookmarkStart w:id="33" w:name="_Toc26739"/>
      <w:r>
        <w:rPr>
          <w:rFonts w:hint="eastAsia" w:ascii="Times New Roman" w:hAnsi="Times New Roman" w:eastAsia="宋体" w:cs="Times New Roman"/>
          <w:b/>
          <w:bCs/>
          <w:color w:val="auto"/>
          <w:spacing w:val="0"/>
          <w:position w:val="0"/>
          <w:sz w:val="28"/>
          <w:szCs w:val="28"/>
          <w:lang w:val="en-US" w:eastAsia="zh-CN"/>
        </w:rPr>
        <w:t>8</w:t>
      </w:r>
      <w:r>
        <w:rPr>
          <w:rFonts w:hint="default" w:ascii="Times New Roman" w:hAnsi="Times New Roman" w:eastAsia="宋体" w:cs="Times New Roman"/>
          <w:b/>
          <w:bCs/>
          <w:color w:val="auto"/>
          <w:spacing w:val="0"/>
          <w:position w:val="0"/>
          <w:sz w:val="28"/>
          <w:szCs w:val="28"/>
          <w:lang w:val="en-US" w:eastAsia="zh-CN"/>
        </w:rPr>
        <w:t>评价结论</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本项目建成后</w:t>
      </w:r>
      <w:r>
        <w:rPr>
          <w:rFonts w:hint="eastAsia" w:cs="Times New Roman"/>
          <w:color w:val="auto"/>
          <w:spacing w:val="0"/>
          <w:position w:val="0"/>
          <w:sz w:val="24"/>
          <w:szCs w:val="24"/>
          <w:lang w:eastAsia="zh-CN"/>
        </w:rPr>
        <w:t>，海马</w:t>
      </w:r>
      <w:r>
        <w:rPr>
          <w:rFonts w:hint="default" w:ascii="Times New Roman" w:hAnsi="Times New Roman" w:eastAsia="宋体" w:cs="Times New Roman"/>
          <w:color w:val="auto"/>
          <w:spacing w:val="0"/>
          <w:position w:val="0"/>
          <w:sz w:val="24"/>
          <w:szCs w:val="24"/>
          <w:lang w:eastAsia="zh-CN"/>
        </w:rPr>
        <w:t>箐水库宜良范围主要入库河流喷水洞河水质得到</w:t>
      </w:r>
      <w:r>
        <w:rPr>
          <w:rFonts w:hint="default" w:ascii="Times New Roman" w:hAnsi="Times New Roman" w:eastAsia="宋体" w:cs="Times New Roman"/>
          <w:color w:val="auto"/>
          <w:spacing w:val="0"/>
          <w:position w:val="0"/>
          <w:sz w:val="24"/>
          <w:szCs w:val="24"/>
        </w:rPr>
        <w:t>净化</w:t>
      </w:r>
      <w:r>
        <w:rPr>
          <w:rFonts w:hint="default" w:ascii="Times New Roman" w:hAnsi="Times New Roman" w:eastAsia="宋体" w:cs="Times New Roman"/>
          <w:color w:val="auto"/>
          <w:spacing w:val="0"/>
          <w:position w:val="0"/>
          <w:sz w:val="24"/>
          <w:szCs w:val="24"/>
          <w:lang w:eastAsia="zh-CN"/>
        </w:rPr>
        <w:t>提升</w:t>
      </w:r>
      <w:r>
        <w:rPr>
          <w:rFonts w:hint="eastAsia"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施工期和运营期在采取环保提出的各项措施后，</w:t>
      </w:r>
      <w:r>
        <w:rPr>
          <w:rFonts w:hint="default" w:ascii="Times New Roman" w:hAnsi="Times New Roman" w:eastAsia="宋体" w:cs="Times New Roman"/>
          <w:color w:val="auto"/>
          <w:spacing w:val="0"/>
          <w:position w:val="0"/>
          <w:sz w:val="24"/>
          <w:szCs w:val="24"/>
          <w:lang w:eastAsia="zh-CN"/>
        </w:rPr>
        <w:t>对外环境影响较小，且不会对海马箐水库水质造成负面影响，</w:t>
      </w:r>
      <w:r>
        <w:rPr>
          <w:rFonts w:hint="default" w:ascii="Times New Roman" w:hAnsi="Times New Roman" w:eastAsia="宋体" w:cs="Times New Roman"/>
          <w:color w:val="auto"/>
          <w:spacing w:val="0"/>
          <w:position w:val="0"/>
          <w:sz w:val="24"/>
          <w:szCs w:val="24"/>
        </w:rPr>
        <w:t>可以改善</w:t>
      </w:r>
      <w:r>
        <w:rPr>
          <w:rFonts w:hint="default" w:ascii="Times New Roman" w:hAnsi="Times New Roman" w:eastAsia="宋体" w:cs="Times New Roman"/>
          <w:color w:val="auto"/>
          <w:spacing w:val="0"/>
          <w:position w:val="0"/>
          <w:sz w:val="24"/>
          <w:szCs w:val="24"/>
          <w:lang w:eastAsia="zh-CN"/>
        </w:rPr>
        <w:t>海马箐水库</w:t>
      </w:r>
      <w:r>
        <w:rPr>
          <w:rFonts w:hint="default" w:ascii="Times New Roman" w:hAnsi="Times New Roman" w:eastAsia="宋体" w:cs="Times New Roman"/>
          <w:color w:val="auto"/>
          <w:spacing w:val="0"/>
          <w:position w:val="0"/>
          <w:sz w:val="24"/>
          <w:szCs w:val="24"/>
        </w:rPr>
        <w:t>水质</w:t>
      </w:r>
      <w:r>
        <w:rPr>
          <w:rFonts w:hint="eastAsia"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保障</w:t>
      </w:r>
      <w:r>
        <w:rPr>
          <w:rFonts w:hint="default" w:ascii="Times New Roman" w:hAnsi="Times New Roman" w:eastAsia="宋体" w:cs="Times New Roman"/>
          <w:color w:val="auto"/>
          <w:spacing w:val="0"/>
          <w:position w:val="0"/>
          <w:sz w:val="24"/>
          <w:szCs w:val="24"/>
          <w:lang w:eastAsia="zh-CN"/>
        </w:rPr>
        <w:t>其</w:t>
      </w:r>
      <w:r>
        <w:rPr>
          <w:rFonts w:hint="default" w:ascii="Times New Roman" w:hAnsi="Times New Roman" w:eastAsia="宋体" w:cs="Times New Roman"/>
          <w:color w:val="auto"/>
          <w:spacing w:val="0"/>
          <w:position w:val="0"/>
          <w:sz w:val="24"/>
          <w:szCs w:val="24"/>
        </w:rPr>
        <w:t>水质满足考核要求，</w:t>
      </w:r>
      <w:r>
        <w:rPr>
          <w:rFonts w:hint="eastAsia" w:cs="Times New Roman"/>
          <w:color w:val="auto"/>
          <w:spacing w:val="0"/>
          <w:position w:val="0"/>
          <w:sz w:val="24"/>
          <w:szCs w:val="24"/>
          <w:lang w:eastAsia="zh-CN"/>
        </w:rPr>
        <w:t>改善目前</w:t>
      </w:r>
      <w:r>
        <w:rPr>
          <w:rFonts w:hint="default" w:ascii="Times New Roman" w:hAnsi="Times New Roman" w:eastAsia="宋体" w:cs="Times New Roman"/>
          <w:color w:val="auto"/>
          <w:spacing w:val="0"/>
          <w:position w:val="0"/>
          <w:sz w:val="24"/>
          <w:szCs w:val="24"/>
        </w:rPr>
        <w:t>水质现状。从环保角度，对区域地表水影响</w:t>
      </w:r>
      <w:r>
        <w:rPr>
          <w:rFonts w:hint="default" w:ascii="Times New Roman" w:hAnsi="Times New Roman" w:eastAsia="宋体" w:cs="Times New Roman"/>
          <w:color w:val="auto"/>
          <w:spacing w:val="0"/>
          <w:position w:val="0"/>
          <w:sz w:val="24"/>
          <w:szCs w:val="24"/>
          <w:lang w:eastAsia="zh-CN"/>
        </w:rPr>
        <w:t>为正向效益</w:t>
      </w:r>
      <w:r>
        <w:rPr>
          <w:rFonts w:hint="default" w:ascii="Times New Roman" w:hAnsi="Times New Roman" w:eastAsia="宋体" w:cs="Times New Roman"/>
          <w:color w:val="auto"/>
          <w:spacing w:val="0"/>
          <w:position w:val="0"/>
          <w:sz w:val="24"/>
          <w:szCs w:val="24"/>
        </w:rPr>
        <w:t>，项目建设可行。</w:t>
      </w:r>
    </w:p>
    <w:p>
      <w:pPr>
        <w:pStyle w:val="33"/>
        <w:ind w:firstLine="480"/>
        <w:rPr>
          <w:rFonts w:hint="default" w:ascii="Times New Roman" w:hAnsi="Times New Roman" w:cs="Times New Roman"/>
          <w:color w:val="auto"/>
          <w:spacing w:val="0"/>
          <w:position w:val="0"/>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00007A87" w:usb1="80000000" w:usb2="00000008" w:usb3="00000000" w:csb0="400001FF" w:csb1="FFFF0000"/>
  </w:font>
  <w:font w:name="宋体">
    <w:panose1 w:val="02010600030101010101"/>
    <w:charset w:val="88"/>
    <w:family w:val="modern"/>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2010600030101010101"/>
    <w:charset w:val="86"/>
    <w:family w:val="auto"/>
    <w:pitch w:val="default"/>
    <w:sig w:usb0="00000000" w:usb1="00000000" w:usb2="00000016" w:usb3="00000000" w:csb0="0004000F" w:csb1="00000000"/>
  </w:font>
  <w:font w:name="Calibri Light">
    <w:altName w:val="DejaVu Sans"/>
    <w:panose1 w:val="020F0302020204030204"/>
    <w:charset w:val="00"/>
    <w:family w:val="swiss"/>
    <w:pitch w:val="default"/>
    <w:sig w:usb0="00000000" w:usb1="00000000" w:usb2="00000009" w:usb3="00000000" w:csb0="200001FF" w:csb1="00000000"/>
  </w:font>
  <w:font w:name="文泉驿正黑">
    <w:panose1 w:val="02000603000000000000"/>
    <w:charset w:val="86"/>
    <w:family w:val="auto"/>
    <w:pitch w:val="default"/>
    <w:sig w:usb0="900002BF" w:usb1="2BDF7DFB" w:usb2="00000036" w:usb3="00000000" w:csb0="603E000D" w:csb1="D2D7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C44171"/>
    <w:multiLevelType w:val="multilevel"/>
    <w:tmpl w:val="6AC44171"/>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pStyle w:val="34"/>
      <w:suff w:val="nothing"/>
      <w:lvlText w:val="（%5）"/>
      <w:lvlJc w:val="left"/>
      <w:pPr>
        <w:ind w:left="-56" w:firstLine="340"/>
      </w:pPr>
      <w:rPr>
        <w:rFonts w:hint="eastAsia"/>
        <w:lang w:val="en-US"/>
      </w:rPr>
    </w:lvl>
    <w:lvl w:ilvl="5" w:tentative="0">
      <w:start w:val="1"/>
      <w:numFmt w:val="upperLetter"/>
      <w:pStyle w:val="35"/>
      <w:suff w:val="nothing"/>
      <w:lvlText w:val="%6、"/>
      <w:lvlJc w:val="left"/>
      <w:pPr>
        <w:ind w:left="0" w:firstLine="510"/>
      </w:pPr>
      <w:rPr>
        <w:rFonts w:hint="eastAsia"/>
        <w:color w:val="auto"/>
      </w:rPr>
    </w:lvl>
    <w:lvl w:ilvl="6" w:tentative="0">
      <w:start w:val="1"/>
      <w:numFmt w:val="lowerLetter"/>
      <w:pStyle w:val="36"/>
      <w:suff w:val="nothing"/>
      <w:lvlText w:val="%7、"/>
      <w:lvlJc w:val="left"/>
      <w:pPr>
        <w:ind w:left="0" w:firstLine="567"/>
      </w:pPr>
      <w:rPr>
        <w:rFonts w:hint="eastAsia"/>
      </w:rPr>
    </w:lvl>
    <w:lvl w:ilvl="7" w:tentative="0">
      <w:start w:val="1"/>
      <w:numFmt w:val="lowerRoman"/>
      <w:suff w:val="nothing"/>
      <w:lvlText w:val="%8、"/>
      <w:lvlJc w:val="left"/>
      <w:pPr>
        <w:ind w:left="0" w:firstLine="624"/>
      </w:pPr>
      <w:rPr>
        <w:rFonts w:hint="eastAsia"/>
      </w:rPr>
    </w:lvl>
    <w:lvl w:ilvl="8" w:tentative="0">
      <w:start w:val="1"/>
      <w:numFmt w:val="none"/>
      <w:lvlText w:val=""/>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MjJiNjNhMGQ4ZTZlNWM3YzdkYWI5NDU0M2E0MDkifQ=="/>
  </w:docVars>
  <w:rsids>
    <w:rsidRoot w:val="00172A27"/>
    <w:rsid w:val="000001FD"/>
    <w:rsid w:val="00011EE1"/>
    <w:rsid w:val="00035160"/>
    <w:rsid w:val="00036813"/>
    <w:rsid w:val="000449E5"/>
    <w:rsid w:val="00045A33"/>
    <w:rsid w:val="00047C8C"/>
    <w:rsid w:val="000514B0"/>
    <w:rsid w:val="00062A7F"/>
    <w:rsid w:val="000707F9"/>
    <w:rsid w:val="0009025E"/>
    <w:rsid w:val="0009520A"/>
    <w:rsid w:val="00097EE8"/>
    <w:rsid w:val="000A36F7"/>
    <w:rsid w:val="000A5524"/>
    <w:rsid w:val="000B362D"/>
    <w:rsid w:val="000C2779"/>
    <w:rsid w:val="000C6987"/>
    <w:rsid w:val="000D1314"/>
    <w:rsid w:val="000D5561"/>
    <w:rsid w:val="000D57AC"/>
    <w:rsid w:val="000E0462"/>
    <w:rsid w:val="000F1C49"/>
    <w:rsid w:val="000F4362"/>
    <w:rsid w:val="000F588A"/>
    <w:rsid w:val="000F61D1"/>
    <w:rsid w:val="000F6480"/>
    <w:rsid w:val="000F6DB9"/>
    <w:rsid w:val="000F7131"/>
    <w:rsid w:val="0010669D"/>
    <w:rsid w:val="00116B69"/>
    <w:rsid w:val="00125314"/>
    <w:rsid w:val="00127AB7"/>
    <w:rsid w:val="00133E46"/>
    <w:rsid w:val="001367AA"/>
    <w:rsid w:val="00144710"/>
    <w:rsid w:val="00146734"/>
    <w:rsid w:val="001551CD"/>
    <w:rsid w:val="00160136"/>
    <w:rsid w:val="00167D23"/>
    <w:rsid w:val="001804F0"/>
    <w:rsid w:val="001821E8"/>
    <w:rsid w:val="00183C34"/>
    <w:rsid w:val="00184FB6"/>
    <w:rsid w:val="00185C49"/>
    <w:rsid w:val="0018734E"/>
    <w:rsid w:val="00194F0A"/>
    <w:rsid w:val="00195A7D"/>
    <w:rsid w:val="001B2327"/>
    <w:rsid w:val="001C5099"/>
    <w:rsid w:val="001D52C6"/>
    <w:rsid w:val="001D64B8"/>
    <w:rsid w:val="001E4512"/>
    <w:rsid w:val="001F11C6"/>
    <w:rsid w:val="002018DF"/>
    <w:rsid w:val="002031B2"/>
    <w:rsid w:val="0020675F"/>
    <w:rsid w:val="002152A6"/>
    <w:rsid w:val="0022304F"/>
    <w:rsid w:val="00235F04"/>
    <w:rsid w:val="002431A3"/>
    <w:rsid w:val="00243F6E"/>
    <w:rsid w:val="002501AA"/>
    <w:rsid w:val="0025070A"/>
    <w:rsid w:val="0025142A"/>
    <w:rsid w:val="00251880"/>
    <w:rsid w:val="00251FC6"/>
    <w:rsid w:val="00256BB5"/>
    <w:rsid w:val="00265372"/>
    <w:rsid w:val="002875AA"/>
    <w:rsid w:val="0029230C"/>
    <w:rsid w:val="00296AC6"/>
    <w:rsid w:val="002A2084"/>
    <w:rsid w:val="002A588A"/>
    <w:rsid w:val="002B2C90"/>
    <w:rsid w:val="002D1ECE"/>
    <w:rsid w:val="002E3E7D"/>
    <w:rsid w:val="002E7E1A"/>
    <w:rsid w:val="00301DF4"/>
    <w:rsid w:val="003049F3"/>
    <w:rsid w:val="00314F93"/>
    <w:rsid w:val="0031771C"/>
    <w:rsid w:val="00324FDE"/>
    <w:rsid w:val="00331404"/>
    <w:rsid w:val="00336358"/>
    <w:rsid w:val="00347700"/>
    <w:rsid w:val="00350475"/>
    <w:rsid w:val="00360619"/>
    <w:rsid w:val="003913B7"/>
    <w:rsid w:val="003926C1"/>
    <w:rsid w:val="00396454"/>
    <w:rsid w:val="003B062E"/>
    <w:rsid w:val="003B1194"/>
    <w:rsid w:val="003C1FA7"/>
    <w:rsid w:val="003E1C03"/>
    <w:rsid w:val="003E5BF9"/>
    <w:rsid w:val="003F5290"/>
    <w:rsid w:val="003F5409"/>
    <w:rsid w:val="003F578E"/>
    <w:rsid w:val="00403633"/>
    <w:rsid w:val="00404FEC"/>
    <w:rsid w:val="00414E68"/>
    <w:rsid w:val="0041738D"/>
    <w:rsid w:val="004425E8"/>
    <w:rsid w:val="00443A32"/>
    <w:rsid w:val="00450301"/>
    <w:rsid w:val="00462ABC"/>
    <w:rsid w:val="00465851"/>
    <w:rsid w:val="004B1653"/>
    <w:rsid w:val="004B2F5A"/>
    <w:rsid w:val="004B60EA"/>
    <w:rsid w:val="004C1EA6"/>
    <w:rsid w:val="004C2358"/>
    <w:rsid w:val="004C29E7"/>
    <w:rsid w:val="004D57CA"/>
    <w:rsid w:val="004E2B09"/>
    <w:rsid w:val="004F4CFE"/>
    <w:rsid w:val="00500249"/>
    <w:rsid w:val="005040D6"/>
    <w:rsid w:val="00515530"/>
    <w:rsid w:val="00517CE4"/>
    <w:rsid w:val="005275D9"/>
    <w:rsid w:val="0053633C"/>
    <w:rsid w:val="00536995"/>
    <w:rsid w:val="00554F32"/>
    <w:rsid w:val="00557774"/>
    <w:rsid w:val="00557F1A"/>
    <w:rsid w:val="00562600"/>
    <w:rsid w:val="00564D9A"/>
    <w:rsid w:val="00577083"/>
    <w:rsid w:val="00580B23"/>
    <w:rsid w:val="00594E2A"/>
    <w:rsid w:val="005A6460"/>
    <w:rsid w:val="005C33D1"/>
    <w:rsid w:val="005D71E1"/>
    <w:rsid w:val="005E0F3D"/>
    <w:rsid w:val="005E1556"/>
    <w:rsid w:val="005E4057"/>
    <w:rsid w:val="005E755B"/>
    <w:rsid w:val="005F374F"/>
    <w:rsid w:val="0060244E"/>
    <w:rsid w:val="00607EFA"/>
    <w:rsid w:val="00610D10"/>
    <w:rsid w:val="00616BAD"/>
    <w:rsid w:val="006274B9"/>
    <w:rsid w:val="00635EB8"/>
    <w:rsid w:val="0065377F"/>
    <w:rsid w:val="00657591"/>
    <w:rsid w:val="00657E5B"/>
    <w:rsid w:val="00675898"/>
    <w:rsid w:val="00691D4C"/>
    <w:rsid w:val="006A0FCD"/>
    <w:rsid w:val="006A197E"/>
    <w:rsid w:val="006A5B1A"/>
    <w:rsid w:val="006A66FA"/>
    <w:rsid w:val="006B05BB"/>
    <w:rsid w:val="006B0E29"/>
    <w:rsid w:val="006B4AF1"/>
    <w:rsid w:val="006C07A5"/>
    <w:rsid w:val="006C4101"/>
    <w:rsid w:val="006D17A7"/>
    <w:rsid w:val="006D1B5E"/>
    <w:rsid w:val="006D2ACA"/>
    <w:rsid w:val="006D691C"/>
    <w:rsid w:val="006F17E0"/>
    <w:rsid w:val="006F24A6"/>
    <w:rsid w:val="006F3E74"/>
    <w:rsid w:val="00706645"/>
    <w:rsid w:val="00706C74"/>
    <w:rsid w:val="00707B26"/>
    <w:rsid w:val="00713933"/>
    <w:rsid w:val="00725C73"/>
    <w:rsid w:val="00726300"/>
    <w:rsid w:val="00731B37"/>
    <w:rsid w:val="00734102"/>
    <w:rsid w:val="007725BD"/>
    <w:rsid w:val="0079314B"/>
    <w:rsid w:val="00793549"/>
    <w:rsid w:val="00796C89"/>
    <w:rsid w:val="0079707F"/>
    <w:rsid w:val="00797B73"/>
    <w:rsid w:val="007A6D4E"/>
    <w:rsid w:val="007B4A89"/>
    <w:rsid w:val="007C3497"/>
    <w:rsid w:val="007C3FB4"/>
    <w:rsid w:val="007C55C4"/>
    <w:rsid w:val="007F4091"/>
    <w:rsid w:val="00813074"/>
    <w:rsid w:val="00820BB4"/>
    <w:rsid w:val="00820DFE"/>
    <w:rsid w:val="00835B3E"/>
    <w:rsid w:val="00840B52"/>
    <w:rsid w:val="00841A18"/>
    <w:rsid w:val="00841A34"/>
    <w:rsid w:val="00852915"/>
    <w:rsid w:val="0085340E"/>
    <w:rsid w:val="00856619"/>
    <w:rsid w:val="0087023B"/>
    <w:rsid w:val="008763EA"/>
    <w:rsid w:val="00880121"/>
    <w:rsid w:val="00881DAD"/>
    <w:rsid w:val="00893321"/>
    <w:rsid w:val="008A6F73"/>
    <w:rsid w:val="008B119E"/>
    <w:rsid w:val="008B19CC"/>
    <w:rsid w:val="008B2FF9"/>
    <w:rsid w:val="008C6C9D"/>
    <w:rsid w:val="008D581F"/>
    <w:rsid w:val="008D69BE"/>
    <w:rsid w:val="008D69F0"/>
    <w:rsid w:val="008E2B66"/>
    <w:rsid w:val="008E407E"/>
    <w:rsid w:val="008F08A5"/>
    <w:rsid w:val="008F1C01"/>
    <w:rsid w:val="009013F7"/>
    <w:rsid w:val="0090193C"/>
    <w:rsid w:val="0092081B"/>
    <w:rsid w:val="009307D1"/>
    <w:rsid w:val="009369AC"/>
    <w:rsid w:val="00946DE2"/>
    <w:rsid w:val="00960C16"/>
    <w:rsid w:val="00961BE7"/>
    <w:rsid w:val="0096371F"/>
    <w:rsid w:val="00971BFA"/>
    <w:rsid w:val="00975614"/>
    <w:rsid w:val="00986B80"/>
    <w:rsid w:val="009A2701"/>
    <w:rsid w:val="009A64B5"/>
    <w:rsid w:val="009B1925"/>
    <w:rsid w:val="009C22BC"/>
    <w:rsid w:val="009C78EC"/>
    <w:rsid w:val="009D1AB8"/>
    <w:rsid w:val="009D45AE"/>
    <w:rsid w:val="009E6993"/>
    <w:rsid w:val="009F7170"/>
    <w:rsid w:val="00A043C9"/>
    <w:rsid w:val="00A0650F"/>
    <w:rsid w:val="00A1123A"/>
    <w:rsid w:val="00A23872"/>
    <w:rsid w:val="00A4256E"/>
    <w:rsid w:val="00A43293"/>
    <w:rsid w:val="00A47FAA"/>
    <w:rsid w:val="00A67043"/>
    <w:rsid w:val="00AA229E"/>
    <w:rsid w:val="00AC67A7"/>
    <w:rsid w:val="00AE474D"/>
    <w:rsid w:val="00AF1596"/>
    <w:rsid w:val="00AF16FB"/>
    <w:rsid w:val="00AF2BD9"/>
    <w:rsid w:val="00AF538F"/>
    <w:rsid w:val="00B0170B"/>
    <w:rsid w:val="00B20A80"/>
    <w:rsid w:val="00B322EA"/>
    <w:rsid w:val="00B533E1"/>
    <w:rsid w:val="00B70137"/>
    <w:rsid w:val="00B87A89"/>
    <w:rsid w:val="00B9675E"/>
    <w:rsid w:val="00BA5C26"/>
    <w:rsid w:val="00BB08B0"/>
    <w:rsid w:val="00BB23C4"/>
    <w:rsid w:val="00BC0E3A"/>
    <w:rsid w:val="00BC4CEC"/>
    <w:rsid w:val="00BD459A"/>
    <w:rsid w:val="00BD502B"/>
    <w:rsid w:val="00BE09E7"/>
    <w:rsid w:val="00BE5440"/>
    <w:rsid w:val="00BE78DE"/>
    <w:rsid w:val="00C029DA"/>
    <w:rsid w:val="00C06414"/>
    <w:rsid w:val="00C27EEC"/>
    <w:rsid w:val="00C465B8"/>
    <w:rsid w:val="00C52B0B"/>
    <w:rsid w:val="00C57D92"/>
    <w:rsid w:val="00C60972"/>
    <w:rsid w:val="00C634C2"/>
    <w:rsid w:val="00C63E7B"/>
    <w:rsid w:val="00C67FC9"/>
    <w:rsid w:val="00C74912"/>
    <w:rsid w:val="00C81297"/>
    <w:rsid w:val="00C8763A"/>
    <w:rsid w:val="00CA49F9"/>
    <w:rsid w:val="00CA7247"/>
    <w:rsid w:val="00CD3C7D"/>
    <w:rsid w:val="00CD4385"/>
    <w:rsid w:val="00CD56A0"/>
    <w:rsid w:val="00CD6670"/>
    <w:rsid w:val="00CD6F18"/>
    <w:rsid w:val="00CF25F3"/>
    <w:rsid w:val="00D179C3"/>
    <w:rsid w:val="00D203B7"/>
    <w:rsid w:val="00D35416"/>
    <w:rsid w:val="00D37538"/>
    <w:rsid w:val="00D54822"/>
    <w:rsid w:val="00D642D2"/>
    <w:rsid w:val="00D6447D"/>
    <w:rsid w:val="00D940B0"/>
    <w:rsid w:val="00D97596"/>
    <w:rsid w:val="00DA09BB"/>
    <w:rsid w:val="00DA2403"/>
    <w:rsid w:val="00DA3C2C"/>
    <w:rsid w:val="00DC175C"/>
    <w:rsid w:val="00DC1DDF"/>
    <w:rsid w:val="00DC4606"/>
    <w:rsid w:val="00DD3233"/>
    <w:rsid w:val="00DD7159"/>
    <w:rsid w:val="00DD7B85"/>
    <w:rsid w:val="00DE3984"/>
    <w:rsid w:val="00DE3FDB"/>
    <w:rsid w:val="00DE53DD"/>
    <w:rsid w:val="00E045C7"/>
    <w:rsid w:val="00E04B2C"/>
    <w:rsid w:val="00E12772"/>
    <w:rsid w:val="00E32A2C"/>
    <w:rsid w:val="00E36AF5"/>
    <w:rsid w:val="00E46021"/>
    <w:rsid w:val="00E63341"/>
    <w:rsid w:val="00E70EA8"/>
    <w:rsid w:val="00E71440"/>
    <w:rsid w:val="00E719D0"/>
    <w:rsid w:val="00E723FF"/>
    <w:rsid w:val="00E824A5"/>
    <w:rsid w:val="00E90E69"/>
    <w:rsid w:val="00E92EDE"/>
    <w:rsid w:val="00EA24DC"/>
    <w:rsid w:val="00EB0AAB"/>
    <w:rsid w:val="00EB26D4"/>
    <w:rsid w:val="00EB571D"/>
    <w:rsid w:val="00EB6A43"/>
    <w:rsid w:val="00EC7617"/>
    <w:rsid w:val="00ED0276"/>
    <w:rsid w:val="00EE0729"/>
    <w:rsid w:val="00EF39FC"/>
    <w:rsid w:val="00EF736E"/>
    <w:rsid w:val="00F06F69"/>
    <w:rsid w:val="00F117BD"/>
    <w:rsid w:val="00F11A24"/>
    <w:rsid w:val="00F203FC"/>
    <w:rsid w:val="00F30623"/>
    <w:rsid w:val="00F34D00"/>
    <w:rsid w:val="00F549CC"/>
    <w:rsid w:val="00F56B47"/>
    <w:rsid w:val="00F624C3"/>
    <w:rsid w:val="00F71050"/>
    <w:rsid w:val="00F86D5A"/>
    <w:rsid w:val="00F9739F"/>
    <w:rsid w:val="00FB0BE7"/>
    <w:rsid w:val="00FB0F24"/>
    <w:rsid w:val="00FB4972"/>
    <w:rsid w:val="00FC6C8C"/>
    <w:rsid w:val="00FD108A"/>
    <w:rsid w:val="00FE2CF2"/>
    <w:rsid w:val="00FF01F9"/>
    <w:rsid w:val="00FF0AC7"/>
    <w:rsid w:val="00FF7E37"/>
    <w:rsid w:val="011424F2"/>
    <w:rsid w:val="01DB6127"/>
    <w:rsid w:val="020E1BC1"/>
    <w:rsid w:val="02700111"/>
    <w:rsid w:val="0381452E"/>
    <w:rsid w:val="03C13B13"/>
    <w:rsid w:val="04202175"/>
    <w:rsid w:val="0458580D"/>
    <w:rsid w:val="05B9677F"/>
    <w:rsid w:val="06391410"/>
    <w:rsid w:val="06406019"/>
    <w:rsid w:val="06A3130A"/>
    <w:rsid w:val="07155C37"/>
    <w:rsid w:val="07245E7A"/>
    <w:rsid w:val="076D5A73"/>
    <w:rsid w:val="083245C7"/>
    <w:rsid w:val="085F70C6"/>
    <w:rsid w:val="0922463B"/>
    <w:rsid w:val="09C6146A"/>
    <w:rsid w:val="09F14739"/>
    <w:rsid w:val="0A2E36E6"/>
    <w:rsid w:val="0B184BC0"/>
    <w:rsid w:val="0BFF4052"/>
    <w:rsid w:val="0BFF6F8F"/>
    <w:rsid w:val="0C580AA0"/>
    <w:rsid w:val="0C767178"/>
    <w:rsid w:val="0CB657C6"/>
    <w:rsid w:val="0CC021A1"/>
    <w:rsid w:val="0CCE0D62"/>
    <w:rsid w:val="0CD41FCF"/>
    <w:rsid w:val="0CE02843"/>
    <w:rsid w:val="0D1424ED"/>
    <w:rsid w:val="0D67446B"/>
    <w:rsid w:val="0D9F5046"/>
    <w:rsid w:val="0E3E5A73"/>
    <w:rsid w:val="0EF05B61"/>
    <w:rsid w:val="0FC5304C"/>
    <w:rsid w:val="1092654A"/>
    <w:rsid w:val="10FC5772"/>
    <w:rsid w:val="112173A6"/>
    <w:rsid w:val="11253C71"/>
    <w:rsid w:val="11415B58"/>
    <w:rsid w:val="115843F3"/>
    <w:rsid w:val="115C452D"/>
    <w:rsid w:val="13A67498"/>
    <w:rsid w:val="13C0510A"/>
    <w:rsid w:val="13C92844"/>
    <w:rsid w:val="13E744B7"/>
    <w:rsid w:val="14A50F87"/>
    <w:rsid w:val="162B4B2F"/>
    <w:rsid w:val="177A6D05"/>
    <w:rsid w:val="17C70888"/>
    <w:rsid w:val="17F6116D"/>
    <w:rsid w:val="18711861"/>
    <w:rsid w:val="18904AED"/>
    <w:rsid w:val="190653E0"/>
    <w:rsid w:val="191D296F"/>
    <w:rsid w:val="19A10B7C"/>
    <w:rsid w:val="19C808E7"/>
    <w:rsid w:val="1A2A15A2"/>
    <w:rsid w:val="1A516B2E"/>
    <w:rsid w:val="1A5403CD"/>
    <w:rsid w:val="1AAF4EFD"/>
    <w:rsid w:val="1B2A6A7C"/>
    <w:rsid w:val="1B7156DA"/>
    <w:rsid w:val="1BA535D6"/>
    <w:rsid w:val="1BCB07DC"/>
    <w:rsid w:val="1C0A3B5E"/>
    <w:rsid w:val="1CB442B4"/>
    <w:rsid w:val="1D1A76AB"/>
    <w:rsid w:val="1D2B18B9"/>
    <w:rsid w:val="1DD43CFE"/>
    <w:rsid w:val="1E0F327A"/>
    <w:rsid w:val="1EB80399"/>
    <w:rsid w:val="1F0174BF"/>
    <w:rsid w:val="1F2B5BA0"/>
    <w:rsid w:val="201B3E66"/>
    <w:rsid w:val="204617E9"/>
    <w:rsid w:val="2067156E"/>
    <w:rsid w:val="20790B8D"/>
    <w:rsid w:val="20893E70"/>
    <w:rsid w:val="20A6016D"/>
    <w:rsid w:val="21816521"/>
    <w:rsid w:val="21B53E47"/>
    <w:rsid w:val="21CD3817"/>
    <w:rsid w:val="22536FD7"/>
    <w:rsid w:val="22A8586B"/>
    <w:rsid w:val="22EA26E0"/>
    <w:rsid w:val="23403BE4"/>
    <w:rsid w:val="23A45F21"/>
    <w:rsid w:val="241B0762"/>
    <w:rsid w:val="24724271"/>
    <w:rsid w:val="257B0F03"/>
    <w:rsid w:val="264B2FCC"/>
    <w:rsid w:val="26B349E5"/>
    <w:rsid w:val="26FB7472"/>
    <w:rsid w:val="28180C8B"/>
    <w:rsid w:val="28E374EB"/>
    <w:rsid w:val="2903193C"/>
    <w:rsid w:val="2919115F"/>
    <w:rsid w:val="292D1347"/>
    <w:rsid w:val="29546686"/>
    <w:rsid w:val="296A3769"/>
    <w:rsid w:val="29FA2DC2"/>
    <w:rsid w:val="2A253F15"/>
    <w:rsid w:val="2A952A67"/>
    <w:rsid w:val="2AA8206B"/>
    <w:rsid w:val="2ABB38A8"/>
    <w:rsid w:val="2AC46601"/>
    <w:rsid w:val="2AFC00A2"/>
    <w:rsid w:val="2B2D655A"/>
    <w:rsid w:val="2B5146D3"/>
    <w:rsid w:val="2B612949"/>
    <w:rsid w:val="2BC929C8"/>
    <w:rsid w:val="2BFF2943"/>
    <w:rsid w:val="2C080299"/>
    <w:rsid w:val="2C3801CB"/>
    <w:rsid w:val="2C462D13"/>
    <w:rsid w:val="2C5A1872"/>
    <w:rsid w:val="2CD47877"/>
    <w:rsid w:val="2D9D410D"/>
    <w:rsid w:val="2DB256DE"/>
    <w:rsid w:val="2DE55048"/>
    <w:rsid w:val="2DF14458"/>
    <w:rsid w:val="2E496043"/>
    <w:rsid w:val="2EBD433B"/>
    <w:rsid w:val="2EBE24C5"/>
    <w:rsid w:val="2F3B1E2F"/>
    <w:rsid w:val="2F6D7B0F"/>
    <w:rsid w:val="304C3BC8"/>
    <w:rsid w:val="30535277"/>
    <w:rsid w:val="3065477A"/>
    <w:rsid w:val="307B4AAF"/>
    <w:rsid w:val="31556056"/>
    <w:rsid w:val="31DE32C1"/>
    <w:rsid w:val="32EC51EE"/>
    <w:rsid w:val="331D7031"/>
    <w:rsid w:val="33D463AE"/>
    <w:rsid w:val="33E83C08"/>
    <w:rsid w:val="33EA17CD"/>
    <w:rsid w:val="33EF4F96"/>
    <w:rsid w:val="345E3ECA"/>
    <w:rsid w:val="34E30298"/>
    <w:rsid w:val="355C77E1"/>
    <w:rsid w:val="362D1871"/>
    <w:rsid w:val="36593872"/>
    <w:rsid w:val="369714CA"/>
    <w:rsid w:val="37845F94"/>
    <w:rsid w:val="37C130EE"/>
    <w:rsid w:val="381256F7"/>
    <w:rsid w:val="38526672"/>
    <w:rsid w:val="392D03A0"/>
    <w:rsid w:val="39955EA6"/>
    <w:rsid w:val="39DF4537"/>
    <w:rsid w:val="3A126166"/>
    <w:rsid w:val="3A1E0383"/>
    <w:rsid w:val="3AAB598F"/>
    <w:rsid w:val="3ADD023E"/>
    <w:rsid w:val="3BD553B9"/>
    <w:rsid w:val="3C2B322B"/>
    <w:rsid w:val="3C526A0A"/>
    <w:rsid w:val="3D8C5F4C"/>
    <w:rsid w:val="3E3A7732"/>
    <w:rsid w:val="3E4660FB"/>
    <w:rsid w:val="3F1B1335"/>
    <w:rsid w:val="3F1E7077"/>
    <w:rsid w:val="400973E0"/>
    <w:rsid w:val="408A49C4"/>
    <w:rsid w:val="40E36C35"/>
    <w:rsid w:val="413E3AFA"/>
    <w:rsid w:val="415215C9"/>
    <w:rsid w:val="41C77552"/>
    <w:rsid w:val="42453F9A"/>
    <w:rsid w:val="42B353EF"/>
    <w:rsid w:val="42F1618F"/>
    <w:rsid w:val="434147C0"/>
    <w:rsid w:val="434F15AD"/>
    <w:rsid w:val="43517495"/>
    <w:rsid w:val="435A0EBC"/>
    <w:rsid w:val="4381689A"/>
    <w:rsid w:val="438C45B0"/>
    <w:rsid w:val="43A22025"/>
    <w:rsid w:val="445F1CC4"/>
    <w:rsid w:val="445F3A72"/>
    <w:rsid w:val="45444CD8"/>
    <w:rsid w:val="45E000A4"/>
    <w:rsid w:val="46731A57"/>
    <w:rsid w:val="46853538"/>
    <w:rsid w:val="46A666C8"/>
    <w:rsid w:val="46A75BA4"/>
    <w:rsid w:val="47395C0A"/>
    <w:rsid w:val="47605152"/>
    <w:rsid w:val="4799729B"/>
    <w:rsid w:val="47A143A2"/>
    <w:rsid w:val="483B47F6"/>
    <w:rsid w:val="496C4368"/>
    <w:rsid w:val="496D465E"/>
    <w:rsid w:val="49B760FE"/>
    <w:rsid w:val="4A037596"/>
    <w:rsid w:val="4AA952DB"/>
    <w:rsid w:val="4B084C3C"/>
    <w:rsid w:val="4BA44460"/>
    <w:rsid w:val="4BFE1DC3"/>
    <w:rsid w:val="4C653BF0"/>
    <w:rsid w:val="4D92310A"/>
    <w:rsid w:val="4DF3481F"/>
    <w:rsid w:val="4E3C4E24"/>
    <w:rsid w:val="4F6972C7"/>
    <w:rsid w:val="4FC74BC1"/>
    <w:rsid w:val="4FDB32E4"/>
    <w:rsid w:val="50024581"/>
    <w:rsid w:val="50546455"/>
    <w:rsid w:val="511D0F3D"/>
    <w:rsid w:val="514364CA"/>
    <w:rsid w:val="51642F3A"/>
    <w:rsid w:val="52050A70"/>
    <w:rsid w:val="520B348B"/>
    <w:rsid w:val="522A286E"/>
    <w:rsid w:val="52BD46FE"/>
    <w:rsid w:val="52DC3BB8"/>
    <w:rsid w:val="52EB38F7"/>
    <w:rsid w:val="534529CD"/>
    <w:rsid w:val="53A92F5C"/>
    <w:rsid w:val="544C6DC7"/>
    <w:rsid w:val="54615210"/>
    <w:rsid w:val="54715AEA"/>
    <w:rsid w:val="54D47B64"/>
    <w:rsid w:val="54DE09E3"/>
    <w:rsid w:val="56034306"/>
    <w:rsid w:val="567A72D5"/>
    <w:rsid w:val="56AE2637"/>
    <w:rsid w:val="575163B0"/>
    <w:rsid w:val="57E24C8E"/>
    <w:rsid w:val="58BD5AA1"/>
    <w:rsid w:val="58F05189"/>
    <w:rsid w:val="598B6C60"/>
    <w:rsid w:val="59E720E8"/>
    <w:rsid w:val="5B2D55FA"/>
    <w:rsid w:val="5BB24615"/>
    <w:rsid w:val="5BCC7B28"/>
    <w:rsid w:val="5BE03293"/>
    <w:rsid w:val="5D2B6790"/>
    <w:rsid w:val="5D2D69AC"/>
    <w:rsid w:val="5D3F66DF"/>
    <w:rsid w:val="5D781250"/>
    <w:rsid w:val="5E545E72"/>
    <w:rsid w:val="5E873E9A"/>
    <w:rsid w:val="5EC16C5C"/>
    <w:rsid w:val="5F781A34"/>
    <w:rsid w:val="5FA6034F"/>
    <w:rsid w:val="5FCC1638"/>
    <w:rsid w:val="5FCD4188"/>
    <w:rsid w:val="60104B30"/>
    <w:rsid w:val="604F32A9"/>
    <w:rsid w:val="615F4C5A"/>
    <w:rsid w:val="619467BF"/>
    <w:rsid w:val="61D73F67"/>
    <w:rsid w:val="62185EFB"/>
    <w:rsid w:val="62431B29"/>
    <w:rsid w:val="62614A02"/>
    <w:rsid w:val="62927EF9"/>
    <w:rsid w:val="6300246C"/>
    <w:rsid w:val="63626C83"/>
    <w:rsid w:val="638E6A26"/>
    <w:rsid w:val="63BA7363"/>
    <w:rsid w:val="6449557A"/>
    <w:rsid w:val="644C5778"/>
    <w:rsid w:val="65934A91"/>
    <w:rsid w:val="65992F39"/>
    <w:rsid w:val="66236B9E"/>
    <w:rsid w:val="66763171"/>
    <w:rsid w:val="667E198F"/>
    <w:rsid w:val="66B772E6"/>
    <w:rsid w:val="677A27ED"/>
    <w:rsid w:val="67AF4BAE"/>
    <w:rsid w:val="67D619EE"/>
    <w:rsid w:val="67E1461B"/>
    <w:rsid w:val="68302CC0"/>
    <w:rsid w:val="6883020A"/>
    <w:rsid w:val="690C3919"/>
    <w:rsid w:val="697D65C5"/>
    <w:rsid w:val="69AC2A06"/>
    <w:rsid w:val="6A683657"/>
    <w:rsid w:val="6A771890"/>
    <w:rsid w:val="6A815CBF"/>
    <w:rsid w:val="6A8D2838"/>
    <w:rsid w:val="6B482C03"/>
    <w:rsid w:val="6C2C336B"/>
    <w:rsid w:val="6C7C5CBA"/>
    <w:rsid w:val="6C8934D3"/>
    <w:rsid w:val="6CB213D1"/>
    <w:rsid w:val="6CEF1588"/>
    <w:rsid w:val="6CF92406"/>
    <w:rsid w:val="6D513FF0"/>
    <w:rsid w:val="6D910891"/>
    <w:rsid w:val="6E104395"/>
    <w:rsid w:val="6E14501E"/>
    <w:rsid w:val="6E906D9A"/>
    <w:rsid w:val="6F377216"/>
    <w:rsid w:val="6F543924"/>
    <w:rsid w:val="6F7C731F"/>
    <w:rsid w:val="6F8D52E3"/>
    <w:rsid w:val="70985FB7"/>
    <w:rsid w:val="70BA3C5B"/>
    <w:rsid w:val="70C745CA"/>
    <w:rsid w:val="70D07EC3"/>
    <w:rsid w:val="70D94D64"/>
    <w:rsid w:val="71185E1A"/>
    <w:rsid w:val="71593474"/>
    <w:rsid w:val="724203AC"/>
    <w:rsid w:val="729624A5"/>
    <w:rsid w:val="72E70F53"/>
    <w:rsid w:val="731F1D55"/>
    <w:rsid w:val="737C6A9A"/>
    <w:rsid w:val="747B7BA5"/>
    <w:rsid w:val="74BD1F6B"/>
    <w:rsid w:val="75096EC1"/>
    <w:rsid w:val="75D36B04"/>
    <w:rsid w:val="765E152C"/>
    <w:rsid w:val="77583AC4"/>
    <w:rsid w:val="77FF8987"/>
    <w:rsid w:val="782C23C9"/>
    <w:rsid w:val="78564BB1"/>
    <w:rsid w:val="785E5813"/>
    <w:rsid w:val="786F5C73"/>
    <w:rsid w:val="7A3D7DFA"/>
    <w:rsid w:val="7A6C2327"/>
    <w:rsid w:val="7AF406B1"/>
    <w:rsid w:val="7B8139E4"/>
    <w:rsid w:val="7B8E6410"/>
    <w:rsid w:val="7C727ADF"/>
    <w:rsid w:val="7C947A56"/>
    <w:rsid w:val="7CCC2703"/>
    <w:rsid w:val="7DF46AC3"/>
    <w:rsid w:val="7E953898"/>
    <w:rsid w:val="7EAD236E"/>
    <w:rsid w:val="7ED607F9"/>
    <w:rsid w:val="7F0013D2"/>
    <w:rsid w:val="7F0D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4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180" w:after="180"/>
      <w:ind w:firstLine="0" w:firstLineChars="0"/>
      <w:outlineLvl w:val="0"/>
    </w:pPr>
    <w:rPr>
      <w:b/>
      <w:bCs/>
      <w:kern w:val="44"/>
      <w:sz w:val="30"/>
      <w:szCs w:val="30"/>
    </w:rPr>
  </w:style>
  <w:style w:type="paragraph" w:styleId="3">
    <w:name w:val="heading 2"/>
    <w:basedOn w:val="1"/>
    <w:next w:val="1"/>
    <w:unhideWhenUsed/>
    <w:qFormat/>
    <w:uiPriority w:val="0"/>
    <w:pPr>
      <w:spacing w:before="120" w:after="120"/>
      <w:ind w:firstLine="0" w:firstLineChars="0"/>
      <w:outlineLvl w:val="1"/>
    </w:pPr>
    <w:rPr>
      <w:b/>
      <w:sz w:val="28"/>
      <w:szCs w:val="28"/>
    </w:rPr>
  </w:style>
  <w:style w:type="paragraph" w:styleId="4">
    <w:name w:val="heading 3"/>
    <w:basedOn w:val="1"/>
    <w:next w:val="1"/>
    <w:unhideWhenUsed/>
    <w:qFormat/>
    <w:uiPriority w:val="0"/>
    <w:pPr>
      <w:spacing w:before="60" w:after="60"/>
      <w:ind w:firstLine="0" w:firstLineChars="0"/>
      <w:outlineLvl w:val="2"/>
    </w:pPr>
    <w:rPr>
      <w:b/>
      <w:bCs/>
    </w:rPr>
  </w:style>
  <w:style w:type="paragraph" w:styleId="5">
    <w:name w:val="heading 4"/>
    <w:basedOn w:val="1"/>
    <w:next w:val="1"/>
    <w:unhideWhenUsed/>
    <w:qFormat/>
    <w:uiPriority w:val="0"/>
    <w:pPr>
      <w:ind w:firstLine="0" w:firstLineChars="0"/>
      <w:outlineLvl w:val="3"/>
    </w:p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link w:val="39"/>
    <w:qFormat/>
    <w:uiPriority w:val="0"/>
    <w:pPr>
      <w:jc w:val="left"/>
    </w:pPr>
  </w:style>
  <w:style w:type="paragraph" w:styleId="9">
    <w:name w:val="Body Text"/>
    <w:basedOn w:val="1"/>
    <w:link w:val="38"/>
    <w:qFormat/>
    <w:uiPriority w:val="1"/>
    <w:pPr>
      <w:spacing w:after="120"/>
    </w:pPr>
  </w:style>
  <w:style w:type="paragraph" w:styleId="10">
    <w:name w:val="toc 3"/>
    <w:basedOn w:val="1"/>
    <w:next w:val="1"/>
    <w:unhideWhenUsed/>
    <w:qFormat/>
    <w:uiPriority w:val="39"/>
    <w:pPr>
      <w:widowControl/>
      <w:spacing w:after="100" w:line="259" w:lineRule="auto"/>
      <w:ind w:left="440" w:firstLine="0" w:firstLineChars="0"/>
      <w:jc w:val="left"/>
    </w:pPr>
    <w:rPr>
      <w:rFonts w:asciiTheme="minorHAnsi" w:hAnsiTheme="minorHAnsi" w:eastAsiaTheme="minorEastAsia"/>
      <w:kern w:val="0"/>
      <w:sz w:val="22"/>
      <w:szCs w:val="22"/>
    </w:rPr>
  </w:style>
  <w:style w:type="paragraph" w:styleId="11">
    <w:name w:val="Plain Text"/>
    <w:basedOn w:val="1"/>
    <w:next w:val="12"/>
    <w:qFormat/>
    <w:uiPriority w:val="0"/>
    <w:pPr>
      <w:spacing w:line="240" w:lineRule="atLeast"/>
    </w:pPr>
    <w:rPr>
      <w:rFonts w:ascii="等线" w:hAnsi="Courier New" w:eastAsia="等线" w:cs="Courier New"/>
    </w:rPr>
  </w:style>
  <w:style w:type="paragraph" w:customStyle="1" w:styleId="12">
    <w:name w:val="Default"/>
    <w:basedOn w:val="1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3">
    <w:name w:val="纯文本1"/>
    <w:basedOn w:val="1"/>
    <w:qFormat/>
    <w:uiPriority w:val="0"/>
    <w:pPr>
      <w:adjustRightInd w:val="0"/>
      <w:jc w:val="left"/>
      <w:textAlignment w:val="baseline"/>
    </w:pPr>
    <w:rPr>
      <w:rFonts w:ascii="宋体" w:hAnsi="Courier New"/>
      <w:sz w:val="24"/>
      <w:szCs w:val="20"/>
    </w:rPr>
  </w:style>
  <w:style w:type="paragraph" w:styleId="14">
    <w:name w:val="Date"/>
    <w:basedOn w:val="1"/>
    <w:next w:val="1"/>
    <w:link w:val="59"/>
    <w:qFormat/>
    <w:uiPriority w:val="0"/>
    <w:pPr>
      <w:spacing w:line="240" w:lineRule="auto"/>
      <w:ind w:left="100" w:leftChars="2500" w:firstLine="0" w:firstLineChars="0"/>
    </w:pPr>
    <w:rPr>
      <w:kern w:val="0"/>
      <w:szCs w:val="20"/>
    </w:rPr>
  </w:style>
  <w:style w:type="paragraph" w:styleId="15">
    <w:name w:val="footer"/>
    <w:basedOn w:val="1"/>
    <w:link w:val="50"/>
    <w:qFormat/>
    <w:uiPriority w:val="99"/>
    <w:pPr>
      <w:tabs>
        <w:tab w:val="center" w:pos="4153"/>
        <w:tab w:val="right" w:pos="8306"/>
      </w:tabs>
      <w:snapToGrid w:val="0"/>
      <w:spacing w:line="240" w:lineRule="atLeast"/>
      <w:jc w:val="left"/>
    </w:pPr>
    <w:rPr>
      <w:sz w:val="18"/>
      <w:szCs w:val="18"/>
    </w:rPr>
  </w:style>
  <w:style w:type="paragraph" w:styleId="16">
    <w:name w:val="header"/>
    <w:basedOn w:val="1"/>
    <w:link w:val="49"/>
    <w:qFormat/>
    <w:uiPriority w:val="0"/>
    <w:pPr>
      <w:tabs>
        <w:tab w:val="center" w:pos="4153"/>
        <w:tab w:val="right" w:pos="8306"/>
      </w:tabs>
      <w:snapToGrid w:val="0"/>
      <w:spacing w:line="240" w:lineRule="atLeast"/>
      <w:jc w:val="center"/>
    </w:pPr>
    <w:rPr>
      <w:sz w:val="18"/>
      <w:szCs w:val="18"/>
    </w:rPr>
  </w:style>
  <w:style w:type="paragraph" w:styleId="17">
    <w:name w:val="toc 1"/>
    <w:basedOn w:val="1"/>
    <w:next w:val="1"/>
    <w:unhideWhenUsed/>
    <w:qFormat/>
    <w:uiPriority w:val="39"/>
    <w:pPr>
      <w:widowControl/>
      <w:spacing w:after="100" w:line="259" w:lineRule="auto"/>
      <w:ind w:firstLine="0" w:firstLineChars="0"/>
      <w:jc w:val="left"/>
    </w:pPr>
    <w:rPr>
      <w:rFonts w:asciiTheme="minorHAnsi" w:hAnsiTheme="minorHAnsi" w:eastAsiaTheme="minorEastAsia"/>
      <w:kern w:val="0"/>
      <w:sz w:val="22"/>
      <w:szCs w:val="22"/>
    </w:rPr>
  </w:style>
  <w:style w:type="paragraph" w:styleId="18">
    <w:name w:val="toc 2"/>
    <w:basedOn w:val="1"/>
    <w:next w:val="1"/>
    <w:unhideWhenUsed/>
    <w:qFormat/>
    <w:uiPriority w:val="39"/>
    <w:pPr>
      <w:widowControl/>
      <w:spacing w:after="100" w:line="259" w:lineRule="auto"/>
      <w:ind w:left="220" w:firstLine="0" w:firstLineChars="0"/>
      <w:jc w:val="left"/>
    </w:pPr>
    <w:rPr>
      <w:rFonts w:asciiTheme="minorHAnsi" w:hAnsiTheme="minorHAnsi" w:eastAsiaTheme="minorEastAsia"/>
      <w:kern w:val="0"/>
      <w:sz w:val="22"/>
      <w:szCs w:val="22"/>
    </w:rPr>
  </w:style>
  <w:style w:type="paragraph" w:styleId="19">
    <w:name w:val="Normal (Web)"/>
    <w:basedOn w:val="1"/>
    <w:qFormat/>
    <w:uiPriority w:val="0"/>
  </w:style>
  <w:style w:type="paragraph" w:styleId="20">
    <w:name w:val="annotation subject"/>
    <w:basedOn w:val="8"/>
    <w:next w:val="8"/>
    <w:link w:val="57"/>
    <w:qFormat/>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customStyle="1" w:styleId="27">
    <w:name w:val="NormalCharacter"/>
    <w:semiHidden/>
    <w:qFormat/>
    <w:uiPriority w:val="0"/>
    <w:rPr>
      <w:rFonts w:ascii="Times New Roman" w:hAnsi="Times New Roman" w:eastAsia="宋体"/>
      <w:kern w:val="2"/>
      <w:sz w:val="24"/>
      <w:szCs w:val="24"/>
      <w:lang w:val="en-US" w:eastAsia="zh-CN" w:bidi="ar-SA"/>
    </w:rPr>
  </w:style>
  <w:style w:type="paragraph" w:customStyle="1" w:styleId="28">
    <w:name w:val="表内"/>
    <w:basedOn w:val="1"/>
    <w:link w:val="64"/>
    <w:qFormat/>
    <w:uiPriority w:val="0"/>
    <w:pPr>
      <w:spacing w:line="360" w:lineRule="exact"/>
      <w:ind w:firstLine="0" w:firstLineChars="0"/>
      <w:jc w:val="center"/>
      <w:outlineLvl w:val="3"/>
    </w:pPr>
    <w:rPr>
      <w:sz w:val="21"/>
      <w:szCs w:val="21"/>
    </w:rPr>
  </w:style>
  <w:style w:type="paragraph" w:customStyle="1" w:styleId="29">
    <w:name w:val="表头"/>
    <w:basedOn w:val="1"/>
    <w:next w:val="28"/>
    <w:link w:val="63"/>
    <w:qFormat/>
    <w:uiPriority w:val="0"/>
    <w:pPr>
      <w:spacing w:line="360" w:lineRule="exact"/>
      <w:ind w:firstLine="0" w:firstLineChars="0"/>
      <w:jc w:val="center"/>
      <w:outlineLvl w:val="3"/>
    </w:pPr>
    <w:rPr>
      <w:b/>
    </w:rPr>
  </w:style>
  <w:style w:type="paragraph" w:customStyle="1" w:styleId="30">
    <w:name w:val="图片"/>
    <w:basedOn w:val="1"/>
    <w:next w:val="31"/>
    <w:qFormat/>
    <w:uiPriority w:val="0"/>
    <w:pPr>
      <w:spacing w:line="240" w:lineRule="auto"/>
      <w:ind w:firstLine="0" w:firstLineChars="0"/>
      <w:jc w:val="center"/>
    </w:pPr>
  </w:style>
  <w:style w:type="paragraph" w:customStyle="1" w:styleId="31">
    <w:name w:val="洪-表头"/>
    <w:basedOn w:val="1"/>
    <w:next w:val="32"/>
    <w:link w:val="44"/>
    <w:qFormat/>
    <w:uiPriority w:val="0"/>
    <w:pPr>
      <w:ind w:firstLine="0" w:firstLineChars="0"/>
      <w:jc w:val="center"/>
    </w:pPr>
    <w:rPr>
      <w:b/>
      <w:szCs w:val="22"/>
    </w:rPr>
  </w:style>
  <w:style w:type="paragraph" w:customStyle="1" w:styleId="32">
    <w:name w:val="洪-表格内容"/>
    <w:next w:val="33"/>
    <w:link w:val="45"/>
    <w:qFormat/>
    <w:uiPriority w:val="0"/>
    <w:pPr>
      <w:spacing w:line="360" w:lineRule="exact"/>
      <w:jc w:val="center"/>
    </w:pPr>
    <w:rPr>
      <w:rFonts w:ascii="Times New Roman" w:hAnsi="Times New Roman" w:eastAsia="宋体" w:cstheme="minorBidi"/>
      <w:kern w:val="2"/>
      <w:sz w:val="21"/>
      <w:szCs w:val="22"/>
      <w:lang w:val="en-US" w:eastAsia="zh-CN" w:bidi="ar-SA"/>
    </w:rPr>
  </w:style>
  <w:style w:type="paragraph" w:customStyle="1" w:styleId="33">
    <w:name w:val="洪-正文"/>
    <w:link w:val="43"/>
    <w:qFormat/>
    <w:uiPriority w:val="0"/>
    <w:pPr>
      <w:widowControl w:val="0"/>
      <w:spacing w:line="440" w:lineRule="exact"/>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4">
    <w:name w:val="洪-5级标题"/>
    <w:basedOn w:val="33"/>
    <w:next w:val="33"/>
    <w:qFormat/>
    <w:uiPriority w:val="0"/>
    <w:pPr>
      <w:numPr>
        <w:ilvl w:val="4"/>
        <w:numId w:val="1"/>
      </w:numPr>
      <w:ind w:firstLine="0" w:firstLineChars="0"/>
    </w:pPr>
  </w:style>
  <w:style w:type="paragraph" w:customStyle="1" w:styleId="35">
    <w:name w:val="洪-6级标题"/>
    <w:basedOn w:val="33"/>
    <w:next w:val="33"/>
    <w:link w:val="46"/>
    <w:qFormat/>
    <w:uiPriority w:val="0"/>
    <w:pPr>
      <w:numPr>
        <w:ilvl w:val="5"/>
        <w:numId w:val="1"/>
      </w:numPr>
      <w:ind w:firstLine="0" w:firstLineChars="0"/>
    </w:pPr>
  </w:style>
  <w:style w:type="paragraph" w:customStyle="1" w:styleId="36">
    <w:name w:val="洪-7级标题"/>
    <w:basedOn w:val="33"/>
    <w:next w:val="33"/>
    <w:qFormat/>
    <w:uiPriority w:val="0"/>
    <w:pPr>
      <w:numPr>
        <w:ilvl w:val="6"/>
        <w:numId w:val="1"/>
      </w:numPr>
      <w:ind w:firstLine="0" w:firstLineChars="0"/>
    </w:pPr>
  </w:style>
  <w:style w:type="paragraph" w:customStyle="1" w:styleId="37">
    <w:name w:val="洪-1级标题"/>
    <w:basedOn w:val="1"/>
    <w:qFormat/>
    <w:uiPriority w:val="0"/>
    <w:pPr>
      <w:spacing w:before="180" w:after="180"/>
      <w:ind w:firstLine="0" w:firstLineChars="0"/>
      <w:jc w:val="left"/>
      <w:outlineLvl w:val="0"/>
    </w:pPr>
    <w:rPr>
      <w:rFonts w:cstheme="minorBidi"/>
      <w:b/>
      <w:sz w:val="30"/>
    </w:rPr>
  </w:style>
  <w:style w:type="character" w:customStyle="1" w:styleId="38">
    <w:name w:val="正文文本 字符"/>
    <w:basedOn w:val="23"/>
    <w:link w:val="9"/>
    <w:qFormat/>
    <w:uiPriority w:val="1"/>
    <w:rPr>
      <w:rFonts w:eastAsia="宋体"/>
      <w:kern w:val="2"/>
      <w:sz w:val="24"/>
      <w:szCs w:val="24"/>
    </w:rPr>
  </w:style>
  <w:style w:type="character" w:customStyle="1" w:styleId="39">
    <w:name w:val="批注文字 字符"/>
    <w:basedOn w:val="23"/>
    <w:link w:val="8"/>
    <w:qFormat/>
    <w:uiPriority w:val="0"/>
    <w:rPr>
      <w:rFonts w:eastAsia="宋体"/>
      <w:kern w:val="2"/>
      <w:sz w:val="24"/>
      <w:szCs w:val="24"/>
    </w:rPr>
  </w:style>
  <w:style w:type="paragraph" w:customStyle="1" w:styleId="40">
    <w:name w:val="洪-2级标题"/>
    <w:next w:val="33"/>
    <w:qFormat/>
    <w:uiPriority w:val="0"/>
    <w:pPr>
      <w:spacing w:before="120" w:after="120" w:line="440" w:lineRule="exact"/>
      <w:outlineLvl w:val="1"/>
    </w:pPr>
    <w:rPr>
      <w:rFonts w:ascii="Times New Roman" w:hAnsi="Times New Roman" w:eastAsia="宋体" w:cstheme="minorBidi"/>
      <w:b/>
      <w:kern w:val="2"/>
      <w:sz w:val="28"/>
      <w:szCs w:val="22"/>
      <w:lang w:val="en-US" w:eastAsia="zh-CN" w:bidi="ar-SA"/>
    </w:rPr>
  </w:style>
  <w:style w:type="paragraph" w:customStyle="1" w:styleId="41">
    <w:name w:val="洪-3级标题"/>
    <w:next w:val="33"/>
    <w:qFormat/>
    <w:uiPriority w:val="0"/>
    <w:pPr>
      <w:spacing w:before="60" w:after="60" w:line="440" w:lineRule="exact"/>
      <w:outlineLvl w:val="2"/>
    </w:pPr>
    <w:rPr>
      <w:rFonts w:ascii="Times New Roman" w:hAnsi="Times New Roman" w:eastAsia="宋体" w:cstheme="minorBidi"/>
      <w:b/>
      <w:kern w:val="2"/>
      <w:sz w:val="24"/>
      <w:szCs w:val="22"/>
      <w:lang w:val="en-US" w:eastAsia="zh-CN" w:bidi="ar-SA"/>
    </w:rPr>
  </w:style>
  <w:style w:type="paragraph" w:customStyle="1" w:styleId="42">
    <w:name w:val="洪-4级标题"/>
    <w:next w:val="33"/>
    <w:qFormat/>
    <w:uiPriority w:val="0"/>
    <w:pPr>
      <w:spacing w:line="440" w:lineRule="exact"/>
      <w:outlineLvl w:val="3"/>
    </w:pPr>
    <w:rPr>
      <w:rFonts w:ascii="Times New Roman" w:hAnsi="Times New Roman" w:eastAsia="宋体" w:cstheme="minorBidi"/>
      <w:kern w:val="2"/>
      <w:sz w:val="24"/>
      <w:szCs w:val="22"/>
      <w:lang w:val="en-US" w:eastAsia="zh-CN" w:bidi="ar-SA"/>
    </w:rPr>
  </w:style>
  <w:style w:type="character" w:customStyle="1" w:styleId="43">
    <w:name w:val="洪-正文 字符"/>
    <w:basedOn w:val="23"/>
    <w:link w:val="33"/>
    <w:qFormat/>
    <w:uiPriority w:val="0"/>
    <w:rPr>
      <w:rFonts w:eastAsia="宋体" w:cstheme="minorBidi"/>
      <w:kern w:val="2"/>
      <w:sz w:val="24"/>
      <w:szCs w:val="22"/>
    </w:rPr>
  </w:style>
  <w:style w:type="character" w:customStyle="1" w:styleId="44">
    <w:name w:val="洪-表头 字符"/>
    <w:basedOn w:val="23"/>
    <w:link w:val="31"/>
    <w:qFormat/>
    <w:uiPriority w:val="0"/>
    <w:rPr>
      <w:rFonts w:eastAsia="宋体"/>
      <w:b/>
      <w:kern w:val="2"/>
      <w:sz w:val="24"/>
      <w:szCs w:val="22"/>
    </w:rPr>
  </w:style>
  <w:style w:type="character" w:customStyle="1" w:styleId="45">
    <w:name w:val="洪-表格内容 字符"/>
    <w:basedOn w:val="23"/>
    <w:link w:val="32"/>
    <w:qFormat/>
    <w:uiPriority w:val="0"/>
    <w:rPr>
      <w:rFonts w:eastAsia="宋体" w:cstheme="minorBidi"/>
      <w:kern w:val="2"/>
      <w:sz w:val="21"/>
      <w:szCs w:val="22"/>
    </w:rPr>
  </w:style>
  <w:style w:type="character" w:customStyle="1" w:styleId="46">
    <w:name w:val="洪-6级标题 字符"/>
    <w:basedOn w:val="43"/>
    <w:link w:val="35"/>
    <w:qFormat/>
    <w:uiPriority w:val="0"/>
    <w:rPr>
      <w:rFonts w:eastAsia="宋体" w:cstheme="minorBidi"/>
      <w:kern w:val="2"/>
      <w:sz w:val="24"/>
      <w:szCs w:val="22"/>
    </w:rPr>
  </w:style>
  <w:style w:type="paragraph" w:customStyle="1" w:styleId="47">
    <w:name w:val="洪-8级标题"/>
    <w:basedOn w:val="33"/>
    <w:next w:val="33"/>
    <w:qFormat/>
    <w:uiPriority w:val="0"/>
    <w:pPr>
      <w:ind w:firstLine="0" w:firstLineChars="0"/>
    </w:pPr>
  </w:style>
  <w:style w:type="character" w:customStyle="1" w:styleId="48">
    <w:name w:val="洪-5级标题 字符"/>
    <w:qFormat/>
    <w:uiPriority w:val="0"/>
    <w:rPr>
      <w:rFonts w:hint="default" w:ascii="Times New Roman" w:hAnsi="Times New Roman" w:cs="Times New Roman"/>
      <w:kern w:val="2"/>
      <w:sz w:val="24"/>
      <w:szCs w:val="22"/>
    </w:rPr>
  </w:style>
  <w:style w:type="character" w:customStyle="1" w:styleId="49">
    <w:name w:val="页眉 字符"/>
    <w:basedOn w:val="23"/>
    <w:link w:val="16"/>
    <w:qFormat/>
    <w:uiPriority w:val="0"/>
    <w:rPr>
      <w:kern w:val="2"/>
      <w:sz w:val="18"/>
      <w:szCs w:val="18"/>
    </w:rPr>
  </w:style>
  <w:style w:type="character" w:customStyle="1" w:styleId="50">
    <w:name w:val="页脚 字符"/>
    <w:basedOn w:val="23"/>
    <w:link w:val="15"/>
    <w:qFormat/>
    <w:uiPriority w:val="99"/>
    <w:rPr>
      <w:kern w:val="2"/>
      <w:sz w:val="18"/>
      <w:szCs w:val="18"/>
    </w:rPr>
  </w:style>
  <w:style w:type="character" w:customStyle="1" w:styleId="51">
    <w:name w:val="font11"/>
    <w:basedOn w:val="23"/>
    <w:qFormat/>
    <w:uiPriority w:val="0"/>
    <w:rPr>
      <w:rFonts w:hint="eastAsia" w:ascii="宋体" w:hAnsi="宋体" w:eastAsia="宋体"/>
      <w:b/>
      <w:bCs/>
      <w:color w:val="000000"/>
      <w:sz w:val="21"/>
      <w:szCs w:val="21"/>
      <w:u w:val="none"/>
    </w:rPr>
  </w:style>
  <w:style w:type="character" w:customStyle="1" w:styleId="52">
    <w:name w:val="font41"/>
    <w:basedOn w:val="23"/>
    <w:qFormat/>
    <w:uiPriority w:val="0"/>
    <w:rPr>
      <w:rFonts w:hint="default" w:ascii="Times New Roman" w:hAnsi="Times New Roman" w:cs="Times New Roman"/>
      <w:b/>
      <w:bCs/>
      <w:color w:val="000000"/>
      <w:sz w:val="21"/>
      <w:szCs w:val="21"/>
      <w:u w:val="none"/>
    </w:rPr>
  </w:style>
  <w:style w:type="character" w:customStyle="1" w:styleId="53">
    <w:name w:val="font51"/>
    <w:basedOn w:val="23"/>
    <w:qFormat/>
    <w:uiPriority w:val="0"/>
    <w:rPr>
      <w:rFonts w:hint="default" w:ascii="Times New Roman" w:hAnsi="Times New Roman" w:cs="Times New Roman"/>
      <w:b/>
      <w:bCs/>
      <w:color w:val="000000"/>
      <w:sz w:val="21"/>
      <w:szCs w:val="21"/>
      <w:u w:val="none"/>
      <w:vertAlign w:val="superscript"/>
    </w:rPr>
  </w:style>
  <w:style w:type="character" w:customStyle="1" w:styleId="54">
    <w:name w:val="font21"/>
    <w:basedOn w:val="23"/>
    <w:qFormat/>
    <w:uiPriority w:val="0"/>
    <w:rPr>
      <w:rFonts w:hint="default" w:ascii="Times New Roman" w:hAnsi="Times New Roman" w:cs="Times New Roman"/>
      <w:color w:val="000000"/>
      <w:sz w:val="21"/>
      <w:szCs w:val="21"/>
      <w:u w:val="none"/>
    </w:rPr>
  </w:style>
  <w:style w:type="character" w:customStyle="1" w:styleId="55">
    <w:name w:val="font61"/>
    <w:basedOn w:val="23"/>
    <w:qFormat/>
    <w:uiPriority w:val="0"/>
    <w:rPr>
      <w:rFonts w:hint="default" w:ascii="Times New Roman" w:hAnsi="Times New Roman" w:cs="Times New Roman"/>
      <w:color w:val="000000"/>
      <w:sz w:val="21"/>
      <w:szCs w:val="21"/>
      <w:u w:val="none"/>
      <w:vertAlign w:val="subscript"/>
    </w:rPr>
  </w:style>
  <w:style w:type="character" w:customStyle="1" w:styleId="56">
    <w:name w:val="font31"/>
    <w:basedOn w:val="23"/>
    <w:qFormat/>
    <w:uiPriority w:val="0"/>
    <w:rPr>
      <w:rFonts w:hint="eastAsia" w:ascii="宋体" w:hAnsi="宋体" w:eastAsia="宋体"/>
      <w:color w:val="000000"/>
      <w:sz w:val="21"/>
      <w:szCs w:val="21"/>
      <w:u w:val="none"/>
    </w:rPr>
  </w:style>
  <w:style w:type="character" w:customStyle="1" w:styleId="57">
    <w:name w:val="批注主题 字符"/>
    <w:basedOn w:val="39"/>
    <w:link w:val="20"/>
    <w:qFormat/>
    <w:uiPriority w:val="0"/>
    <w:rPr>
      <w:rFonts w:eastAsia="宋体"/>
      <w:b/>
      <w:bCs/>
      <w:kern w:val="2"/>
      <w:sz w:val="24"/>
      <w:szCs w:val="24"/>
    </w:rPr>
  </w:style>
  <w:style w:type="character" w:customStyle="1" w:styleId="58">
    <w:name w:val="日期 字符"/>
    <w:basedOn w:val="23"/>
    <w:qFormat/>
    <w:uiPriority w:val="0"/>
    <w:rPr>
      <w:kern w:val="2"/>
      <w:sz w:val="24"/>
      <w:szCs w:val="24"/>
    </w:rPr>
  </w:style>
  <w:style w:type="character" w:customStyle="1" w:styleId="59">
    <w:name w:val="日期 字符1"/>
    <w:link w:val="14"/>
    <w:qFormat/>
    <w:locked/>
    <w:uiPriority w:val="0"/>
    <w:rPr>
      <w:sz w:val="24"/>
    </w:rPr>
  </w:style>
  <w:style w:type="paragraph" w:customStyle="1" w:styleId="60">
    <w:name w:val="洪-填表"/>
    <w:basedOn w:val="33"/>
    <w:link w:val="61"/>
    <w:qFormat/>
    <w:uiPriority w:val="0"/>
    <w:pPr>
      <w:adjustRightInd w:val="0"/>
      <w:snapToGrid w:val="0"/>
      <w:ind w:firstLine="0" w:firstLineChars="0"/>
      <w:jc w:val="center"/>
    </w:pPr>
    <w:rPr>
      <w:rFonts w:cs="宋体"/>
      <w:kern w:val="0"/>
      <w:szCs w:val="21"/>
    </w:rPr>
  </w:style>
  <w:style w:type="character" w:customStyle="1" w:styleId="61">
    <w:name w:val="洪-填表 字符"/>
    <w:link w:val="60"/>
    <w:qFormat/>
    <w:uiPriority w:val="0"/>
    <w:rPr>
      <w:rFonts w:cs="宋体"/>
      <w:sz w:val="24"/>
      <w:szCs w:val="21"/>
    </w:rPr>
  </w:style>
  <w:style w:type="paragraph" w:customStyle="1" w:styleId="62">
    <w:name w:val="TOC 标题1"/>
    <w:basedOn w:val="2"/>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3">
    <w:name w:val="表头 字符"/>
    <w:basedOn w:val="23"/>
    <w:link w:val="29"/>
    <w:qFormat/>
    <w:uiPriority w:val="0"/>
    <w:rPr>
      <w:b/>
      <w:kern w:val="2"/>
      <w:sz w:val="24"/>
      <w:szCs w:val="24"/>
    </w:rPr>
  </w:style>
  <w:style w:type="character" w:customStyle="1" w:styleId="64">
    <w:name w:val="表内 字符"/>
    <w:basedOn w:val="23"/>
    <w:link w:val="28"/>
    <w:qFormat/>
    <w:uiPriority w:val="0"/>
    <w:rPr>
      <w:kern w:val="2"/>
      <w:sz w:val="21"/>
      <w:szCs w:val="21"/>
    </w:rPr>
  </w:style>
  <w:style w:type="table" w:customStyle="1" w:styleId="65">
    <w:name w:val="Table Normal"/>
    <w:unhideWhenUsed/>
    <w:qFormat/>
    <w:uiPriority w:val="0"/>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66">
    <w:name w:val="Table Paragraph"/>
    <w:basedOn w:val="1"/>
    <w:qFormat/>
    <w:uiPriority w:val="1"/>
    <w:pPr>
      <w:spacing w:line="240" w:lineRule="auto"/>
      <w:ind w:firstLine="0" w:firstLineChars="0"/>
      <w:jc w:val="left"/>
    </w:pPr>
    <w:rPr>
      <w:rFonts w:asciiTheme="minorHAnsi" w:hAnsiTheme="minorHAnsi" w:eastAsiaTheme="minorEastAsia" w:cstheme="minorBidi"/>
      <w:kern w:val="0"/>
      <w:sz w:val="22"/>
      <w:szCs w:val="22"/>
      <w:lang w:eastAsia="en-US"/>
    </w:rPr>
  </w:style>
  <w:style w:type="paragraph" w:customStyle="1" w:styleId="67">
    <w:name w:val="报告表正文-洪"/>
    <w:link w:val="68"/>
    <w:qFormat/>
    <w:uiPriority w:val="0"/>
    <w:pPr>
      <w:spacing w:line="440" w:lineRule="exact"/>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68">
    <w:name w:val="报告表正文-洪 字符"/>
    <w:basedOn w:val="23"/>
    <w:link w:val="67"/>
    <w:qFormat/>
    <w:uiPriority w:val="0"/>
    <w:rPr>
      <w:kern w:val="2"/>
      <w:sz w:val="21"/>
      <w:szCs w:val="24"/>
    </w:rPr>
  </w:style>
  <w:style w:type="paragraph" w:customStyle="1" w:styleId="69">
    <w:name w:val="报告表表头-洪"/>
    <w:next w:val="67"/>
    <w:link w:val="70"/>
    <w:qFormat/>
    <w:uiPriority w:val="0"/>
    <w:pPr>
      <w:spacing w:line="440" w:lineRule="exact"/>
      <w:jc w:val="center"/>
    </w:pPr>
    <w:rPr>
      <w:rFonts w:ascii="Times New Roman" w:hAnsi="Times New Roman" w:eastAsia="宋体" w:cs="Times New Roman"/>
      <w:b/>
      <w:sz w:val="21"/>
      <w:szCs w:val="24"/>
      <w:lang w:val="en-US" w:eastAsia="zh-CN" w:bidi="ar-SA"/>
    </w:rPr>
  </w:style>
  <w:style w:type="character" w:customStyle="1" w:styleId="70">
    <w:name w:val="报告表表头-洪 字符"/>
    <w:basedOn w:val="23"/>
    <w:link w:val="69"/>
    <w:qFormat/>
    <w:uiPriority w:val="0"/>
    <w:rPr>
      <w:b/>
      <w:sz w:val="21"/>
      <w:szCs w:val="24"/>
    </w:rPr>
  </w:style>
  <w:style w:type="paragraph" w:customStyle="1" w:styleId="71">
    <w:name w:val="报告表表内-洪"/>
    <w:next w:val="67"/>
    <w:link w:val="72"/>
    <w:qFormat/>
    <w:uiPriority w:val="0"/>
    <w:pPr>
      <w:spacing w:line="360" w:lineRule="atLeast"/>
      <w:jc w:val="center"/>
    </w:pPr>
    <w:rPr>
      <w:rFonts w:ascii="Times New Roman" w:hAnsi="Times New Roman" w:eastAsia="宋体" w:cs="Times New Roman"/>
      <w:kern w:val="2"/>
      <w:sz w:val="21"/>
      <w:szCs w:val="24"/>
      <w:lang w:val="en-US" w:eastAsia="zh-CN" w:bidi="ar-SA"/>
    </w:rPr>
  </w:style>
  <w:style w:type="character" w:customStyle="1" w:styleId="72">
    <w:name w:val="报告表表内-洪 字符"/>
    <w:basedOn w:val="23"/>
    <w:link w:val="71"/>
    <w:qFormat/>
    <w:uiPriority w:val="0"/>
    <w:rPr>
      <w:kern w:val="2"/>
      <w:sz w:val="21"/>
      <w:szCs w:val="24"/>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17373</Words>
  <Characters>18998</Characters>
  <Lines>171</Lines>
  <Paragraphs>48</Paragraphs>
  <TotalTime>60</TotalTime>
  <ScaleCrop>false</ScaleCrop>
  <LinksUpToDate>false</LinksUpToDate>
  <CharactersWithSpaces>19480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2023-07-11T11:29:00Z</dcterms:created>
  <dc:creator>夏至</dc:creator>
  <cp:lastModifiedBy>user</cp:lastModifiedBy>
  <cp:lastPrinted>2026-07-13T10:18:00Z</cp:lastPrinted>
  <dcterms:modified xsi:type="dcterms:W3CDTF">2026-07-15T10:52:14Z</dcterms:modified>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8B4741E4F07541BC9C11F836C50EA0FA_11</vt:lpwstr>
  </property>
  <property fmtid="{D5CDD505-2E9C-101B-9397-08002B2CF9AE}" pid="4" name="KSOTemplateDocerSaveRecord">
    <vt:lpwstr>eyJoZGlkIjoiOTMwZGY0ZTlkNzYwZmQ3NDU1YjA0NTAwNGE1MjMzMzEiLCJ1c2VySWQiOiIyNzY0NjQwOTEifQ==</vt:lpwstr>
  </property>
</Properties>
</file>