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F15CC">
      <w:pPr>
        <w:keepNext w:val="0"/>
        <w:keepLines w:val="0"/>
        <w:widowControl/>
        <w:suppressLineNumbers w:val="0"/>
        <w:pBdr>
          <w:top w:val="none" w:color="auto" w:sz="0" w:space="0"/>
          <w:left w:val="none" w:color="auto" w:sz="0" w:space="0"/>
          <w:bottom w:val="none" w:color="auto" w:sz="0" w:space="0"/>
          <w:right w:val="none" w:color="auto" w:sz="0" w:space="0"/>
        </w:pBdr>
        <w:tabs>
          <w:tab w:val="center" w:pos="7038"/>
          <w:tab w:val="left" w:pos="13302"/>
        </w:tabs>
        <w:spacing w:before="0" w:beforeAutospacing="0" w:after="0" w:afterAutospacing="0" w:line="480" w:lineRule="atLeast"/>
        <w:ind w:left="0" w:right="0"/>
        <w:jc w:val="left"/>
        <w:outlineLvl w:val="0"/>
        <w:rPr>
          <w:rFonts w:hint="eastAsia" w:ascii="方正小标宋简体" w:hAnsi="方正小标宋简体" w:eastAsia="方正小标宋简体" w:cs="方正小标宋简体"/>
          <w:b/>
          <w:i w:val="0"/>
          <w:caps w:val="0"/>
          <w:color w:val="333333"/>
          <w:spacing w:val="0"/>
          <w:kern w:val="0"/>
          <w:sz w:val="44"/>
          <w:szCs w:val="44"/>
          <w:shd w:val="clear" w:fill="FFFFFF"/>
          <w:lang w:val="en-US" w:eastAsia="zh-CN" w:bidi="ar"/>
        </w:rPr>
      </w:pPr>
      <w:r>
        <w:rPr>
          <w:rFonts w:hint="eastAsia" w:ascii="方正小标宋简体" w:hAnsi="方正小标宋简体" w:eastAsia="方正小标宋简体" w:cs="方正小标宋简体"/>
          <w:b/>
          <w:i w:val="0"/>
          <w:caps w:val="0"/>
          <w:color w:val="333333"/>
          <w:spacing w:val="0"/>
          <w:kern w:val="0"/>
          <w:sz w:val="44"/>
          <w:szCs w:val="44"/>
          <w:shd w:val="clear" w:fill="FFFFFF"/>
          <w:lang w:val="en-US" w:eastAsia="zh-CN" w:bidi="ar"/>
        </w:rPr>
        <w:tab/>
      </w:r>
      <w:r>
        <w:rPr>
          <w:rFonts w:hint="eastAsia" w:ascii="方正小标宋简体" w:hAnsi="方正小标宋简体" w:eastAsia="方正小标宋简体" w:cs="方正小标宋简体"/>
          <w:b/>
          <w:i w:val="0"/>
          <w:caps w:val="0"/>
          <w:color w:val="333333"/>
          <w:spacing w:val="0"/>
          <w:kern w:val="0"/>
          <w:sz w:val="44"/>
          <w:szCs w:val="44"/>
          <w:shd w:val="clear" w:fill="FFFFFF"/>
          <w:lang w:val="en-US" w:eastAsia="zh-CN" w:bidi="ar"/>
        </w:rPr>
        <w:t>关于“香酥紫薯”两个批次问题食品风险控制措施信息的通告</w:t>
      </w:r>
      <w:r>
        <w:rPr>
          <w:rFonts w:hint="eastAsia" w:ascii="方正小标宋简体" w:hAnsi="方正小标宋简体" w:eastAsia="方正小标宋简体" w:cs="方正小标宋简体"/>
          <w:b/>
          <w:i w:val="0"/>
          <w:caps w:val="0"/>
          <w:color w:val="333333"/>
          <w:spacing w:val="0"/>
          <w:kern w:val="0"/>
          <w:sz w:val="44"/>
          <w:szCs w:val="44"/>
          <w:shd w:val="clear" w:fill="FFFFFF"/>
          <w:lang w:val="en-US" w:eastAsia="zh-CN" w:bidi="ar"/>
        </w:rPr>
        <w:tab/>
      </w:r>
    </w:p>
    <w:p w14:paraId="243FE2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sz w:val="24"/>
          <w:szCs w:val="24"/>
        </w:rPr>
      </w:pPr>
      <w:r>
        <w:rPr>
          <w:rFonts w:hint="eastAsia" w:ascii="宋体" w:hAnsi="宋体" w:eastAsia="宋体" w:cs="宋体"/>
          <w:i w:val="0"/>
          <w:caps w:val="0"/>
          <w:color w:val="333333"/>
          <w:spacing w:val="0"/>
          <w:kern w:val="0"/>
          <w:sz w:val="24"/>
          <w:szCs w:val="24"/>
          <w:shd w:val="clear" w:fill="FFFFFF"/>
          <w:lang w:val="en-US" w:eastAsia="zh-CN" w:bidi="ar"/>
        </w:rPr>
        <w:t>　　</w:t>
      </w:r>
      <w:r>
        <w:rPr>
          <w:rFonts w:hint="eastAsia" w:ascii="仿宋_GB2312" w:hAnsi="仿宋_GB2312" w:eastAsia="仿宋_GB2312" w:cs="仿宋_GB2312"/>
          <w:i w:val="0"/>
          <w:caps w:val="0"/>
          <w:color w:val="333333"/>
          <w:spacing w:val="0"/>
          <w:kern w:val="0"/>
          <w:sz w:val="32"/>
          <w:szCs w:val="32"/>
          <w:shd w:val="clear" w:fill="FFFFFF"/>
          <w:lang w:val="en-US" w:eastAsia="zh-CN" w:bidi="ar"/>
        </w:rPr>
        <w:t> </w:t>
      </w:r>
    </w:p>
    <w:p w14:paraId="6389383C">
      <w:pPr>
        <w:ind w:firstLine="640" w:firstLineChars="200"/>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根据国家</w:t>
      </w:r>
      <w:r>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t>食药监管总局食品抽验信息系统信息显示，涉及十八妹（宜良）商贸有限责任公司的不合格食品“香酥紫薯”，现将对上述不合格食品所采取的风险控制措施情况进行公示（详见附件） 。</w:t>
      </w:r>
    </w:p>
    <w:p w14:paraId="2AD3CC2F">
      <w:pPr>
        <w:ind w:firstLine="640" w:firstLineChars="200"/>
        <w:jc w:val="left"/>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pPr>
      <w:r>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t>附件：“香酥紫薯”两个批次问题食品风险控制措施信息公示表</w:t>
      </w:r>
    </w:p>
    <w:p w14:paraId="5761D818">
      <w:pPr>
        <w:rPr>
          <w:rFonts w:hint="eastAsia" w:ascii="仿宋_GB2312" w:hAnsi="仿宋_GB2312" w:eastAsia="仿宋_GB2312" w:cs="仿宋_GB2312"/>
          <w:i w:val="0"/>
          <w:caps w:val="0"/>
          <w:color w:val="333333"/>
          <w:spacing w:val="0"/>
          <w:kern w:val="0"/>
          <w:sz w:val="32"/>
          <w:szCs w:val="32"/>
          <w:shd w:val="clear" w:fill="FFFFFF"/>
          <w:lang w:val="en-US" w:eastAsia="zh-CN" w:bidi="ar"/>
        </w:rPr>
      </w:pPr>
    </w:p>
    <w:p w14:paraId="111A5638">
      <w:pPr>
        <w:rPr>
          <w:rFonts w:hint="eastAsia" w:ascii="仿宋_GB2312" w:hAnsi="仿宋_GB2312" w:eastAsia="仿宋_GB2312" w:cs="仿宋_GB2312"/>
          <w:i w:val="0"/>
          <w:caps w:val="0"/>
          <w:color w:val="333333"/>
          <w:spacing w:val="0"/>
          <w:kern w:val="0"/>
          <w:sz w:val="32"/>
          <w:szCs w:val="32"/>
          <w:shd w:val="clear" w:fill="FFFFFF"/>
          <w:lang w:val="en-US" w:eastAsia="zh-CN" w:bidi="ar"/>
        </w:rPr>
      </w:pPr>
    </w:p>
    <w:p w14:paraId="11912680">
      <w:pPr>
        <w:jc w:val="right"/>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宜良</w:t>
      </w:r>
      <w:r>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t>县市场监督管理局</w:t>
      </w:r>
    </w:p>
    <w:p w14:paraId="006F175F">
      <w:pPr>
        <w:jc w:val="center"/>
        <w:outlineLvl w:val="0"/>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pPr>
      <w:r>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t xml:space="preserve">                                                                    2026年7月13</w:t>
      </w:r>
      <w:bookmarkStart w:id="0" w:name="_GoBack"/>
      <w:bookmarkEnd w:id="0"/>
      <w:r>
        <w:rPr>
          <w:rFonts w:hint="eastAsia" w:ascii="仿宋_GB2312" w:hAnsi="仿宋_GB2312" w:eastAsia="仿宋_GB2312" w:cs="仿宋_GB2312"/>
          <w:i w:val="0"/>
          <w:caps w:val="0"/>
          <w:color w:val="333333"/>
          <w:spacing w:val="0"/>
          <w:kern w:val="0"/>
          <w:sz w:val="32"/>
          <w:szCs w:val="32"/>
          <w:highlight w:val="none"/>
          <w:shd w:val="clear" w:fill="FFFFFF"/>
          <w:lang w:val="en-US" w:eastAsia="zh-CN" w:bidi="ar"/>
        </w:rPr>
        <w:t>日</w:t>
      </w:r>
    </w:p>
    <w:p w14:paraId="733CE3A6">
      <w:pPr>
        <w:jc w:val="left"/>
        <w:rPr>
          <w:rFonts w:hint="eastAsia" w:ascii="仿宋_GB2312" w:hAnsi="仿宋_GB2312" w:eastAsia="仿宋_GB2312" w:cs="仿宋_GB2312"/>
          <w:i w:val="0"/>
          <w:caps w:val="0"/>
          <w:color w:val="333333"/>
          <w:spacing w:val="0"/>
          <w:kern w:val="0"/>
          <w:sz w:val="32"/>
          <w:szCs w:val="32"/>
          <w:shd w:val="clear" w:fill="FFFFFF"/>
          <w:lang w:val="en-US" w:eastAsia="zh-CN" w:bidi="ar"/>
        </w:rPr>
      </w:pPr>
    </w:p>
    <w:p w14:paraId="65257184">
      <w:pPr>
        <w:jc w:val="left"/>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（公开属性：依法公开）</w:t>
      </w:r>
    </w:p>
    <w:p w14:paraId="59132003">
      <w:pPr>
        <w:ind w:firstLine="640" w:firstLineChars="200"/>
        <w:jc w:val="left"/>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caps w:val="0"/>
          <w:color w:val="333333"/>
          <w:spacing w:val="0"/>
          <w:kern w:val="0"/>
          <w:sz w:val="32"/>
          <w:szCs w:val="32"/>
          <w:shd w:val="clear" w:fill="FFFFFF"/>
          <w:lang w:val="en-US" w:eastAsia="zh-CN" w:bidi="ar"/>
        </w:rPr>
        <w:t>附件：</w:t>
      </w:r>
    </w:p>
    <w:p w14:paraId="465647DC">
      <w:pPr>
        <w:ind w:firstLine="720" w:firstLineChars="200"/>
        <w:jc w:val="center"/>
        <w:outlineLvl w:val="0"/>
        <w:rPr>
          <w:rFonts w:hint="eastAsia" w:ascii="仿宋_GB2312" w:hAnsi="仿宋_GB2312" w:eastAsia="仿宋_GB2312" w:cs="仿宋_GB2312"/>
          <w:i w:val="0"/>
          <w:caps w:val="0"/>
          <w:color w:val="333333"/>
          <w:spacing w:val="0"/>
          <w:kern w:val="0"/>
          <w:sz w:val="32"/>
          <w:szCs w:val="32"/>
          <w:shd w:val="clear" w:fill="FFFFFF"/>
          <w:lang w:val="en-US" w:eastAsia="zh-CN" w:bidi="ar"/>
        </w:rPr>
      </w:pPr>
      <w:r>
        <w:rPr>
          <w:rFonts w:hint="eastAsia" w:ascii="方正小标宋简体" w:hAnsi="方正小标宋简体" w:eastAsia="方正小标宋简体" w:cs="方正小标宋简体"/>
          <w:i w:val="0"/>
          <w:caps w:val="0"/>
          <w:color w:val="333333"/>
          <w:spacing w:val="0"/>
          <w:kern w:val="0"/>
          <w:sz w:val="36"/>
          <w:szCs w:val="36"/>
          <w:shd w:val="clear" w:fill="FFFFFF"/>
          <w:lang w:val="en-US" w:eastAsia="zh-CN" w:bidi="ar"/>
        </w:rPr>
        <w:t>“香酥紫薯”</w:t>
      </w:r>
      <w:r>
        <w:rPr>
          <w:rFonts w:hint="eastAsia" w:ascii="方正小标宋简体" w:hAnsi="方正小标宋简体" w:eastAsia="方正小标宋简体" w:cs="方正小标宋简体"/>
          <w:i w:val="0"/>
          <w:caps w:val="0"/>
          <w:color w:val="333333"/>
          <w:spacing w:val="0"/>
          <w:kern w:val="0"/>
          <w:sz w:val="36"/>
          <w:szCs w:val="36"/>
          <w:highlight w:val="none"/>
          <w:shd w:val="clear" w:fill="FFFFFF"/>
          <w:lang w:val="en-US" w:eastAsia="zh-CN" w:bidi="ar"/>
        </w:rPr>
        <w:t>两个批</w:t>
      </w:r>
      <w:r>
        <w:rPr>
          <w:rFonts w:hint="eastAsia" w:ascii="方正小标宋简体" w:hAnsi="方正小标宋简体" w:eastAsia="方正小标宋简体" w:cs="方正小标宋简体"/>
          <w:i w:val="0"/>
          <w:caps w:val="0"/>
          <w:color w:val="333333"/>
          <w:spacing w:val="0"/>
          <w:kern w:val="0"/>
          <w:sz w:val="36"/>
          <w:szCs w:val="36"/>
          <w:shd w:val="clear" w:fill="FFFFFF"/>
          <w:lang w:val="en-US" w:eastAsia="zh-CN" w:bidi="ar"/>
        </w:rPr>
        <w:t>次不合格食品风险控制措施信息公示表</w:t>
      </w:r>
    </w:p>
    <w:tbl>
      <w:tblPr>
        <w:tblStyle w:val="3"/>
        <w:tblW w:w="14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5"/>
        <w:gridCol w:w="1125"/>
        <w:gridCol w:w="1395"/>
        <w:gridCol w:w="1695"/>
        <w:gridCol w:w="1290"/>
        <w:gridCol w:w="1785"/>
        <w:gridCol w:w="1500"/>
        <w:gridCol w:w="2040"/>
        <w:gridCol w:w="2640"/>
      </w:tblGrid>
      <w:tr w14:paraId="41D5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8" w:hRule="atLeast"/>
        </w:trPr>
        <w:tc>
          <w:tcPr>
            <w:tcW w:w="735" w:type="dxa"/>
            <w:vMerge w:val="restart"/>
            <w:shd w:val="clear" w:color="auto" w:fill="auto"/>
            <w:vAlign w:val="center"/>
          </w:tcPr>
          <w:p w14:paraId="7A0D833B">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t>序号</w:t>
            </w:r>
          </w:p>
        </w:tc>
        <w:tc>
          <w:tcPr>
            <w:tcW w:w="7290" w:type="dxa"/>
            <w:gridSpan w:val="5"/>
            <w:shd w:val="clear" w:color="auto" w:fill="auto"/>
            <w:vAlign w:val="center"/>
          </w:tcPr>
          <w:p w14:paraId="58287FC3">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eastAsia="仿宋_GB2312"/>
                <w:b/>
                <w:bCs/>
                <w:sz w:val="28"/>
                <w:szCs w:val="28"/>
                <w:highlight w:val="none"/>
              </w:rPr>
              <w:t>抽检基本情况</w:t>
            </w:r>
          </w:p>
        </w:tc>
        <w:tc>
          <w:tcPr>
            <w:tcW w:w="1500" w:type="dxa"/>
            <w:vMerge w:val="restart"/>
            <w:shd w:val="clear" w:color="auto" w:fill="auto"/>
            <w:vAlign w:val="center"/>
          </w:tcPr>
          <w:p w14:paraId="001D4082">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生产及购销存信息</w:t>
            </w:r>
          </w:p>
        </w:tc>
        <w:tc>
          <w:tcPr>
            <w:tcW w:w="2040" w:type="dxa"/>
            <w:vMerge w:val="restart"/>
            <w:shd w:val="clear" w:color="auto" w:fill="auto"/>
            <w:vAlign w:val="center"/>
          </w:tcPr>
          <w:p w14:paraId="25B56044">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企业采取措施</w:t>
            </w:r>
          </w:p>
        </w:tc>
        <w:tc>
          <w:tcPr>
            <w:tcW w:w="2640" w:type="dxa"/>
            <w:vMerge w:val="restart"/>
            <w:shd w:val="clear" w:color="auto" w:fill="auto"/>
            <w:vAlign w:val="center"/>
          </w:tcPr>
          <w:p w14:paraId="62558A5A">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t>执法部门所采取的的措施</w:t>
            </w:r>
          </w:p>
        </w:tc>
      </w:tr>
      <w:tr w14:paraId="1B9E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35" w:type="dxa"/>
            <w:vMerge w:val="continue"/>
            <w:shd w:val="clear" w:color="auto" w:fill="auto"/>
            <w:vAlign w:val="center"/>
          </w:tcPr>
          <w:p w14:paraId="5F138CED">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pPr>
          </w:p>
        </w:tc>
        <w:tc>
          <w:tcPr>
            <w:tcW w:w="1125" w:type="dxa"/>
            <w:shd w:val="clear" w:color="auto" w:fill="auto"/>
            <w:vAlign w:val="center"/>
          </w:tcPr>
          <w:p w14:paraId="1736B388">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名称/规格</w:t>
            </w:r>
          </w:p>
        </w:tc>
        <w:tc>
          <w:tcPr>
            <w:tcW w:w="1395" w:type="dxa"/>
            <w:shd w:val="clear" w:color="auto" w:fill="auto"/>
            <w:vAlign w:val="center"/>
          </w:tcPr>
          <w:p w14:paraId="58017746">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生产日期</w:t>
            </w:r>
          </w:p>
          <w:p w14:paraId="798CF837">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批号</w:t>
            </w:r>
          </w:p>
        </w:tc>
        <w:tc>
          <w:tcPr>
            <w:tcW w:w="1695" w:type="dxa"/>
            <w:shd w:val="clear" w:color="auto" w:fill="auto"/>
            <w:vAlign w:val="center"/>
          </w:tcPr>
          <w:p w14:paraId="2F931817">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不合格项目</w:t>
            </w:r>
          </w:p>
        </w:tc>
        <w:tc>
          <w:tcPr>
            <w:tcW w:w="1290" w:type="dxa"/>
            <w:shd w:val="clear" w:color="auto" w:fill="auto"/>
            <w:vAlign w:val="center"/>
          </w:tcPr>
          <w:p w14:paraId="70BD0EC0">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被抽样单位及所在地</w:t>
            </w:r>
          </w:p>
        </w:tc>
        <w:tc>
          <w:tcPr>
            <w:tcW w:w="1785" w:type="dxa"/>
            <w:shd w:val="clear" w:color="auto" w:fill="auto"/>
            <w:vAlign w:val="center"/>
          </w:tcPr>
          <w:p w14:paraId="3A2EC849">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t>标示生产企业名称及所在地</w:t>
            </w:r>
          </w:p>
        </w:tc>
        <w:tc>
          <w:tcPr>
            <w:tcW w:w="1500" w:type="dxa"/>
            <w:vMerge w:val="continue"/>
            <w:shd w:val="clear" w:color="auto" w:fill="auto"/>
            <w:vAlign w:val="center"/>
          </w:tcPr>
          <w:p w14:paraId="6002DD05">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p>
        </w:tc>
        <w:tc>
          <w:tcPr>
            <w:tcW w:w="2040" w:type="dxa"/>
            <w:vMerge w:val="continue"/>
            <w:shd w:val="clear" w:color="auto" w:fill="auto"/>
            <w:vAlign w:val="center"/>
          </w:tcPr>
          <w:p w14:paraId="64442D79">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highlight w:val="none"/>
                <w:shd w:val="clear" w:fill="FFFFFF"/>
                <w:vertAlign w:val="baseline"/>
                <w:lang w:val="en-US" w:eastAsia="zh-CN" w:bidi="ar"/>
              </w:rPr>
            </w:pPr>
          </w:p>
        </w:tc>
        <w:tc>
          <w:tcPr>
            <w:tcW w:w="2640" w:type="dxa"/>
            <w:vMerge w:val="continue"/>
            <w:shd w:val="clear" w:color="auto" w:fill="auto"/>
            <w:vAlign w:val="center"/>
          </w:tcPr>
          <w:p w14:paraId="08232943">
            <w:pPr>
              <w:keepNext w:val="0"/>
              <w:keepLines w:val="0"/>
              <w:pageBreakBefore w:val="0"/>
              <w:kinsoku/>
              <w:wordWrap/>
              <w:overflowPunct/>
              <w:topLinePunct w:val="0"/>
              <w:autoSpaceDE/>
              <w:autoSpaceDN/>
              <w:bidi w:val="0"/>
              <w:adjustRightInd/>
              <w:snapToGrid/>
              <w:spacing w:line="0" w:lineRule="atLeast"/>
              <w:jc w:val="center"/>
              <w:rPr>
                <w:rFonts w:hint="eastAsia" w:ascii="仿宋_GB2312" w:hAnsi="仿宋_GB2312" w:eastAsia="仿宋_GB2312" w:cs="仿宋_GB2312"/>
                <w:b/>
                <w:bCs/>
                <w:i w:val="0"/>
                <w:caps w:val="0"/>
                <w:color w:val="333333"/>
                <w:spacing w:val="0"/>
                <w:kern w:val="0"/>
                <w:sz w:val="20"/>
                <w:szCs w:val="20"/>
                <w:shd w:val="clear" w:fill="FFFFFF"/>
                <w:vertAlign w:val="baseline"/>
                <w:lang w:val="en-US" w:eastAsia="zh-CN" w:bidi="ar"/>
              </w:rPr>
            </w:pPr>
          </w:p>
        </w:tc>
      </w:tr>
      <w:tr w14:paraId="11A3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4" w:hRule="atLeast"/>
        </w:trPr>
        <w:tc>
          <w:tcPr>
            <w:tcW w:w="735" w:type="dxa"/>
            <w:shd w:val="clear" w:color="auto" w:fill="auto"/>
            <w:vAlign w:val="center"/>
          </w:tcPr>
          <w:p w14:paraId="35666FEE">
            <w:pPr>
              <w:keepNext w:val="0"/>
              <w:keepLines w:val="0"/>
              <w:pageBreakBefore w:val="0"/>
              <w:kinsoku/>
              <w:wordWrap/>
              <w:overflowPunct/>
              <w:topLinePunct w:val="0"/>
              <w:autoSpaceDE/>
              <w:autoSpaceDN/>
              <w:bidi w:val="0"/>
              <w:adjustRightInd/>
              <w:snapToGrid/>
              <w:spacing w:line="0" w:lineRule="atLeast"/>
              <w:jc w:val="center"/>
              <w:rPr>
                <w:rFonts w:hint="eastAsia" w:ascii="微软雅黑" w:hAnsi="微软雅黑" w:eastAsia="微软雅黑" w:cs="微软雅黑"/>
                <w:i w:val="0"/>
                <w:caps w:val="0"/>
                <w:color w:val="333333"/>
                <w:spacing w:val="0"/>
                <w:kern w:val="0"/>
                <w:sz w:val="16"/>
                <w:szCs w:val="16"/>
                <w:highlight w:val="none"/>
                <w:shd w:val="clear" w:fill="FFFFFF"/>
                <w:vertAlign w:val="baseline"/>
                <w:lang w:val="en-US" w:eastAsia="zh-CN" w:bidi="ar"/>
              </w:rPr>
            </w:pPr>
            <w:r>
              <w:rPr>
                <w:rFonts w:hint="eastAsia" w:ascii="微软雅黑" w:hAnsi="微软雅黑" w:eastAsia="微软雅黑" w:cs="微软雅黑"/>
                <w:i w:val="0"/>
                <w:caps w:val="0"/>
                <w:color w:val="333333"/>
                <w:spacing w:val="0"/>
                <w:kern w:val="0"/>
                <w:sz w:val="16"/>
                <w:szCs w:val="16"/>
                <w:highlight w:val="none"/>
                <w:shd w:val="clear" w:fill="FFFFFF"/>
                <w:vertAlign w:val="baseline"/>
                <w:lang w:val="en-US" w:eastAsia="zh-CN" w:bidi="ar"/>
              </w:rPr>
              <w:t>1</w:t>
            </w:r>
          </w:p>
        </w:tc>
        <w:tc>
          <w:tcPr>
            <w:tcW w:w="1125" w:type="dxa"/>
            <w:shd w:val="clear" w:color="auto" w:fill="auto"/>
            <w:vAlign w:val="center"/>
          </w:tcPr>
          <w:p w14:paraId="338E56CB">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香酥紫薯</w:t>
            </w:r>
          </w:p>
        </w:tc>
        <w:tc>
          <w:tcPr>
            <w:tcW w:w="1395" w:type="dxa"/>
            <w:shd w:val="clear" w:color="auto" w:fill="auto"/>
            <w:vAlign w:val="center"/>
          </w:tcPr>
          <w:p w14:paraId="33CFD357">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2026/2/10</w:t>
            </w:r>
          </w:p>
        </w:tc>
        <w:tc>
          <w:tcPr>
            <w:tcW w:w="1695" w:type="dxa"/>
            <w:shd w:val="clear" w:color="auto" w:fill="auto"/>
            <w:vAlign w:val="center"/>
          </w:tcPr>
          <w:p w14:paraId="0198E6E2">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检验项目： </w:t>
            </w:r>
          </w:p>
          <w:p w14:paraId="15FBAB7C">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二氧化硫残留量，g/kg</w:t>
            </w:r>
          </w:p>
          <w:p w14:paraId="21E8B86F">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标准指标：不得使用       </w:t>
            </w:r>
          </w:p>
          <w:p w14:paraId="5359EC95">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实测值：0.498</w:t>
            </w:r>
          </w:p>
          <w:p w14:paraId="1FDC3E21">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单项判定：不合格        </w:t>
            </w:r>
          </w:p>
          <w:p w14:paraId="64414B6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判定依据：GB 2760-2024《食品安全国家标准 食品添加剂使用标准》</w:t>
            </w:r>
          </w:p>
        </w:tc>
        <w:tc>
          <w:tcPr>
            <w:tcW w:w="1290" w:type="dxa"/>
            <w:shd w:val="clear" w:color="auto" w:fill="auto"/>
            <w:vAlign w:val="center"/>
          </w:tcPr>
          <w:p w14:paraId="148143D9">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名称：十八妹（宜良）商贸有限责任公司    </w:t>
            </w:r>
          </w:p>
          <w:p w14:paraId="35C02859">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地址：云南省昆明市宜良县匡远街道办事处里仁社区居民委员会里仁街土桥6号#102</w:t>
            </w:r>
          </w:p>
        </w:tc>
        <w:tc>
          <w:tcPr>
            <w:tcW w:w="1785" w:type="dxa"/>
            <w:shd w:val="clear" w:color="auto" w:fill="auto"/>
            <w:vAlign w:val="center"/>
          </w:tcPr>
          <w:p w14:paraId="4B8FDD85">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名称：云南源醇食品科   技有限责任公司    地址：云南省昆明市宜良县匡远街道办事处匡远社区居民委员会里仁街土桥6号</w:t>
            </w:r>
          </w:p>
        </w:tc>
        <w:tc>
          <w:tcPr>
            <w:tcW w:w="1500" w:type="dxa"/>
            <w:shd w:val="clear" w:color="auto" w:fill="auto"/>
            <w:vAlign w:val="center"/>
          </w:tcPr>
          <w:p w14:paraId="7A8DD000">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生产/销售环节</w:t>
            </w:r>
          </w:p>
          <w:p w14:paraId="264EDA04">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生产/购进：8袋</w:t>
            </w:r>
          </w:p>
          <w:p w14:paraId="06D17392">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库存：0袋</w:t>
            </w:r>
          </w:p>
          <w:p w14:paraId="0F3482B6">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召回：0袋</w:t>
            </w:r>
          </w:p>
          <w:p w14:paraId="2EC62417">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p>
          <w:p w14:paraId="5BD868D9">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040" w:type="dxa"/>
            <w:shd w:val="clear" w:color="auto" w:fill="auto"/>
            <w:vAlign w:val="center"/>
          </w:tcPr>
          <w:p w14:paraId="442DA2D3">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排查原因并整改，提交整改报告，加大食品安全管理力度</w:t>
            </w:r>
          </w:p>
        </w:tc>
        <w:tc>
          <w:tcPr>
            <w:tcW w:w="2640" w:type="dxa"/>
            <w:shd w:val="clear" w:color="auto" w:fill="auto"/>
            <w:vAlign w:val="center"/>
          </w:tcPr>
          <w:p w14:paraId="3CD024BB">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督促该主体加大食品安全管理力度。</w:t>
            </w:r>
          </w:p>
        </w:tc>
      </w:tr>
      <w:tr w14:paraId="49F2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4" w:hRule="atLeast"/>
        </w:trPr>
        <w:tc>
          <w:tcPr>
            <w:tcW w:w="735" w:type="dxa"/>
            <w:shd w:val="clear" w:color="auto" w:fill="auto"/>
            <w:vAlign w:val="center"/>
          </w:tcPr>
          <w:p w14:paraId="7FAD1EA9">
            <w:pPr>
              <w:keepNext w:val="0"/>
              <w:keepLines w:val="0"/>
              <w:pageBreakBefore w:val="0"/>
              <w:kinsoku/>
              <w:wordWrap/>
              <w:overflowPunct/>
              <w:topLinePunct w:val="0"/>
              <w:autoSpaceDE/>
              <w:autoSpaceDN/>
              <w:bidi w:val="0"/>
              <w:adjustRightInd/>
              <w:snapToGrid/>
              <w:spacing w:line="0" w:lineRule="atLeast"/>
              <w:jc w:val="center"/>
              <w:rPr>
                <w:rFonts w:hint="eastAsia" w:ascii="微软雅黑" w:hAnsi="微软雅黑" w:eastAsia="微软雅黑" w:cs="微软雅黑"/>
                <w:i w:val="0"/>
                <w:caps w:val="0"/>
                <w:color w:val="333333"/>
                <w:spacing w:val="0"/>
                <w:kern w:val="0"/>
                <w:sz w:val="16"/>
                <w:szCs w:val="16"/>
                <w:highlight w:val="none"/>
                <w:shd w:val="clear" w:fill="FFFFFF"/>
                <w:vertAlign w:val="baseline"/>
                <w:lang w:val="en-US" w:eastAsia="zh-CN" w:bidi="ar"/>
              </w:rPr>
            </w:pPr>
            <w:r>
              <w:rPr>
                <w:rFonts w:hint="eastAsia" w:ascii="微软雅黑" w:hAnsi="微软雅黑" w:eastAsia="微软雅黑" w:cs="微软雅黑"/>
                <w:i w:val="0"/>
                <w:caps w:val="0"/>
                <w:color w:val="333333"/>
                <w:spacing w:val="0"/>
                <w:kern w:val="0"/>
                <w:sz w:val="16"/>
                <w:szCs w:val="16"/>
                <w:highlight w:val="none"/>
                <w:shd w:val="clear" w:fill="FFFFFF"/>
                <w:vertAlign w:val="baseline"/>
                <w:lang w:val="en-US" w:eastAsia="zh-CN" w:bidi="ar"/>
              </w:rPr>
              <w:t>2</w:t>
            </w:r>
          </w:p>
        </w:tc>
        <w:tc>
          <w:tcPr>
            <w:tcW w:w="1125" w:type="dxa"/>
            <w:shd w:val="clear" w:color="auto" w:fill="auto"/>
            <w:vAlign w:val="center"/>
          </w:tcPr>
          <w:p w14:paraId="7C01632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沃柑</w:t>
            </w:r>
          </w:p>
        </w:tc>
        <w:tc>
          <w:tcPr>
            <w:tcW w:w="1395" w:type="dxa"/>
            <w:shd w:val="clear" w:color="auto" w:fill="auto"/>
            <w:vAlign w:val="center"/>
          </w:tcPr>
          <w:p w14:paraId="356D23E6">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2026/4/27</w:t>
            </w:r>
          </w:p>
        </w:tc>
        <w:tc>
          <w:tcPr>
            <w:tcW w:w="1695" w:type="dxa"/>
            <w:shd w:val="clear" w:color="auto" w:fill="auto"/>
            <w:vAlign w:val="center"/>
          </w:tcPr>
          <w:p w14:paraId="29CCF1DF">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检验项目： </w:t>
            </w:r>
          </w:p>
          <w:p w14:paraId="39C72F5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联苯菊酯, mg/kg</w:t>
            </w:r>
          </w:p>
          <w:p w14:paraId="3A8951C4">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标准指标：≤0.05         </w:t>
            </w:r>
          </w:p>
          <w:p w14:paraId="34060811">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实测值：0.14</w:t>
            </w:r>
          </w:p>
          <w:p w14:paraId="2B78F99C">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单项判定：不合格        </w:t>
            </w:r>
          </w:p>
          <w:p w14:paraId="29A124E7">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判定依据：GB 2763-2026《食品安全国家标准 食品中农药最大残留限量》</w:t>
            </w:r>
          </w:p>
        </w:tc>
        <w:tc>
          <w:tcPr>
            <w:tcW w:w="1290" w:type="dxa"/>
            <w:shd w:val="clear" w:color="auto" w:fill="auto"/>
            <w:vAlign w:val="center"/>
          </w:tcPr>
          <w:p w14:paraId="096C7DC2">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 xml:space="preserve">名称：宜良张顶祥水果摊    </w:t>
            </w:r>
          </w:p>
          <w:p w14:paraId="4188FE90">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地址：云南省昆明市宜良县匡远街道办粑粑村农贸市场</w:t>
            </w:r>
          </w:p>
        </w:tc>
        <w:tc>
          <w:tcPr>
            <w:tcW w:w="1785" w:type="dxa"/>
            <w:shd w:val="clear" w:color="auto" w:fill="auto"/>
            <w:vAlign w:val="center"/>
          </w:tcPr>
          <w:p w14:paraId="0A0EA3A5">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center"/>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w:t>
            </w:r>
          </w:p>
        </w:tc>
        <w:tc>
          <w:tcPr>
            <w:tcW w:w="1500" w:type="dxa"/>
            <w:shd w:val="clear" w:color="auto" w:fill="auto"/>
            <w:vAlign w:val="center"/>
          </w:tcPr>
          <w:p w14:paraId="089B8BFB">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销售环节</w:t>
            </w:r>
          </w:p>
          <w:p w14:paraId="75C39AB1">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购进：51kg</w:t>
            </w:r>
          </w:p>
          <w:p w14:paraId="53C2786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库存：0kg</w:t>
            </w:r>
          </w:p>
          <w:p w14:paraId="737DD4BB">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default"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召回：0kg</w:t>
            </w:r>
          </w:p>
          <w:p w14:paraId="39C2E0C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p>
          <w:p w14:paraId="510B9E88">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p>
        </w:tc>
        <w:tc>
          <w:tcPr>
            <w:tcW w:w="2040" w:type="dxa"/>
            <w:shd w:val="clear" w:color="auto" w:fill="auto"/>
            <w:vAlign w:val="center"/>
          </w:tcPr>
          <w:p w14:paraId="20141493">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排查原因并整改，提交整改报告，加大食品安全管理力度</w:t>
            </w:r>
          </w:p>
        </w:tc>
        <w:tc>
          <w:tcPr>
            <w:tcW w:w="2640" w:type="dxa"/>
            <w:shd w:val="clear" w:color="auto" w:fill="auto"/>
            <w:vAlign w:val="center"/>
          </w:tcPr>
          <w:p w14:paraId="091C6280">
            <w:pPr>
              <w:keepNext w:val="0"/>
              <w:keepLines w:val="0"/>
              <w:pageBreakBefore w:val="0"/>
              <w:widowControl/>
              <w:suppressLineNumbers w:val="0"/>
              <w:kinsoku/>
              <w:wordWrap/>
              <w:overflowPunct/>
              <w:topLinePunct w:val="0"/>
              <w:autoSpaceDE/>
              <w:autoSpaceDN/>
              <w:bidi w:val="0"/>
              <w:adjustRightInd/>
              <w:snapToGrid/>
              <w:spacing w:after="180" w:afterAutospacing="0" w:line="0" w:lineRule="atLeast"/>
              <w:jc w:val="both"/>
              <w:textAlignment w:val="center"/>
              <w:rPr>
                <w:rFonts w:hint="eastAsia" w:ascii="微软雅黑" w:hAnsi="微软雅黑" w:eastAsia="微软雅黑" w:cs="微软雅黑"/>
                <w:i w:val="0"/>
                <w:iCs w:val="0"/>
                <w:color w:val="000000"/>
                <w:kern w:val="0"/>
                <w:sz w:val="16"/>
                <w:szCs w:val="16"/>
                <w:u w:val="none"/>
                <w:lang w:val="en-US" w:eastAsia="zh-CN" w:bidi="ar"/>
              </w:rPr>
            </w:pPr>
            <w:r>
              <w:rPr>
                <w:rFonts w:hint="eastAsia" w:ascii="微软雅黑" w:hAnsi="微软雅黑" w:eastAsia="微软雅黑" w:cs="微软雅黑"/>
                <w:i w:val="0"/>
                <w:iCs w:val="0"/>
                <w:color w:val="000000"/>
                <w:kern w:val="0"/>
                <w:sz w:val="16"/>
                <w:szCs w:val="16"/>
                <w:u w:val="none"/>
                <w:lang w:val="en-US" w:eastAsia="zh-CN" w:bidi="ar"/>
              </w:rPr>
              <w:t>督促该主体加大食品安全管理力度。</w:t>
            </w:r>
          </w:p>
        </w:tc>
      </w:tr>
    </w:tbl>
    <w:p w14:paraId="1E39FFEB">
      <w:pPr>
        <w:jc w:val="left"/>
        <w:rPr>
          <w:rFonts w:hint="eastAsia" w:ascii="仿宋_GB2312" w:hAnsi="仿宋_GB2312" w:eastAsia="仿宋_GB2312" w:cs="仿宋_GB2312"/>
          <w:i w:val="0"/>
          <w:caps w:val="0"/>
          <w:color w:val="333333"/>
          <w:spacing w:val="0"/>
          <w:kern w:val="0"/>
          <w:sz w:val="32"/>
          <w:szCs w:val="32"/>
          <w:shd w:val="clear" w:fill="FFFFFF"/>
          <w:lang w:val="en-US" w:eastAsia="zh-CN" w:bidi="ar"/>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mYTY1MGEzMDQ4MzAwYjRkODcwYjYwMDBlOTU3ODEifQ=="/>
  </w:docVars>
  <w:rsids>
    <w:rsidRoot w:val="774368F1"/>
    <w:rsid w:val="00A83933"/>
    <w:rsid w:val="01223243"/>
    <w:rsid w:val="018B03AB"/>
    <w:rsid w:val="033829E1"/>
    <w:rsid w:val="035244AA"/>
    <w:rsid w:val="04842EF4"/>
    <w:rsid w:val="05014C42"/>
    <w:rsid w:val="0578469A"/>
    <w:rsid w:val="05C46F44"/>
    <w:rsid w:val="06091E42"/>
    <w:rsid w:val="06877550"/>
    <w:rsid w:val="06AF563D"/>
    <w:rsid w:val="06E07C5A"/>
    <w:rsid w:val="07143973"/>
    <w:rsid w:val="09845C4B"/>
    <w:rsid w:val="0A756EBC"/>
    <w:rsid w:val="0A924A8D"/>
    <w:rsid w:val="0B69493F"/>
    <w:rsid w:val="0C5C7774"/>
    <w:rsid w:val="0CCC311F"/>
    <w:rsid w:val="0D0D31A1"/>
    <w:rsid w:val="0E2570B4"/>
    <w:rsid w:val="0E663E31"/>
    <w:rsid w:val="0E705361"/>
    <w:rsid w:val="0EB607F6"/>
    <w:rsid w:val="0ED84B46"/>
    <w:rsid w:val="0F386404"/>
    <w:rsid w:val="0F536CC1"/>
    <w:rsid w:val="0FE25A03"/>
    <w:rsid w:val="101F45F3"/>
    <w:rsid w:val="10727CEF"/>
    <w:rsid w:val="11ED6706"/>
    <w:rsid w:val="124D0FFB"/>
    <w:rsid w:val="1293393D"/>
    <w:rsid w:val="13ED1585"/>
    <w:rsid w:val="14155F3C"/>
    <w:rsid w:val="148709AA"/>
    <w:rsid w:val="149B7444"/>
    <w:rsid w:val="153320AA"/>
    <w:rsid w:val="153B3712"/>
    <w:rsid w:val="15A46B03"/>
    <w:rsid w:val="15DF760C"/>
    <w:rsid w:val="169E39E2"/>
    <w:rsid w:val="16DF5CA2"/>
    <w:rsid w:val="17081197"/>
    <w:rsid w:val="177F5E75"/>
    <w:rsid w:val="17A60882"/>
    <w:rsid w:val="180576A9"/>
    <w:rsid w:val="18287B05"/>
    <w:rsid w:val="19742C91"/>
    <w:rsid w:val="1AC15F3D"/>
    <w:rsid w:val="1ADF62DB"/>
    <w:rsid w:val="1BC16CEB"/>
    <w:rsid w:val="1CDB2D58"/>
    <w:rsid w:val="1D0B0F73"/>
    <w:rsid w:val="1D171300"/>
    <w:rsid w:val="1DBB791C"/>
    <w:rsid w:val="1E13091C"/>
    <w:rsid w:val="1E44446D"/>
    <w:rsid w:val="20657E9B"/>
    <w:rsid w:val="21093CBF"/>
    <w:rsid w:val="212A3763"/>
    <w:rsid w:val="21592467"/>
    <w:rsid w:val="22870224"/>
    <w:rsid w:val="22AD796A"/>
    <w:rsid w:val="246A409A"/>
    <w:rsid w:val="24AC4DE1"/>
    <w:rsid w:val="24BF6EA2"/>
    <w:rsid w:val="25902459"/>
    <w:rsid w:val="26825140"/>
    <w:rsid w:val="291438AF"/>
    <w:rsid w:val="291525D3"/>
    <w:rsid w:val="29AC4285"/>
    <w:rsid w:val="2A8B6D16"/>
    <w:rsid w:val="2AAA5271"/>
    <w:rsid w:val="2ADA26ED"/>
    <w:rsid w:val="2C717045"/>
    <w:rsid w:val="2CE33F5E"/>
    <w:rsid w:val="2DB274D7"/>
    <w:rsid w:val="2E0126F5"/>
    <w:rsid w:val="2EED519C"/>
    <w:rsid w:val="2F70244C"/>
    <w:rsid w:val="2FF13D8F"/>
    <w:rsid w:val="30697FA2"/>
    <w:rsid w:val="309B0BCA"/>
    <w:rsid w:val="30EA4189"/>
    <w:rsid w:val="319419D8"/>
    <w:rsid w:val="31AC38E8"/>
    <w:rsid w:val="31FB1444"/>
    <w:rsid w:val="32B640E0"/>
    <w:rsid w:val="34381245"/>
    <w:rsid w:val="343935EB"/>
    <w:rsid w:val="347C0AA2"/>
    <w:rsid w:val="34CB38DF"/>
    <w:rsid w:val="35530373"/>
    <w:rsid w:val="35E4587E"/>
    <w:rsid w:val="35F26B2D"/>
    <w:rsid w:val="35F9419A"/>
    <w:rsid w:val="384F5186"/>
    <w:rsid w:val="39692AFD"/>
    <w:rsid w:val="396E526F"/>
    <w:rsid w:val="39A60029"/>
    <w:rsid w:val="39D373F9"/>
    <w:rsid w:val="3A397D4C"/>
    <w:rsid w:val="3A3D0A74"/>
    <w:rsid w:val="3A452B41"/>
    <w:rsid w:val="3A7B3876"/>
    <w:rsid w:val="3AA8708E"/>
    <w:rsid w:val="3C754345"/>
    <w:rsid w:val="3CC40891"/>
    <w:rsid w:val="3DB2638A"/>
    <w:rsid w:val="3E2E39B4"/>
    <w:rsid w:val="40557159"/>
    <w:rsid w:val="409B21D6"/>
    <w:rsid w:val="41883237"/>
    <w:rsid w:val="423B1801"/>
    <w:rsid w:val="42826913"/>
    <w:rsid w:val="42FA3CC5"/>
    <w:rsid w:val="431C2D3B"/>
    <w:rsid w:val="43232A93"/>
    <w:rsid w:val="434308A0"/>
    <w:rsid w:val="43FA1115"/>
    <w:rsid w:val="4432303F"/>
    <w:rsid w:val="45674C02"/>
    <w:rsid w:val="458D4A6E"/>
    <w:rsid w:val="45C45814"/>
    <w:rsid w:val="46237A8D"/>
    <w:rsid w:val="466552C8"/>
    <w:rsid w:val="46EE25DD"/>
    <w:rsid w:val="48982C8E"/>
    <w:rsid w:val="48B850F6"/>
    <w:rsid w:val="494F562B"/>
    <w:rsid w:val="499556B2"/>
    <w:rsid w:val="49A30382"/>
    <w:rsid w:val="49BC0E4C"/>
    <w:rsid w:val="49F5555D"/>
    <w:rsid w:val="4A795B46"/>
    <w:rsid w:val="4B992E47"/>
    <w:rsid w:val="4BAD4800"/>
    <w:rsid w:val="4C4C3938"/>
    <w:rsid w:val="4E1B1742"/>
    <w:rsid w:val="4F9A7C29"/>
    <w:rsid w:val="502B280C"/>
    <w:rsid w:val="513163E8"/>
    <w:rsid w:val="51AA6D13"/>
    <w:rsid w:val="52607071"/>
    <w:rsid w:val="52FD2322"/>
    <w:rsid w:val="53DB7598"/>
    <w:rsid w:val="543B3C17"/>
    <w:rsid w:val="556B4924"/>
    <w:rsid w:val="56BF4503"/>
    <w:rsid w:val="56E7469A"/>
    <w:rsid w:val="58E93661"/>
    <w:rsid w:val="590C4EBC"/>
    <w:rsid w:val="590E7A96"/>
    <w:rsid w:val="59EC56BB"/>
    <w:rsid w:val="5A224BB8"/>
    <w:rsid w:val="5A551F11"/>
    <w:rsid w:val="5AAF0BD7"/>
    <w:rsid w:val="5AAF4057"/>
    <w:rsid w:val="5C9B3469"/>
    <w:rsid w:val="5D2C1E45"/>
    <w:rsid w:val="5D305CC0"/>
    <w:rsid w:val="5E6E3992"/>
    <w:rsid w:val="62302962"/>
    <w:rsid w:val="623C318E"/>
    <w:rsid w:val="624839FE"/>
    <w:rsid w:val="63C173BA"/>
    <w:rsid w:val="653F4014"/>
    <w:rsid w:val="65F30AA8"/>
    <w:rsid w:val="66583916"/>
    <w:rsid w:val="666E5131"/>
    <w:rsid w:val="669D111B"/>
    <w:rsid w:val="66D070BB"/>
    <w:rsid w:val="676003F0"/>
    <w:rsid w:val="67A105B0"/>
    <w:rsid w:val="68692766"/>
    <w:rsid w:val="690D143F"/>
    <w:rsid w:val="693C6A1C"/>
    <w:rsid w:val="697A6F32"/>
    <w:rsid w:val="6A300611"/>
    <w:rsid w:val="6AB301FD"/>
    <w:rsid w:val="6C1B069F"/>
    <w:rsid w:val="6D0B7D08"/>
    <w:rsid w:val="6D192697"/>
    <w:rsid w:val="6DB34002"/>
    <w:rsid w:val="6E046527"/>
    <w:rsid w:val="6E1C7A14"/>
    <w:rsid w:val="6F407241"/>
    <w:rsid w:val="6FED162F"/>
    <w:rsid w:val="71497B8E"/>
    <w:rsid w:val="71685058"/>
    <w:rsid w:val="729C7C9E"/>
    <w:rsid w:val="73EC456E"/>
    <w:rsid w:val="746A1042"/>
    <w:rsid w:val="747024BF"/>
    <w:rsid w:val="74A975B7"/>
    <w:rsid w:val="74C17419"/>
    <w:rsid w:val="74F518D3"/>
    <w:rsid w:val="750C1853"/>
    <w:rsid w:val="7718492D"/>
    <w:rsid w:val="77316EF5"/>
    <w:rsid w:val="774368F1"/>
    <w:rsid w:val="780B4FE0"/>
    <w:rsid w:val="79A43BF1"/>
    <w:rsid w:val="7B7B4E8E"/>
    <w:rsid w:val="7CA66D23"/>
    <w:rsid w:val="7CDE126B"/>
    <w:rsid w:val="7CF06BEA"/>
    <w:rsid w:val="7D2828A8"/>
    <w:rsid w:val="7D8F6DB2"/>
    <w:rsid w:val="7DA96F94"/>
    <w:rsid w:val="7E1E6933"/>
    <w:rsid w:val="7EC075D0"/>
    <w:rsid w:val="7F421B03"/>
    <w:rsid w:val="7F8B2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昆明市宜良县党政机关单位</Company>
  <Pages>3</Pages>
  <Words>663</Words>
  <Characters>728</Characters>
  <Lines>0</Lines>
  <Paragraphs>0</Paragraphs>
  <TotalTime>7</TotalTime>
  <ScaleCrop>false</ScaleCrop>
  <LinksUpToDate>false</LinksUpToDate>
  <CharactersWithSpaces>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2021-02-09T07:29:00Z</dcterms:created>
  <dc:creator>101</dc:creator>
  <cp:lastModifiedBy>KY2627</cp:lastModifiedBy>
  <dcterms:modified xsi:type="dcterms:W3CDTF">2026-07-13T01:35:10Z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D3C17B042D6C41F696804D12513155EC_13</vt:lpwstr>
  </property>
  <property fmtid="{D5CDD505-2E9C-101B-9397-08002B2CF9AE}" pid="4" name="KSOTemplateDocerSaveRecord">
    <vt:lpwstr>eyJoZGlkIjoiYzZiY2JiODYwMjJhMDQwYmE1ZDRkZWE1YTU4YjBkOTMifQ==</vt:lpwstr>
  </property>
</Properties>
</file>