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E39E7">
      <w:pPr>
        <w:bidi w:val="0"/>
        <w:rPr>
          <w:rFonts w:hint="default" w:ascii="Times New Roman" w:hAnsi="Times New Roman" w:eastAsia="宋体" w:cs="Times New Roman"/>
          <w:color w:val="auto"/>
        </w:rPr>
      </w:pPr>
      <w:bookmarkStart w:id="0" w:name="_Toc27577"/>
      <w:bookmarkStart w:id="1" w:name="_Toc10516"/>
      <w:bookmarkStart w:id="2" w:name="_Toc26897"/>
      <w:bookmarkStart w:id="3" w:name="_Toc69726037"/>
    </w:p>
    <w:p w14:paraId="02DF8764">
      <w:pPr>
        <w:jc w:val="center"/>
        <w:rPr>
          <w:rFonts w:hint="default" w:ascii="Times New Roman" w:hAnsi="Times New Roman" w:eastAsia="宋体" w:cs="Times New Roman"/>
          <w:color w:val="auto"/>
          <w:sz w:val="72"/>
          <w:szCs w:val="72"/>
        </w:rPr>
      </w:pPr>
      <w:r>
        <w:rPr>
          <w:rFonts w:hint="default" w:ascii="Times New Roman" w:hAnsi="Times New Roman" w:eastAsia="宋体" w:cs="Times New Roman"/>
          <w:color w:val="auto"/>
          <w:sz w:val="72"/>
          <w:szCs w:val="72"/>
        </w:rPr>
        <w:t>建设项目环境影响报告表</w:t>
      </w:r>
      <w:bookmarkEnd w:id="0"/>
      <w:bookmarkEnd w:id="1"/>
      <w:bookmarkEnd w:id="2"/>
    </w:p>
    <w:p w14:paraId="14026F33">
      <w:pPr>
        <w:adjustRightInd w:val="0"/>
        <w:snapToGrid w:val="0"/>
        <w:spacing w:beforeLines="80"/>
        <w:jc w:val="center"/>
        <w:rPr>
          <w:rFonts w:hint="default" w:ascii="Times New Roman" w:hAnsi="Times New Roman" w:eastAsia="宋体" w:cs="Times New Roman"/>
          <w:bCs/>
          <w:color w:val="auto"/>
          <w:sz w:val="48"/>
          <w:szCs w:val="48"/>
        </w:rPr>
      </w:pPr>
      <w:r>
        <w:rPr>
          <w:rFonts w:hint="default" w:ascii="Times New Roman" w:hAnsi="Times New Roman" w:eastAsia="宋体" w:cs="Times New Roman"/>
          <w:bCs/>
          <w:color w:val="auto"/>
          <w:sz w:val="48"/>
          <w:szCs w:val="48"/>
        </w:rPr>
        <w:t>（污染影响类）</w:t>
      </w:r>
    </w:p>
    <w:p w14:paraId="3F016123">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imes New Roman" w:hAnsi="Times New Roman" w:eastAsia="宋体" w:cs="Times New Roman"/>
          <w:color w:val="auto"/>
          <w:sz w:val="44"/>
          <w:szCs w:val="44"/>
          <w:lang w:eastAsia="zh-CN"/>
        </w:rPr>
      </w:pPr>
      <w:r>
        <w:rPr>
          <w:rFonts w:hint="eastAsia" w:cs="Times New Roman"/>
          <w:color w:val="auto"/>
          <w:sz w:val="44"/>
          <w:szCs w:val="44"/>
          <w:lang w:eastAsia="zh-CN"/>
        </w:rPr>
        <w:t>（</w:t>
      </w:r>
      <w:r>
        <w:rPr>
          <w:rFonts w:hint="eastAsia" w:cs="Times New Roman"/>
          <w:color w:val="auto"/>
          <w:sz w:val="44"/>
          <w:szCs w:val="44"/>
          <w:lang w:val="en-US" w:eastAsia="zh-CN"/>
        </w:rPr>
        <w:t>送审稿</w:t>
      </w:r>
      <w:r>
        <w:rPr>
          <w:rFonts w:hint="eastAsia" w:cs="Times New Roman"/>
          <w:color w:val="auto"/>
          <w:sz w:val="44"/>
          <w:szCs w:val="44"/>
          <w:lang w:eastAsia="zh-CN"/>
        </w:rPr>
        <w:t>）</w:t>
      </w:r>
    </w:p>
    <w:p w14:paraId="18B1E04D">
      <w:pPr>
        <w:ind w:firstLine="1040"/>
        <w:rPr>
          <w:rFonts w:hint="default" w:ascii="Times New Roman" w:hAnsi="Times New Roman" w:eastAsia="宋体" w:cs="Times New Roman"/>
          <w:color w:val="auto"/>
          <w:sz w:val="44"/>
          <w:szCs w:val="44"/>
        </w:rPr>
      </w:pPr>
    </w:p>
    <w:p w14:paraId="3AD53DC6">
      <w:pPr>
        <w:ind w:firstLine="1040"/>
        <w:rPr>
          <w:rFonts w:hint="default" w:ascii="Times New Roman" w:hAnsi="Times New Roman" w:eastAsia="宋体" w:cs="Times New Roman"/>
          <w:color w:val="auto"/>
          <w:sz w:val="44"/>
          <w:szCs w:val="44"/>
        </w:rPr>
      </w:pPr>
    </w:p>
    <w:p w14:paraId="25B7DA2B">
      <w:pPr>
        <w:bidi w:val="0"/>
        <w:rPr>
          <w:rFonts w:hint="default" w:ascii="Times New Roman" w:hAnsi="Times New Roman" w:eastAsia="宋体" w:cs="Times New Roman"/>
          <w:color w:val="auto"/>
        </w:rPr>
      </w:pPr>
    </w:p>
    <w:p w14:paraId="23CE6647">
      <w:pPr>
        <w:bidi w:val="0"/>
        <w:rPr>
          <w:rFonts w:hint="default" w:ascii="Times New Roman" w:hAnsi="Times New Roman" w:eastAsia="宋体" w:cs="Times New Roman"/>
          <w:color w:val="auto"/>
        </w:rPr>
      </w:pPr>
    </w:p>
    <w:p w14:paraId="2EEA2B5A">
      <w:pPr>
        <w:ind w:firstLine="1040"/>
        <w:rPr>
          <w:rFonts w:hint="default" w:ascii="Times New Roman" w:hAnsi="Times New Roman" w:eastAsia="宋体" w:cs="Times New Roman"/>
          <w:color w:val="auto"/>
          <w:sz w:val="44"/>
          <w:szCs w:val="44"/>
        </w:rPr>
      </w:pPr>
    </w:p>
    <w:p w14:paraId="5B81A7DE">
      <w:pPr>
        <w:bidi w:val="0"/>
        <w:rPr>
          <w:rFonts w:hint="default" w:ascii="Times New Roman" w:hAnsi="Times New Roman" w:eastAsia="宋体" w:cs="Times New Roman"/>
          <w:color w:val="auto"/>
        </w:rPr>
      </w:pPr>
    </w:p>
    <w:p w14:paraId="4328F73C">
      <w:pPr>
        <w:rPr>
          <w:rFonts w:hint="default" w:ascii="Times New Roman" w:hAnsi="Times New Roman" w:eastAsia="宋体" w:cs="Times New Roman"/>
          <w:color w:val="auto"/>
        </w:rPr>
      </w:pPr>
    </w:p>
    <w:p w14:paraId="033B7D0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auto"/>
          <w:sz w:val="36"/>
          <w:szCs w:val="36"/>
        </w:rPr>
      </w:pPr>
    </w:p>
    <w:p w14:paraId="23EB962B">
      <w:pPr>
        <w:keepNext w:val="0"/>
        <w:keepLines w:val="0"/>
        <w:pageBreakBefore w:val="0"/>
        <w:widowControl w:val="0"/>
        <w:kinsoku/>
        <w:wordWrap/>
        <w:overflowPunct/>
        <w:topLinePunct w:val="0"/>
        <w:autoSpaceDE/>
        <w:autoSpaceDN/>
        <w:bidi w:val="0"/>
        <w:adjustRightInd w:val="0"/>
        <w:snapToGrid w:val="0"/>
        <w:spacing w:line="360" w:lineRule="auto"/>
        <w:ind w:left="2518" w:leftChars="342" w:hanging="1800" w:hangingChars="500"/>
        <w:jc w:val="both"/>
        <w:textAlignment w:val="auto"/>
        <w:rPr>
          <w:rFonts w:hint="default" w:ascii="Times New Roman" w:hAnsi="Times New Roman" w:eastAsia="宋体" w:cs="Times New Roman"/>
          <w:color w:val="auto"/>
          <w:sz w:val="36"/>
          <w:szCs w:val="36"/>
          <w:u w:val="single"/>
          <w:lang w:val="en-US" w:eastAsia="zh-CN"/>
        </w:rPr>
      </w:pPr>
      <w:r>
        <w:rPr>
          <w:rFonts w:hint="default" w:ascii="Times New Roman" w:hAnsi="Times New Roman" w:eastAsia="宋体" w:cs="Times New Roman"/>
          <w:color w:val="auto"/>
          <w:sz w:val="36"/>
          <w:szCs w:val="36"/>
        </w:rPr>
        <w:t>项目名称：</w:t>
      </w:r>
      <w:r>
        <w:rPr>
          <w:rFonts w:hint="default" w:ascii="Times New Roman" w:hAnsi="Times New Roman" w:eastAsia="宋体" w:cs="Times New Roman"/>
          <w:color w:val="auto"/>
          <w:sz w:val="36"/>
          <w:szCs w:val="36"/>
          <w:u w:val="single"/>
          <w:lang w:eastAsia="zh-CN"/>
        </w:rPr>
        <w:t>云南李好纸业有限公司10t/h燃煤锅炉更换为10.5t/h燃生物质锅炉改建项目</w:t>
      </w:r>
      <w:r>
        <w:rPr>
          <w:rFonts w:hint="default" w:ascii="Times New Roman" w:hAnsi="Times New Roman" w:eastAsia="宋体" w:cs="Times New Roman"/>
          <w:color w:val="auto"/>
          <w:sz w:val="36"/>
          <w:szCs w:val="36"/>
          <w:u w:val="single"/>
          <w:lang w:val="en-US" w:eastAsia="zh-CN"/>
        </w:rPr>
        <w:t xml:space="preserve">        </w:t>
      </w:r>
    </w:p>
    <w:p w14:paraId="2A7DF21F">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200"/>
        <w:jc w:val="both"/>
        <w:textAlignment w:val="auto"/>
        <w:rPr>
          <w:rFonts w:hint="default" w:ascii="Times New Roman" w:hAnsi="Times New Roman" w:eastAsia="宋体" w:cs="Times New Roman"/>
          <w:color w:val="auto"/>
          <w:sz w:val="36"/>
          <w:szCs w:val="36"/>
          <w:u w:val="single"/>
          <w:lang w:val="en-US" w:eastAsia="zh-CN"/>
        </w:rPr>
      </w:pPr>
      <w:r>
        <w:rPr>
          <w:rFonts w:hint="default" w:ascii="Times New Roman" w:hAnsi="Times New Roman" w:eastAsia="宋体" w:cs="Times New Roman"/>
          <w:color w:val="auto"/>
          <w:sz w:val="36"/>
          <w:szCs w:val="36"/>
        </w:rPr>
        <w:t>建设单位（盖章）：</w:t>
      </w:r>
      <w:r>
        <w:rPr>
          <w:rFonts w:hint="default" w:ascii="Times New Roman" w:hAnsi="Times New Roman" w:eastAsia="宋体" w:cs="Times New Roman"/>
          <w:color w:val="auto"/>
          <w:sz w:val="36"/>
          <w:szCs w:val="36"/>
          <w:u w:val="single"/>
          <w:lang w:eastAsia="zh-CN"/>
        </w:rPr>
        <w:t>云南李好纸业有限公司</w:t>
      </w:r>
      <w:r>
        <w:rPr>
          <w:rFonts w:hint="default" w:ascii="Times New Roman" w:hAnsi="Times New Roman" w:eastAsia="宋体" w:cs="Times New Roman"/>
          <w:color w:val="auto"/>
          <w:sz w:val="36"/>
          <w:szCs w:val="36"/>
          <w:u w:val="single"/>
          <w:lang w:val="en-US" w:eastAsia="zh-CN"/>
        </w:rPr>
        <w:t xml:space="preserve">     </w:t>
      </w:r>
    </w:p>
    <w:p w14:paraId="78FC02DC">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200"/>
        <w:jc w:val="both"/>
        <w:textAlignment w:val="auto"/>
        <w:rPr>
          <w:rFonts w:hint="default" w:ascii="Times New Roman" w:hAnsi="Times New Roman" w:eastAsia="宋体" w:cs="Times New Roman"/>
          <w:color w:val="auto"/>
          <w:sz w:val="36"/>
          <w:szCs w:val="36"/>
          <w:u w:val="single"/>
          <w:lang w:val="en-US" w:eastAsia="zh-CN"/>
        </w:rPr>
      </w:pPr>
      <w:r>
        <w:rPr>
          <w:rFonts w:hint="default" w:ascii="Times New Roman" w:hAnsi="Times New Roman" w:eastAsia="宋体" w:cs="Times New Roman"/>
          <w:color w:val="auto"/>
          <w:sz w:val="36"/>
          <w:szCs w:val="36"/>
        </w:rPr>
        <w:t>编制日期：</w:t>
      </w:r>
      <w:r>
        <w:rPr>
          <w:rFonts w:hint="default" w:ascii="Times New Roman" w:hAnsi="Times New Roman" w:eastAsia="宋体" w:cs="Times New Roman"/>
          <w:color w:val="auto"/>
          <w:sz w:val="36"/>
          <w:szCs w:val="36"/>
          <w:u w:val="single"/>
        </w:rPr>
        <w:t xml:space="preserve"> 202</w:t>
      </w:r>
      <w:r>
        <w:rPr>
          <w:rFonts w:hint="default" w:ascii="Times New Roman" w:hAnsi="Times New Roman" w:eastAsia="宋体" w:cs="Times New Roman"/>
          <w:color w:val="auto"/>
          <w:sz w:val="36"/>
          <w:szCs w:val="36"/>
          <w:u w:val="single"/>
          <w:lang w:val="en-US" w:eastAsia="zh-CN"/>
        </w:rPr>
        <w:t>6</w:t>
      </w:r>
      <w:r>
        <w:rPr>
          <w:rFonts w:hint="default" w:ascii="Times New Roman" w:hAnsi="Times New Roman" w:eastAsia="宋体" w:cs="Times New Roman"/>
          <w:color w:val="auto"/>
          <w:sz w:val="36"/>
          <w:szCs w:val="36"/>
          <w:u w:val="single"/>
        </w:rPr>
        <w:t>年</w:t>
      </w:r>
      <w:r>
        <w:rPr>
          <w:rFonts w:hint="default" w:ascii="Times New Roman" w:hAnsi="Times New Roman" w:eastAsia="宋体" w:cs="Times New Roman"/>
          <w:color w:val="auto"/>
          <w:sz w:val="36"/>
          <w:szCs w:val="36"/>
          <w:u w:val="single"/>
          <w:lang w:val="en-US" w:eastAsia="zh-CN"/>
        </w:rPr>
        <w:t>6</w:t>
      </w:r>
      <w:r>
        <w:rPr>
          <w:rFonts w:hint="default" w:ascii="Times New Roman" w:hAnsi="Times New Roman" w:eastAsia="宋体" w:cs="Times New Roman"/>
          <w:color w:val="auto"/>
          <w:sz w:val="36"/>
          <w:szCs w:val="36"/>
          <w:u w:val="single"/>
        </w:rPr>
        <w:t>月</w:t>
      </w:r>
      <w:r>
        <w:rPr>
          <w:rFonts w:hint="default" w:ascii="Times New Roman" w:hAnsi="Times New Roman" w:eastAsia="宋体" w:cs="Times New Roman"/>
          <w:color w:val="auto"/>
          <w:sz w:val="36"/>
          <w:szCs w:val="36"/>
          <w:u w:val="single"/>
          <w:lang w:val="en-US" w:eastAsia="zh-CN"/>
        </w:rPr>
        <w:t xml:space="preserve">                           </w:t>
      </w:r>
    </w:p>
    <w:p w14:paraId="6627B13F">
      <w:pPr>
        <w:adjustRightInd w:val="0"/>
        <w:snapToGrid w:val="0"/>
        <w:spacing w:line="288" w:lineRule="auto"/>
        <w:ind w:firstLine="1040"/>
        <w:rPr>
          <w:rFonts w:hint="default" w:ascii="Times New Roman" w:hAnsi="Times New Roman" w:eastAsia="宋体" w:cs="Times New Roman"/>
          <w:color w:val="auto"/>
          <w:sz w:val="36"/>
          <w:szCs w:val="36"/>
          <w:u w:val="single"/>
        </w:rPr>
      </w:pPr>
      <w:bookmarkStart w:id="4" w:name="_Hlk57884087"/>
    </w:p>
    <w:p w14:paraId="33764E85">
      <w:pPr>
        <w:adjustRightInd w:val="0"/>
        <w:snapToGrid w:val="0"/>
        <w:spacing w:line="288" w:lineRule="auto"/>
        <w:ind w:firstLine="1040"/>
        <w:rPr>
          <w:rFonts w:hint="default" w:ascii="Times New Roman" w:hAnsi="Times New Roman" w:eastAsia="宋体" w:cs="Times New Roman"/>
          <w:color w:val="auto"/>
          <w:sz w:val="36"/>
          <w:szCs w:val="36"/>
        </w:rPr>
      </w:pPr>
    </w:p>
    <w:p w14:paraId="60A332D3">
      <w:pPr>
        <w:adjustRightInd w:val="0"/>
        <w:snapToGrid w:val="0"/>
        <w:spacing w:line="288" w:lineRule="auto"/>
        <w:ind w:firstLine="1040"/>
        <w:rPr>
          <w:rFonts w:hint="default" w:ascii="Times New Roman" w:hAnsi="Times New Roman" w:eastAsia="宋体" w:cs="Times New Roman"/>
          <w:color w:val="auto"/>
          <w:sz w:val="36"/>
          <w:szCs w:val="36"/>
        </w:rPr>
      </w:pPr>
    </w:p>
    <w:p w14:paraId="4DC79A56">
      <w:pPr>
        <w:bidi w:val="0"/>
        <w:rPr>
          <w:rFonts w:hint="default" w:ascii="Times New Roman" w:hAnsi="Times New Roman" w:eastAsia="宋体" w:cs="Times New Roman"/>
          <w:color w:val="auto"/>
        </w:rPr>
      </w:pPr>
    </w:p>
    <w:p w14:paraId="10143839">
      <w:pPr>
        <w:adjustRightInd w:val="0"/>
        <w:snapToGrid w:val="0"/>
        <w:spacing w:line="288" w:lineRule="auto"/>
        <w:ind w:firstLine="1040"/>
        <w:rPr>
          <w:rFonts w:hint="default" w:ascii="Times New Roman" w:hAnsi="Times New Roman" w:eastAsia="宋体" w:cs="Times New Roman"/>
          <w:color w:val="auto"/>
          <w:sz w:val="36"/>
          <w:szCs w:val="36"/>
        </w:rPr>
      </w:pPr>
    </w:p>
    <w:p w14:paraId="66636DF4">
      <w:pPr>
        <w:adjustRightInd w:val="0"/>
        <w:snapToGrid w:val="0"/>
        <w:spacing w:line="288" w:lineRule="auto"/>
        <w:ind w:firstLine="1040"/>
        <w:rPr>
          <w:rFonts w:hint="default" w:ascii="Times New Roman" w:hAnsi="Times New Roman" w:eastAsia="宋体" w:cs="Times New Roman"/>
          <w:color w:val="auto"/>
          <w:sz w:val="36"/>
          <w:szCs w:val="36"/>
        </w:rPr>
      </w:pPr>
    </w:p>
    <w:bookmarkEnd w:id="4"/>
    <w:p w14:paraId="5B71260E">
      <w:pPr>
        <w:adjustRightInd w:val="0"/>
        <w:snapToGrid w:val="0"/>
        <w:spacing w:line="288" w:lineRule="auto"/>
        <w:jc w:val="cente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6"/>
          <w:szCs w:val="36"/>
        </w:rPr>
        <w:t>中华人民共和国生态环境部制</w:t>
      </w:r>
    </w:p>
    <w:p w14:paraId="016F7136">
      <w:pPr>
        <w:adjustRightInd w:val="0"/>
        <w:snapToGrid w:val="0"/>
        <w:spacing w:line="288" w:lineRule="auto"/>
        <w:ind w:firstLine="1040"/>
        <w:rPr>
          <w:rFonts w:hint="default" w:ascii="Times New Roman" w:hAnsi="Times New Roman" w:eastAsia="宋体" w:cs="Times New Roman"/>
          <w:color w:val="auto"/>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14:paraId="6CD85293">
      <w:pPr>
        <w:adjustRightInd w:val="0"/>
        <w:snapToGrid w:val="0"/>
        <w:spacing w:line="360" w:lineRule="auto"/>
        <w:jc w:val="center"/>
        <w:rPr>
          <w:rFonts w:hint="default" w:ascii="Times New Roman" w:hAnsi="Times New Roman" w:eastAsia="宋体" w:cs="Times New Roman"/>
          <w:b/>
          <w:bCs/>
          <w:color w:val="auto"/>
          <w:sz w:val="32"/>
          <w:szCs w:val="32"/>
        </w:rPr>
      </w:pPr>
      <w:r>
        <w:rPr>
          <w:rFonts w:hint="default" w:ascii="Times New Roman" w:hAnsi="Times New Roman" w:eastAsia="宋体" w:cs="Times New Roman"/>
          <w:b/>
          <w:bCs/>
          <w:color w:val="auto"/>
          <w:sz w:val="32"/>
          <w:szCs w:val="32"/>
        </w:rPr>
        <w:t>目</w:t>
      </w:r>
      <w:r>
        <w:rPr>
          <w:rFonts w:hint="default" w:ascii="Times New Roman" w:hAnsi="Times New Roman" w:eastAsia="宋体" w:cs="Times New Roman"/>
          <w:b/>
          <w:bCs/>
          <w:color w:val="auto"/>
          <w:sz w:val="32"/>
          <w:szCs w:val="32"/>
          <w:lang w:val="en-US" w:eastAsia="zh-CN"/>
        </w:rPr>
        <w:t xml:space="preserve">  </w:t>
      </w:r>
      <w:r>
        <w:rPr>
          <w:rFonts w:hint="default" w:ascii="Times New Roman" w:hAnsi="Times New Roman" w:eastAsia="宋体" w:cs="Times New Roman"/>
          <w:b/>
          <w:bCs/>
          <w:color w:val="auto"/>
          <w:sz w:val="32"/>
          <w:szCs w:val="32"/>
        </w:rPr>
        <w:t>录</w:t>
      </w:r>
    </w:p>
    <w:p w14:paraId="703F1F50">
      <w:pPr>
        <w:pStyle w:val="31"/>
        <w:keepNext w:val="0"/>
        <w:keepLines w:val="0"/>
        <w:pageBreakBefore w:val="0"/>
        <w:tabs>
          <w:tab w:val="right" w:leader="dot" w:pos="8844"/>
        </w:tabs>
        <w:kinsoku/>
        <w:wordWrap/>
        <w:overflowPunct/>
        <w:topLinePunct w:val="0"/>
        <w:autoSpaceDE/>
        <w:autoSpaceDN/>
        <w:bidi w:val="0"/>
        <w:spacing w:line="4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TOC \o "1-1" \h \u </w:instrText>
      </w:r>
      <w:r>
        <w:rPr>
          <w:rFonts w:hint="default" w:ascii="Times New Roman" w:hAnsi="Times New Roman" w:eastAsia="宋体" w:cs="Times New Roman"/>
          <w:b/>
          <w:color w:val="auto"/>
          <w:sz w:val="24"/>
          <w:szCs w:val="24"/>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_Toc13150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snapToGrid w:val="0"/>
          <w:color w:val="auto"/>
          <w:sz w:val="24"/>
          <w:szCs w:val="24"/>
        </w:rPr>
        <w:t>一、建设项目基本情况</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_Toc13150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577E9A7">
      <w:pPr>
        <w:pStyle w:val="31"/>
        <w:keepNext w:val="0"/>
        <w:keepLines w:val="0"/>
        <w:pageBreakBefore w:val="0"/>
        <w:tabs>
          <w:tab w:val="right" w:leader="dot" w:pos="8844"/>
        </w:tabs>
        <w:kinsoku/>
        <w:wordWrap/>
        <w:overflowPunct/>
        <w:topLinePunct w:val="0"/>
        <w:autoSpaceDE/>
        <w:autoSpaceDN/>
        <w:bidi w:val="0"/>
        <w:spacing w:line="4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_Toc8883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snapToGrid w:val="0"/>
          <w:color w:val="auto"/>
          <w:sz w:val="24"/>
          <w:szCs w:val="24"/>
        </w:rPr>
        <w:t>二、建设项目工程分析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_Toc8883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7A79C6A">
      <w:pPr>
        <w:pStyle w:val="31"/>
        <w:keepNext w:val="0"/>
        <w:keepLines w:val="0"/>
        <w:pageBreakBefore w:val="0"/>
        <w:tabs>
          <w:tab w:val="right" w:leader="dot" w:pos="8844"/>
        </w:tabs>
        <w:kinsoku/>
        <w:wordWrap/>
        <w:overflowPunct/>
        <w:topLinePunct w:val="0"/>
        <w:autoSpaceDE/>
        <w:autoSpaceDN/>
        <w:bidi w:val="0"/>
        <w:spacing w:line="4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_Toc19688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snapToGrid w:val="0"/>
          <w:color w:val="auto"/>
          <w:sz w:val="24"/>
          <w:szCs w:val="24"/>
        </w:rPr>
        <w:t>三、区域环境质量现状、环境保护目标及评价标准</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_Toc19688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14FF413">
      <w:pPr>
        <w:pStyle w:val="31"/>
        <w:keepNext w:val="0"/>
        <w:keepLines w:val="0"/>
        <w:pageBreakBefore w:val="0"/>
        <w:tabs>
          <w:tab w:val="right" w:leader="dot" w:pos="8844"/>
        </w:tabs>
        <w:kinsoku/>
        <w:wordWrap/>
        <w:overflowPunct/>
        <w:topLinePunct w:val="0"/>
        <w:autoSpaceDE/>
        <w:autoSpaceDN/>
        <w:bidi w:val="0"/>
        <w:spacing w:line="4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_Toc7767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snapToGrid w:val="0"/>
          <w:color w:val="auto"/>
          <w:sz w:val="24"/>
          <w:szCs w:val="24"/>
        </w:rPr>
        <w:t>四、主要环境影响和保护措施</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_Toc7767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52C2FAA">
      <w:pPr>
        <w:pStyle w:val="31"/>
        <w:keepNext w:val="0"/>
        <w:keepLines w:val="0"/>
        <w:pageBreakBefore w:val="0"/>
        <w:tabs>
          <w:tab w:val="right" w:leader="dot" w:pos="8844"/>
        </w:tabs>
        <w:kinsoku/>
        <w:wordWrap/>
        <w:overflowPunct/>
        <w:topLinePunct w:val="0"/>
        <w:autoSpaceDE/>
        <w:autoSpaceDN/>
        <w:bidi w:val="0"/>
        <w:spacing w:line="4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_Toc3327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snapToGrid w:val="0"/>
          <w:color w:val="auto"/>
          <w:sz w:val="24"/>
          <w:szCs w:val="24"/>
        </w:rPr>
        <w:t>五、环境保护措施监督检查清单</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_Toc3327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3E7DC97">
      <w:pPr>
        <w:pStyle w:val="31"/>
        <w:keepNext w:val="0"/>
        <w:keepLines w:val="0"/>
        <w:pageBreakBefore w:val="0"/>
        <w:tabs>
          <w:tab w:val="right" w:leader="dot" w:pos="8844"/>
        </w:tabs>
        <w:kinsoku/>
        <w:wordWrap/>
        <w:overflowPunct/>
        <w:topLinePunct w:val="0"/>
        <w:autoSpaceDE/>
        <w:autoSpaceDN/>
        <w:bidi w:val="0"/>
        <w:spacing w:line="4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_Toc32323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snapToGrid w:val="0"/>
          <w:color w:val="auto"/>
          <w:sz w:val="24"/>
          <w:szCs w:val="24"/>
        </w:rPr>
        <w:t>六、结论</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_Toc32323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D1B7DE2">
      <w:pPr>
        <w:pStyle w:val="31"/>
        <w:keepNext w:val="0"/>
        <w:keepLines w:val="0"/>
        <w:pageBreakBefore w:val="0"/>
        <w:tabs>
          <w:tab w:val="right" w:leader="dot" w:pos="8844"/>
        </w:tabs>
        <w:kinsoku/>
        <w:wordWrap/>
        <w:overflowPunct/>
        <w:topLinePunct w:val="0"/>
        <w:autoSpaceDE/>
        <w:autoSpaceDN/>
        <w:bidi w:val="0"/>
        <w:spacing w:line="4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_Toc26046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snapToGrid w:val="0"/>
          <w:color w:val="auto"/>
          <w:sz w:val="24"/>
          <w:szCs w:val="24"/>
        </w:rPr>
        <w:t>附表</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_Toc26046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81750D1">
      <w:pPr>
        <w:pStyle w:val="31"/>
        <w:keepNext w:val="0"/>
        <w:keepLines w:val="0"/>
        <w:pageBreakBefore w:val="0"/>
        <w:tabs>
          <w:tab w:val="right" w:leader="dot" w:pos="8844"/>
        </w:tabs>
        <w:kinsoku/>
        <w:wordWrap/>
        <w:overflowPunct/>
        <w:topLinePunct w:val="0"/>
        <w:autoSpaceDE/>
        <w:autoSpaceDN/>
        <w:bidi w:val="0"/>
        <w:spacing w:line="4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_Toc8871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snapToGrid w:val="0"/>
          <w:color w:val="auto"/>
          <w:sz w:val="24"/>
          <w:szCs w:val="24"/>
        </w:rPr>
        <w:t>建设项目污染物排放量汇总表</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_Toc8871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A55C4BC">
      <w:pPr>
        <w:pStyle w:val="33"/>
        <w:keepNext w:val="0"/>
        <w:keepLines w:val="0"/>
        <w:pageBreakBefore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default" w:ascii="Times New Roman" w:hAnsi="Times New Roman" w:eastAsia="宋体" w:cs="Times New Roman"/>
          <w:b/>
          <w:color w:val="auto"/>
          <w:szCs w:val="24"/>
        </w:rPr>
      </w:pP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
          <w:color w:val="auto"/>
          <w:szCs w:val="24"/>
        </w:rPr>
        <w:t>附件：</w:t>
      </w:r>
    </w:p>
    <w:p w14:paraId="17FF9D82">
      <w:pPr>
        <w:pStyle w:val="21"/>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附件1 委托书</w:t>
      </w:r>
    </w:p>
    <w:p w14:paraId="6ED7FDC8">
      <w:pPr>
        <w:pStyle w:val="21"/>
        <w:adjustRightInd w:val="0"/>
        <w:snapToGrid w:val="0"/>
        <w:spacing w:line="360" w:lineRule="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附件2 原有项目环保手续（环评批复、验收及排污许可证）</w:t>
      </w:r>
    </w:p>
    <w:p w14:paraId="1FFDB3F3">
      <w:pPr>
        <w:pStyle w:val="21"/>
        <w:adjustRightInd w:val="0"/>
        <w:snapToGrid w:val="0"/>
        <w:spacing w:line="360" w:lineRule="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附件3 云南李好纸业有限公司关于淘汰10吨燃煤锅炉的淘汰计划</w:t>
      </w:r>
    </w:p>
    <w:p w14:paraId="4ACD9E75">
      <w:pPr>
        <w:pStyle w:val="21"/>
        <w:adjustRightInd w:val="0"/>
        <w:snapToGrid w:val="0"/>
        <w:spacing w:line="360" w:lineRule="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附件4 现有项目的自行检测报告</w:t>
      </w:r>
    </w:p>
    <w:p w14:paraId="45951135">
      <w:pPr>
        <w:pStyle w:val="21"/>
        <w:adjustRightInd w:val="0"/>
        <w:snapToGrid w:val="0"/>
        <w:spacing w:line="360" w:lineRule="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附件5 固体成型生物质燃料检测报告</w:t>
      </w:r>
    </w:p>
    <w:p w14:paraId="4AD0D0FA">
      <w:pPr>
        <w:pStyle w:val="21"/>
        <w:adjustRightInd w:val="0"/>
        <w:snapToGrid w:val="0"/>
        <w:spacing w:line="360" w:lineRule="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附件6 营业执照</w:t>
      </w:r>
    </w:p>
    <w:p w14:paraId="7965AEC9">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附件7 废料处置合同（炉渣、灰渣等）</w:t>
      </w:r>
    </w:p>
    <w:p w14:paraId="708B11CA">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附件8 项目全本信息公示</w:t>
      </w:r>
    </w:p>
    <w:p w14:paraId="2F63B6B5">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附件9 </w:t>
      </w:r>
      <w:r>
        <w:rPr>
          <w:rFonts w:hint="eastAsia" w:cs="Times New Roman"/>
          <w:color w:val="auto"/>
          <w:sz w:val="24"/>
          <w:lang w:val="en-US" w:eastAsia="zh-CN"/>
        </w:rPr>
        <w:t>环评合同</w:t>
      </w:r>
    </w:p>
    <w:p w14:paraId="14201D64">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 xml:space="preserve">附件10 </w:t>
      </w:r>
      <w:r>
        <w:rPr>
          <w:rFonts w:hint="default" w:ascii="Times New Roman" w:hAnsi="Times New Roman" w:eastAsia="宋体" w:cs="Times New Roman"/>
          <w:color w:val="auto"/>
          <w:sz w:val="24"/>
          <w:lang w:val="en-US" w:eastAsia="zh-CN"/>
        </w:rPr>
        <w:t>项目三级审核及进度管理表项目三级审核及进度管理表</w:t>
      </w:r>
    </w:p>
    <w:p w14:paraId="7288817A">
      <w:pPr>
        <w:pStyle w:val="33"/>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附图：</w:t>
      </w:r>
    </w:p>
    <w:p w14:paraId="23DC498B">
      <w:pPr>
        <w:pStyle w:val="21"/>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附图1 项目地理位置图</w:t>
      </w:r>
    </w:p>
    <w:p w14:paraId="0F8456A6">
      <w:pPr>
        <w:pStyle w:val="21"/>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附图</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 xml:space="preserve"> 项目所在区域水系图</w:t>
      </w:r>
    </w:p>
    <w:p w14:paraId="6FA2F4BA">
      <w:pPr>
        <w:pStyle w:val="21"/>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附图</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 xml:space="preserve"> 项目</w:t>
      </w:r>
      <w:r>
        <w:rPr>
          <w:rFonts w:hint="eastAsia" w:ascii="Times New Roman" w:hAnsi="Times New Roman" w:cs="Times New Roman"/>
          <w:color w:val="auto"/>
          <w:sz w:val="24"/>
          <w:lang w:val="en-US" w:eastAsia="zh-CN"/>
        </w:rPr>
        <w:t>区</w:t>
      </w:r>
      <w:r>
        <w:rPr>
          <w:rFonts w:hint="default" w:ascii="Times New Roman" w:hAnsi="Times New Roman" w:eastAsia="宋体" w:cs="Times New Roman"/>
          <w:color w:val="auto"/>
          <w:sz w:val="24"/>
        </w:rPr>
        <w:t>平面布置图</w:t>
      </w:r>
    </w:p>
    <w:p w14:paraId="4025268F">
      <w:pPr>
        <w:pStyle w:val="21"/>
        <w:adjustRightInd w:val="0"/>
        <w:snapToGrid w:val="0"/>
        <w:spacing w:line="360" w:lineRule="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附图3-1 锅炉房平面布置图</w:t>
      </w:r>
    </w:p>
    <w:p w14:paraId="7AFFF40D">
      <w:pPr>
        <w:pStyle w:val="21"/>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附图</w:t>
      </w: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 xml:space="preserve"> 项目周边</w:t>
      </w:r>
      <w:r>
        <w:rPr>
          <w:rFonts w:hint="default" w:ascii="Times New Roman" w:hAnsi="Times New Roman" w:eastAsia="宋体" w:cs="Times New Roman"/>
          <w:color w:val="auto"/>
          <w:sz w:val="24"/>
          <w:lang w:val="en-US" w:eastAsia="zh-CN"/>
        </w:rPr>
        <w:t>环境</w:t>
      </w:r>
      <w:r>
        <w:rPr>
          <w:rFonts w:hint="default" w:ascii="Times New Roman" w:hAnsi="Times New Roman" w:eastAsia="宋体" w:cs="Times New Roman"/>
          <w:color w:val="auto"/>
          <w:sz w:val="24"/>
        </w:rPr>
        <w:t>关系</w:t>
      </w:r>
      <w:r>
        <w:rPr>
          <w:rFonts w:hint="default" w:ascii="Times New Roman" w:hAnsi="Times New Roman" w:eastAsia="宋体" w:cs="Times New Roman"/>
          <w:color w:val="auto"/>
          <w:sz w:val="24"/>
          <w:lang w:val="en-US" w:eastAsia="zh-CN"/>
        </w:rPr>
        <w:t>示意</w:t>
      </w:r>
      <w:r>
        <w:rPr>
          <w:rFonts w:hint="default" w:ascii="Times New Roman" w:hAnsi="Times New Roman" w:eastAsia="宋体" w:cs="Times New Roman"/>
          <w:color w:val="auto"/>
          <w:sz w:val="24"/>
        </w:rPr>
        <w:t>图</w:t>
      </w:r>
    </w:p>
    <w:p w14:paraId="3D146EA8">
      <w:pPr>
        <w:pStyle w:val="21"/>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附图5 项目与宜良高污染物燃料禁燃区位置关系图</w:t>
      </w:r>
    </w:p>
    <w:p w14:paraId="33527D16">
      <w:pPr>
        <w:pStyle w:val="33"/>
        <w:adjustRightInd w:val="0"/>
        <w:snapToGrid w:val="0"/>
        <w:spacing w:before="0" w:beforeAutospacing="0" w:after="0" w:afterAutospacing="0" w:line="360" w:lineRule="auto"/>
        <w:jc w:val="both"/>
        <w:rPr>
          <w:rFonts w:hint="default" w:ascii="Times New Roman" w:hAnsi="Times New Roman" w:eastAsia="宋体" w:cs="Times New Roman"/>
          <w:bCs/>
          <w:color w:val="auto"/>
          <w:szCs w:val="24"/>
        </w:rPr>
        <w:sectPr>
          <w:footerReference r:id="rId5" w:type="default"/>
          <w:pgSz w:w="11906" w:h="16838"/>
          <w:pgMar w:top="1701" w:right="1531" w:bottom="1701" w:left="1531" w:header="851" w:footer="1077" w:gutter="0"/>
          <w:cols w:space="720" w:num="1"/>
          <w:docGrid w:linePitch="312" w:charSpace="0"/>
        </w:sectPr>
      </w:pPr>
    </w:p>
    <w:p w14:paraId="3004AD4F">
      <w:pPr>
        <w:pStyle w:val="33"/>
        <w:adjustRightInd w:val="0"/>
        <w:snapToGrid w:val="0"/>
        <w:spacing w:before="0" w:beforeAutospacing="0" w:after="0" w:afterAutospacing="0"/>
        <w:jc w:val="center"/>
        <w:outlineLvl w:val="0"/>
        <w:rPr>
          <w:rFonts w:hint="default" w:ascii="Times New Roman" w:hAnsi="Times New Roman" w:eastAsia="宋体" w:cs="Times New Roman"/>
          <w:b/>
          <w:bCs/>
          <w:snapToGrid w:val="0"/>
          <w:color w:val="auto"/>
          <w:sz w:val="30"/>
          <w:szCs w:val="30"/>
        </w:rPr>
      </w:pPr>
      <w:bookmarkStart w:id="5" w:name="_Toc13150"/>
      <w:r>
        <w:rPr>
          <w:rFonts w:hint="default" w:ascii="Times New Roman" w:hAnsi="Times New Roman" w:eastAsia="宋体" w:cs="Times New Roman"/>
          <w:b/>
          <w:bCs/>
          <w:snapToGrid w:val="0"/>
          <w:color w:val="auto"/>
          <w:sz w:val="30"/>
          <w:szCs w:val="30"/>
        </w:rPr>
        <w:t>一、建设项目基本情况</w:t>
      </w:r>
      <w:bookmarkEnd w:id="3"/>
      <w:bookmarkEnd w:id="5"/>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54"/>
        <w:gridCol w:w="1659"/>
        <w:gridCol w:w="2369"/>
        <w:gridCol w:w="3188"/>
      </w:tblGrid>
      <w:tr w14:paraId="6FDCD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4" w:type="dxa"/>
            <w:tcBorders>
              <w:top w:val="single" w:color="auto" w:sz="8"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09A3F6C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建设项目名称</w:t>
            </w:r>
          </w:p>
        </w:tc>
        <w:tc>
          <w:tcPr>
            <w:tcW w:w="7216" w:type="dxa"/>
            <w:gridSpan w:val="3"/>
            <w:tcBorders>
              <w:top w:val="single" w:color="auto" w:sz="8" w:space="0"/>
              <w:left w:val="single" w:color="auto" w:sz="4" w:space="0"/>
              <w:bottom w:val="single" w:color="auto" w:sz="4" w:space="0"/>
              <w:right w:val="single" w:color="auto" w:sz="8" w:space="0"/>
            </w:tcBorders>
            <w:noWrap w:val="0"/>
            <w:vAlign w:val="center"/>
          </w:tcPr>
          <w:p w14:paraId="7E749DF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kern w:val="0"/>
                <w:sz w:val="24"/>
                <w:szCs w:val="24"/>
                <w:lang w:eastAsia="zh-CN"/>
              </w:rPr>
              <w:t>云南李好纸业有限公司10t/h燃煤锅炉更换为10.5t/h燃生物质锅炉改建项目</w:t>
            </w:r>
          </w:p>
        </w:tc>
      </w:tr>
      <w:tr w14:paraId="63BD7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601B923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项目代码</w:t>
            </w:r>
          </w:p>
        </w:tc>
        <w:tc>
          <w:tcPr>
            <w:tcW w:w="7216" w:type="dxa"/>
            <w:gridSpan w:val="3"/>
            <w:tcBorders>
              <w:top w:val="single" w:color="auto" w:sz="4" w:space="0"/>
              <w:left w:val="single" w:color="auto" w:sz="4" w:space="0"/>
              <w:bottom w:val="single" w:color="auto" w:sz="4" w:space="0"/>
              <w:right w:val="single" w:color="auto" w:sz="8" w:space="0"/>
            </w:tcBorders>
            <w:noWrap w:val="0"/>
            <w:vAlign w:val="center"/>
          </w:tcPr>
          <w:p w14:paraId="29583AF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14:paraId="7C2B9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4AD0733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建设单位联系人</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93666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张</w:t>
            </w:r>
            <w:r>
              <w:rPr>
                <w:rFonts w:hint="eastAsia" w:cs="Times New Roman"/>
                <w:color w:val="auto"/>
                <w:sz w:val="24"/>
                <w:szCs w:val="24"/>
                <w:lang w:val="en-US" w:eastAsia="zh-CN"/>
              </w:rPr>
              <w:t>**</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0D81D77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联系方式</w:t>
            </w:r>
          </w:p>
        </w:tc>
        <w:tc>
          <w:tcPr>
            <w:tcW w:w="3188" w:type="dxa"/>
            <w:tcBorders>
              <w:top w:val="single" w:color="auto" w:sz="4" w:space="0"/>
              <w:left w:val="single" w:color="auto" w:sz="4" w:space="0"/>
              <w:bottom w:val="single" w:color="auto" w:sz="4" w:space="0"/>
              <w:right w:val="single" w:color="auto" w:sz="8" w:space="0"/>
            </w:tcBorders>
            <w:noWrap w:val="0"/>
            <w:vAlign w:val="center"/>
          </w:tcPr>
          <w:p w14:paraId="7AC2F6F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bookmarkStart w:id="23" w:name="_GoBack"/>
            <w:bookmarkEnd w:id="23"/>
            <w:r>
              <w:rPr>
                <w:rFonts w:hint="default" w:ascii="Times New Roman" w:hAnsi="Times New Roman" w:eastAsia="宋体" w:cs="Times New Roman"/>
                <w:color w:val="auto"/>
                <w:sz w:val="24"/>
                <w:szCs w:val="24"/>
              </w:rPr>
              <w:t>173</w:t>
            </w:r>
            <w:r>
              <w:rPr>
                <w:rFonts w:hint="eastAsia" w:cs="Times New Roman"/>
                <w:color w:val="auto"/>
                <w:sz w:val="24"/>
                <w:szCs w:val="24"/>
                <w:lang w:val="en-US" w:eastAsia="zh-CN"/>
              </w:rPr>
              <w:t>********</w:t>
            </w:r>
          </w:p>
        </w:tc>
      </w:tr>
      <w:tr w14:paraId="04393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5CED2A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建设地点</w:t>
            </w:r>
          </w:p>
        </w:tc>
        <w:tc>
          <w:tcPr>
            <w:tcW w:w="7216" w:type="dxa"/>
            <w:gridSpan w:val="3"/>
            <w:tcBorders>
              <w:top w:val="single" w:color="auto" w:sz="4" w:space="0"/>
              <w:left w:val="single" w:color="auto" w:sz="4" w:space="0"/>
              <w:bottom w:val="single" w:color="auto" w:sz="4" w:space="0"/>
              <w:right w:val="single" w:color="auto" w:sz="8" w:space="0"/>
            </w:tcBorders>
            <w:noWrap w:val="0"/>
            <w:vAlign w:val="center"/>
          </w:tcPr>
          <w:p w14:paraId="1824FD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云南省昆明市宜良县狗街镇狗街村委会旱滩村</w:t>
            </w:r>
          </w:p>
        </w:tc>
      </w:tr>
      <w:tr w14:paraId="3CD0D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4280DDB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地理坐标</w:t>
            </w:r>
          </w:p>
        </w:tc>
        <w:tc>
          <w:tcPr>
            <w:tcW w:w="7216" w:type="dxa"/>
            <w:gridSpan w:val="3"/>
            <w:tcBorders>
              <w:top w:val="single" w:color="auto" w:sz="4" w:space="0"/>
              <w:left w:val="single" w:color="auto" w:sz="4" w:space="0"/>
              <w:bottom w:val="single" w:color="auto" w:sz="4" w:space="0"/>
              <w:right w:val="single" w:color="auto" w:sz="8" w:space="0"/>
            </w:tcBorders>
            <w:noWrap w:val="0"/>
            <w:vAlign w:val="center"/>
          </w:tcPr>
          <w:p w14:paraId="46A171F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（东经103°08'13.571"，北纬24°47'47.784"）</w:t>
            </w:r>
          </w:p>
        </w:tc>
      </w:tr>
      <w:tr w14:paraId="1F72F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0B7D0CA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国民经济</w:t>
            </w:r>
          </w:p>
          <w:p w14:paraId="3592B9A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3F61CF5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热力生产和供应（D4430）</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0BD387C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bookmarkStart w:id="6" w:name="_Hlk49843745"/>
            <w:r>
              <w:rPr>
                <w:rFonts w:hint="default" w:ascii="Times New Roman" w:hAnsi="Times New Roman" w:eastAsia="宋体" w:cs="Times New Roman"/>
                <w:color w:val="auto"/>
                <w:sz w:val="24"/>
                <w:szCs w:val="24"/>
              </w:rPr>
              <w:t>建设项目</w:t>
            </w:r>
          </w:p>
          <w:p w14:paraId="22ED102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bookmarkEnd w:id="6"/>
          </w:p>
        </w:tc>
        <w:tc>
          <w:tcPr>
            <w:tcW w:w="3188" w:type="dxa"/>
            <w:tcBorders>
              <w:top w:val="single" w:color="auto" w:sz="4" w:space="0"/>
              <w:left w:val="single" w:color="auto" w:sz="4" w:space="0"/>
              <w:bottom w:val="single" w:color="auto" w:sz="4" w:space="0"/>
              <w:right w:val="single" w:color="auto" w:sz="8" w:space="0"/>
            </w:tcBorders>
            <w:noWrap w:val="0"/>
            <w:vAlign w:val="center"/>
          </w:tcPr>
          <w:p w14:paraId="6DA08A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四十一、电力、热力生产和供应业：91热力生产和供应工程</w:t>
            </w:r>
            <w:r>
              <w:rPr>
                <w:rStyle w:val="47"/>
                <w:rFonts w:hint="default" w:ascii="Times New Roman" w:hAnsi="Times New Roman" w:eastAsia="宋体" w:cs="Times New Roman"/>
                <w:color w:val="auto"/>
                <w:kern w:val="0"/>
                <w:sz w:val="24"/>
                <w:szCs w:val="24"/>
              </w:rPr>
              <w:t>--使用其他高污染燃料的（高污染燃料指国环规大气〔2017〕2号《高污染燃料目录》中规定的燃料）</w:t>
            </w:r>
          </w:p>
        </w:tc>
      </w:tr>
      <w:tr w14:paraId="5F91A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22A6AA5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建设性质</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022799ED">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新建（迁建）</w:t>
            </w:r>
          </w:p>
          <w:p w14:paraId="1FCCECAB">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52"/>
            </w:r>
            <w:r>
              <w:rPr>
                <w:rFonts w:hint="default" w:ascii="Times New Roman" w:hAnsi="Times New Roman" w:eastAsia="宋体" w:cs="Times New Roman"/>
                <w:color w:val="auto"/>
                <w:sz w:val="24"/>
                <w:szCs w:val="24"/>
              </w:rPr>
              <w:t>改建</w:t>
            </w:r>
          </w:p>
          <w:p w14:paraId="4B60FEB9">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扩建</w:t>
            </w:r>
          </w:p>
          <w:p w14:paraId="557C1BE3">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技术改造</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490643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w:t>
            </w:r>
          </w:p>
          <w:p w14:paraId="2B2C74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申报形</w:t>
            </w:r>
          </w:p>
        </w:tc>
        <w:tc>
          <w:tcPr>
            <w:tcW w:w="3188" w:type="dxa"/>
            <w:tcBorders>
              <w:top w:val="single" w:color="auto" w:sz="4" w:space="0"/>
              <w:left w:val="single" w:color="auto" w:sz="4" w:space="0"/>
              <w:bottom w:val="single" w:color="auto" w:sz="4" w:space="0"/>
              <w:right w:val="single" w:color="auto" w:sz="8" w:space="0"/>
            </w:tcBorders>
            <w:noWrap w:val="0"/>
            <w:vAlign w:val="center"/>
          </w:tcPr>
          <w:p w14:paraId="43E58F21">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F052"/>
            </w:r>
            <w:r>
              <w:rPr>
                <w:rFonts w:hint="default" w:ascii="Times New Roman" w:hAnsi="Times New Roman" w:eastAsia="宋体" w:cs="Times New Roman"/>
                <w:color w:val="auto"/>
                <w:sz w:val="24"/>
                <w:szCs w:val="24"/>
              </w:rPr>
              <w:t xml:space="preserve">首次申报项目             </w:t>
            </w:r>
          </w:p>
          <w:p w14:paraId="12FE31D5">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F0A3"/>
            </w:r>
            <w:r>
              <w:rPr>
                <w:rFonts w:hint="default" w:ascii="Times New Roman" w:hAnsi="Times New Roman" w:eastAsia="宋体" w:cs="Times New Roman"/>
                <w:color w:val="auto"/>
                <w:sz w:val="24"/>
                <w:szCs w:val="24"/>
              </w:rPr>
              <w:t>不予批准后再次申报项目</w:t>
            </w:r>
          </w:p>
          <w:p w14:paraId="1EE54A4B">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F0A3"/>
            </w:r>
            <w:r>
              <w:rPr>
                <w:rFonts w:hint="default" w:ascii="Times New Roman" w:hAnsi="Times New Roman" w:eastAsia="宋体" w:cs="Times New Roman"/>
                <w:color w:val="auto"/>
                <w:sz w:val="24"/>
                <w:szCs w:val="24"/>
              </w:rPr>
              <w:t xml:space="preserve">超五年重新审核项目     </w:t>
            </w:r>
          </w:p>
          <w:p w14:paraId="26BD41DA">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F0A3"/>
            </w:r>
            <w:r>
              <w:rPr>
                <w:rFonts w:hint="default" w:ascii="Times New Roman" w:hAnsi="Times New Roman" w:eastAsia="宋体" w:cs="Times New Roman"/>
                <w:color w:val="auto"/>
                <w:sz w:val="24"/>
                <w:szCs w:val="24"/>
              </w:rPr>
              <w:t>重大变动重新报批项目</w:t>
            </w:r>
          </w:p>
        </w:tc>
      </w:tr>
      <w:tr w14:paraId="60922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6C7EFC3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项目审批（核准/</w:t>
            </w:r>
          </w:p>
          <w:p w14:paraId="6E445B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备案）部门（选填）</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78C7B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6CD609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项目审批（核准/</w:t>
            </w:r>
          </w:p>
          <w:p w14:paraId="6B98CCF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备案）文号（选填）</w:t>
            </w:r>
          </w:p>
        </w:tc>
        <w:tc>
          <w:tcPr>
            <w:tcW w:w="3188" w:type="dxa"/>
            <w:tcBorders>
              <w:top w:val="single" w:color="auto" w:sz="4" w:space="0"/>
              <w:left w:val="single" w:color="auto" w:sz="4" w:space="0"/>
              <w:bottom w:val="single" w:color="auto" w:sz="4" w:space="0"/>
              <w:right w:val="single" w:color="auto" w:sz="8" w:space="0"/>
            </w:tcBorders>
            <w:noWrap w:val="0"/>
            <w:vAlign w:val="center"/>
          </w:tcPr>
          <w:p w14:paraId="28F23B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w:t>
            </w:r>
          </w:p>
        </w:tc>
      </w:tr>
      <w:tr w14:paraId="387A0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478831C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总投资（万元）</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39E36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00</w:t>
            </w:r>
          </w:p>
        </w:tc>
        <w:tc>
          <w:tcPr>
            <w:tcW w:w="2369"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70555CA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环保投资（万元）</w:t>
            </w:r>
          </w:p>
        </w:tc>
        <w:tc>
          <w:tcPr>
            <w:tcW w:w="3188" w:type="dxa"/>
            <w:tcBorders>
              <w:top w:val="single" w:color="auto" w:sz="4" w:space="0"/>
              <w:left w:val="single" w:color="auto" w:sz="4" w:space="0"/>
              <w:bottom w:val="single" w:color="auto" w:sz="4" w:space="0"/>
              <w:right w:val="single" w:color="auto" w:sz="8" w:space="0"/>
            </w:tcBorders>
            <w:noWrap w:val="0"/>
            <w:vAlign w:val="center"/>
          </w:tcPr>
          <w:p w14:paraId="62D8EEE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7</w:t>
            </w:r>
          </w:p>
        </w:tc>
      </w:tr>
      <w:tr w14:paraId="3B25F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01593C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环保投资占比（%）</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2DDD3C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rPr>
              <w:t>7</w:t>
            </w:r>
            <w:r>
              <w:rPr>
                <w:rFonts w:hint="default" w:ascii="Times New Roman" w:hAnsi="Times New Roman" w:eastAsia="宋体" w:cs="Times New Roman"/>
                <w:color w:val="auto"/>
                <w:kern w:val="0"/>
                <w:sz w:val="24"/>
                <w:szCs w:val="24"/>
              </w:rPr>
              <w:t>%</w:t>
            </w:r>
          </w:p>
        </w:tc>
        <w:tc>
          <w:tcPr>
            <w:tcW w:w="2369"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2B1FF15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施工工期</w:t>
            </w:r>
          </w:p>
        </w:tc>
        <w:tc>
          <w:tcPr>
            <w:tcW w:w="3188" w:type="dxa"/>
            <w:tcBorders>
              <w:top w:val="single" w:color="auto" w:sz="4" w:space="0"/>
              <w:left w:val="single" w:color="auto" w:sz="4" w:space="0"/>
              <w:bottom w:val="single" w:color="auto" w:sz="4" w:space="0"/>
              <w:right w:val="single" w:color="auto" w:sz="8" w:space="0"/>
            </w:tcBorders>
            <w:noWrap w:val="0"/>
            <w:vAlign w:val="center"/>
          </w:tcPr>
          <w:p w14:paraId="0C86CBE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kern w:val="0"/>
                <w:sz w:val="24"/>
                <w:szCs w:val="24"/>
              </w:rPr>
              <w:t>施工期</w:t>
            </w:r>
            <w:r>
              <w:rPr>
                <w:rFonts w:hint="default" w:ascii="Times New Roman" w:hAnsi="Times New Roman" w:eastAsia="宋体"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个月</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02</w:t>
            </w:r>
            <w:r>
              <w:rPr>
                <w:rFonts w:hint="default" w:ascii="Times New Roman" w:hAnsi="Times New Roman" w:eastAsia="宋体" w:cs="Times New Roman"/>
                <w:color w:val="auto"/>
                <w:kern w:val="0"/>
                <w:sz w:val="24"/>
                <w:szCs w:val="24"/>
                <w:lang w:val="en-US" w:eastAsia="zh-CN"/>
              </w:rPr>
              <w:t>6</w:t>
            </w:r>
            <w:r>
              <w:rPr>
                <w:rFonts w:hint="default" w:ascii="Times New Roman" w:hAnsi="Times New Roman" w:eastAsia="宋体" w:cs="Times New Roman"/>
                <w:color w:val="auto"/>
                <w:kern w:val="0"/>
                <w:sz w:val="24"/>
                <w:szCs w:val="24"/>
              </w:rPr>
              <w:t>年</w:t>
            </w:r>
            <w:r>
              <w:rPr>
                <w:rFonts w:hint="default" w:ascii="Times New Roman" w:hAnsi="Times New Roman" w:eastAsia="宋体" w:cs="Times New Roman"/>
                <w:color w:val="auto"/>
                <w:kern w:val="0"/>
                <w:sz w:val="24"/>
                <w:szCs w:val="24"/>
                <w:lang w:val="en-US" w:eastAsia="zh-CN"/>
              </w:rPr>
              <w:t>8</w:t>
            </w:r>
            <w:r>
              <w:rPr>
                <w:rFonts w:hint="default" w:ascii="Times New Roman" w:hAnsi="Times New Roman" w:eastAsia="宋体" w:cs="Times New Roman"/>
                <w:color w:val="auto"/>
                <w:kern w:val="0"/>
                <w:sz w:val="24"/>
                <w:szCs w:val="24"/>
              </w:rPr>
              <w:t>月</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rPr>
              <w:t>202</w:t>
            </w:r>
            <w:r>
              <w:rPr>
                <w:rFonts w:hint="default" w:ascii="Times New Roman" w:hAnsi="Times New Roman" w:eastAsia="宋体" w:cs="Times New Roman"/>
                <w:color w:val="auto"/>
                <w:kern w:val="0"/>
                <w:sz w:val="24"/>
                <w:szCs w:val="24"/>
                <w:lang w:val="en-US" w:eastAsia="zh-CN"/>
              </w:rPr>
              <w:t>6</w:t>
            </w:r>
            <w:r>
              <w:rPr>
                <w:rFonts w:hint="default" w:ascii="Times New Roman" w:hAnsi="Times New Roman" w:eastAsia="宋体" w:cs="Times New Roman"/>
                <w:color w:val="auto"/>
                <w:kern w:val="0"/>
                <w:sz w:val="24"/>
                <w:szCs w:val="24"/>
              </w:rPr>
              <w:t>年</w:t>
            </w:r>
            <w:r>
              <w:rPr>
                <w:rFonts w:hint="default" w:ascii="Times New Roman" w:hAnsi="Times New Roman" w:eastAsia="宋体" w:cs="Times New Roman"/>
                <w:color w:val="auto"/>
                <w:kern w:val="0"/>
                <w:sz w:val="24"/>
                <w:szCs w:val="24"/>
                <w:lang w:val="en-US" w:eastAsia="zh-CN"/>
              </w:rPr>
              <w:t>9</w:t>
            </w:r>
            <w:r>
              <w:rPr>
                <w:rFonts w:hint="default" w:ascii="Times New Roman" w:hAnsi="Times New Roman" w:eastAsia="宋体" w:cs="Times New Roman"/>
                <w:color w:val="auto"/>
                <w:kern w:val="0"/>
                <w:sz w:val="24"/>
                <w:szCs w:val="24"/>
              </w:rPr>
              <w:t>月</w:t>
            </w:r>
            <w:r>
              <w:rPr>
                <w:rFonts w:hint="default" w:ascii="Times New Roman" w:hAnsi="Times New Roman" w:eastAsia="宋体" w:cs="Times New Roman"/>
                <w:color w:val="auto"/>
                <w:kern w:val="0"/>
                <w:sz w:val="24"/>
                <w:szCs w:val="24"/>
                <w:lang w:eastAsia="zh-CN"/>
              </w:rPr>
              <w:t>）</w:t>
            </w:r>
          </w:p>
        </w:tc>
      </w:tr>
      <w:tr w14:paraId="3E200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16" w:type="dxa"/>
              <w:left w:w="16" w:type="dxa"/>
              <w:bottom w:w="0" w:type="dxa"/>
              <w:right w:w="16" w:type="dxa"/>
            </w:tcMar>
            <w:vAlign w:val="center"/>
          </w:tcPr>
          <w:p w14:paraId="543E1C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是否开工建设</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C6337CC">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F052"/>
            </w:r>
            <w:r>
              <w:rPr>
                <w:rFonts w:hint="default" w:ascii="Times New Roman" w:hAnsi="Times New Roman" w:eastAsia="宋体" w:cs="Times New Roman"/>
                <w:color w:val="auto"/>
                <w:sz w:val="24"/>
                <w:szCs w:val="24"/>
              </w:rPr>
              <w:t>否</w:t>
            </w:r>
          </w:p>
          <w:p w14:paraId="2B1A9644">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F0A3"/>
            </w:r>
            <w:r>
              <w:rPr>
                <w:rFonts w:hint="default" w:ascii="Times New Roman" w:hAnsi="Times New Roman" w:eastAsia="宋体" w:cs="Times New Roman"/>
                <w:color w:val="auto"/>
                <w:sz w:val="24"/>
                <w:szCs w:val="24"/>
              </w:rPr>
              <w:t>是：</w:t>
            </w:r>
            <w:r>
              <w:rPr>
                <w:rFonts w:hint="default" w:ascii="Times New Roman" w:hAnsi="Times New Roman" w:eastAsia="宋体" w:cs="Times New Roman"/>
                <w:color w:val="auto"/>
                <w:sz w:val="24"/>
                <w:szCs w:val="24"/>
                <w:u w:val="single"/>
              </w:rPr>
              <w:t xml:space="preserve">             </w:t>
            </w:r>
          </w:p>
        </w:tc>
        <w:tc>
          <w:tcPr>
            <w:tcW w:w="2369"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04F4F5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用地面积（m</w:t>
            </w:r>
            <w:r>
              <w:rPr>
                <w:rFonts w:hint="default" w:ascii="Times New Roman" w:hAnsi="Times New Roman" w:eastAsia="宋体" w:cs="Times New Roman"/>
                <w:color w:val="auto"/>
                <w:spacing w:val="-6"/>
                <w:sz w:val="24"/>
                <w:szCs w:val="24"/>
                <w:vertAlign w:val="superscript"/>
              </w:rPr>
              <w:t>2</w:t>
            </w:r>
            <w:r>
              <w:rPr>
                <w:rFonts w:hint="default" w:ascii="Times New Roman" w:hAnsi="Times New Roman" w:eastAsia="宋体" w:cs="Times New Roman"/>
                <w:color w:val="auto"/>
                <w:spacing w:val="-6"/>
                <w:sz w:val="24"/>
                <w:szCs w:val="24"/>
              </w:rPr>
              <w:t>）</w:t>
            </w:r>
          </w:p>
        </w:tc>
        <w:tc>
          <w:tcPr>
            <w:tcW w:w="3188" w:type="dxa"/>
            <w:tcBorders>
              <w:top w:val="single" w:color="auto" w:sz="4" w:space="0"/>
              <w:left w:val="single" w:color="auto" w:sz="4" w:space="0"/>
              <w:bottom w:val="single" w:color="auto" w:sz="4" w:space="0"/>
              <w:right w:val="single" w:color="auto" w:sz="8" w:space="0"/>
            </w:tcBorders>
            <w:noWrap w:val="0"/>
            <w:vAlign w:val="center"/>
          </w:tcPr>
          <w:p w14:paraId="57091EB2">
            <w:pPr>
              <w:keepNext w:val="0"/>
              <w:keepLines w:val="0"/>
              <w:suppressLineNumbers w:val="0"/>
              <w:adjustRightInd w:val="0"/>
              <w:snapToGrid w:val="0"/>
              <w:spacing w:before="0" w:beforeAutospacing="0" w:after="0" w:afterAutospacing="0"/>
              <w:ind w:left="0" w:right="0"/>
              <w:jc w:val="center"/>
              <w:rPr>
                <w:rStyle w:val="47"/>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900m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（在原有</w:t>
            </w:r>
            <w:r>
              <w:rPr>
                <w:rFonts w:hint="default" w:ascii="Times New Roman" w:hAnsi="Times New Roman" w:eastAsia="宋体" w:cs="Times New Roman"/>
                <w:color w:val="auto"/>
                <w:sz w:val="24"/>
                <w:szCs w:val="24"/>
                <w:lang w:val="en-US" w:eastAsia="zh-CN"/>
              </w:rPr>
              <w:t>锅炉</w:t>
            </w:r>
            <w:r>
              <w:rPr>
                <w:rFonts w:hint="default" w:ascii="Times New Roman" w:hAnsi="Times New Roman" w:eastAsia="宋体" w:cs="Times New Roman"/>
                <w:color w:val="auto"/>
                <w:sz w:val="24"/>
                <w:szCs w:val="24"/>
              </w:rPr>
              <w:t>房内改建，不新增占地）</w:t>
            </w:r>
          </w:p>
        </w:tc>
      </w:tr>
      <w:tr w14:paraId="58CD2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027344F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专项评价设置情况</w:t>
            </w:r>
          </w:p>
        </w:tc>
        <w:tc>
          <w:tcPr>
            <w:tcW w:w="7216"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64999CCA">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项目专项评价判定表如下：</w:t>
            </w:r>
          </w:p>
          <w:p w14:paraId="1C17C55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Cs w:val="21"/>
              </w:rPr>
              <w:t>表1-1 项目专项评价判定表</w:t>
            </w:r>
          </w:p>
          <w:tbl>
            <w:tblPr>
              <w:tblStyle w:val="36"/>
              <w:tblW w:w="7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154"/>
              <w:gridCol w:w="2777"/>
              <w:gridCol w:w="1215"/>
            </w:tblGrid>
            <w:tr w14:paraId="5AB1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0547911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专项评价类比</w:t>
                  </w:r>
                </w:p>
              </w:tc>
              <w:tc>
                <w:tcPr>
                  <w:tcW w:w="3154" w:type="dxa"/>
                  <w:noWrap/>
                  <w:vAlign w:val="center"/>
                </w:tcPr>
                <w:p w14:paraId="1FF82FD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设置原则</w:t>
                  </w:r>
                </w:p>
              </w:tc>
              <w:tc>
                <w:tcPr>
                  <w:tcW w:w="2777" w:type="dxa"/>
                  <w:noWrap/>
                  <w:vAlign w:val="center"/>
                </w:tcPr>
                <w:p w14:paraId="105B474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本项目情况</w:t>
                  </w:r>
                </w:p>
              </w:tc>
              <w:tc>
                <w:tcPr>
                  <w:tcW w:w="1215" w:type="dxa"/>
                  <w:noWrap/>
                  <w:vAlign w:val="center"/>
                </w:tcPr>
                <w:p w14:paraId="0F3C480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是否设置专项评价</w:t>
                  </w:r>
                </w:p>
              </w:tc>
            </w:tr>
            <w:tr w14:paraId="2B84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3C5F12F0">
                  <w:pPr>
                    <w:keepNext w:val="0"/>
                    <w:keepLines w:val="0"/>
                    <w:suppressLineNumbers w:val="0"/>
                    <w:tabs>
                      <w:tab w:val="left" w:pos="3255"/>
                    </w:tabs>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大气</w:t>
                  </w:r>
                </w:p>
              </w:tc>
              <w:tc>
                <w:tcPr>
                  <w:tcW w:w="3154" w:type="dxa"/>
                  <w:noWrap/>
                  <w:vAlign w:val="center"/>
                </w:tcPr>
                <w:p w14:paraId="7A4A323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 xml:space="preserve">排放废气含有毒有害污染物 </w:t>
                  </w:r>
                  <w:r>
                    <w:rPr>
                      <w:rFonts w:hint="default" w:ascii="Times New Roman" w:hAnsi="Times New Roman" w:eastAsia="宋体" w:cs="Times New Roman"/>
                      <w:color w:val="auto"/>
                      <w:kern w:val="0"/>
                      <w:szCs w:val="21"/>
                      <w:vertAlign w:val="superscript"/>
                    </w:rPr>
                    <w:t>1</w:t>
                  </w:r>
                  <w:r>
                    <w:rPr>
                      <w:rFonts w:hint="default" w:ascii="Times New Roman" w:hAnsi="Times New Roman" w:eastAsia="宋体" w:cs="Times New Roman"/>
                      <w:color w:val="auto"/>
                      <w:kern w:val="0"/>
                      <w:szCs w:val="21"/>
                    </w:rPr>
                    <w:t>、二噁英、苯并[a]芘、氰化物、氯气且厂界500m范围内有环境空气保护目标</w:t>
                  </w:r>
                  <w:r>
                    <w:rPr>
                      <w:rFonts w:hint="default" w:ascii="Times New Roman" w:hAnsi="Times New Roman" w:eastAsia="宋体" w:cs="Times New Roman"/>
                      <w:color w:val="auto"/>
                      <w:kern w:val="0"/>
                      <w:szCs w:val="21"/>
                      <w:vertAlign w:val="superscript"/>
                    </w:rPr>
                    <w:t>2</w:t>
                  </w:r>
                  <w:r>
                    <w:rPr>
                      <w:rFonts w:hint="default" w:ascii="Times New Roman" w:hAnsi="Times New Roman" w:eastAsia="宋体" w:cs="Times New Roman"/>
                      <w:color w:val="auto"/>
                      <w:kern w:val="0"/>
                      <w:szCs w:val="21"/>
                    </w:rPr>
                    <w:t>的建设项目。</w:t>
                  </w:r>
                </w:p>
              </w:tc>
              <w:tc>
                <w:tcPr>
                  <w:tcW w:w="2777" w:type="dxa"/>
                  <w:noWrap/>
                  <w:vAlign w:val="center"/>
                </w:tcPr>
                <w:p w14:paraId="5019C67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项目不排放含有毒有害污染物、二噁英、苯并[a]芘、氰化物、氯气的废气。</w:t>
                  </w:r>
                </w:p>
              </w:tc>
              <w:tc>
                <w:tcPr>
                  <w:tcW w:w="1215" w:type="dxa"/>
                  <w:noWrap/>
                  <w:vAlign w:val="center"/>
                </w:tcPr>
                <w:p w14:paraId="6B16F0E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否</w:t>
                  </w:r>
                </w:p>
              </w:tc>
            </w:tr>
            <w:tr w14:paraId="3A54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4EE1C28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地表水</w:t>
                  </w:r>
                </w:p>
              </w:tc>
              <w:tc>
                <w:tcPr>
                  <w:tcW w:w="3154" w:type="dxa"/>
                  <w:noWrap/>
                  <w:vAlign w:val="center"/>
                </w:tcPr>
                <w:p w14:paraId="4B588DE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新增工业废水直排建设项目（槽罐车外送污水处理厂的除外）；新增废水直排的污水集中处理厂。</w:t>
                  </w:r>
                </w:p>
              </w:tc>
              <w:tc>
                <w:tcPr>
                  <w:tcW w:w="2777" w:type="dxa"/>
                  <w:noWrap/>
                  <w:vAlign w:val="center"/>
                </w:tcPr>
                <w:p w14:paraId="7C839E6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rPr>
                    <w:t>项目生产废水排入自建污水处理站处理</w:t>
                  </w:r>
                  <w:r>
                    <w:rPr>
                      <w:rFonts w:hint="default" w:ascii="Times New Roman" w:hAnsi="Times New Roman" w:eastAsia="宋体" w:cs="Times New Roman"/>
                      <w:color w:val="auto"/>
                      <w:kern w:val="0"/>
                      <w:szCs w:val="21"/>
                      <w:lang w:val="en-US" w:eastAsia="zh-CN"/>
                    </w:rPr>
                    <w:t>达标</w:t>
                  </w:r>
                  <w:r>
                    <w:rPr>
                      <w:rFonts w:hint="default" w:ascii="Times New Roman" w:hAnsi="Times New Roman" w:eastAsia="宋体" w:cs="Times New Roman"/>
                      <w:color w:val="auto"/>
                      <w:kern w:val="0"/>
                      <w:szCs w:val="21"/>
                    </w:rPr>
                    <w:t>后</w:t>
                  </w:r>
                  <w:r>
                    <w:rPr>
                      <w:rFonts w:hint="default" w:ascii="Times New Roman" w:hAnsi="Times New Roman" w:eastAsia="宋体" w:cs="Times New Roman"/>
                      <w:color w:val="auto"/>
                      <w:kern w:val="0"/>
                      <w:szCs w:val="21"/>
                      <w:lang w:val="en-US" w:eastAsia="zh-CN"/>
                    </w:rPr>
                    <w:t>回用生产，不外排。</w:t>
                  </w:r>
                </w:p>
              </w:tc>
              <w:tc>
                <w:tcPr>
                  <w:tcW w:w="1215" w:type="dxa"/>
                  <w:noWrap/>
                  <w:vAlign w:val="center"/>
                </w:tcPr>
                <w:p w14:paraId="55C463D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否</w:t>
                  </w:r>
                </w:p>
              </w:tc>
            </w:tr>
            <w:tr w14:paraId="20C3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5C20A09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环境风险</w:t>
                  </w:r>
                </w:p>
              </w:tc>
              <w:tc>
                <w:tcPr>
                  <w:tcW w:w="3154" w:type="dxa"/>
                  <w:noWrap/>
                  <w:vAlign w:val="center"/>
                </w:tcPr>
                <w:p w14:paraId="28BEAE4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有毒有害和易燃易爆危险物质存储量超过临界量</w:t>
                  </w:r>
                  <w:r>
                    <w:rPr>
                      <w:rFonts w:hint="default" w:ascii="Times New Roman" w:hAnsi="Times New Roman" w:eastAsia="宋体" w:cs="Times New Roman"/>
                      <w:color w:val="auto"/>
                      <w:kern w:val="0"/>
                      <w:szCs w:val="21"/>
                      <w:vertAlign w:val="superscript"/>
                    </w:rPr>
                    <w:t>3</w:t>
                  </w:r>
                  <w:r>
                    <w:rPr>
                      <w:rFonts w:hint="default" w:ascii="Times New Roman" w:hAnsi="Times New Roman" w:eastAsia="宋体" w:cs="Times New Roman"/>
                      <w:color w:val="auto"/>
                      <w:kern w:val="0"/>
                      <w:szCs w:val="21"/>
                    </w:rPr>
                    <w:t>的建设项目。</w:t>
                  </w:r>
                </w:p>
              </w:tc>
              <w:tc>
                <w:tcPr>
                  <w:tcW w:w="2777" w:type="dxa"/>
                  <w:noWrap/>
                  <w:vAlign w:val="center"/>
                </w:tcPr>
                <w:p w14:paraId="6DE22C7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项目涉及有毒有害和易燃易爆危险物质暂存量未超过临界量。</w:t>
                  </w:r>
                </w:p>
              </w:tc>
              <w:tc>
                <w:tcPr>
                  <w:tcW w:w="1215" w:type="dxa"/>
                  <w:noWrap/>
                  <w:vAlign w:val="center"/>
                </w:tcPr>
                <w:p w14:paraId="4F7EF97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否</w:t>
                  </w:r>
                </w:p>
              </w:tc>
            </w:tr>
            <w:tr w14:paraId="65FC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6B80050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生态</w:t>
                  </w:r>
                </w:p>
              </w:tc>
              <w:tc>
                <w:tcPr>
                  <w:tcW w:w="3154" w:type="dxa"/>
                  <w:noWrap/>
                  <w:vAlign w:val="center"/>
                </w:tcPr>
                <w:p w14:paraId="2D9FA29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取水口下游500米范围内有重要水生生物的自然产卵场、索饵场、越冬场和洄游通道的新增河道取水的污染类建设项目。</w:t>
                  </w:r>
                </w:p>
              </w:tc>
              <w:tc>
                <w:tcPr>
                  <w:tcW w:w="2777" w:type="dxa"/>
                  <w:noWrap/>
                  <w:vAlign w:val="center"/>
                </w:tcPr>
                <w:p w14:paraId="791F792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项目不设取水口。</w:t>
                  </w:r>
                </w:p>
              </w:tc>
              <w:tc>
                <w:tcPr>
                  <w:tcW w:w="1215" w:type="dxa"/>
                  <w:noWrap/>
                  <w:vAlign w:val="center"/>
                </w:tcPr>
                <w:p w14:paraId="77A610D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否</w:t>
                  </w:r>
                </w:p>
              </w:tc>
            </w:tr>
            <w:tr w14:paraId="0A07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5474DD7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海洋</w:t>
                  </w:r>
                </w:p>
              </w:tc>
              <w:tc>
                <w:tcPr>
                  <w:tcW w:w="3154" w:type="dxa"/>
                  <w:noWrap/>
                  <w:vAlign w:val="center"/>
                </w:tcPr>
                <w:p w14:paraId="31F585F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直接向海排放污染物的海洋工程建设项目。</w:t>
                  </w:r>
                </w:p>
              </w:tc>
              <w:tc>
                <w:tcPr>
                  <w:tcW w:w="2777" w:type="dxa"/>
                  <w:noWrap/>
                  <w:vAlign w:val="center"/>
                </w:tcPr>
                <w:p w14:paraId="0D05089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项目不属于海洋工程建设项目，不向海洋排放污染物。</w:t>
                  </w:r>
                </w:p>
              </w:tc>
              <w:tc>
                <w:tcPr>
                  <w:tcW w:w="1215" w:type="dxa"/>
                  <w:noWrap/>
                  <w:vAlign w:val="center"/>
                </w:tcPr>
                <w:p w14:paraId="333FDB5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否</w:t>
                  </w:r>
                </w:p>
              </w:tc>
            </w:tr>
            <w:tr w14:paraId="73FE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2" w:type="dxa"/>
                  <w:gridSpan w:val="4"/>
                  <w:noWrap/>
                  <w:vAlign w:val="center"/>
                </w:tcPr>
                <w:p w14:paraId="35F08F78">
                  <w:pPr>
                    <w:keepNext w:val="0"/>
                    <w:keepLines w:val="0"/>
                    <w:suppressLineNumbers w:val="0"/>
                    <w:autoSpaceDE w:val="0"/>
                    <w:autoSpaceDN w:val="0"/>
                    <w:adjustRightInd w:val="0"/>
                    <w:snapToGrid w:val="0"/>
                    <w:spacing w:before="0" w:beforeAutospacing="0" w:after="0" w:afterAutospacing="0"/>
                    <w:ind w:left="0" w:right="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注：1.废气中有毒有害污染物指纳入《有毒有害大气污染物名录》的污染物（不包括无排放标准的污染物）。</w:t>
                  </w:r>
                </w:p>
                <w:p w14:paraId="4501631E">
                  <w:pPr>
                    <w:keepNext w:val="0"/>
                    <w:keepLines w:val="0"/>
                    <w:suppressLineNumbers w:val="0"/>
                    <w:autoSpaceDE w:val="0"/>
                    <w:autoSpaceDN w:val="0"/>
                    <w:adjustRightInd w:val="0"/>
                    <w:snapToGrid w:val="0"/>
                    <w:spacing w:before="0" w:beforeAutospacing="0" w:after="0" w:afterAutospacing="0"/>
                    <w:ind w:left="0" w:right="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2.环境空气保护目标指自然保护区、风景名胜区、居住区、文化区和农村地区中人群较集中的区域。</w:t>
                  </w:r>
                </w:p>
                <w:p w14:paraId="492F3C03">
                  <w:pPr>
                    <w:keepNext w:val="0"/>
                    <w:keepLines w:val="0"/>
                    <w:suppressLineNumbers w:val="0"/>
                    <w:autoSpaceDE w:val="0"/>
                    <w:autoSpaceDN w:val="0"/>
                    <w:adjustRightInd w:val="0"/>
                    <w:snapToGrid w:val="0"/>
                    <w:spacing w:before="0" w:beforeAutospacing="0" w:after="0" w:afterAutospacing="0"/>
                    <w:ind w:left="0" w:right="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3.临界量及其计算方法可参考《建设项目环境风险评价技术导则》（HJ 169）附录B、附录C.。</w:t>
                  </w:r>
                </w:p>
              </w:tc>
            </w:tr>
          </w:tbl>
          <w:p w14:paraId="3EAE56B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rPr>
              <w:t>由上表可知，本项目不设置专项评价</w:t>
            </w:r>
          </w:p>
        </w:tc>
      </w:tr>
      <w:tr w14:paraId="22F5C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4381290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规划情况</w:t>
            </w:r>
          </w:p>
        </w:tc>
        <w:tc>
          <w:tcPr>
            <w:tcW w:w="7216"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4676B8D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无</w:t>
            </w:r>
          </w:p>
        </w:tc>
      </w:tr>
      <w:tr w14:paraId="72EF9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52CE4E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规划环境影响评价情况</w:t>
            </w:r>
          </w:p>
        </w:tc>
        <w:tc>
          <w:tcPr>
            <w:tcW w:w="7216"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0530D6A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无</w:t>
            </w:r>
          </w:p>
        </w:tc>
      </w:tr>
      <w:tr w14:paraId="44767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654"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2BFBFD1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规划及规划环境影响评价符合性分析</w:t>
            </w:r>
          </w:p>
        </w:tc>
        <w:tc>
          <w:tcPr>
            <w:tcW w:w="7216"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6AC1C45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无</w:t>
            </w:r>
          </w:p>
        </w:tc>
      </w:tr>
      <w:tr w14:paraId="13A74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654" w:type="dxa"/>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3925913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其他符合性分析</w:t>
            </w:r>
          </w:p>
        </w:tc>
        <w:tc>
          <w:tcPr>
            <w:tcW w:w="7216" w:type="dxa"/>
            <w:gridSpan w:val="3"/>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5E0C551D">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1、产业政策符合性分析</w:t>
            </w:r>
          </w:p>
          <w:p w14:paraId="593AAA1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本项目为热力生产和供应，对照中华人民共和国国家发展和改革委员会令第7号颁布的《产业结构调整指导目录（20</w:t>
            </w:r>
            <w:r>
              <w:rPr>
                <w:rFonts w:hint="default"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rPr>
              <w:t>年本）》中的相关规定，本项目不属于其中的限制类和淘汰类，且符合国家有关法律和政策规定，为允许类。</w:t>
            </w:r>
            <w:r>
              <w:rPr>
                <w:rFonts w:hint="default" w:ascii="Times New Roman" w:hAnsi="Times New Roman" w:eastAsia="宋体" w:cs="Times New Roman"/>
                <w:color w:val="auto"/>
                <w:kern w:val="0"/>
                <w:sz w:val="24"/>
                <w:szCs w:val="24"/>
              </w:rPr>
              <w:t>本项目符合国家产业政策。</w:t>
            </w:r>
          </w:p>
          <w:p w14:paraId="3061049C">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
                <w:bCs/>
                <w:color w:val="auto"/>
                <w:sz w:val="24"/>
                <w:szCs w:val="24"/>
              </w:rPr>
              <w:t>2、与</w:t>
            </w:r>
            <w:r>
              <w:rPr>
                <w:rFonts w:hint="default" w:ascii="Times New Roman" w:hAnsi="Times New Roman" w:eastAsia="宋体" w:cs="Times New Roman"/>
                <w:b/>
                <w:color w:val="auto"/>
                <w:sz w:val="24"/>
                <w:szCs w:val="24"/>
                <w:lang w:val="en-US" w:eastAsia="zh-CN"/>
              </w:rPr>
              <w:t>《昆明市生态环境分区管控动态更新方案（2023年）》</w:t>
            </w:r>
            <w:r>
              <w:rPr>
                <w:rFonts w:hint="default" w:ascii="Times New Roman" w:hAnsi="Times New Roman" w:eastAsia="宋体" w:cs="Times New Roman"/>
                <w:b/>
                <w:bCs/>
                <w:color w:val="auto"/>
                <w:sz w:val="24"/>
                <w:szCs w:val="24"/>
              </w:rPr>
              <w:t>符合性分析</w:t>
            </w:r>
          </w:p>
          <w:p w14:paraId="5B0AE128">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2024年11月12日昆明市生态环境局关于</w:t>
            </w:r>
            <w:r>
              <w:rPr>
                <w:rFonts w:hint="default" w:ascii="Times New Roman" w:hAnsi="Times New Roman" w:eastAsia="宋体" w:cs="Times New Roman"/>
                <w:color w:val="auto"/>
                <w:sz w:val="24"/>
                <w:szCs w:val="24"/>
                <w:lang w:val="en-US" w:eastAsia="zh-CN"/>
              </w:rPr>
              <w:t>印发《昆明市生态环境分区管控动态更新方案（2023年）》的通知</w:t>
            </w:r>
            <w:r>
              <w:rPr>
                <w:rFonts w:hint="default" w:ascii="Times New Roman" w:hAnsi="Times New Roman" w:eastAsia="宋体" w:cs="Times New Roman"/>
                <w:color w:val="auto"/>
                <w:kern w:val="0"/>
                <w:sz w:val="24"/>
                <w:szCs w:val="24"/>
                <w:lang w:val="en-US" w:eastAsia="zh-CN" w:bidi="ar"/>
              </w:rPr>
              <w:t>，详情如下：</w:t>
            </w:r>
          </w:p>
          <w:p w14:paraId="3A51C114">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（一）环境管控单元更新结果</w:t>
            </w:r>
          </w:p>
          <w:p w14:paraId="37E66954">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更新后，全市环境管控单元数量由原有的129个调整为132个。</w:t>
            </w:r>
          </w:p>
          <w:p w14:paraId="5471D47F">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优先保护单元：更新后，总数为42个，保持不变；面积占比由44.11%更新为44.72%，增加0.61%。</w:t>
            </w:r>
          </w:p>
          <w:p w14:paraId="7205CDF2">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重点管控单元：更新后，总数为76个，较原有增加3个；面积占比由19.56%更新为19.06%，减少0.5%。</w:t>
            </w:r>
          </w:p>
          <w:p w14:paraId="4DD24A70">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一般管控单元：更新后，总数为14个，保持不变；面积占比由36.33%更新为36.22%，减少0.11%。</w:t>
            </w:r>
          </w:p>
          <w:p w14:paraId="558DCAC5">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（二）生态保护红线及一般生态空间更新结果</w:t>
            </w:r>
          </w:p>
          <w:p w14:paraId="7F5BD1E4">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更新后，生态保护红线全面与《昆明市国土空间总体规划（2021—2035年）》衔接，全市生态保护红线面积4274.70平方公里，占全市国土面积的20.34%，较原有面积占比减少1.85%。全市一般生态空间面积5151.56平方公里，占国土空间面积的24.37%，较原有面积占比增加2.45%。</w:t>
            </w:r>
          </w:p>
          <w:p w14:paraId="619B67C1">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（三）环境质量底线及资源利用上线更新结果</w:t>
            </w:r>
          </w:p>
          <w:p w14:paraId="6062D36B">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到2025年，昆明市地表水国控断面达到或好于Ⅲ类水体比例应达到81.5%，45个省控断面达到或好于Ⅲ类水体比例应达到80%，劣V类水体全面消除，县级及以上集中式饮用水水源地水质达标率100%；空气质量优良天数比率达99.1%，细颗粒物（PM</w:t>
            </w:r>
            <w:r>
              <w:rPr>
                <w:rFonts w:hint="default" w:ascii="Times New Roman" w:hAnsi="Times New Roman" w:eastAsia="宋体" w:cs="Times New Roman"/>
                <w:color w:val="auto"/>
                <w:kern w:val="0"/>
                <w:sz w:val="24"/>
                <w:szCs w:val="24"/>
                <w:vertAlign w:val="subscript"/>
                <w:lang w:val="en-US" w:eastAsia="zh-CN" w:bidi="ar"/>
              </w:rPr>
              <w:t>2.5</w:t>
            </w:r>
            <w:r>
              <w:rPr>
                <w:rFonts w:hint="default" w:ascii="Times New Roman" w:hAnsi="Times New Roman" w:eastAsia="宋体" w:cs="Times New Roman"/>
                <w:color w:val="auto"/>
                <w:kern w:val="0"/>
                <w:sz w:val="24"/>
                <w:szCs w:val="24"/>
                <w:lang w:val="en-US" w:eastAsia="zh-CN" w:bidi="ar"/>
              </w:rPr>
              <w:t>）浓度不高于24微克/立方米，重污染天数为0；全市土壤环境质量总体保持稳定，局部稳中向好，受污染耕地安全利用率不低于90%，重点建设用地安全利用得到有效保障。</w:t>
            </w:r>
          </w:p>
          <w:p w14:paraId="303CB15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根据《202</w:t>
            </w:r>
            <w:r>
              <w:rPr>
                <w:rFonts w:hint="default"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bidi="ar"/>
              </w:rPr>
              <w:t>年度昆明市生态环境状况公报》，项目所在区域属于环境空气质量达标区。本项目运营期</w:t>
            </w:r>
            <w:r>
              <w:rPr>
                <w:rFonts w:hint="default" w:ascii="Times New Roman" w:hAnsi="Times New Roman" w:eastAsia="宋体" w:cs="Times New Roman"/>
                <w:color w:val="auto"/>
                <w:kern w:val="0"/>
                <w:sz w:val="24"/>
                <w:szCs w:val="24"/>
                <w:lang w:val="en-US" w:eastAsia="zh-CN" w:bidi="ar"/>
              </w:rPr>
              <w:t>废气经治理后达标排放</w:t>
            </w:r>
            <w:r>
              <w:rPr>
                <w:rFonts w:hint="default" w:ascii="Times New Roman" w:hAnsi="Times New Roman" w:eastAsia="宋体" w:cs="Times New Roman"/>
                <w:color w:val="auto"/>
                <w:kern w:val="0"/>
                <w:sz w:val="24"/>
                <w:szCs w:val="24"/>
                <w:lang w:bidi="ar"/>
              </w:rPr>
              <w:t>，对外环境影响不大，不会突破项目所在区域环境空气质量底线。</w:t>
            </w:r>
            <w:r>
              <w:rPr>
                <w:rFonts w:hint="default" w:ascii="Times New Roman" w:hAnsi="Times New Roman" w:eastAsia="宋体" w:cs="Times New Roman"/>
                <w:color w:val="auto"/>
                <w:sz w:val="24"/>
              </w:rPr>
              <w:t>南盘江</w:t>
            </w:r>
            <w:r>
              <w:rPr>
                <w:rFonts w:hint="default" w:ascii="Times New Roman" w:hAnsi="Times New Roman" w:eastAsia="宋体" w:cs="Times New Roman"/>
                <w:color w:val="auto"/>
                <w:kern w:val="2"/>
                <w:sz w:val="24"/>
                <w:szCs w:val="24"/>
                <w:lang w:val="en-US" w:eastAsia="zh-CN" w:bidi="ar-SA"/>
              </w:rPr>
              <w:t>水质现状满足水环境功能区划类别要求，</w:t>
            </w:r>
            <w:r>
              <w:rPr>
                <w:rFonts w:hint="default" w:ascii="Times New Roman" w:hAnsi="Times New Roman" w:eastAsia="宋体" w:cs="Times New Roman"/>
                <w:color w:val="auto"/>
                <w:kern w:val="0"/>
                <w:sz w:val="24"/>
                <w:szCs w:val="24"/>
              </w:rPr>
              <w:t>项目废水排入</w:t>
            </w:r>
            <w:r>
              <w:rPr>
                <w:rFonts w:hint="default" w:ascii="Times New Roman" w:hAnsi="Times New Roman" w:eastAsia="宋体" w:cs="Times New Roman"/>
                <w:color w:val="auto"/>
                <w:kern w:val="0"/>
                <w:sz w:val="24"/>
                <w:szCs w:val="24"/>
                <w:lang w:val="en-US" w:eastAsia="zh-CN"/>
              </w:rPr>
              <w:t>现有的</w:t>
            </w:r>
            <w:r>
              <w:rPr>
                <w:rFonts w:hint="default" w:ascii="Times New Roman" w:hAnsi="Times New Roman" w:eastAsia="宋体" w:cs="Times New Roman"/>
                <w:color w:val="auto"/>
                <w:kern w:val="0"/>
                <w:sz w:val="24"/>
                <w:szCs w:val="24"/>
              </w:rPr>
              <w:t>污水处理站处理</w:t>
            </w:r>
            <w:r>
              <w:rPr>
                <w:rFonts w:hint="default" w:ascii="Times New Roman" w:hAnsi="Times New Roman" w:eastAsia="宋体" w:cs="Times New Roman"/>
                <w:color w:val="auto"/>
                <w:kern w:val="0"/>
                <w:sz w:val="24"/>
                <w:szCs w:val="24"/>
                <w:lang w:val="en-US" w:eastAsia="zh-CN"/>
              </w:rPr>
              <w:t>达标</w:t>
            </w:r>
            <w:r>
              <w:rPr>
                <w:rFonts w:hint="default" w:ascii="Times New Roman" w:hAnsi="Times New Roman" w:eastAsia="宋体" w:cs="Times New Roman"/>
                <w:color w:val="auto"/>
                <w:kern w:val="0"/>
                <w:sz w:val="24"/>
                <w:szCs w:val="24"/>
              </w:rPr>
              <w:t>后</w:t>
            </w:r>
            <w:r>
              <w:rPr>
                <w:rFonts w:hint="default" w:ascii="Times New Roman" w:hAnsi="Times New Roman" w:eastAsia="宋体" w:cs="Times New Roman"/>
                <w:color w:val="auto"/>
                <w:kern w:val="0"/>
                <w:sz w:val="24"/>
                <w:szCs w:val="24"/>
                <w:lang w:val="en-US" w:eastAsia="zh-CN"/>
              </w:rPr>
              <w:t>回用生产，不外排</w:t>
            </w:r>
            <w:r>
              <w:rPr>
                <w:rFonts w:hint="default" w:ascii="Times New Roman" w:hAnsi="Times New Roman" w:eastAsia="宋体" w:cs="Times New Roman"/>
                <w:color w:val="auto"/>
                <w:spacing w:val="-2"/>
                <w:sz w:val="24"/>
                <w:szCs w:val="24"/>
              </w:rPr>
              <w:t>，不会突破当地水环境质量底线</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sz w:val="24"/>
                <w:szCs w:val="24"/>
                <w:lang w:eastAsia="zh-CN"/>
              </w:rPr>
              <w:t>项目所在地区声环境质量良好。</w:t>
            </w:r>
            <w:r>
              <w:rPr>
                <w:rFonts w:hint="default" w:ascii="Times New Roman" w:hAnsi="Times New Roman" w:eastAsia="宋体" w:cs="Times New Roman"/>
                <w:color w:val="auto"/>
                <w:kern w:val="0"/>
                <w:sz w:val="24"/>
                <w:szCs w:val="24"/>
                <w:lang w:bidi="ar"/>
              </w:rPr>
              <w:t>项目所用设备安装在室内，再进行减震处理后可确保厂界外1m处的噪声值满足《工业企业厂界环境噪声排放标准》</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kern w:val="0"/>
                <w:sz w:val="24"/>
                <w:szCs w:val="24"/>
                <w:lang w:bidi="ar"/>
              </w:rPr>
              <w:t>GB12348-2008</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kern w:val="0"/>
                <w:sz w:val="24"/>
                <w:szCs w:val="24"/>
                <w:lang w:val="en-US" w:eastAsia="zh-CN" w:bidi="ar"/>
              </w:rPr>
              <w:t>2类</w:t>
            </w:r>
            <w:r>
              <w:rPr>
                <w:rFonts w:hint="default" w:ascii="Times New Roman" w:hAnsi="Times New Roman" w:eastAsia="宋体" w:cs="Times New Roman"/>
                <w:color w:val="auto"/>
                <w:kern w:val="0"/>
                <w:sz w:val="24"/>
                <w:szCs w:val="24"/>
                <w:lang w:bidi="ar"/>
              </w:rPr>
              <w:t>限值要求，不会突破项目所在区域的声环境质量底线。</w:t>
            </w:r>
          </w:p>
          <w:p w14:paraId="2897BAC6">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到2025年，按照国家、省、市有关要求和规划，按时完成全市用水总量、用水效率、限制纳污“三条红线”水资源上限控制指标；按时完成耕地保有量、基本农田保护面积、建设用地总规模等土地资源利用上限控制指标；按时完成单位GDP能耗下降率、能源消费总量等能源控制指标；矿产资源开采与保护达到预期目标；河湖岸线资源管控达到相关要求。</w:t>
            </w:r>
          </w:p>
          <w:p w14:paraId="14496756">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szCs w:val="24"/>
                <w:lang w:bidi="ar"/>
              </w:rPr>
              <w:t>项目</w:t>
            </w:r>
            <w:r>
              <w:rPr>
                <w:rFonts w:hint="default" w:ascii="Times New Roman" w:hAnsi="Times New Roman" w:eastAsia="宋体" w:cs="Times New Roman"/>
                <w:color w:val="auto"/>
                <w:kern w:val="0"/>
                <w:sz w:val="24"/>
                <w:szCs w:val="24"/>
                <w:lang w:eastAsia="zh-CN" w:bidi="ar"/>
              </w:rPr>
              <w:t>在云南李好纸业有限公司</w:t>
            </w:r>
            <w:r>
              <w:rPr>
                <w:rFonts w:hint="default" w:ascii="Times New Roman" w:hAnsi="Times New Roman" w:eastAsia="宋体" w:cs="Times New Roman"/>
                <w:color w:val="auto"/>
                <w:kern w:val="0"/>
                <w:sz w:val="24"/>
                <w:szCs w:val="24"/>
                <w:lang w:val="en-US" w:eastAsia="zh-CN" w:bidi="ar"/>
              </w:rPr>
              <w:t>原有锅炉房内进行建设</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kern w:val="0"/>
                <w:sz w:val="24"/>
                <w:szCs w:val="24"/>
                <w:lang w:bidi="ar"/>
              </w:rPr>
              <w:t>运营过程中消耗一定量的电源、水资源，用电量和用水量均不大，不会突破项目所在地资源利用上线要求。</w:t>
            </w:r>
          </w:p>
          <w:p w14:paraId="641CC066">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（四）环境准入负面清单</w:t>
            </w:r>
          </w:p>
          <w:p w14:paraId="5E96879C">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lang w:val="en-US" w:eastAsia="zh-CN"/>
              </w:rPr>
              <w:t>根据云南省生态环境分区管控公共服务查询平台，</w:t>
            </w:r>
            <w:r>
              <w:rPr>
                <w:rFonts w:hint="default" w:ascii="Times New Roman" w:hAnsi="Times New Roman" w:eastAsia="宋体" w:cs="Times New Roman"/>
                <w:color w:val="auto"/>
                <w:sz w:val="24"/>
                <w:szCs w:val="24"/>
              </w:rPr>
              <w:t>本项目属于宜良县农业农村面源污染重点管控单元（ZH53012520005）。</w:t>
            </w:r>
          </w:p>
          <w:p w14:paraId="2E03AB3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drawing>
                <wp:inline distT="0" distB="0" distL="114300" distR="114300">
                  <wp:extent cx="3971925" cy="3825240"/>
                  <wp:effectExtent l="0" t="0" r="9525" b="3810"/>
                  <wp:docPr id="1" name="图片 11" descr="管控单元截图2026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管控单元截图20260525"/>
                          <pic:cNvPicPr>
                            <a:picLocks noChangeAspect="1"/>
                          </pic:cNvPicPr>
                        </pic:nvPicPr>
                        <pic:blipFill>
                          <a:blip r:embed="rId9"/>
                          <a:stretch>
                            <a:fillRect/>
                          </a:stretch>
                        </pic:blipFill>
                        <pic:spPr>
                          <a:xfrm>
                            <a:off x="0" y="0"/>
                            <a:ext cx="3971925" cy="3825240"/>
                          </a:xfrm>
                          <a:prstGeom prst="rect">
                            <a:avLst/>
                          </a:prstGeom>
                          <a:noFill/>
                          <a:ln>
                            <a:noFill/>
                          </a:ln>
                        </pic:spPr>
                      </pic:pic>
                    </a:graphicData>
                  </a:graphic>
                </wp:inline>
              </w:drawing>
            </w:r>
          </w:p>
          <w:p w14:paraId="6CCEB6E3">
            <w:pPr>
              <w:keepNext w:val="0"/>
              <w:keepLines w:val="0"/>
              <w:suppressLineNumbers w:val="0"/>
              <w:adjustRightInd w:val="0"/>
              <w:snapToGrid w:val="0"/>
              <w:spacing w:before="0" w:beforeAutospacing="0" w:after="0" w:afterAutospacing="0" w:line="480" w:lineRule="exact"/>
              <w:ind w:left="0" w:right="0"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项目与</w:t>
            </w:r>
            <w:r>
              <w:rPr>
                <w:rFonts w:hint="default" w:ascii="Times New Roman" w:hAnsi="Times New Roman" w:eastAsia="宋体" w:cs="Times New Roman"/>
                <w:color w:val="auto"/>
                <w:sz w:val="24"/>
                <w:szCs w:val="24"/>
                <w:lang w:val="en-US" w:eastAsia="zh-CN"/>
              </w:rPr>
              <w:t>《昆明市生态环境分区管控动态更新方案（2023年）</w:t>
            </w:r>
            <w:r>
              <w:rPr>
                <w:rFonts w:hint="default" w:ascii="Times New Roman" w:hAnsi="Times New Roman" w:eastAsia="宋体" w:cs="Times New Roman"/>
                <w:color w:val="auto"/>
                <w:sz w:val="24"/>
                <w:szCs w:val="24"/>
                <w:lang w:eastAsia="zh-CN"/>
              </w:rPr>
              <w:t>》要求的相符性分析见下表。</w:t>
            </w:r>
          </w:p>
          <w:p w14:paraId="3B85D6D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表1-</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与</w:t>
            </w:r>
            <w:r>
              <w:rPr>
                <w:rFonts w:hint="default" w:ascii="Times New Roman" w:hAnsi="Times New Roman" w:eastAsia="宋体" w:cs="Times New Roman"/>
                <w:b/>
                <w:bCs/>
                <w:color w:val="auto"/>
                <w:sz w:val="24"/>
                <w:szCs w:val="24"/>
                <w:lang w:val="en-US" w:eastAsia="zh-CN"/>
              </w:rPr>
              <w:t>《昆明市生态环境分区管控动态更新方案（2023年）》</w:t>
            </w:r>
            <w:r>
              <w:rPr>
                <w:rFonts w:hint="default" w:ascii="Times New Roman" w:hAnsi="Times New Roman" w:eastAsia="宋体" w:cs="Times New Roman"/>
                <w:b/>
                <w:bCs/>
                <w:color w:val="auto"/>
                <w:sz w:val="24"/>
                <w:szCs w:val="24"/>
              </w:rPr>
              <w:t>符合性分析表</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3014"/>
              <w:gridCol w:w="2722"/>
              <w:gridCol w:w="707"/>
            </w:tblGrid>
            <w:tr w14:paraId="0DFD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noWrap w:val="0"/>
                  <w:vAlign w:val="center"/>
                </w:tcPr>
                <w:p w14:paraId="1DFC02E8">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w:t>
                  </w:r>
                </w:p>
              </w:tc>
              <w:tc>
                <w:tcPr>
                  <w:tcW w:w="2157" w:type="pct"/>
                  <w:noWrap w:val="0"/>
                  <w:vAlign w:val="center"/>
                </w:tcPr>
                <w:p w14:paraId="4FB78D70">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管控要求</w:t>
                  </w:r>
                </w:p>
              </w:tc>
              <w:tc>
                <w:tcPr>
                  <w:tcW w:w="1948" w:type="pct"/>
                  <w:noWrap w:val="0"/>
                  <w:vAlign w:val="center"/>
                </w:tcPr>
                <w:p w14:paraId="6C7D3F3A">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项目情况</w:t>
                  </w:r>
                </w:p>
              </w:tc>
              <w:tc>
                <w:tcPr>
                  <w:tcW w:w="504" w:type="pct"/>
                  <w:noWrap w:val="0"/>
                  <w:vAlign w:val="center"/>
                </w:tcPr>
                <w:p w14:paraId="70816BD3">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相符性</w:t>
                  </w:r>
                </w:p>
              </w:tc>
            </w:tr>
            <w:tr w14:paraId="7877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center"/>
                </w:tcPr>
                <w:p w14:paraId="670C5087">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昆明市生态环境管控总体准入要求</w:t>
                  </w:r>
                </w:p>
              </w:tc>
            </w:tr>
            <w:tr w14:paraId="2559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noWrap w:val="0"/>
                  <w:vAlign w:val="center"/>
                </w:tcPr>
                <w:p w14:paraId="0887F1BB">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空间布局</w:t>
                  </w:r>
                </w:p>
                <w:p w14:paraId="6B0D4D8C">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约束</w:t>
                  </w:r>
                </w:p>
              </w:tc>
              <w:tc>
                <w:tcPr>
                  <w:tcW w:w="2157" w:type="pct"/>
                  <w:noWrap w:val="0"/>
                  <w:vAlign w:val="center"/>
                </w:tcPr>
                <w:p w14:paraId="674FD781">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1.根据《昆明市国土空间总体规划(2021-2035年)》进行空间管控。</w:t>
                  </w:r>
                </w:p>
                <w:p w14:paraId="4838C26C">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2.牛栏江流域内，严格按照《云南省牛栏江保护条例》相关要求对水环境进行分区管控。</w:t>
                  </w:r>
                </w:p>
                <w:p w14:paraId="42009D74">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3.滇池流域内，严格按照《云南省滇池湖滨生态红线及湖泊生态黄线“两线”划定方案》相关要求进行分区管控。</w:t>
                  </w:r>
                </w:p>
                <w:p w14:paraId="700F769B">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4.阳宗海流域内，严格按照《云南省阳宗海湖滨生态红线及湖泊生态黄线“两线”划定方案》相关要求进行分区管控。</w:t>
                  </w:r>
                </w:p>
              </w:tc>
              <w:tc>
                <w:tcPr>
                  <w:tcW w:w="1948" w:type="pct"/>
                  <w:noWrap w:val="0"/>
                  <w:vAlign w:val="center"/>
                </w:tcPr>
                <w:p w14:paraId="759D6D93">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《昆明市国土空间总体规划(2021-2035年)》中定位：富民县、宜良县、石林县加强生态协同与环保要求，重点发展绿色能源产业、环保产业和绿色食品加工产业。本项目属于</w:t>
                  </w:r>
                  <w:r>
                    <w:rPr>
                      <w:rFonts w:hint="default" w:ascii="Times New Roman" w:hAnsi="Times New Roman" w:eastAsia="宋体" w:cs="Times New Roman"/>
                      <w:color w:val="auto"/>
                      <w:sz w:val="21"/>
                      <w:szCs w:val="21"/>
                      <w:lang w:val="en-US" w:eastAsia="zh-CN"/>
                    </w:rPr>
                    <w:t>锅炉煤改生物质项目</w:t>
                  </w:r>
                  <w:r>
                    <w:rPr>
                      <w:rFonts w:hint="default" w:ascii="Times New Roman" w:hAnsi="Times New Roman" w:eastAsia="宋体" w:cs="Times New Roman"/>
                      <w:color w:val="auto"/>
                      <w:sz w:val="21"/>
                      <w:szCs w:val="21"/>
                    </w:rPr>
                    <w:t>，符合空间定位。</w:t>
                  </w:r>
                </w:p>
                <w:p w14:paraId="2D2EBDFD">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2、项目不涉及牛栏江。</w:t>
                  </w:r>
                </w:p>
                <w:p w14:paraId="21B6F77B">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项目不属于</w:t>
                  </w:r>
                  <w:r>
                    <w:rPr>
                      <w:rFonts w:hint="default" w:ascii="Times New Roman" w:hAnsi="Times New Roman" w:eastAsia="宋体" w:cs="Times New Roman"/>
                      <w:color w:val="auto"/>
                      <w:sz w:val="21"/>
                      <w:szCs w:val="21"/>
                      <w:lang w:val="en-US" w:eastAsia="zh-CN"/>
                    </w:rPr>
                    <w:t>滇池</w:t>
                  </w:r>
                  <w:r>
                    <w:rPr>
                      <w:rFonts w:hint="default" w:ascii="Times New Roman" w:hAnsi="Times New Roman" w:eastAsia="宋体" w:cs="Times New Roman"/>
                      <w:color w:val="auto"/>
                      <w:sz w:val="21"/>
                      <w:szCs w:val="21"/>
                    </w:rPr>
                    <w:t>流域和阳宗海流域。</w:t>
                  </w:r>
                </w:p>
                <w:p w14:paraId="1BC18E93">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4、不涉及阳宗海流域。</w:t>
                  </w:r>
                </w:p>
              </w:tc>
              <w:tc>
                <w:tcPr>
                  <w:tcW w:w="504" w:type="pct"/>
                  <w:noWrap w:val="0"/>
                  <w:vAlign w:val="center"/>
                </w:tcPr>
                <w:p w14:paraId="1F37405D">
                  <w:pPr>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08A2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noWrap w:val="0"/>
                  <w:vAlign w:val="center"/>
                </w:tcPr>
                <w:p w14:paraId="2F519809">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p w14:paraId="1C0D4BA1">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排放管控</w:t>
                  </w:r>
                </w:p>
              </w:tc>
              <w:tc>
                <w:tcPr>
                  <w:tcW w:w="2157" w:type="pct"/>
                  <w:noWrap w:val="0"/>
                  <w:vAlign w:val="center"/>
                </w:tcPr>
                <w:p w14:paraId="7D708564">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1.到2025年，昆明市地表水国、省控断面达到或好于III类水体比例应达到81.5%；滇池草海水质稳定达到 IV类、外海水质达到IV类（COD≤40mg/L)，阳宗海水质稳定达到III类水标准，县级及以上集中式饮用水水源地水质达标率100%。化学需氧量重点工程减排量10243t氨氨重点工程减排量1009t。</w:t>
                  </w:r>
                </w:p>
                <w:p w14:paraId="4D0E69AA">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2.到2025年，昆明市环境空气质量优良天数比例应达到99.1%，城市细颗粒物（PM2.5）平均浓度应达到 24ug/m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；氨氧化物重点工程减排量 2237t，挥发性有机物重点工程减排量1684t。</w:t>
                  </w:r>
                </w:p>
                <w:p w14:paraId="2247E27B">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3.2025年底前，全面完成钢铁企业超低排放改造。持续开展燃煤锅炉整治，推进每小时65蒸吨以上的燃煤锅炉超低排放改造。燃气锅炉推行低氨燃烧氨氧化物排放浓度不高于 50mg/m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。重点涉气排放企业逐步取消烟气旁路，因安全生产无法取消的，安装在线监管系统。</w:t>
                  </w:r>
                </w:p>
                <w:p w14:paraId="67E8A2BE">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4.建立完善源头、过程和末端的VOCs 全过程控制体系，实施VOCs 排放总量控制。</w:t>
                  </w:r>
                </w:p>
                <w:p w14:paraId="15619A67">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5.推进农业废弃物综合利用，2025年底前综合利用率达 90%以上。</w:t>
                  </w:r>
                </w:p>
                <w:p w14:paraId="7E36D7B1">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6.滇池流域：2025年底前，完成流域内城镇雨污分流改造，城镇污水收集率达 95%以上，农村生活污水收集处理率达75%以上，畜禽粪污综合利用率达90%以上，城市生活垃圾处理率达 97%以上，实现农村生活垃圾分类投放、统一运输、集中处理。</w:t>
                  </w:r>
                </w:p>
                <w:p w14:paraId="33B90EED">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7.阳宗海流域：推进农业废弃物综合利用，2025 年底前农作物综合利用率达 90%以上，畜禽粪污综合利用率达 96%以上，农膜回收利用率达 85%以上。2025 年底前，完成流域内城镇雨污分流改造，城镇污水收集率达 95%以上，农村生活污水收集处理率达 75%以上，畜禽粪污综合利用率达 90%以上，城镇生活垃圾处理率达 97%以上，实现农村生活垃圾分类投放、统一运输、集中处理。</w:t>
                  </w:r>
                </w:p>
                <w:p w14:paraId="443ECEAA">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8.督促指导磷石膏生产企业配套建设(或委托建设)相应能力的磷石膏无害化处理设施，采用水洗、焙烧、浮选、中和等技术对磷石膏进行无害化处理，确保在 2025 年新产生磷石膏实现 100%无害化处理，从根本上降低磷石膏污染隐患。无害化处理后暂时不能利用的磷石膏，应当按生态环境、应急管理要求依法依规安全环保分类存放。</w:t>
                  </w:r>
                </w:p>
                <w:p w14:paraId="5F4FC80F">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9.推动昆明市磷石膏综合利用率 2023年达到52%，2024年达到 64%，2025年确保达到73%力争达到 75%；到2025年底，中心城区污泥无害化处置率达到 95%以上，县城污泥无害化处置率达到 90%以上。</w:t>
                  </w:r>
                </w:p>
              </w:tc>
              <w:tc>
                <w:tcPr>
                  <w:tcW w:w="1948" w:type="pct"/>
                  <w:noWrap w:val="0"/>
                  <w:vAlign w:val="center"/>
                </w:tcPr>
                <w:p w14:paraId="3F8D6AEC">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项目排水采用雨污分流，。</w:t>
                  </w:r>
                </w:p>
                <w:p w14:paraId="63E0A801">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2.项目废气经收集后通过</w:t>
                  </w:r>
                  <w:r>
                    <w:rPr>
                      <w:rFonts w:hint="default" w:ascii="Times New Roman" w:hAnsi="Times New Roman" w:eastAsia="宋体" w:cs="Times New Roman"/>
                      <w:color w:val="auto"/>
                      <w:sz w:val="21"/>
                      <w:szCs w:val="21"/>
                      <w:lang w:val="en-US" w:eastAsia="zh-CN"/>
                    </w:rPr>
                    <w:t>布袋除尘器</w:t>
                  </w:r>
                  <w:r>
                    <w:rPr>
                      <w:rFonts w:hint="default" w:ascii="Times New Roman" w:hAnsi="Times New Roman" w:eastAsia="宋体" w:cs="Times New Roman"/>
                      <w:color w:val="auto"/>
                      <w:sz w:val="21"/>
                      <w:szCs w:val="21"/>
                    </w:rPr>
                    <w:t>处理后达标排放。</w:t>
                  </w:r>
                </w:p>
                <w:p w14:paraId="03DBAA83">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val="en-US" w:eastAsia="zh-CN"/>
                    </w:rPr>
                    <w:t>将10t燃煤锅炉改为10.5t生物质锅炉，执行燃气锅炉排放标准</w:t>
                  </w:r>
                  <w:r>
                    <w:rPr>
                      <w:rFonts w:hint="default" w:ascii="Times New Roman" w:hAnsi="Times New Roman" w:eastAsia="宋体" w:cs="Times New Roman"/>
                      <w:color w:val="auto"/>
                      <w:sz w:val="21"/>
                      <w:szCs w:val="21"/>
                    </w:rPr>
                    <w:t>。</w:t>
                  </w:r>
                </w:p>
                <w:p w14:paraId="1D5DAB69">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4、本项目不涉及VOC</w:t>
                  </w:r>
                  <w:r>
                    <w:rPr>
                      <w:rFonts w:hint="default" w:ascii="Times New Roman" w:hAnsi="Times New Roman" w:eastAsia="宋体" w:cs="Times New Roman"/>
                      <w:color w:val="auto"/>
                      <w:sz w:val="21"/>
                      <w:szCs w:val="21"/>
                      <w:vertAlign w:val="subscript"/>
                      <w:lang w:val="en-US" w:eastAsia="zh-CN"/>
                    </w:rPr>
                    <w:t>s</w:t>
                  </w:r>
                  <w:r>
                    <w:rPr>
                      <w:rFonts w:hint="default" w:ascii="Times New Roman" w:hAnsi="Times New Roman" w:eastAsia="宋体" w:cs="Times New Roman"/>
                      <w:color w:val="auto"/>
                      <w:sz w:val="21"/>
                      <w:szCs w:val="21"/>
                      <w:lang w:val="en-US" w:eastAsia="zh-CN"/>
                    </w:rPr>
                    <w:t>。</w:t>
                  </w:r>
                </w:p>
                <w:p w14:paraId="3F46F141">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.项目不涉及农业废弃物。</w:t>
                  </w:r>
                </w:p>
                <w:p w14:paraId="575501D1">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项目排水采用雨污分流，雨水经项目区雨水管收集汇入周边市政雨水管网；</w:t>
                  </w:r>
                  <w:r>
                    <w:rPr>
                      <w:rFonts w:hint="default" w:ascii="Times New Roman" w:hAnsi="Times New Roman" w:eastAsia="宋体" w:cs="Times New Roman"/>
                      <w:color w:val="auto"/>
                      <w:kern w:val="0"/>
                      <w:sz w:val="21"/>
                      <w:szCs w:val="21"/>
                    </w:rPr>
                    <w:t>项目废水排入</w:t>
                  </w:r>
                  <w:r>
                    <w:rPr>
                      <w:rFonts w:hint="default" w:ascii="Times New Roman" w:hAnsi="Times New Roman" w:eastAsia="宋体" w:cs="Times New Roman"/>
                      <w:color w:val="auto"/>
                      <w:kern w:val="0"/>
                      <w:sz w:val="21"/>
                      <w:szCs w:val="21"/>
                      <w:lang w:val="en-US" w:eastAsia="zh-CN"/>
                    </w:rPr>
                    <w:t>现有的</w:t>
                  </w:r>
                  <w:r>
                    <w:rPr>
                      <w:rFonts w:hint="default" w:ascii="Times New Roman" w:hAnsi="Times New Roman" w:eastAsia="宋体" w:cs="Times New Roman"/>
                      <w:color w:val="auto"/>
                      <w:kern w:val="0"/>
                      <w:sz w:val="21"/>
                      <w:szCs w:val="21"/>
                    </w:rPr>
                    <w:t>污水处理站处理</w:t>
                  </w:r>
                  <w:r>
                    <w:rPr>
                      <w:rFonts w:hint="default" w:ascii="Times New Roman" w:hAnsi="Times New Roman" w:eastAsia="宋体" w:cs="Times New Roman"/>
                      <w:color w:val="auto"/>
                      <w:kern w:val="0"/>
                      <w:sz w:val="21"/>
                      <w:szCs w:val="21"/>
                      <w:lang w:val="en-US" w:eastAsia="zh-CN"/>
                    </w:rPr>
                    <w:t>达标</w:t>
                  </w:r>
                  <w:r>
                    <w:rPr>
                      <w:rFonts w:hint="default" w:ascii="Times New Roman" w:hAnsi="Times New Roman" w:eastAsia="宋体" w:cs="Times New Roman"/>
                      <w:color w:val="auto"/>
                      <w:kern w:val="0"/>
                      <w:sz w:val="21"/>
                      <w:szCs w:val="21"/>
                    </w:rPr>
                    <w:t>后</w:t>
                  </w:r>
                  <w:r>
                    <w:rPr>
                      <w:rFonts w:hint="default" w:ascii="Times New Roman" w:hAnsi="Times New Roman" w:eastAsia="宋体" w:cs="Times New Roman"/>
                      <w:color w:val="auto"/>
                      <w:kern w:val="0"/>
                      <w:sz w:val="21"/>
                      <w:szCs w:val="21"/>
                      <w:lang w:val="en-US" w:eastAsia="zh-CN"/>
                    </w:rPr>
                    <w:t>回用生产，不外排</w:t>
                  </w:r>
                  <w:r>
                    <w:rPr>
                      <w:rFonts w:hint="default" w:ascii="Times New Roman" w:hAnsi="Times New Roman" w:eastAsia="宋体" w:cs="Times New Roman"/>
                      <w:color w:val="auto"/>
                      <w:sz w:val="21"/>
                      <w:szCs w:val="21"/>
                      <w:lang w:val="en-US" w:eastAsia="zh-CN"/>
                    </w:rPr>
                    <w:t>。</w:t>
                  </w:r>
                </w:p>
                <w:p w14:paraId="695AA71A">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本项目不在阳宗海流域。</w:t>
                  </w:r>
                </w:p>
                <w:p w14:paraId="5E3CE7AF">
                  <w:pPr>
                    <w:pStyle w:val="147"/>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本项目不涉及磷石膏。</w:t>
                  </w:r>
                </w:p>
                <w:p w14:paraId="3C43FAC6">
                  <w:pPr>
                    <w:pStyle w:val="147"/>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不涉及磷石膏，固废能得到合理处置</w:t>
                  </w:r>
                  <w:r>
                    <w:rPr>
                      <w:rFonts w:hint="default" w:ascii="Times New Roman" w:hAnsi="Times New Roman" w:eastAsia="宋体" w:cs="Times New Roman"/>
                      <w:color w:val="auto"/>
                      <w:sz w:val="21"/>
                      <w:szCs w:val="21"/>
                      <w:lang w:eastAsia="zh-CN"/>
                    </w:rPr>
                    <w:t>。</w:t>
                  </w:r>
                </w:p>
              </w:tc>
              <w:tc>
                <w:tcPr>
                  <w:tcW w:w="504" w:type="pct"/>
                  <w:noWrap w:val="0"/>
                  <w:vAlign w:val="center"/>
                </w:tcPr>
                <w:p w14:paraId="25B316BC">
                  <w:pPr>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179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noWrap w:val="0"/>
                  <w:vAlign w:val="center"/>
                </w:tcPr>
                <w:p w14:paraId="3782645C">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环境风险</w:t>
                  </w:r>
                </w:p>
                <w:p w14:paraId="3C3A3F1B">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防控</w:t>
                  </w:r>
                </w:p>
              </w:tc>
              <w:tc>
                <w:tcPr>
                  <w:tcW w:w="2157" w:type="pct"/>
                  <w:noWrap w:val="0"/>
                  <w:vAlign w:val="center"/>
                </w:tcPr>
                <w:p w14:paraId="08F99BBD">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加大放射性物质、电磁辐射、危险废物、医疗废物、尾矿库渣场、危险化学品、重金属等风险要素防控力度，全过程监控风险要素产生、使用、储存、运输、处理处置，实现智能化预警与报警，有效降低各类环境风险。</w:t>
                  </w:r>
                </w:p>
                <w:p w14:paraId="6B47CC5D">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2.针对持久性有机污染物、内分泌干扰物等新污染物，制定实施新污染物治理行动方案，开展新污染物筛查与评估，建立清单，开展化学物质生产使用信息调查，实施调查监测和环境风险评估。</w:t>
                  </w:r>
                </w:p>
                <w:p w14:paraId="1A945525">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开展重点区域、重点领域环境风险调查评估，加强源头预防、过程管控、末端治理；建设环境应急技术库和物资库，推动各地更新扩充应急物资和防护装备，提升环境应急指挥信息化水平，完善环境应急管理体系。</w:t>
                  </w:r>
                </w:p>
                <w:p w14:paraId="0C7A6114">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4.开展“千吨万人”农村饮用水水源保护区环境风险排查整治，加强农村水源水质监测。</w:t>
                  </w:r>
                </w:p>
                <w:p w14:paraId="14CE0948">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以涉危险废物、涉重金属企业为重点，合理布设生产设施，强化应急导流槽、事故调蓄池、雨污总排口应急闸坝等事故排水收集截留设施，以及传输泵配套管线、应急发电等事故水输送设施等建设，合理设置消防事故水池和雨水监测池。</w:t>
                  </w:r>
                </w:p>
                <w:p w14:paraId="1972F9A2">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6.严格新(改、扩)建尾矿库环境准入，健全尾矿库环境监管清单，加强尾矿库分类分级环境监管。严格落实《云南省尾矿库专项整治工作实施方案》。</w:t>
                  </w:r>
                </w:p>
              </w:tc>
              <w:tc>
                <w:tcPr>
                  <w:tcW w:w="1948" w:type="pct"/>
                  <w:noWrap w:val="0"/>
                  <w:vAlign w:val="center"/>
                </w:tcPr>
                <w:p w14:paraId="19AD1621">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1.本项目</w:t>
                  </w:r>
                  <w:r>
                    <w:rPr>
                      <w:rFonts w:hint="default" w:ascii="Times New Roman" w:hAnsi="Times New Roman" w:eastAsia="宋体" w:cs="Times New Roman"/>
                      <w:color w:val="auto"/>
                      <w:sz w:val="21"/>
                      <w:szCs w:val="21"/>
                      <w:lang w:val="en-US" w:eastAsia="zh-CN"/>
                    </w:rPr>
                    <w:t>不涉及</w:t>
                  </w:r>
                  <w:r>
                    <w:rPr>
                      <w:rFonts w:hint="default" w:ascii="Times New Roman" w:hAnsi="Times New Roman" w:eastAsia="宋体" w:cs="Times New Roman"/>
                      <w:color w:val="auto"/>
                      <w:sz w:val="21"/>
                      <w:szCs w:val="21"/>
                    </w:rPr>
                    <w:t>危险废物。</w:t>
                  </w:r>
                </w:p>
                <w:p w14:paraId="4C0BDE02">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2.本项目产生的</w:t>
                  </w:r>
                  <w:r>
                    <w:rPr>
                      <w:rFonts w:hint="default" w:ascii="Times New Roman" w:hAnsi="Times New Roman" w:eastAsia="宋体" w:cs="Times New Roman"/>
                      <w:color w:val="auto"/>
                      <w:sz w:val="21"/>
                      <w:szCs w:val="21"/>
                      <w:lang w:val="en-US" w:eastAsia="zh-CN"/>
                    </w:rPr>
                    <w:t>锅炉废气</w:t>
                  </w:r>
                  <w:r>
                    <w:rPr>
                      <w:rFonts w:hint="default" w:ascii="Times New Roman" w:hAnsi="Times New Roman" w:eastAsia="宋体" w:cs="Times New Roman"/>
                      <w:color w:val="auto"/>
                      <w:sz w:val="21"/>
                      <w:szCs w:val="21"/>
                    </w:rPr>
                    <w:t>经</w:t>
                  </w:r>
                  <w:r>
                    <w:rPr>
                      <w:rFonts w:hint="default" w:ascii="Times New Roman" w:hAnsi="Times New Roman" w:eastAsia="宋体" w:cs="Times New Roman"/>
                      <w:color w:val="auto"/>
                      <w:sz w:val="21"/>
                      <w:szCs w:val="21"/>
                      <w:lang w:val="en-US" w:eastAsia="zh-CN"/>
                    </w:rPr>
                    <w:t>布袋除尘器</w:t>
                  </w:r>
                  <w:r>
                    <w:rPr>
                      <w:rFonts w:hint="default" w:ascii="Times New Roman" w:hAnsi="Times New Roman" w:eastAsia="宋体" w:cs="Times New Roman"/>
                      <w:color w:val="auto"/>
                      <w:sz w:val="21"/>
                      <w:szCs w:val="21"/>
                    </w:rPr>
                    <w:t>处理后达标排放。</w:t>
                  </w:r>
                </w:p>
                <w:p w14:paraId="470BC74C">
                  <w:pPr>
                    <w:pStyle w:val="16"/>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3.项目</w:t>
                  </w:r>
                  <w:r>
                    <w:rPr>
                      <w:rFonts w:hint="default" w:ascii="Times New Roman" w:hAnsi="Times New Roman" w:eastAsia="宋体" w:cs="Times New Roman"/>
                      <w:color w:val="auto"/>
                      <w:sz w:val="21"/>
                      <w:szCs w:val="21"/>
                      <w:lang w:val="en-US" w:eastAsia="zh-CN"/>
                    </w:rPr>
                    <w:t>已完成突发环境事件应急预案备案</w:t>
                  </w:r>
                  <w:r>
                    <w:rPr>
                      <w:rFonts w:hint="default" w:ascii="Times New Roman" w:hAnsi="Times New Roman" w:eastAsia="宋体" w:cs="Times New Roman"/>
                      <w:color w:val="auto"/>
                      <w:sz w:val="21"/>
                      <w:szCs w:val="21"/>
                    </w:rPr>
                    <w:t>。</w:t>
                  </w:r>
                </w:p>
                <w:p w14:paraId="66FEF2CA">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4.项目不涉及“千吨万人”农村饮用水水源保护区。</w:t>
                  </w:r>
                </w:p>
                <w:p w14:paraId="7F096443">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5.本项目为使用现有建筑建设</w:t>
                  </w:r>
                  <w:r>
                    <w:rPr>
                      <w:rFonts w:hint="default" w:ascii="Times New Roman" w:hAnsi="Times New Roman" w:eastAsia="宋体" w:cs="Times New Roman"/>
                      <w:color w:val="auto"/>
                      <w:sz w:val="21"/>
                      <w:szCs w:val="21"/>
                      <w:lang w:val="en-US" w:eastAsia="zh-CN"/>
                    </w:rPr>
                    <w:t>生产设备</w:t>
                  </w:r>
                  <w:r>
                    <w:rPr>
                      <w:rFonts w:hint="default" w:ascii="Times New Roman" w:hAnsi="Times New Roman" w:eastAsia="宋体" w:cs="Times New Roman"/>
                      <w:color w:val="auto"/>
                      <w:sz w:val="21"/>
                      <w:szCs w:val="21"/>
                    </w:rPr>
                    <w:t>，项目全部位于室内，不设置雨水收集和监测设施。</w:t>
                  </w:r>
                </w:p>
                <w:p w14:paraId="7D219026">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6.本项目不涉及尾矿库。</w:t>
                  </w:r>
                </w:p>
              </w:tc>
              <w:tc>
                <w:tcPr>
                  <w:tcW w:w="504" w:type="pct"/>
                  <w:noWrap w:val="0"/>
                  <w:vAlign w:val="center"/>
                </w:tcPr>
                <w:p w14:paraId="0381A049">
                  <w:pPr>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r>
            <w:tr w14:paraId="5429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noWrap w:val="0"/>
                  <w:vAlign w:val="center"/>
                </w:tcPr>
                <w:p w14:paraId="7F1845DC">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资源开发效率要求</w:t>
                  </w:r>
                </w:p>
              </w:tc>
              <w:tc>
                <w:tcPr>
                  <w:tcW w:w="2157" w:type="pct"/>
                  <w:noWrap w:val="0"/>
                  <w:vAlign w:val="center"/>
                </w:tcPr>
                <w:p w14:paraId="062746F3">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1.到2025 年，基本建成与经济社会高质量发展和生态文明建设要求相适应、与由全面建成小康社会向基本实现现代化迈进起步期相协同的水安全保障体系。</w:t>
                  </w:r>
                </w:p>
                <w:p w14:paraId="0C433BAD">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2.节水型生产和生活方式初步建立，用水效率和效益显著提高，全社会节水意识明显增强新时代节水型社会基本建成。全市用水总量控制在 35.48亿m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 xml:space="preserve"> 以内，万元 GDP 用水量较2020 年下降 10%，万元工业增加值用水量较 2020 年下降10%,农田灌溉水有效利用系数提高到 0.55 以上。</w:t>
                  </w:r>
                </w:p>
                <w:p w14:paraId="247D10A4">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3.万元工业增加值用水量≤30(立方米/万元)。</w:t>
                  </w:r>
                </w:p>
                <w:p w14:paraId="14711DC5">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4.2025 年底前，全市单位地区生产总值能源消耗较 2020年下降14%，能源消费总量得到合理控制。</w:t>
                  </w:r>
                </w:p>
                <w:p w14:paraId="030DF017">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5.单位 GDP 能源消耗累计下降23.6%，不低于省级下达目标。</w:t>
                  </w:r>
                </w:p>
                <w:p w14:paraId="65CC3FC3">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6.对照国家有关高耗能行业重点领域能效标杆水平，实施钢铁、有色金属、冶炼等17 个高耗能行业节能降碳改造升级加快提升重点行业、企业能效水平。</w:t>
                  </w:r>
                </w:p>
                <w:p w14:paraId="0CF775CF">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7.加强节能监察和探索用能预算管理，实施电机、变压器等重点用能设备能效提升三年行动，推广先进节能技术。</w:t>
                  </w:r>
                </w:p>
                <w:p w14:paraId="183E20CB">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8.到 2025 年，钢铁行业全面完成超低排放改造。9.加快推进有色、化工、印染烟草等行业清洁生产和工业废水资源化利用。10.到 2025 年，全市新建大型及以上数据中心绿色低碳等级达到 4A 以上，电源使用效率（PUE）达到 1.3 以下，逐步组织电源使用效率超过1.5的数据中心进行节能降碳改造。</w:t>
                  </w:r>
                </w:p>
                <w:p w14:paraId="33D602CE">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11.“十四五”期间，全市规模以上工业单位增加值能耗下降14.5%，万元工业增加值用水量下降 12%。</w:t>
                  </w:r>
                </w:p>
                <w:p w14:paraId="4F56DF9D">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12.到 2025 年，通过实施节能降碳提升工程，钢铁、电解铝、水泥、平板玻璃、炼油、乙烯合成氨、电石等重点行业产能和数据中心达到能效标杆水平的比例超过 30%。</w:t>
                  </w:r>
                </w:p>
                <w:p w14:paraId="4CE07004">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13.公共机构单位建筑面积碳排放量比 2020 年下降7%。</w:t>
                  </w:r>
                </w:p>
                <w:p w14:paraId="2EE2C889">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14.非化石能源消费占一次能源消费比重达到 40%以上，完成省级下达目标。</w:t>
                  </w:r>
                </w:p>
                <w:p w14:paraId="183C5353">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15.单位 GDP 二氧化碳排放累计下降 23%，不低于省级下达目标。</w:t>
                  </w:r>
                </w:p>
                <w:p w14:paraId="38FCFF75">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16.严把新上项目的碳排放关,严格环境影响评价审批，加强固定资产投资项目节能审查，推动新建“两高一低”项目能效水平应提尽提。</w:t>
                  </w:r>
                </w:p>
                <w:p w14:paraId="2F785616">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以六大高耗能行业为重点，全面梳理形成拟建、在建、存量“两高一低”项目清单，实行清单管理、分类处置、动态监控。加强“两高一低”项目全过程监管，严肃查处不符合政策要求、违规审批、未批先建、批建不符、超标用能排污的“两高一低”项目。</w:t>
                  </w:r>
                </w:p>
                <w:p w14:paraId="7B2548FB">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18.加快淘汰落后和低端低效产能退出。</w:t>
                  </w:r>
                </w:p>
                <w:p w14:paraId="7F0A579A">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19.指导金融机构加强“两高一低”项目贷前审核。</w:t>
                  </w:r>
                </w:p>
              </w:tc>
              <w:tc>
                <w:tcPr>
                  <w:tcW w:w="1948" w:type="pct"/>
                  <w:noWrap w:val="0"/>
                  <w:vAlign w:val="center"/>
                </w:tcPr>
                <w:p w14:paraId="5CB328F0">
                  <w:pPr>
                    <w:pStyle w:val="1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本项目属于</w:t>
                  </w:r>
                  <w:r>
                    <w:rPr>
                      <w:rFonts w:hint="default" w:ascii="Times New Roman" w:hAnsi="Times New Roman" w:eastAsia="宋体" w:cs="Times New Roman"/>
                      <w:color w:val="auto"/>
                      <w:sz w:val="21"/>
                      <w:szCs w:val="21"/>
                      <w:lang w:val="en-US" w:eastAsia="zh-CN"/>
                    </w:rPr>
                    <w:t>锅炉改建，燃煤锅炉改为生物质锅炉</w:t>
                  </w:r>
                  <w:r>
                    <w:rPr>
                      <w:rFonts w:hint="default" w:ascii="Times New Roman" w:hAnsi="Times New Roman" w:eastAsia="宋体" w:cs="Times New Roman"/>
                      <w:color w:val="auto"/>
                      <w:sz w:val="21"/>
                      <w:szCs w:val="21"/>
                    </w:rPr>
                    <w:t>，项目不属于“两高一低”项目。运营过程中消耗一定量的电源、水资源，用电量和用水量均不大，不会突破项目所在地资源利用上线要求。</w:t>
                  </w:r>
                </w:p>
              </w:tc>
              <w:tc>
                <w:tcPr>
                  <w:tcW w:w="504" w:type="pct"/>
                  <w:noWrap w:val="0"/>
                  <w:vAlign w:val="center"/>
                </w:tcPr>
                <w:p w14:paraId="1EC9C3A0">
                  <w:pPr>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2D38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restart"/>
                  <w:noWrap w:val="0"/>
                  <w:vAlign w:val="center"/>
                </w:tcPr>
                <w:p w14:paraId="294C6610">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宜良县农业农村面源污染重点管控单元</w:t>
                  </w:r>
                </w:p>
              </w:tc>
              <w:tc>
                <w:tcPr>
                  <w:tcW w:w="2157" w:type="pct"/>
                  <w:noWrap w:val="0"/>
                  <w:vAlign w:val="center"/>
                </w:tcPr>
                <w:p w14:paraId="4DCC7279">
                  <w:pPr>
                    <w:pStyle w:val="18"/>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（一）空间布局约束：</w:t>
                  </w:r>
                </w:p>
                <w:p w14:paraId="218F8DEB">
                  <w:pPr>
                    <w:pStyle w:val="18"/>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1.原则按照限制开发区域的要求进行管理，严格限制大规模开发建设活动。以保护和修复生态环境、提供生态产品为首要任务，因地制宜地发展不影响主体功能定位的产业。</w:t>
                  </w:r>
                  <w:r>
                    <w:rPr>
                      <w:rFonts w:hint="default" w:ascii="Times New Roman" w:hAnsi="Times New Roman" w:eastAsia="宋体" w:cs="Times New Roman"/>
                      <w:color w:val="auto"/>
                      <w:sz w:val="21"/>
                      <w:szCs w:val="21"/>
                    </w:rPr>
                    <w:br w:type="textWrapping"/>
                  </w:r>
                  <w:r>
                    <w:rPr>
                      <w:rFonts w:hint="default" w:ascii="Times New Roman" w:hAnsi="Times New Roman" w:eastAsia="宋体" w:cs="Times New Roman"/>
                      <w:color w:val="auto"/>
                      <w:sz w:val="21"/>
                      <w:szCs w:val="21"/>
                    </w:rPr>
                    <w:t>2.禁止在二十五度以上陡坡地开垦种植农作物，严禁过度放牧、无序采矿、毁林开荒、开垦草甸。</w:t>
                  </w:r>
                  <w:r>
                    <w:rPr>
                      <w:rFonts w:hint="default" w:ascii="Times New Roman" w:hAnsi="Times New Roman" w:eastAsia="宋体" w:cs="Times New Roman"/>
                      <w:color w:val="auto"/>
                      <w:sz w:val="21"/>
                      <w:szCs w:val="21"/>
                    </w:rPr>
                    <w:br w:type="textWrapping"/>
                  </w:r>
                  <w:r>
                    <w:rPr>
                      <w:rFonts w:hint="default" w:ascii="Times New Roman" w:hAnsi="Times New Roman" w:eastAsia="宋体" w:cs="Times New Roman"/>
                      <w:color w:val="auto"/>
                      <w:sz w:val="21"/>
                      <w:szCs w:val="21"/>
                    </w:rPr>
                    <w:t>3.禁止围湖造田和侵占江河滩地。</w:t>
                  </w:r>
                  <w:r>
                    <w:rPr>
                      <w:rFonts w:hint="default" w:ascii="Times New Roman" w:hAnsi="Times New Roman" w:eastAsia="宋体" w:cs="Times New Roman"/>
                      <w:color w:val="auto"/>
                      <w:sz w:val="21"/>
                      <w:szCs w:val="21"/>
                    </w:rPr>
                    <w:br w:type="textWrapping"/>
                  </w:r>
                  <w:r>
                    <w:rPr>
                      <w:rFonts w:hint="default" w:ascii="Times New Roman" w:hAnsi="Times New Roman" w:eastAsia="宋体" w:cs="Times New Roman"/>
                      <w:color w:val="auto"/>
                      <w:sz w:val="21"/>
                      <w:szCs w:val="21"/>
                    </w:rPr>
                    <w:t>4.畜禽养殖严格执行禁养区、限养区规定，对草原实行以草定蓄、草蓄平衡制度，禁止过度放牧。</w:t>
                  </w:r>
                </w:p>
              </w:tc>
              <w:tc>
                <w:tcPr>
                  <w:tcW w:w="1948" w:type="pct"/>
                  <w:noWrap w:val="0"/>
                  <w:vAlign w:val="center"/>
                </w:tcPr>
                <w:p w14:paraId="62E18BDE">
                  <w:pPr>
                    <w:pStyle w:val="18"/>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1、项目在原有锅炉房内改建，将10t燃煤锅炉改为10.5t生物质锅炉。</w:t>
                  </w:r>
                </w:p>
                <w:p w14:paraId="71DF0D5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2、不涉及；</w:t>
                  </w:r>
                </w:p>
                <w:p w14:paraId="091A7955">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3、不涉及；</w:t>
                  </w:r>
                </w:p>
                <w:p w14:paraId="51A225EB">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4、不涉及。</w:t>
                  </w:r>
                </w:p>
              </w:tc>
              <w:tc>
                <w:tcPr>
                  <w:tcW w:w="504" w:type="pct"/>
                  <w:noWrap w:val="0"/>
                  <w:vAlign w:val="center"/>
                </w:tcPr>
                <w:p w14:paraId="253DBD5E">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5718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continue"/>
                  <w:noWrap w:val="0"/>
                  <w:vAlign w:val="center"/>
                </w:tcPr>
                <w:p w14:paraId="1FCF5157">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157" w:type="pct"/>
                  <w:noWrap w:val="0"/>
                  <w:vAlign w:val="center"/>
                </w:tcPr>
                <w:p w14:paraId="34139983">
                  <w:pPr>
                    <w:pStyle w:val="18"/>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（二）污染物排放管控</w:t>
                  </w:r>
                </w:p>
                <w:p w14:paraId="2DAA22A1">
                  <w:pPr>
                    <w:pStyle w:val="18"/>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大气执行二级空气质量标准。近期水质目标为Ⅳ类，远期为Ⅲ类。</w:t>
                  </w:r>
                </w:p>
              </w:tc>
              <w:tc>
                <w:tcPr>
                  <w:tcW w:w="1948" w:type="pct"/>
                  <w:noWrap w:val="0"/>
                  <w:vAlign w:val="center"/>
                </w:tcPr>
                <w:p w14:paraId="2FAC1207">
                  <w:pPr>
                    <w:pStyle w:val="18"/>
                    <w:keepNext w:val="0"/>
                    <w:keepLines w:val="0"/>
                    <w:suppressLineNumbers w:val="0"/>
                    <w:wordWrap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项目区域空气执行《环境空气质量标准》GB3095-2026二级标准；南盘江执行《地表水环境质量标准》（GB 3838—2002）Ⅲ类标准。</w:t>
                  </w:r>
                </w:p>
              </w:tc>
              <w:tc>
                <w:tcPr>
                  <w:tcW w:w="504" w:type="pct"/>
                  <w:noWrap w:val="0"/>
                  <w:vAlign w:val="center"/>
                </w:tcPr>
                <w:p w14:paraId="7C19FC5D">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52A7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continue"/>
                  <w:noWrap w:val="0"/>
                  <w:vAlign w:val="center"/>
                </w:tcPr>
                <w:p w14:paraId="52F6206D">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2157" w:type="pct"/>
                  <w:noWrap w:val="0"/>
                  <w:vAlign w:val="center"/>
                </w:tcPr>
                <w:p w14:paraId="1787A911">
                  <w:pPr>
                    <w:pStyle w:val="18"/>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（三）环境风险防控</w:t>
                  </w:r>
                </w:p>
                <w:p w14:paraId="2E163E36">
                  <w:pPr>
                    <w:pStyle w:val="18"/>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严格管控类农用地，禁止高毒高风险农药使用</w:t>
                  </w:r>
                  <w:r>
                    <w:rPr>
                      <w:rFonts w:hint="default" w:ascii="Times New Roman" w:hAnsi="Times New Roman" w:eastAsia="宋体" w:cs="Times New Roman"/>
                      <w:color w:val="auto"/>
                      <w:sz w:val="21"/>
                      <w:szCs w:val="21"/>
                      <w:lang w:eastAsia="zh-CN"/>
                    </w:rPr>
                    <w:t>。</w:t>
                  </w:r>
                </w:p>
              </w:tc>
              <w:tc>
                <w:tcPr>
                  <w:tcW w:w="1948" w:type="pct"/>
                  <w:noWrap w:val="0"/>
                  <w:vAlign w:val="center"/>
                </w:tcPr>
                <w:p w14:paraId="1442972F">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不涉及</w:t>
                  </w:r>
                </w:p>
              </w:tc>
              <w:tc>
                <w:tcPr>
                  <w:tcW w:w="504" w:type="pct"/>
                  <w:noWrap w:val="0"/>
                  <w:vAlign w:val="center"/>
                </w:tcPr>
                <w:p w14:paraId="0497C1C0">
                  <w:pPr>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bl>
          <w:p w14:paraId="1C6F8F1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lang w:eastAsia="zh-CN"/>
              </w:rPr>
              <w:t>因此，本项目建设符合《昆明市生态环境分区管控动态更新方案（2023年）》的相关要求。</w:t>
            </w:r>
          </w:p>
          <w:p w14:paraId="15343D76">
            <w:pPr>
              <w:pStyle w:val="33"/>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3、与《长江经济带发展负面清单指南》（试行，2022年版）符合性分析</w:t>
            </w:r>
          </w:p>
          <w:p w14:paraId="04EAFB5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项目与《长江经济带发展负面清单指南》（试行，2022年版）符合性如下：</w:t>
            </w:r>
          </w:p>
          <w:p w14:paraId="53A72C7E">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表1-3  与长江经济带发展负面清单指南符合性分析一览表</w:t>
            </w:r>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9"/>
              <w:gridCol w:w="3676"/>
              <w:gridCol w:w="1533"/>
              <w:gridCol w:w="1042"/>
            </w:tblGrid>
            <w:tr w14:paraId="46C9EC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5587CDF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2B128B8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要求（摘录）</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487D8C7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项目情况</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7EBA858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是否属于负面清单</w:t>
                  </w:r>
                </w:p>
              </w:tc>
            </w:tr>
            <w:tr w14:paraId="59747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6312469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45502A6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禁止建设不符合全国和省级港口布局规划以及港口总体规划的码头项目，禁止建设不符合《长江干线过江通道布局规划》的过长江通道项目。</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6679CCA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项目不属于码头。</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2F06962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r w14:paraId="5CD60D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6300606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241303F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禁止在自然保护区核心区、缓冲区的岸线和河段范围内投资建设旅游和生产经营项目。禁止在风景名胜区核心景区的岸线和河段范围内投资建设与风景名胜资源保护无关的项目。</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76E5D37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项目不涉及自然保护区、风景名胜区。</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5EDF205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r w14:paraId="0F779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5AE7FDC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49A5A83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72CB487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项目不涉及饮用水源保护区。</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0810833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r w14:paraId="0E4A2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32BFAE5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0A2EF88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16D36E9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项目不涉及水产种质资源保护区、国家湿地公园。</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5A3DB20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r w14:paraId="2B1D69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4817B49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42A4C64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7C34034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项目不涉及岸线保护区和保留区。</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3B82373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r w14:paraId="1004CA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71C2CFB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3128807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禁止未经许可在长江干支流及湖泊新设、改设或扩大排污口。</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507768E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w:t>
                  </w:r>
                  <w:r>
                    <w:rPr>
                      <w:rFonts w:hint="default" w:ascii="Times New Roman" w:hAnsi="Times New Roman" w:eastAsia="宋体" w:cs="Times New Roman"/>
                      <w:color w:val="auto"/>
                      <w:kern w:val="0"/>
                      <w:sz w:val="21"/>
                      <w:szCs w:val="21"/>
                      <w:lang w:val="en-US" w:eastAsia="zh-CN"/>
                    </w:rPr>
                    <w:t>不设置排污口</w:t>
                  </w:r>
                  <w:r>
                    <w:rPr>
                      <w:rFonts w:hint="default" w:ascii="Times New Roman" w:hAnsi="Times New Roman" w:eastAsia="宋体" w:cs="Times New Roman"/>
                      <w:color w:val="auto"/>
                      <w:kern w:val="0"/>
                      <w:sz w:val="21"/>
                      <w:szCs w:val="21"/>
                    </w:rPr>
                    <w:t>，且南盘江属于珠江流域。</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06CB67F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r w14:paraId="72FA6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423CE76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62BFC97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禁止在"一江一口两湖七河"和332个水生生物保护区开展生产性捕捞。</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5F8EC36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项目不涉及捕捞。</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0853D4D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r w14:paraId="7B71E5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4DCDE2C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8</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10680DA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6F838C9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项目不属于长江流域。</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5CCC53D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r w14:paraId="2806A8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36E2B2A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5233795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禁止在合规园区外新建、扩建钢铁、石化、化工、焦化、建材、有色、制浆造纸等高污染项目。</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648FEC1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项目为热力生产和供应，且项目不属于长江流域。</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3510801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r w14:paraId="4E54D2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36D5D02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1E60B0B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禁止新建、扩建不符合国家石化、现代煤化工等产业布局规划的项目。</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587A6B7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项目不属于石化、现代煤化工等产业。</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621B3B3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r w14:paraId="046D6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522" w:type="pct"/>
                  <w:tcBorders>
                    <w:top w:val="single" w:color="auto" w:sz="8" w:space="0"/>
                    <w:left w:val="single" w:color="auto" w:sz="8" w:space="0"/>
                    <w:bottom w:val="single" w:color="auto" w:sz="8" w:space="0"/>
                    <w:right w:val="single" w:color="auto" w:sz="8" w:space="0"/>
                  </w:tcBorders>
                  <w:noWrap w:val="0"/>
                  <w:vAlign w:val="center"/>
                </w:tcPr>
                <w:p w14:paraId="6D607A3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12</w:t>
                  </w:r>
                </w:p>
              </w:tc>
              <w:tc>
                <w:tcPr>
                  <w:tcW w:w="2632" w:type="pct"/>
                  <w:tcBorders>
                    <w:top w:val="single" w:color="auto" w:sz="8" w:space="0"/>
                    <w:left w:val="single" w:color="auto" w:sz="8" w:space="0"/>
                    <w:bottom w:val="single" w:color="auto" w:sz="8" w:space="0"/>
                    <w:right w:val="single" w:color="auto" w:sz="8" w:space="0"/>
                  </w:tcBorders>
                  <w:noWrap w:val="0"/>
                  <w:vAlign w:val="center"/>
                </w:tcPr>
                <w:p w14:paraId="563D8B0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.禁止新建、扩建法律法规和相关政策明令禁止的落后产能项目。禁止新建、扩建不符合国家产能置换要求的严重过剩产能行业的项目。禁止新建、扩建不符合要求的高耗能高排放项目</w:t>
                  </w:r>
                </w:p>
              </w:tc>
              <w:tc>
                <w:tcPr>
                  <w:tcW w:w="1098" w:type="pct"/>
                  <w:tcBorders>
                    <w:top w:val="single" w:color="auto" w:sz="8" w:space="0"/>
                    <w:left w:val="single" w:color="auto" w:sz="8" w:space="0"/>
                    <w:bottom w:val="single" w:color="auto" w:sz="8" w:space="0"/>
                    <w:right w:val="single" w:color="auto" w:sz="8" w:space="0"/>
                  </w:tcBorders>
                  <w:noWrap w:val="0"/>
                  <w:vAlign w:val="center"/>
                </w:tcPr>
                <w:p w14:paraId="06F44AE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项目不属于落后产能项目，不属于高耗能高排放项目。</w:t>
                  </w:r>
                </w:p>
              </w:tc>
              <w:tc>
                <w:tcPr>
                  <w:tcW w:w="746" w:type="pct"/>
                  <w:tcBorders>
                    <w:top w:val="single" w:color="auto" w:sz="8" w:space="0"/>
                    <w:left w:val="single" w:color="auto" w:sz="8" w:space="0"/>
                    <w:bottom w:val="single" w:color="auto" w:sz="8" w:space="0"/>
                    <w:right w:val="single" w:color="auto" w:sz="8" w:space="0"/>
                  </w:tcBorders>
                  <w:noWrap w:val="0"/>
                  <w:vAlign w:val="center"/>
                </w:tcPr>
                <w:p w14:paraId="155D122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不属于</w:t>
                  </w:r>
                </w:p>
              </w:tc>
            </w:tr>
          </w:tbl>
          <w:p w14:paraId="2255461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rPr>
              <w:t>项目不属于《长江经济带发展负面清单指南》（试行，2022年版）中负面清单内容。</w:t>
            </w:r>
          </w:p>
          <w:p w14:paraId="5531CA55">
            <w:pPr>
              <w:pStyle w:val="33"/>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bCs/>
                <w:color w:val="auto"/>
                <w:sz w:val="24"/>
                <w:szCs w:val="24"/>
              </w:rPr>
              <w:t>4、项目与《云南省长江经济带发展负面清单指南实施细则》（试行，2022年版）符合性分析</w:t>
            </w:r>
          </w:p>
          <w:p w14:paraId="31743332">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表1-4  与</w:t>
            </w:r>
            <w:r>
              <w:rPr>
                <w:rFonts w:hint="default" w:ascii="Times New Roman" w:hAnsi="Times New Roman" w:eastAsia="宋体" w:cs="Times New Roman"/>
                <w:b/>
                <w:bCs/>
                <w:color w:val="auto"/>
                <w:sz w:val="24"/>
                <w:szCs w:val="24"/>
              </w:rPr>
              <w:t>云南省长江经济带发展负面清单指南实施细则</w:t>
            </w:r>
            <w:r>
              <w:rPr>
                <w:rFonts w:hint="default" w:ascii="Times New Roman" w:hAnsi="Times New Roman" w:eastAsia="宋体" w:cs="Times New Roman"/>
                <w:b/>
                <w:color w:val="auto"/>
                <w:sz w:val="24"/>
                <w:szCs w:val="24"/>
              </w:rPr>
              <w:t>符合性分析表</w:t>
            </w:r>
          </w:p>
          <w:tbl>
            <w:tblPr>
              <w:tblStyle w:val="35"/>
              <w:tblW w:w="7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2368"/>
              <w:gridCol w:w="857"/>
            </w:tblGrid>
            <w:tr w14:paraId="7EA2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6B54C0E9">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相关要求</w:t>
                  </w:r>
                </w:p>
              </w:tc>
              <w:tc>
                <w:tcPr>
                  <w:tcW w:w="2368" w:type="dxa"/>
                  <w:noWrap w:val="0"/>
                  <w:vAlign w:val="center"/>
                </w:tcPr>
                <w:p w14:paraId="33E9834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本项目情况</w:t>
                  </w:r>
                </w:p>
              </w:tc>
              <w:tc>
                <w:tcPr>
                  <w:tcW w:w="857" w:type="dxa"/>
                  <w:noWrap w:val="0"/>
                  <w:vAlign w:val="center"/>
                </w:tcPr>
                <w:p w14:paraId="78D621D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符合性</w:t>
                  </w:r>
                </w:p>
              </w:tc>
            </w:tr>
            <w:tr w14:paraId="0CF1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4297C183">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禁止新建、改建和扩建不符合《全国内河航道与港口布局规划》等全国港口规划和《昭通市港口码头岸线规划（金沙江段2019 年—2035年）》、《景洪港总体规划（2019—2035年）》等州（市）级以上港口布局规划以及港口总体规划的码头项目。</w:t>
                  </w:r>
                </w:p>
              </w:tc>
              <w:tc>
                <w:tcPr>
                  <w:tcW w:w="2368" w:type="dxa"/>
                  <w:noWrap w:val="0"/>
                  <w:vAlign w:val="center"/>
                </w:tcPr>
                <w:p w14:paraId="3DF0B76F">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rPr>
                    <w:t>本项目</w:t>
                  </w:r>
                  <w:r>
                    <w:rPr>
                      <w:rFonts w:hint="default" w:ascii="Times New Roman" w:hAnsi="Times New Roman" w:eastAsia="宋体" w:cs="Times New Roman"/>
                      <w:b w:val="0"/>
                      <w:bCs w:val="0"/>
                      <w:color w:val="auto"/>
                      <w:szCs w:val="21"/>
                      <w:lang w:val="en-US" w:eastAsia="zh-CN"/>
                    </w:rPr>
                    <w:t>位于宜良县狗街镇狗街村委会旱滩村，</w:t>
                  </w:r>
                  <w:r>
                    <w:rPr>
                      <w:rFonts w:hint="default" w:ascii="Times New Roman" w:hAnsi="Times New Roman" w:eastAsia="宋体" w:cs="Times New Roman"/>
                      <w:b w:val="0"/>
                      <w:bCs w:val="0"/>
                      <w:color w:val="auto"/>
                      <w:szCs w:val="21"/>
                    </w:rPr>
                    <w:t>不属于码头项目</w:t>
                  </w:r>
                  <w:r>
                    <w:rPr>
                      <w:rFonts w:hint="default" w:ascii="Times New Roman" w:hAnsi="Times New Roman" w:eastAsia="宋体" w:cs="Times New Roman"/>
                      <w:b w:val="0"/>
                      <w:bCs w:val="0"/>
                      <w:color w:val="auto"/>
                      <w:szCs w:val="21"/>
                      <w:lang w:eastAsia="zh-CN"/>
                    </w:rPr>
                    <w:t>。</w:t>
                  </w:r>
                </w:p>
              </w:tc>
              <w:tc>
                <w:tcPr>
                  <w:tcW w:w="857" w:type="dxa"/>
                  <w:noWrap w:val="0"/>
                  <w:vAlign w:val="center"/>
                </w:tcPr>
                <w:p w14:paraId="65DB25A8">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3F1E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5F5D2E76">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val="en-US" w:eastAsia="zh-CN"/>
                    </w:rPr>
                    <w:t>禁止在自然保护区核心区、缓冲区的岸线和河段范围内投资建设旅游和生产经营项目。禁止建设与自然保护区保护方向不一致的旅游项目。禁止在自然保护区内进行开矿、采石、挖沙等活动。禁止在自然保护区的核心区和缓冲区内建设任何生产设施，禁止在自然保护区的实验区内建设污染环境、破坏资源或者景观的生产设施。</w:t>
                  </w:r>
                </w:p>
              </w:tc>
              <w:tc>
                <w:tcPr>
                  <w:tcW w:w="2368" w:type="dxa"/>
                  <w:noWrap w:val="0"/>
                  <w:vAlign w:val="center"/>
                </w:tcPr>
                <w:p w14:paraId="7FF95C17">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color w:val="auto"/>
                      <w:sz w:val="21"/>
                      <w:szCs w:val="21"/>
                    </w:rPr>
                    <w:t>项目</w:t>
                  </w:r>
                  <w:r>
                    <w:rPr>
                      <w:rFonts w:hint="default" w:ascii="Times New Roman" w:hAnsi="Times New Roman" w:eastAsia="宋体" w:cs="Times New Roman"/>
                      <w:color w:val="auto"/>
                      <w:sz w:val="21"/>
                      <w:szCs w:val="21"/>
                      <w:lang w:val="en-US" w:eastAsia="zh-CN"/>
                    </w:rPr>
                    <w:t>在原有锅炉房内改建</w:t>
                  </w:r>
                  <w:r>
                    <w:rPr>
                      <w:rFonts w:hint="default" w:ascii="Times New Roman" w:hAnsi="Times New Roman" w:eastAsia="宋体" w:cs="Times New Roman"/>
                      <w:color w:val="auto"/>
                      <w:sz w:val="21"/>
                      <w:szCs w:val="21"/>
                    </w:rPr>
                    <w:t>，</w:t>
                  </w:r>
                  <w:r>
                    <w:rPr>
                      <w:rFonts w:hint="default" w:ascii="Times New Roman" w:hAnsi="Times New Roman" w:eastAsia="宋体" w:cs="Times New Roman"/>
                      <w:b w:val="0"/>
                      <w:bCs w:val="0"/>
                      <w:color w:val="auto"/>
                      <w:szCs w:val="21"/>
                      <w:lang w:val="en-US" w:eastAsia="zh-CN"/>
                    </w:rPr>
                    <w:t>不涉及生态红线、自然保护地等。</w:t>
                  </w:r>
                </w:p>
              </w:tc>
              <w:tc>
                <w:tcPr>
                  <w:tcW w:w="857" w:type="dxa"/>
                  <w:noWrap w:val="0"/>
                  <w:vAlign w:val="center"/>
                </w:tcPr>
                <w:p w14:paraId="74BB74A4">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1072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5B7CE532">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禁止在风景名胜区核心景区的岸线和河段范围内投资建设与风景名胜资源保护无关的项目。禁止在风景名胜区内进行开山、采石、开矿、开荒、修坟立碑等破坏景观、植被和地形地貌的活动以及修建储存爆炸性、易燃性、放射性、毒害性、腐蚀性物品的设施；禁止在风景名胜区内设立开发区和在核心景区内建设宾馆、会所、培训中心、疗养院以及与风景名胜资源保护无关的投资建设项目。</w:t>
                  </w:r>
                </w:p>
              </w:tc>
              <w:tc>
                <w:tcPr>
                  <w:tcW w:w="2368" w:type="dxa"/>
                  <w:noWrap w:val="0"/>
                  <w:vAlign w:val="center"/>
                </w:tcPr>
                <w:p w14:paraId="490BA246">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项目不涉及自然保护区</w:t>
                  </w:r>
                  <w:r>
                    <w:rPr>
                      <w:rFonts w:hint="default" w:ascii="Times New Roman" w:hAnsi="Times New Roman" w:eastAsia="宋体" w:cs="Times New Roman"/>
                      <w:b w:val="0"/>
                      <w:bCs w:val="0"/>
                      <w:color w:val="auto"/>
                      <w:szCs w:val="21"/>
                      <w:lang w:eastAsia="zh-CN"/>
                    </w:rPr>
                    <w:t>、</w:t>
                  </w:r>
                  <w:r>
                    <w:rPr>
                      <w:rFonts w:hint="default" w:ascii="Times New Roman" w:hAnsi="Times New Roman" w:eastAsia="宋体" w:cs="Times New Roman"/>
                      <w:b w:val="0"/>
                      <w:bCs w:val="0"/>
                      <w:color w:val="auto"/>
                      <w:szCs w:val="21"/>
                      <w:lang w:val="en-US" w:eastAsia="zh-CN"/>
                    </w:rPr>
                    <w:t>风景名胜区</w:t>
                  </w:r>
                  <w:r>
                    <w:rPr>
                      <w:rFonts w:hint="default" w:ascii="Times New Roman" w:hAnsi="Times New Roman" w:eastAsia="宋体" w:cs="Times New Roman"/>
                      <w:b w:val="0"/>
                      <w:bCs w:val="0"/>
                      <w:color w:val="auto"/>
                      <w:szCs w:val="21"/>
                    </w:rPr>
                    <w:t>。</w:t>
                  </w:r>
                </w:p>
              </w:tc>
              <w:tc>
                <w:tcPr>
                  <w:tcW w:w="857" w:type="dxa"/>
                  <w:noWrap w:val="0"/>
                  <w:vAlign w:val="center"/>
                </w:tcPr>
                <w:p w14:paraId="1C87023E">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4541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665C3F04">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 xml:space="preserve">禁止在饮用水水源一级保护区的岸线和河段范围 </w:t>
                  </w:r>
                </w:p>
                <w:p w14:paraId="5A6684EC">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内新建、改建、扩建与供水设施和保护水源无关的投资建设项目，以及网箱养殖、畜禽养殖、旅游等可能污染饮用水水体的投资建设项目。禁止在饮用水水源二级保护区的岸线和河段范围内新建、改建、扩建排放污染物的投资建设项目。</w:t>
                  </w:r>
                </w:p>
              </w:tc>
              <w:tc>
                <w:tcPr>
                  <w:tcW w:w="2368" w:type="dxa"/>
                  <w:noWrap w:val="0"/>
                  <w:vAlign w:val="center"/>
                </w:tcPr>
                <w:p w14:paraId="2F073A9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Cs/>
                      <w:color w:val="auto"/>
                      <w:szCs w:val="21"/>
                    </w:rPr>
                    <w:t>项目不涉及</w:t>
                  </w:r>
                  <w:r>
                    <w:rPr>
                      <w:rFonts w:hint="default" w:ascii="Times New Roman" w:hAnsi="Times New Roman" w:eastAsia="宋体" w:cs="Times New Roman"/>
                      <w:bCs/>
                      <w:color w:val="auto"/>
                      <w:szCs w:val="21"/>
                      <w:lang w:val="en-US" w:eastAsia="zh-CN"/>
                    </w:rPr>
                    <w:t>饮用水水源</w:t>
                  </w:r>
                  <w:r>
                    <w:rPr>
                      <w:rFonts w:hint="default" w:ascii="Times New Roman" w:hAnsi="Times New Roman" w:eastAsia="宋体" w:cs="Times New Roman"/>
                      <w:bCs/>
                      <w:color w:val="auto"/>
                      <w:szCs w:val="21"/>
                    </w:rPr>
                    <w:t>。</w:t>
                  </w:r>
                </w:p>
              </w:tc>
              <w:tc>
                <w:tcPr>
                  <w:tcW w:w="857" w:type="dxa"/>
                  <w:noWrap w:val="0"/>
                  <w:vAlign w:val="center"/>
                </w:tcPr>
                <w:p w14:paraId="67FF49A4">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60F4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226D2A3E">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 xml:space="preserve">禁止在水产种质资源保护区的岸线和河段范围内 </w:t>
                  </w:r>
                </w:p>
                <w:p w14:paraId="21A1FABF">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 xml:space="preserve">新建围湖造田、围湖造地或围填海等投资建设项目。禁止擅自征收、占用国家湿地公园的土地；禁止在国家湿地公园内挖沙、采矿，以及建设度假村、高尔夫球场等任何不符合主体功能定位的 </w:t>
                  </w:r>
                </w:p>
                <w:p w14:paraId="308980B9">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投资建设项目。</w:t>
                  </w:r>
                </w:p>
              </w:tc>
              <w:tc>
                <w:tcPr>
                  <w:tcW w:w="2368" w:type="dxa"/>
                  <w:noWrap w:val="0"/>
                  <w:vAlign w:val="center"/>
                </w:tcPr>
                <w:p w14:paraId="2BF5A4A1">
                  <w:pPr>
                    <w:pStyle w:val="148"/>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color w:val="auto"/>
                      <w:sz w:val="21"/>
                      <w:szCs w:val="21"/>
                      <w:lang w:eastAsia="zh-CN"/>
                    </w:rPr>
                    <w:t>项目</w:t>
                  </w:r>
                  <w:r>
                    <w:rPr>
                      <w:rFonts w:hint="default" w:ascii="Times New Roman" w:hAnsi="Times New Roman" w:eastAsia="宋体" w:cs="Times New Roman"/>
                      <w:color w:val="auto"/>
                      <w:spacing w:val="5"/>
                      <w:sz w:val="21"/>
                      <w:szCs w:val="21"/>
                      <w:lang w:eastAsia="zh-CN"/>
                    </w:rPr>
                    <w:t>不涉及</w:t>
                  </w:r>
                  <w:r>
                    <w:rPr>
                      <w:rFonts w:hint="default" w:ascii="Times New Roman" w:hAnsi="Times New Roman" w:eastAsia="宋体" w:cs="Times New Roman"/>
                      <w:color w:val="auto"/>
                      <w:spacing w:val="-9"/>
                      <w:sz w:val="21"/>
                      <w:szCs w:val="21"/>
                      <w:lang w:eastAsia="zh-CN"/>
                    </w:rPr>
                    <w:t>。</w:t>
                  </w:r>
                </w:p>
              </w:tc>
              <w:tc>
                <w:tcPr>
                  <w:tcW w:w="857" w:type="dxa"/>
                  <w:noWrap w:val="0"/>
                  <w:vAlign w:val="center"/>
                </w:tcPr>
                <w:p w14:paraId="2642F597">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3B98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73E8FBAD">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禁止违法利用、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2368" w:type="dxa"/>
                  <w:noWrap w:val="0"/>
                  <w:vAlign w:val="center"/>
                </w:tcPr>
                <w:p w14:paraId="05861AB6">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项目不涉及。</w:t>
                  </w:r>
                </w:p>
              </w:tc>
              <w:tc>
                <w:tcPr>
                  <w:tcW w:w="857" w:type="dxa"/>
                  <w:noWrap w:val="0"/>
                  <w:vAlign w:val="center"/>
                </w:tcPr>
                <w:p w14:paraId="3CB75979">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2991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2DE51088">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 xml:space="preserve">禁止在金沙江干流、长江一级支流建设除党中央、 </w:t>
                  </w:r>
                </w:p>
                <w:p w14:paraId="3DECB6DE">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国务院、国家投资主管部门、省级有关部门批复同意以外的过江基础设施项目；禁止未经许可在金沙江干流、长江一级支流、九大高原湖泊流域新设、改设或扩大排污口。</w:t>
                  </w:r>
                </w:p>
              </w:tc>
              <w:tc>
                <w:tcPr>
                  <w:tcW w:w="2368" w:type="dxa"/>
                  <w:noWrap w:val="0"/>
                  <w:vAlign w:val="center"/>
                </w:tcPr>
                <w:p w14:paraId="5B9FF7B5">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color w:val="auto"/>
                      <w:sz w:val="21"/>
                      <w:szCs w:val="21"/>
                    </w:rPr>
                    <w:t>项目</w:t>
                  </w:r>
                  <w:r>
                    <w:rPr>
                      <w:rFonts w:hint="default" w:ascii="Times New Roman" w:hAnsi="Times New Roman" w:eastAsia="宋体" w:cs="Times New Roman"/>
                      <w:color w:val="auto"/>
                      <w:sz w:val="21"/>
                      <w:szCs w:val="21"/>
                      <w:lang w:val="en-US" w:eastAsia="zh-CN"/>
                    </w:rPr>
                    <w:t>在原有锅炉房内改建</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废水经现有污水处理站处理达标后回用，废水不外排，不设排污口。</w:t>
                  </w:r>
                </w:p>
              </w:tc>
              <w:tc>
                <w:tcPr>
                  <w:tcW w:w="857" w:type="dxa"/>
                  <w:noWrap w:val="0"/>
                  <w:vAlign w:val="center"/>
                </w:tcPr>
                <w:p w14:paraId="6C1AA3B9">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28A2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2C6052AE">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禁止在金沙江干流、长江一级支流、水生生物保护区和长江流域禁捕水域开展天然渔业资源生产性捕捞。</w:t>
                  </w:r>
                </w:p>
              </w:tc>
              <w:tc>
                <w:tcPr>
                  <w:tcW w:w="2368" w:type="dxa"/>
                  <w:noWrap w:val="0"/>
                  <w:vAlign w:val="center"/>
                </w:tcPr>
                <w:p w14:paraId="5E775F7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color w:val="auto"/>
                      <w:spacing w:val="7"/>
                      <w:szCs w:val="21"/>
                    </w:rPr>
                    <w:t>项目不涉及</w:t>
                  </w:r>
                  <w:r>
                    <w:rPr>
                      <w:rFonts w:hint="default" w:ascii="Times New Roman" w:hAnsi="Times New Roman" w:eastAsia="宋体" w:cs="Times New Roman"/>
                      <w:bCs/>
                      <w:color w:val="auto"/>
                      <w:szCs w:val="21"/>
                    </w:rPr>
                    <w:t>。</w:t>
                  </w:r>
                </w:p>
              </w:tc>
              <w:tc>
                <w:tcPr>
                  <w:tcW w:w="857" w:type="dxa"/>
                  <w:noWrap w:val="0"/>
                  <w:vAlign w:val="center"/>
                </w:tcPr>
                <w:p w14:paraId="41A2BCA1">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68B3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7D3E4C9B">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禁止在金沙江干流，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2368" w:type="dxa"/>
                  <w:noWrap w:val="0"/>
                  <w:vAlign w:val="center"/>
                </w:tcPr>
                <w:p w14:paraId="0F06BFF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color w:val="auto"/>
                      <w:spacing w:val="6"/>
                      <w:szCs w:val="21"/>
                    </w:rPr>
                    <w:t>项目不涉及。</w:t>
                  </w:r>
                </w:p>
              </w:tc>
              <w:tc>
                <w:tcPr>
                  <w:tcW w:w="857" w:type="dxa"/>
                  <w:noWrap w:val="0"/>
                  <w:vAlign w:val="center"/>
                </w:tcPr>
                <w:p w14:paraId="6437C975">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06AF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65CBDFC2">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禁止在合规园区外新建、扩建钢铁、石化、化工、焦化、建材、有色、制浆造纸行业中的高污染项目。</w:t>
                  </w:r>
                </w:p>
              </w:tc>
              <w:tc>
                <w:tcPr>
                  <w:tcW w:w="2368" w:type="dxa"/>
                  <w:noWrap w:val="0"/>
                  <w:vAlign w:val="center"/>
                </w:tcPr>
                <w:p w14:paraId="3413133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color w:val="auto"/>
                      <w:spacing w:val="6"/>
                      <w:szCs w:val="21"/>
                    </w:rPr>
                    <w:t>项目</w:t>
                  </w:r>
                  <w:r>
                    <w:rPr>
                      <w:rFonts w:hint="default" w:ascii="Times New Roman" w:hAnsi="Times New Roman" w:eastAsia="宋体" w:cs="Times New Roman"/>
                      <w:color w:val="auto"/>
                      <w:spacing w:val="6"/>
                      <w:szCs w:val="21"/>
                      <w:lang w:val="en-US" w:eastAsia="zh-CN"/>
                    </w:rPr>
                    <w:t>为锅炉改建项目，不属于高污染项目</w:t>
                  </w:r>
                </w:p>
              </w:tc>
              <w:tc>
                <w:tcPr>
                  <w:tcW w:w="857" w:type="dxa"/>
                  <w:noWrap w:val="0"/>
                  <w:vAlign w:val="center"/>
                </w:tcPr>
                <w:p w14:paraId="4C04CC4A">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63C1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53FE5F0A">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禁止新建、扩建不符合国家石化、现代煤化工等产业布局规划的项目。禁止列入《云南省城镇人口密集区危险化学品生产企业搬迁改造名单》的搬迁改造企业在原址新建、扩建危险化学品生产项目。</w:t>
                  </w:r>
                </w:p>
              </w:tc>
              <w:tc>
                <w:tcPr>
                  <w:tcW w:w="2368" w:type="dxa"/>
                  <w:noWrap w:val="0"/>
                  <w:vAlign w:val="center"/>
                </w:tcPr>
                <w:p w14:paraId="6DF5A1B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color w:val="auto"/>
                      <w:spacing w:val="6"/>
                      <w:szCs w:val="21"/>
                    </w:rPr>
                    <w:t>项目不涉及。</w:t>
                  </w:r>
                </w:p>
              </w:tc>
              <w:tc>
                <w:tcPr>
                  <w:tcW w:w="857" w:type="dxa"/>
                  <w:noWrap w:val="0"/>
                  <w:vAlign w:val="center"/>
                </w:tcPr>
                <w:p w14:paraId="415C0282">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符合</w:t>
                  </w:r>
                </w:p>
              </w:tc>
            </w:tr>
            <w:tr w14:paraId="75B0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79" w:type="dxa"/>
                  <w:noWrap w:val="0"/>
                  <w:vAlign w:val="center"/>
                </w:tcPr>
                <w:p w14:paraId="4406CB4E">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 xml:space="preserve">禁止新建、扩建法律法规和相关政策明令禁止的落后产能项目，依法依规关停退出能耗、环保、质量、安全不达标产能和技术落后产能。禁止新建、扩建不符合国家产能置换要求的过剩产能行业的项目。禁止新建、扩建不符合要求的高耗能、 </w:t>
                  </w:r>
                </w:p>
                <w:p w14:paraId="68648FD3">
                  <w:pPr>
                    <w:keepNext w:val="0"/>
                    <w:keepLines w:val="0"/>
                    <w:suppressLineNumbers w:val="0"/>
                    <w:tabs>
                      <w:tab w:val="left" w:pos="4830"/>
                    </w:tabs>
                    <w:spacing w:before="0" w:beforeAutospacing="0" w:after="0" w:afterAutospacing="0"/>
                    <w:ind w:left="0" w:right="0"/>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高排放项目，推动退出重点高耗能行业“限制类”产能。禁止建设高毒高残留以及对环境影响大的农药原药生产装置，严控尿素、磷铵、电石、焦炭、黄磷、烧碱、纯碱、聚氯乙烯等行业新增产能。</w:t>
                  </w:r>
                </w:p>
              </w:tc>
              <w:tc>
                <w:tcPr>
                  <w:tcW w:w="2368" w:type="dxa"/>
                  <w:noWrap w:val="0"/>
                  <w:vAlign w:val="center"/>
                </w:tcPr>
                <w:p w14:paraId="495C3C8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根据《产业结构调整指导目录（2024年本）》，项目属于允许类，符合国家产业政策要求。</w:t>
                  </w:r>
                </w:p>
              </w:tc>
              <w:tc>
                <w:tcPr>
                  <w:tcW w:w="857" w:type="dxa"/>
                  <w:noWrap w:val="0"/>
                  <w:vAlign w:val="center"/>
                </w:tcPr>
                <w:p w14:paraId="5D2238AB">
                  <w:pPr>
                    <w:keepNext w:val="0"/>
                    <w:keepLines w:val="0"/>
                    <w:suppressLineNumbers w:val="0"/>
                    <w:tabs>
                      <w:tab w:val="left" w:pos="4830"/>
                    </w:tabs>
                    <w:spacing w:before="0" w:beforeAutospacing="0" w:after="0" w:afterAutospacing="0"/>
                    <w:ind w:left="0" w:right="0"/>
                    <w:jc w:val="cente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符合</w:t>
                  </w:r>
                </w:p>
              </w:tc>
            </w:tr>
          </w:tbl>
          <w:p w14:paraId="35B3130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综上所述，项目不属于《云南省长江经济带发展负面清单指南实施细则》（试行，2022年版）中负面清单的内容。</w:t>
            </w:r>
          </w:p>
          <w:p w14:paraId="7313936F">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、项目与《宜良县高污染燃料禁燃区管理规定》的分析</w:t>
            </w:r>
          </w:p>
          <w:p w14:paraId="2D292CC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宜良县高污染燃料禁燃区管理规定》，宜良县高污染燃料禁燃区为县城规划建设区50平方公里范围内，即西至昆河线，东至小狗公路与石安公路交界段，北至宜九公路江头村与东南绕城交界段，南抵陈所渡、黑羊村一线的区域。</w:t>
            </w:r>
          </w:p>
          <w:p w14:paraId="0E2292F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禁燃物品种类包括：</w:t>
            </w:r>
          </w:p>
          <w:p w14:paraId="204512A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(一)原(散)煤、洗选煤、蜂窝煤、焦炭、木炭、煤研石、煤泥、煤焦油、重油、渣油、非生物质固体成型燃料(树木、秸秆、据末、稻壳、蔗渣)等燃料;</w:t>
            </w:r>
          </w:p>
          <w:p w14:paraId="0B69E49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(二)污染物含量超过国家规定限值的轻柴油、煤油、人工煤气等燃料;</w:t>
            </w:r>
          </w:p>
          <w:p w14:paraId="657E1E7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(三)沥青、油毡、橡胶、塑料、皮革、垃圾以及其他产生有毒有害烟尘和恶臭气体的可燃物质(经依法批准的固体废弃物资源循环利用专业单位除外);</w:t>
            </w:r>
          </w:p>
          <w:p w14:paraId="0E7C481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(四)国家规定的其他高污染燃料。</w:t>
            </w:r>
          </w:p>
          <w:p w14:paraId="583A8B56">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项目位于宜良县狗街镇狗街村委会旱滩村；</w:t>
            </w:r>
            <w:r>
              <w:rPr>
                <w:rFonts w:hint="default" w:ascii="Times New Roman" w:hAnsi="Times New Roman" w:eastAsia="宋体" w:cs="Times New Roman"/>
                <w:bCs/>
                <w:color w:val="auto"/>
                <w:sz w:val="24"/>
                <w:szCs w:val="24"/>
              </w:rPr>
              <w:t>项目使用</w:t>
            </w:r>
            <w:r>
              <w:rPr>
                <w:rFonts w:hint="default" w:ascii="Times New Roman" w:hAnsi="Times New Roman" w:eastAsia="宋体" w:cs="Times New Roman"/>
                <w:bCs/>
                <w:color w:val="auto"/>
                <w:sz w:val="24"/>
                <w:szCs w:val="24"/>
                <w:lang w:val="en-US" w:eastAsia="zh-CN"/>
              </w:rPr>
              <w:t>生物质固体成型燃料</w:t>
            </w:r>
            <w:r>
              <w:rPr>
                <w:rFonts w:hint="default" w:ascii="Times New Roman" w:hAnsi="Times New Roman" w:eastAsia="宋体" w:cs="Times New Roman"/>
                <w:bCs/>
                <w:color w:val="auto"/>
                <w:sz w:val="24"/>
                <w:szCs w:val="24"/>
              </w:rPr>
              <w:t>，不属于</w:t>
            </w:r>
            <w:r>
              <w:rPr>
                <w:rFonts w:hint="default" w:ascii="Times New Roman" w:hAnsi="Times New Roman" w:eastAsia="宋体" w:cs="Times New Roman"/>
                <w:color w:val="auto"/>
                <w:sz w:val="24"/>
                <w:szCs w:val="24"/>
              </w:rPr>
              <w:t>禁燃物品。项目不在宜良县高污染燃料禁燃区范围内，项目与宜良县高污染燃料禁燃区范围图见附图5。</w:t>
            </w:r>
          </w:p>
          <w:p w14:paraId="537A45B7">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、关于“云南省人民政府关于全面加强生态环境保护坚决打好污染防治攻坚战的实施意见”、“加强锅炉节能环保工作的通知”的符合性分析</w:t>
            </w:r>
          </w:p>
          <w:p w14:paraId="14A9392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中共云南省委“云南省人民政府关于全面加强生态环境保护坚决打好污染防治攻坚战的实施意见”中第四（二）3条意见：“大力推进散煤治理和煤炭消费减量替代。2018年，全面完成城市建成区高污染燃料禁燃区划定，划定范围逐步由城市建成区扩展到近郊。实施燃煤锅炉节能环保综合提升工程，鼓励推广使用清洁高效燃煤气化锅炉，加快每小时10蒸吨及以下燃煤锅炉淘汰，原则上不再新建每小时35蒸吨以下的燃煤锅炉，2018年，所有州（市）政府所在地城市建成区基本完成淘汰任务，到2020年，所有县级及以上城市建成区基本完成淘汰任务。调整能源结构，增加清洁能源使用，鼓励使用天然气、电力，实现煤炭消费减量替代。全面推进城乡“煤改气”“煤改电”工程建设，加快农村“以电代柴”“以气代柴”改造，昆明市要率先完成改代任务。发展洁净煤技术，实现煤炭高效洁净燃烧。到2020年，全省天然气消费总量达到32亿立方。”</w:t>
            </w:r>
          </w:p>
          <w:p w14:paraId="18F3BB3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市场监管总局、国家发展改革委、生态环境部关于“加强锅炉节能环保工作的通知”（国市监特设[2018]277号）第一（二）1条通知：“全国原则上不再新建每小时10蒸吨及以下的燃煤锅炉，重点区域（京津冀及周边地区、长三角地区和汾渭平原）全域和其他地区县级及以上城市建成区原则上不再新建每小时35蒸吨以下的燃煤锅炉。”</w:t>
            </w:r>
          </w:p>
          <w:p w14:paraId="3A3901DF">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bCs/>
                <w:color w:val="auto"/>
                <w:sz w:val="24"/>
                <w:szCs w:val="24"/>
              </w:rPr>
              <w:t>将</w:t>
            </w:r>
            <w:r>
              <w:rPr>
                <w:rFonts w:hint="default" w:ascii="Times New Roman" w:hAnsi="Times New Roman" w:eastAsia="宋体" w:cs="Times New Roman"/>
                <w:bCs/>
                <w:color w:val="auto"/>
                <w:sz w:val="24"/>
                <w:szCs w:val="24"/>
                <w:lang w:val="en-US" w:eastAsia="zh-CN"/>
              </w:rPr>
              <w:t>拆除</w:t>
            </w:r>
            <w:r>
              <w:rPr>
                <w:rFonts w:hint="default" w:ascii="Times New Roman" w:hAnsi="Times New Roman" w:eastAsia="宋体" w:cs="Times New Roman"/>
                <w:bCs/>
                <w:color w:val="auto"/>
                <w:sz w:val="24"/>
                <w:szCs w:val="24"/>
              </w:rPr>
              <w:t>现有1台10t/h燃煤蒸汽锅炉</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改建</w:t>
            </w:r>
            <w:r>
              <w:rPr>
                <w:rFonts w:hint="default" w:ascii="Times New Roman" w:hAnsi="Times New Roman" w:eastAsia="宋体" w:cs="Times New Roman"/>
                <w:bCs/>
                <w:color w:val="auto"/>
                <w:sz w:val="24"/>
                <w:szCs w:val="24"/>
              </w:rPr>
              <w:t>为1台</w:t>
            </w:r>
            <w:r>
              <w:rPr>
                <w:rFonts w:hint="default" w:ascii="Times New Roman" w:hAnsi="Times New Roman" w:eastAsia="宋体" w:cs="Times New Roman"/>
                <w:bCs/>
                <w:color w:val="auto"/>
                <w:sz w:val="24"/>
                <w:szCs w:val="24"/>
                <w:lang w:val="en-US" w:eastAsia="zh-CN"/>
              </w:rPr>
              <w:t>1</w:t>
            </w:r>
            <w:r>
              <w:rPr>
                <w:rFonts w:hint="default" w:ascii="Times New Roman" w:hAnsi="Times New Roman" w:eastAsia="宋体" w:cs="Times New Roman"/>
                <w:bCs/>
                <w:color w:val="auto"/>
                <w:sz w:val="24"/>
                <w:szCs w:val="24"/>
              </w:rPr>
              <w:t>0</w:t>
            </w:r>
            <w:r>
              <w:rPr>
                <w:rFonts w:hint="default" w:ascii="Times New Roman" w:hAnsi="Times New Roman" w:eastAsia="宋体" w:cs="Times New Roman"/>
                <w:bCs/>
                <w:color w:val="auto"/>
                <w:sz w:val="24"/>
                <w:szCs w:val="24"/>
                <w:lang w:val="en-US" w:eastAsia="zh-CN"/>
              </w:rPr>
              <w:t>.5</w:t>
            </w:r>
            <w:r>
              <w:rPr>
                <w:rFonts w:hint="default" w:ascii="Times New Roman" w:hAnsi="Times New Roman" w:eastAsia="宋体" w:cs="Times New Roman"/>
                <w:bCs/>
                <w:color w:val="auto"/>
                <w:sz w:val="24"/>
                <w:szCs w:val="24"/>
              </w:rPr>
              <w:t>t/h</w:t>
            </w:r>
            <w:r>
              <w:rPr>
                <w:rFonts w:hint="default" w:ascii="Times New Roman" w:hAnsi="Times New Roman" w:eastAsia="宋体" w:cs="Times New Roman"/>
                <w:bCs/>
                <w:color w:val="auto"/>
                <w:sz w:val="24"/>
                <w:szCs w:val="24"/>
                <w:lang w:val="en-US" w:eastAsia="zh-CN"/>
              </w:rPr>
              <w:t>生物质</w:t>
            </w:r>
            <w:r>
              <w:rPr>
                <w:rFonts w:hint="default" w:ascii="Times New Roman" w:hAnsi="Times New Roman" w:eastAsia="宋体" w:cs="Times New Roman"/>
                <w:bCs/>
                <w:color w:val="auto"/>
                <w:sz w:val="24"/>
                <w:szCs w:val="24"/>
              </w:rPr>
              <w:t>锅炉进行供热。项目不在</w:t>
            </w:r>
            <w:r>
              <w:rPr>
                <w:rFonts w:hint="default" w:ascii="Times New Roman" w:hAnsi="Times New Roman" w:eastAsia="宋体" w:cs="Times New Roman"/>
                <w:color w:val="auto"/>
                <w:sz w:val="24"/>
                <w:szCs w:val="24"/>
              </w:rPr>
              <w:t>高污染燃料禁燃区划定区，</w:t>
            </w:r>
            <w:r>
              <w:rPr>
                <w:rFonts w:hint="default" w:ascii="Times New Roman" w:hAnsi="Times New Roman" w:eastAsia="宋体" w:cs="Times New Roman"/>
                <w:bCs/>
                <w:color w:val="auto"/>
                <w:sz w:val="24"/>
                <w:szCs w:val="24"/>
              </w:rPr>
              <w:t>不在城市建成区。因此项目符合“云南省人民政府关于全面加强生态环境保护坚决打好污染防治攻坚战的实施意见”、“加强锅炉节能环保工作的通知”的相关规定。</w:t>
            </w:r>
          </w:p>
          <w:p w14:paraId="17AE07EB">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7、</w:t>
            </w:r>
            <w:r>
              <w:rPr>
                <w:rFonts w:hint="default" w:ascii="Times New Roman" w:hAnsi="Times New Roman" w:eastAsia="宋体" w:cs="Times New Roman"/>
                <w:b/>
                <w:bCs/>
                <w:color w:val="auto"/>
                <w:sz w:val="24"/>
              </w:rPr>
              <w:t>与《昆明市大气污染防治条例》的符合性分析</w:t>
            </w:r>
          </w:p>
          <w:p w14:paraId="6F6E27E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rPr>
              <w:t>项目与《昆明市大气污染防治条例》相符性分析见下表。</w:t>
            </w:r>
          </w:p>
          <w:p w14:paraId="7CC39F0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表1-</w:t>
            </w:r>
            <w:r>
              <w:rPr>
                <w:rFonts w:hint="default" w:ascii="Times New Roman" w:hAnsi="Times New Roman" w:eastAsia="宋体" w:cs="Times New Roman"/>
                <w:b/>
                <w:bCs/>
                <w:color w:val="auto"/>
                <w:sz w:val="24"/>
                <w:lang w:val="en-US" w:eastAsia="zh-CN"/>
              </w:rPr>
              <w:t>5</w:t>
            </w:r>
            <w:r>
              <w:rPr>
                <w:rFonts w:hint="default" w:ascii="Times New Roman" w:hAnsi="Times New Roman" w:eastAsia="宋体" w:cs="Times New Roman"/>
                <w:b/>
                <w:bCs/>
                <w:color w:val="auto"/>
                <w:sz w:val="24"/>
              </w:rPr>
              <w:t xml:space="preserve"> 项目与《昆明市大气污染防治条例》符合性分析</w:t>
            </w:r>
          </w:p>
          <w:tbl>
            <w:tblPr>
              <w:tblStyle w:val="3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64"/>
              <w:gridCol w:w="2541"/>
              <w:gridCol w:w="881"/>
            </w:tblGrid>
            <w:tr w14:paraId="5D172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2550" w:type="pct"/>
                  <w:tcBorders>
                    <w:top w:val="single" w:color="000000" w:sz="4" w:space="0"/>
                    <w:left w:val="single" w:color="000000" w:sz="4" w:space="0"/>
                    <w:bottom w:val="single" w:color="000000" w:sz="4" w:space="0"/>
                    <w:right w:val="single" w:color="000000" w:sz="4" w:space="0"/>
                  </w:tcBorders>
                  <w:noWrap w:val="0"/>
                  <w:vAlign w:val="center"/>
                </w:tcPr>
                <w:p w14:paraId="5FB3C0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相关要求</w:t>
                  </w:r>
                </w:p>
              </w:tc>
              <w:tc>
                <w:tcPr>
                  <w:tcW w:w="1818" w:type="pct"/>
                  <w:tcBorders>
                    <w:top w:val="single" w:color="000000" w:sz="4" w:space="0"/>
                    <w:left w:val="single" w:color="000000" w:sz="4" w:space="0"/>
                    <w:bottom w:val="single" w:color="000000" w:sz="4" w:space="0"/>
                    <w:right w:val="single" w:color="000000" w:sz="4" w:space="0"/>
                  </w:tcBorders>
                  <w:noWrap w:val="0"/>
                  <w:vAlign w:val="center"/>
                </w:tcPr>
                <w:p w14:paraId="2491EC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本项目情况</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FEFAB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符合情况</w:t>
                  </w:r>
                </w:p>
              </w:tc>
            </w:tr>
            <w:tr w14:paraId="569C1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50" w:type="pct"/>
                  <w:tcBorders>
                    <w:top w:val="single" w:color="000000" w:sz="4" w:space="0"/>
                    <w:left w:val="single" w:color="000000" w:sz="4" w:space="0"/>
                    <w:bottom w:val="single" w:color="000000" w:sz="4" w:space="0"/>
                    <w:right w:val="single" w:color="000000" w:sz="4" w:space="0"/>
                  </w:tcBorders>
                  <w:noWrap w:val="0"/>
                  <w:vAlign w:val="center"/>
                </w:tcPr>
                <w:p w14:paraId="1D6F84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第十一条</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按照国家有关规定依法实行排污许可管理的单位，应当依法取得排污许可证，并按照排污许可证的规定排放大气污染物，禁止无排污许可证或者不按照排污许可证的规定排放大气污染物。</w:t>
                  </w:r>
                </w:p>
              </w:tc>
              <w:tc>
                <w:tcPr>
                  <w:tcW w:w="1818" w:type="pct"/>
                  <w:tcBorders>
                    <w:top w:val="single" w:color="000000" w:sz="4" w:space="0"/>
                    <w:left w:val="single" w:color="000000" w:sz="4" w:space="0"/>
                    <w:bottom w:val="single" w:color="000000" w:sz="4" w:space="0"/>
                    <w:right w:val="single" w:color="000000" w:sz="4" w:space="0"/>
                  </w:tcBorders>
                  <w:noWrap w:val="0"/>
                  <w:vAlign w:val="center"/>
                </w:tcPr>
                <w:p w14:paraId="1E9BA9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建设单位20</w:t>
                  </w:r>
                  <w:r>
                    <w:rPr>
                      <w:rFonts w:hint="default" w:ascii="Times New Roman" w:hAnsi="Times New Roman" w:eastAsia="宋体" w:cs="Times New Roman"/>
                      <w:color w:val="auto"/>
                      <w:sz w:val="21"/>
                      <w:szCs w:val="21"/>
                      <w:lang w:val="en-US" w:eastAsia="zh-CN"/>
                    </w:rPr>
                    <w:t>25</w:t>
                  </w:r>
                  <w:r>
                    <w:rPr>
                      <w:rFonts w:hint="default" w:ascii="Times New Roman" w:hAnsi="Times New Roman" w:eastAsia="宋体" w:cs="Times New Roman"/>
                      <w:color w:val="auto"/>
                      <w:sz w:val="21"/>
                      <w:szCs w:val="21"/>
                    </w:rPr>
                    <w:t>年</w:t>
                  </w: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月2</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日取得了昆明市生态环境局核发的排污许可证（证书编码：91530125059463405L001P）。</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4F0B1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5073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50" w:type="pct"/>
                  <w:tcBorders>
                    <w:top w:val="single" w:color="000000" w:sz="4" w:space="0"/>
                    <w:left w:val="single" w:color="000000" w:sz="4" w:space="0"/>
                    <w:bottom w:val="single" w:color="000000" w:sz="4" w:space="0"/>
                    <w:right w:val="single" w:color="000000" w:sz="4" w:space="0"/>
                  </w:tcBorders>
                  <w:noWrap w:val="0"/>
                  <w:vAlign w:val="center"/>
                </w:tcPr>
                <w:p w14:paraId="2B86BABE">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第二十五条 在禁燃区内，禁止销售、燃用高污染燃料；禁止新建、扩建燃用高污染燃料的设施，已建成的，应当在规定的期限内改用天然气、液化石油气、电或者其他清洁能源。</w:t>
                  </w:r>
                </w:p>
              </w:tc>
              <w:tc>
                <w:tcPr>
                  <w:tcW w:w="1818" w:type="pct"/>
                  <w:tcBorders>
                    <w:top w:val="single" w:color="000000" w:sz="4" w:space="0"/>
                    <w:left w:val="single" w:color="000000" w:sz="4" w:space="0"/>
                    <w:bottom w:val="single" w:color="000000" w:sz="4" w:space="0"/>
                    <w:right w:val="single" w:color="000000" w:sz="4" w:space="0"/>
                  </w:tcBorders>
                  <w:noWrap w:val="0"/>
                  <w:vAlign w:val="center"/>
                </w:tcPr>
                <w:p w14:paraId="3B107C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本项目</w:t>
                  </w:r>
                  <w:r>
                    <w:rPr>
                      <w:rFonts w:hint="default" w:ascii="Times New Roman" w:hAnsi="Times New Roman" w:eastAsia="宋体" w:cs="Times New Roman"/>
                      <w:bCs/>
                      <w:color w:val="auto"/>
                      <w:sz w:val="21"/>
                      <w:szCs w:val="21"/>
                      <w:lang w:val="en-US" w:eastAsia="zh-CN"/>
                    </w:rPr>
                    <w:t>为在现有锅炉房内将10t燃煤锅炉更换为10.5t生物质锅炉</w:t>
                  </w:r>
                  <w:r>
                    <w:rPr>
                      <w:rFonts w:hint="default" w:ascii="Times New Roman" w:hAnsi="Times New Roman" w:eastAsia="宋体" w:cs="Times New Roman"/>
                      <w:color w:val="auto"/>
                      <w:sz w:val="21"/>
                      <w:szCs w:val="21"/>
                    </w:rPr>
                    <w:t>，使用成型生物质颗粒，</w:t>
                  </w:r>
                  <w:r>
                    <w:rPr>
                      <w:rFonts w:hint="default" w:ascii="Times New Roman" w:hAnsi="Times New Roman" w:eastAsia="宋体" w:cs="Times New Roman"/>
                      <w:color w:val="auto"/>
                      <w:sz w:val="21"/>
                      <w:szCs w:val="21"/>
                      <w:lang w:val="en-US" w:eastAsia="zh-CN"/>
                    </w:rPr>
                    <w:t>采用布袋除尘器+1根40m高排气筒</w:t>
                  </w:r>
                  <w:r>
                    <w:rPr>
                      <w:rFonts w:hint="default" w:ascii="Times New Roman" w:hAnsi="Times New Roman" w:eastAsia="宋体" w:cs="Times New Roman"/>
                      <w:color w:val="auto"/>
                      <w:spacing w:val="-4"/>
                      <w:sz w:val="21"/>
                      <w:szCs w:val="21"/>
                    </w:rPr>
                    <w:t>”。项目不在宜良县高污染燃料禁燃区范围内</w:t>
                  </w:r>
                  <w:r>
                    <w:rPr>
                      <w:rStyle w:val="47"/>
                      <w:rFonts w:hint="default" w:ascii="Times New Roman" w:hAnsi="Times New Roman" w:eastAsia="宋体" w:cs="Times New Roman"/>
                      <w:color w:val="auto"/>
                      <w:kern w:val="0"/>
                      <w:sz w:val="21"/>
                      <w:szCs w:val="21"/>
                    </w:rPr>
                    <w:t>。</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8BC6C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bl>
          <w:p w14:paraId="0E0F0380">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根据上表分析，本项目建设符合《昆明市大气污染防治条例》相关要求</w:t>
            </w:r>
            <w:r>
              <w:rPr>
                <w:rFonts w:hint="default" w:ascii="Times New Roman" w:hAnsi="Times New Roman" w:eastAsia="宋体" w:cs="Times New Roman"/>
                <w:color w:val="auto"/>
                <w:sz w:val="24"/>
                <w:lang w:eastAsia="zh-CN"/>
              </w:rPr>
              <w:t>。</w:t>
            </w:r>
          </w:p>
          <w:p w14:paraId="14A6B730">
            <w:pPr>
              <w:pStyle w:val="14"/>
              <w:keepNext w:val="0"/>
              <w:keepLines w:val="0"/>
              <w:pageBreakBefore w:val="0"/>
              <w:widowControl w:val="0"/>
              <w:suppressLineNumbers w:val="0"/>
              <w:tabs>
                <w:tab w:val="left" w:pos="540"/>
                <w:tab w:val="left" w:pos="851"/>
                <w:tab w:val="left" w:pos="994"/>
                <w:tab w:val="left" w:pos="1260"/>
                <w:tab w:val="left" w:pos="3108"/>
                <w:tab w:val="left" w:pos="3150"/>
              </w:tabs>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8、与《昆明市空气质量持续改善行动实施方案》的符合性分析</w:t>
            </w:r>
          </w:p>
          <w:p w14:paraId="5470A3BC">
            <w:pPr>
              <w:pStyle w:val="14"/>
              <w:keepNext w:val="0"/>
              <w:keepLines w:val="0"/>
              <w:pageBreakBefore w:val="0"/>
              <w:widowControl w:val="0"/>
              <w:suppressLineNumbers w:val="0"/>
              <w:tabs>
                <w:tab w:val="left" w:pos="540"/>
                <w:tab w:val="left" w:pos="851"/>
                <w:tab w:val="left" w:pos="994"/>
                <w:tab w:val="left" w:pos="1260"/>
                <w:tab w:val="left" w:pos="3108"/>
                <w:tab w:val="left" w:pos="3150"/>
              </w:tabs>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项目与《昆明市空气质量持续改善行动实施方案》的通知的符合性分析见下表。</w:t>
            </w:r>
          </w:p>
          <w:p w14:paraId="7FB741A6">
            <w:pPr>
              <w:pStyle w:val="149"/>
              <w:keepNext w:val="0"/>
              <w:keepLines w:val="0"/>
              <w:suppressLineNumbers w:val="0"/>
              <w:bidi w:val="0"/>
              <w:spacing w:before="0" w:beforeAutospacing="0" w:after="0" w:afterAutospacing="0"/>
              <w:ind w:left="0" w:right="0" w:firstLine="0"/>
              <w:rPr>
                <w:rFonts w:hint="default" w:ascii="Times New Roman" w:hAnsi="Times New Roman" w:eastAsia="宋体" w:cs="Times New Roman"/>
                <w:b/>
                <w:color w:val="auto"/>
                <w:lang w:val="en-US" w:eastAsia="zh-CN"/>
              </w:rPr>
            </w:pPr>
            <w:r>
              <w:rPr>
                <w:rFonts w:hint="default" w:ascii="Times New Roman" w:hAnsi="Times New Roman" w:eastAsia="宋体" w:cs="Times New Roman"/>
                <w:b/>
                <w:color w:val="auto"/>
                <w:lang w:val="en-US" w:eastAsia="zh-CN"/>
              </w:rPr>
              <w:t>表1-6   《昆明市空气质量持续改善行动实施方案》的通知符合性分析</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40"/>
              <w:gridCol w:w="2580"/>
              <w:gridCol w:w="659"/>
            </w:tblGrid>
            <w:tr w14:paraId="0914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8" w:type="pct"/>
                  <w:noWrap w:val="0"/>
                  <w:vAlign w:val="center"/>
                </w:tcPr>
                <w:p w14:paraId="173A48A0">
                  <w:pPr>
                    <w:pStyle w:val="15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2174" w:type="pct"/>
                  <w:noWrap w:val="0"/>
                  <w:vAlign w:val="center"/>
                </w:tcPr>
                <w:p w14:paraId="2C45FB00">
                  <w:pPr>
                    <w:pStyle w:val="15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相关要求</w:t>
                  </w:r>
                </w:p>
              </w:tc>
              <w:tc>
                <w:tcPr>
                  <w:tcW w:w="1845" w:type="pct"/>
                  <w:noWrap w:val="0"/>
                  <w:vAlign w:val="center"/>
                </w:tcPr>
                <w:p w14:paraId="5D646A85">
                  <w:pPr>
                    <w:pStyle w:val="15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本项目区情况</w:t>
                  </w:r>
                </w:p>
              </w:tc>
              <w:tc>
                <w:tcPr>
                  <w:tcW w:w="471" w:type="pct"/>
                  <w:noWrap w:val="0"/>
                  <w:vAlign w:val="center"/>
                </w:tcPr>
                <w:p w14:paraId="62FDE272">
                  <w:pPr>
                    <w:pStyle w:val="15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是否符合</w:t>
                  </w:r>
                </w:p>
              </w:tc>
            </w:tr>
            <w:tr w14:paraId="77FD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8" w:type="pct"/>
                  <w:noWrap w:val="0"/>
                  <w:vAlign w:val="center"/>
                </w:tcPr>
                <w:p w14:paraId="74CA1082">
                  <w:pPr>
                    <w:pStyle w:val="150"/>
                    <w:keepNext w:val="0"/>
                    <w:keepLines w:val="0"/>
                    <w:suppressLineNumbers w:val="0"/>
                    <w:spacing w:before="0" w:beforeAutospacing="0" w:after="0" w:afterAutospacing="0"/>
                    <w:ind w:left="0" w:right="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2174" w:type="pct"/>
                  <w:noWrap w:val="0"/>
                  <w:vAlign w:val="center"/>
                </w:tcPr>
                <w:p w14:paraId="69C73626">
                  <w:pPr>
                    <w:pStyle w:val="150"/>
                    <w:keepNext w:val="0"/>
                    <w:keepLines w:val="0"/>
                    <w:suppressLineNumbers w:val="0"/>
                    <w:spacing w:before="0" w:beforeAutospacing="0" w:after="0" w:afterAutospacing="0"/>
                    <w:ind w:left="0" w:right="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积极开展燃煤锅炉关停整合。城市建成区原则上不再新建35蒸吨／小时及以下燃煤锅炉。2025年，PM</w:t>
                  </w:r>
                  <w:r>
                    <w:rPr>
                      <w:rFonts w:hint="default" w:ascii="Times New Roman" w:hAnsi="Times New Roman" w:eastAsia="宋体" w:cs="Times New Roman"/>
                      <w:b w:val="0"/>
                      <w:bCs w:val="0"/>
                      <w:color w:val="auto"/>
                      <w:sz w:val="21"/>
                      <w:szCs w:val="21"/>
                      <w:vertAlign w:val="subscript"/>
                      <w:lang w:val="en-US" w:eastAsia="zh-CN"/>
                    </w:rPr>
                    <w:t>2.5</w:t>
                  </w:r>
                  <w:r>
                    <w:rPr>
                      <w:rFonts w:hint="default" w:ascii="Times New Roman" w:hAnsi="Times New Roman" w:eastAsia="宋体" w:cs="Times New Roman"/>
                      <w:b w:val="0"/>
                      <w:bCs w:val="0"/>
                      <w:color w:val="auto"/>
                      <w:sz w:val="21"/>
                      <w:szCs w:val="21"/>
                      <w:lang w:val="en-US" w:eastAsia="zh-CN"/>
                    </w:rPr>
                    <w:t>未达标城市基本淘汰10蒸吨／小时及以下燃煤锅炉。依托电厂、大型工业企业开展远距离供热示范，淘汰管网覆盖范围内的燃煤锅炉和散煤。</w:t>
                  </w:r>
                </w:p>
              </w:tc>
              <w:tc>
                <w:tcPr>
                  <w:tcW w:w="1845" w:type="pct"/>
                  <w:noWrap w:val="0"/>
                  <w:vAlign w:val="center"/>
                </w:tcPr>
                <w:p w14:paraId="68863439">
                  <w:pPr>
                    <w:pStyle w:val="150"/>
                    <w:keepNext w:val="0"/>
                    <w:keepLines w:val="0"/>
                    <w:suppressLineNumbers w:val="0"/>
                    <w:spacing w:before="0" w:beforeAutospacing="0" w:after="0" w:afterAutospacing="0"/>
                    <w:ind w:left="0" w:right="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项目不在高污染燃料禁燃区划定区，不在城市建成区；项目所在区域无燃气管网覆盖，淘汰10t燃煤锅炉，改建为10.5t生物质锅炉。</w:t>
                  </w:r>
                </w:p>
              </w:tc>
              <w:tc>
                <w:tcPr>
                  <w:tcW w:w="471" w:type="pct"/>
                  <w:noWrap w:val="0"/>
                  <w:vAlign w:val="center"/>
                </w:tcPr>
                <w:p w14:paraId="5336FE2D">
                  <w:pPr>
                    <w:pStyle w:val="150"/>
                    <w:keepNext w:val="0"/>
                    <w:keepLines w:val="0"/>
                    <w:suppressLineNumbers w:val="0"/>
                    <w:spacing w:before="0" w:beforeAutospacing="0" w:after="0" w:afterAutospacing="0"/>
                    <w:ind w:left="0" w:right="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14:paraId="205E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8" w:type="pct"/>
                  <w:noWrap w:val="0"/>
                  <w:vAlign w:val="center"/>
                </w:tcPr>
                <w:p w14:paraId="6309C338">
                  <w:pPr>
                    <w:pStyle w:val="150"/>
                    <w:keepNext w:val="0"/>
                    <w:keepLines w:val="0"/>
                    <w:suppressLineNumbers w:val="0"/>
                    <w:spacing w:before="0" w:beforeAutospacing="0" w:after="0" w:afterAutospacing="0"/>
                    <w:ind w:left="0" w:right="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w:t>
                  </w:r>
                </w:p>
              </w:tc>
              <w:tc>
                <w:tcPr>
                  <w:tcW w:w="2174" w:type="pct"/>
                  <w:noWrap w:val="0"/>
                  <w:vAlign w:val="center"/>
                </w:tcPr>
                <w:p w14:paraId="51B0618C">
                  <w:pPr>
                    <w:pStyle w:val="150"/>
                    <w:keepNext w:val="0"/>
                    <w:keepLines w:val="0"/>
                    <w:suppressLineNumbers w:val="0"/>
                    <w:spacing w:before="0" w:beforeAutospacing="0" w:after="0" w:afterAutospacing="0"/>
                    <w:ind w:left="0" w:right="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aps w:val="0"/>
                      <w:color w:val="auto"/>
                      <w:spacing w:val="0"/>
                      <w:sz w:val="21"/>
                      <w:szCs w:val="21"/>
                      <w:shd w:val="clear" w:color="auto" w:fill="FFFFFF"/>
                    </w:rPr>
                    <w:t>持续推进工业污染源全面达标排放。推进玻璃、石灰、矿棉、有色等重点行业深度治理。全面开展燃煤、生物质锅炉和砖瓦、玻璃、陶瓷、耐火材料、有色、铸造、石灰等行业工业炉窑简易低效污染治理设施排查，通过清洁能源替代、升级改造、整合退出等方式实施分类处置。推进燃气锅炉低氮燃烧改造。生物质锅炉采用专用锅炉，配套高效除尘设施，禁止掺烧煤炭、生活垃圾等其他物料。推进整合小型生物质锅炉，引导城市建成区内生物质锅炉（含电力）超低排放改造。强化治污设施运行维护，减少非正常工况排放。</w:t>
                  </w:r>
                </w:p>
              </w:tc>
              <w:tc>
                <w:tcPr>
                  <w:tcW w:w="1845" w:type="pct"/>
                  <w:noWrap w:val="0"/>
                  <w:vAlign w:val="center"/>
                </w:tcPr>
                <w:p w14:paraId="7CD7DCB6">
                  <w:pPr>
                    <w:pStyle w:val="150"/>
                    <w:keepNext w:val="0"/>
                    <w:keepLines w:val="0"/>
                    <w:suppressLineNumbers w:val="0"/>
                    <w:spacing w:before="0" w:beforeAutospacing="0" w:after="0" w:afterAutospacing="0"/>
                    <w:ind w:left="0" w:right="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本项目为热力生产和供应项目，燃料为生物质固体成型燃料，不属于</w:t>
                  </w:r>
                  <w:r>
                    <w:rPr>
                      <w:rFonts w:hint="default" w:ascii="Times New Roman" w:hAnsi="Times New Roman" w:eastAsia="宋体" w:cs="Times New Roman"/>
                      <w:i w:val="0"/>
                      <w:iCs w:val="0"/>
                      <w:caps w:val="0"/>
                      <w:color w:val="auto"/>
                      <w:spacing w:val="0"/>
                      <w:sz w:val="21"/>
                      <w:szCs w:val="21"/>
                      <w:shd w:val="clear" w:color="auto" w:fill="FFFFFF"/>
                    </w:rPr>
                    <w:t>玻璃、石灰、矿棉、有色等重点行业</w:t>
                  </w:r>
                  <w:r>
                    <w:rPr>
                      <w:rFonts w:hint="default" w:ascii="Times New Roman" w:hAnsi="Times New Roman" w:eastAsia="宋体" w:cs="Times New Roman"/>
                      <w:b w:val="0"/>
                      <w:bCs w:val="0"/>
                      <w:color w:val="auto"/>
                      <w:sz w:val="21"/>
                      <w:szCs w:val="21"/>
                      <w:lang w:val="en-US" w:eastAsia="zh-CN"/>
                    </w:rPr>
                    <w:t>。10t燃煤锅炉改建为10.5t生物质专用锅炉，废气治</w:t>
                  </w:r>
                  <w:r>
                    <w:rPr>
                      <w:rFonts w:hint="eastAsia" w:cs="Times New Roman"/>
                      <w:b w:val="0"/>
                      <w:bCs w:val="0"/>
                      <w:color w:val="auto"/>
                      <w:sz w:val="21"/>
                      <w:szCs w:val="21"/>
                      <w:lang w:val="en-US" w:eastAsia="zh-CN"/>
                    </w:rPr>
                    <w:t>经一套</w:t>
                  </w:r>
                  <w:r>
                    <w:rPr>
                      <w:rFonts w:hint="default" w:ascii="Times New Roman" w:hAnsi="Times New Roman" w:eastAsia="宋体" w:cs="Times New Roman"/>
                      <w:b w:val="0"/>
                      <w:bCs w:val="0"/>
                      <w:color w:val="auto"/>
                      <w:sz w:val="21"/>
                      <w:szCs w:val="21"/>
                      <w:lang w:val="en-US" w:eastAsia="zh-CN"/>
                    </w:rPr>
                    <w:t>布袋除尘器</w:t>
                  </w:r>
                  <w:r>
                    <w:rPr>
                      <w:rFonts w:hint="eastAsia" w:cs="Times New Roman"/>
                      <w:b w:val="0"/>
                      <w:bCs w:val="0"/>
                      <w:color w:val="auto"/>
                      <w:sz w:val="21"/>
                      <w:szCs w:val="21"/>
                      <w:lang w:val="en-US" w:eastAsia="zh-CN"/>
                    </w:rPr>
                    <w:t>处理</w:t>
                  </w:r>
                  <w:r>
                    <w:rPr>
                      <w:rFonts w:hint="default" w:ascii="Times New Roman" w:hAnsi="Times New Roman" w:eastAsia="宋体" w:cs="Times New Roman"/>
                      <w:b w:val="0"/>
                      <w:bCs w:val="0"/>
                      <w:color w:val="auto"/>
                      <w:sz w:val="21"/>
                      <w:szCs w:val="21"/>
                      <w:lang w:val="en-US" w:eastAsia="zh-CN"/>
                    </w:rPr>
                    <w:t>后由1根40m高排气筒排放。</w:t>
                  </w:r>
                </w:p>
              </w:tc>
              <w:tc>
                <w:tcPr>
                  <w:tcW w:w="471" w:type="pct"/>
                  <w:noWrap w:val="0"/>
                  <w:vAlign w:val="center"/>
                </w:tcPr>
                <w:p w14:paraId="3E91BDD0">
                  <w:pPr>
                    <w:pStyle w:val="150"/>
                    <w:keepNext w:val="0"/>
                    <w:keepLines w:val="0"/>
                    <w:suppressLineNumbers w:val="0"/>
                    <w:spacing w:before="0" w:beforeAutospacing="0" w:after="0" w:afterAutospacing="0"/>
                    <w:ind w:left="0" w:right="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bl>
          <w:p w14:paraId="30815579">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szCs w:val="24"/>
                <w:lang w:val="en-US" w:eastAsia="zh-CN"/>
              </w:rPr>
              <w:t>由上表可知，本项目建设符合《昆明市空气质量持续改善行动实施方案》通知的相关要求。</w:t>
            </w:r>
          </w:p>
          <w:p w14:paraId="78E15980">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、平面布局合理性分析</w:t>
            </w:r>
          </w:p>
          <w:p w14:paraId="2F71B735">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改建的锅炉位于厂区现有锅炉房内，不改变厂区现有生产布局。项目现有锅炉房位于厂区西南侧，办公生活区位于厂区东南侧，两者相距较远。项目区主导风向为南风，办公生活区位于主导风平风向，远离生产区，项目高噪声设备锅炉、风机、水泵等布置于锅炉房内，远离办公生活区，对周围环境影响较小。综上所述，项目平面布局合理。</w:t>
            </w:r>
          </w:p>
          <w:p w14:paraId="40117A30">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rPr>
            </w:pPr>
          </w:p>
          <w:p w14:paraId="3C3511EE">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312DA075">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178E3AF5">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3701BB50">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0512DEA1">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2DFF5B71">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0B2D6A59">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6AC171BD">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5D9EF26F">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2C98C1BC">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6C74B76F">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732663EC">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01E73F0A">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1594BC1F">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41466C58">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244F3C7C">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53785012">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p w14:paraId="3AC76901">
            <w:pPr>
              <w:pStyle w:val="10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 w:val="24"/>
                <w:szCs w:val="24"/>
              </w:rPr>
            </w:pPr>
          </w:p>
        </w:tc>
      </w:tr>
    </w:tbl>
    <w:p w14:paraId="670DF402">
      <w:pPr>
        <w:spacing w:line="360" w:lineRule="auto"/>
        <w:outlineLvl w:val="0"/>
        <w:rPr>
          <w:rFonts w:hint="default" w:ascii="Times New Roman" w:hAnsi="Times New Roman" w:eastAsia="宋体" w:cs="Times New Roman"/>
          <w:color w:val="auto"/>
          <w:szCs w:val="21"/>
        </w:rPr>
        <w:sectPr>
          <w:footerReference r:id="rId6" w:type="default"/>
          <w:pgSz w:w="11906" w:h="16838"/>
          <w:pgMar w:top="1701" w:right="1531" w:bottom="1701" w:left="1531" w:header="851" w:footer="1077" w:gutter="0"/>
          <w:pgNumType w:start="1"/>
          <w:cols w:space="720" w:num="1"/>
          <w:docGrid w:linePitch="312" w:charSpace="0"/>
        </w:sectPr>
      </w:pPr>
    </w:p>
    <w:p w14:paraId="50F6BF28">
      <w:pPr>
        <w:pStyle w:val="33"/>
        <w:adjustRightInd w:val="0"/>
        <w:snapToGrid w:val="0"/>
        <w:spacing w:before="0" w:beforeAutospacing="0" w:after="0" w:afterAutospacing="0"/>
        <w:jc w:val="center"/>
        <w:outlineLvl w:val="0"/>
        <w:rPr>
          <w:rFonts w:hint="default" w:ascii="Times New Roman" w:hAnsi="Times New Roman" w:eastAsia="宋体" w:cs="Times New Roman"/>
          <w:b/>
          <w:bCs/>
          <w:snapToGrid w:val="0"/>
          <w:color w:val="auto"/>
          <w:sz w:val="30"/>
          <w:szCs w:val="30"/>
        </w:rPr>
      </w:pPr>
      <w:bookmarkStart w:id="7" w:name="_Toc69726038"/>
      <w:bookmarkStart w:id="8" w:name="_Toc8883"/>
      <w:r>
        <w:rPr>
          <w:rFonts w:hint="default" w:ascii="Times New Roman" w:hAnsi="Times New Roman" w:eastAsia="宋体" w:cs="Times New Roman"/>
          <w:b/>
          <w:bCs/>
          <w:snapToGrid w:val="0"/>
          <w:color w:val="auto"/>
          <w:sz w:val="30"/>
          <w:szCs w:val="30"/>
        </w:rPr>
        <w:t>二、建设项目工程分析</w:t>
      </w:r>
      <w:bookmarkEnd w:id="7"/>
      <w:bookmarkEnd w:id="8"/>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639"/>
      </w:tblGrid>
      <w:tr w14:paraId="2630F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dxa"/>
            <w:noWrap w:val="0"/>
            <w:vAlign w:val="center"/>
          </w:tcPr>
          <w:p w14:paraId="5F2910C7">
            <w:pPr>
              <w:pStyle w:val="3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建设内容</w:t>
            </w:r>
          </w:p>
        </w:tc>
        <w:tc>
          <w:tcPr>
            <w:tcW w:w="8639" w:type="dxa"/>
            <w:noWrap w:val="0"/>
            <w:vAlign w:val="top"/>
          </w:tcPr>
          <w:p w14:paraId="15E447B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一、项目情况</w:t>
            </w:r>
          </w:p>
          <w:p w14:paraId="66140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color w:val="auto"/>
                <w:sz w:val="24"/>
              </w:rPr>
              <w:t>云南李好纸业有限公司</w:t>
            </w:r>
            <w:r>
              <w:rPr>
                <w:rFonts w:hint="default" w:ascii="Times New Roman" w:hAnsi="Times New Roman" w:eastAsia="宋体" w:cs="Times New Roman"/>
                <w:color w:val="auto"/>
                <w:sz w:val="24"/>
                <w:lang w:val="en-US" w:eastAsia="zh-CN"/>
              </w:rPr>
              <w:t>2017年</w:t>
            </w:r>
            <w:r>
              <w:rPr>
                <w:rFonts w:hint="default" w:ascii="Times New Roman" w:hAnsi="Times New Roman" w:eastAsia="宋体" w:cs="Times New Roman"/>
                <w:color w:val="auto"/>
                <w:sz w:val="24"/>
              </w:rPr>
              <w:t>建设6条生产线，年生产薄型生活用纸5</w:t>
            </w:r>
            <w:r>
              <w:rPr>
                <w:rFonts w:hint="default" w:ascii="Times New Roman" w:hAnsi="Times New Roman" w:eastAsia="宋体" w:cs="Times New Roman"/>
                <w:color w:val="auto"/>
                <w:sz w:val="24"/>
                <w:lang w:val="en-US" w:eastAsia="zh-CN"/>
              </w:rPr>
              <w:t>万吨</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2018年实际建设了</w:t>
            </w:r>
            <w:r>
              <w:rPr>
                <w:rFonts w:hint="default" w:ascii="Times New Roman" w:hAnsi="Times New Roman" w:eastAsia="宋体" w:cs="Times New Roman"/>
                <w:color w:val="auto"/>
                <w:sz w:val="24"/>
              </w:rPr>
              <w:t>3条2850/250型高速纸机生产线及配套的环保设施</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2021年</w:t>
            </w:r>
            <w:r>
              <w:rPr>
                <w:rFonts w:hint="default" w:ascii="Times New Roman" w:hAnsi="Times New Roman" w:eastAsia="宋体" w:cs="Times New Roman"/>
                <w:color w:val="auto"/>
                <w:sz w:val="24"/>
              </w:rPr>
              <w:t>在原有生产车间内新建1条2850/1300新月型高速纸机生产线</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建成后4条生产线总计生产规模为年生产薄型生活用纸24000</w:t>
            </w:r>
            <w:r>
              <w:rPr>
                <w:rFonts w:hint="default" w:ascii="Times New Roman" w:hAnsi="Times New Roman" w:eastAsia="宋体" w:cs="Times New Roman"/>
                <w:color w:val="auto"/>
                <w:sz w:val="24"/>
                <w:lang w:val="en-US" w:eastAsia="zh-CN"/>
              </w:rPr>
              <w:t>吨</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配套建设了</w:t>
            </w:r>
            <w:r>
              <w:rPr>
                <w:rFonts w:hint="default" w:ascii="Times New Roman" w:hAnsi="Times New Roman" w:eastAsia="宋体" w:cs="Times New Roman"/>
                <w:bCs/>
                <w:color w:val="auto"/>
                <w:sz w:val="24"/>
              </w:rPr>
              <w:t>2台4t/h燃煤蒸汽锅炉和1台10t/h燃煤蒸汽锅炉</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color w:val="auto"/>
                <w:sz w:val="24"/>
                <w:lang w:val="en-US" w:eastAsia="zh-CN"/>
              </w:rPr>
              <w:t>2023年12月</w:t>
            </w:r>
            <w:r>
              <w:rPr>
                <w:rFonts w:hint="default" w:ascii="Times New Roman" w:hAnsi="Times New Roman" w:eastAsia="宋体" w:cs="Times New Roman"/>
                <w:bCs/>
                <w:color w:val="auto"/>
                <w:sz w:val="24"/>
              </w:rPr>
              <w:t>建设单位</w:t>
            </w:r>
            <w:r>
              <w:rPr>
                <w:rFonts w:hint="default" w:ascii="Times New Roman" w:hAnsi="Times New Roman" w:eastAsia="宋体" w:cs="Times New Roman"/>
                <w:bCs/>
                <w:color w:val="auto"/>
                <w:sz w:val="24"/>
                <w:lang w:val="en-US" w:eastAsia="zh-CN"/>
              </w:rPr>
              <w:t>设计</w:t>
            </w:r>
            <w:r>
              <w:rPr>
                <w:rFonts w:hint="default" w:ascii="Times New Roman" w:hAnsi="Times New Roman" w:eastAsia="宋体" w:cs="Times New Roman"/>
                <w:bCs/>
                <w:color w:val="auto"/>
                <w:sz w:val="24"/>
              </w:rPr>
              <w:t>将2台4t/h燃煤蒸汽锅炉和1台10t/h燃煤蒸汽锅炉改建成1台20t/h燃煤蒸汽锅炉，由于考虑到后期检修时供热情况，预保留10t/h燃煤蒸汽锅炉作为备用锅炉</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color w:val="auto"/>
                <w:sz w:val="24"/>
              </w:rPr>
              <w:t>云南李好纸业有限公司</w:t>
            </w:r>
            <w:r>
              <w:rPr>
                <w:rFonts w:hint="default" w:ascii="Times New Roman" w:hAnsi="Times New Roman" w:eastAsia="宋体" w:cs="Times New Roman"/>
                <w:color w:val="auto"/>
                <w:sz w:val="24"/>
                <w:lang w:val="en-US" w:eastAsia="zh-CN"/>
              </w:rPr>
              <w:t>已拆除了</w:t>
            </w:r>
            <w:r>
              <w:rPr>
                <w:rFonts w:hint="default" w:ascii="Times New Roman" w:hAnsi="Times New Roman" w:eastAsia="宋体" w:cs="Times New Roman"/>
                <w:bCs/>
                <w:color w:val="auto"/>
                <w:sz w:val="24"/>
              </w:rPr>
              <w:t>2台4t/h燃煤蒸汽锅炉</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由于</w:t>
            </w:r>
            <w:r>
              <w:rPr>
                <w:rFonts w:hint="default" w:ascii="Times New Roman" w:hAnsi="Times New Roman" w:eastAsia="宋体" w:cs="Times New Roman"/>
                <w:bCs/>
                <w:color w:val="auto"/>
                <w:sz w:val="24"/>
              </w:rPr>
              <w:t>目前</w:t>
            </w:r>
            <w:r>
              <w:rPr>
                <w:rFonts w:hint="default" w:ascii="Times New Roman" w:hAnsi="Times New Roman" w:eastAsia="宋体" w:cs="Times New Roman"/>
                <w:bCs/>
                <w:color w:val="auto"/>
                <w:sz w:val="24"/>
                <w:lang w:val="en-US" w:eastAsia="zh-CN"/>
              </w:rPr>
              <w:t>市场</w:t>
            </w:r>
            <w:r>
              <w:rPr>
                <w:rFonts w:hint="default" w:ascii="Times New Roman" w:hAnsi="Times New Roman" w:eastAsia="宋体" w:cs="Times New Roman"/>
                <w:bCs/>
                <w:color w:val="auto"/>
                <w:sz w:val="24"/>
              </w:rPr>
              <w:t>不景气，</w:t>
            </w:r>
            <w:r>
              <w:rPr>
                <w:rFonts w:hint="default" w:ascii="Times New Roman" w:hAnsi="Times New Roman" w:eastAsia="宋体" w:cs="Times New Roman"/>
                <w:bCs/>
                <w:color w:val="auto"/>
                <w:sz w:val="24"/>
                <w:lang w:val="en-US" w:eastAsia="zh-CN"/>
              </w:rPr>
              <w:t>目前的产能蒸汽需求量达不到20t/h规模，利用</w:t>
            </w:r>
            <w:r>
              <w:rPr>
                <w:rFonts w:hint="default" w:ascii="Times New Roman" w:hAnsi="Times New Roman" w:eastAsia="宋体" w:cs="Times New Roman"/>
                <w:bCs/>
                <w:color w:val="auto"/>
                <w:sz w:val="24"/>
              </w:rPr>
              <w:t>1台10t/h燃煤蒸汽锅炉</w:t>
            </w:r>
            <w:r>
              <w:rPr>
                <w:rFonts w:hint="default" w:ascii="Times New Roman" w:hAnsi="Times New Roman" w:eastAsia="宋体" w:cs="Times New Roman"/>
                <w:bCs/>
                <w:color w:val="auto"/>
                <w:sz w:val="24"/>
                <w:lang w:val="en-US" w:eastAsia="zh-CN"/>
              </w:rPr>
              <w:t>进行供热已基本能满足生产需求，</w:t>
            </w:r>
            <w:r>
              <w:rPr>
                <w:rFonts w:hint="default" w:ascii="Times New Roman" w:hAnsi="Times New Roman" w:eastAsia="宋体" w:cs="Times New Roman"/>
                <w:bCs/>
                <w:color w:val="auto"/>
                <w:sz w:val="24"/>
              </w:rPr>
              <w:t>20t/h燃煤蒸汽锅炉</w:t>
            </w:r>
            <w:r>
              <w:rPr>
                <w:rFonts w:hint="default" w:ascii="Times New Roman" w:hAnsi="Times New Roman" w:eastAsia="宋体" w:cs="Times New Roman"/>
                <w:bCs/>
                <w:color w:val="auto"/>
                <w:sz w:val="24"/>
                <w:lang w:val="en-US" w:eastAsia="zh-CN"/>
              </w:rPr>
              <w:t>尚未建设。</w:t>
            </w:r>
          </w:p>
          <w:p w14:paraId="74334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lang w:val="en-US" w:eastAsia="zh-CN"/>
              </w:rPr>
              <w:t>为了响应《昆明市空气质量持续改善行动实施方案》提出的积极开展燃煤锅炉关停整合，建设单位</w:t>
            </w:r>
            <w:r>
              <w:rPr>
                <w:rFonts w:hint="default" w:ascii="Times New Roman" w:hAnsi="Times New Roman" w:eastAsia="宋体" w:cs="Times New Roman"/>
                <w:bCs/>
                <w:color w:val="auto"/>
                <w:sz w:val="24"/>
              </w:rPr>
              <w:t>计划采购10</w:t>
            </w:r>
            <w:r>
              <w:rPr>
                <w:rFonts w:hint="default" w:ascii="Times New Roman" w:hAnsi="Times New Roman" w:eastAsia="宋体" w:cs="Times New Roman"/>
                <w:bCs/>
                <w:color w:val="auto"/>
                <w:sz w:val="24"/>
                <w:lang w:val="en-US" w:eastAsia="zh-CN"/>
              </w:rPr>
              <w:t>.5</w:t>
            </w:r>
            <w:r>
              <w:rPr>
                <w:rFonts w:hint="default" w:ascii="Times New Roman" w:hAnsi="Times New Roman" w:eastAsia="宋体" w:cs="Times New Roman"/>
                <w:bCs/>
                <w:color w:val="auto"/>
                <w:sz w:val="24"/>
              </w:rPr>
              <w:t>吨生物质锅炉</w:t>
            </w:r>
            <w:r>
              <w:rPr>
                <w:rFonts w:hint="default" w:ascii="Times New Roman" w:hAnsi="Times New Roman" w:eastAsia="宋体" w:cs="Times New Roman"/>
                <w:bCs/>
                <w:color w:val="auto"/>
                <w:sz w:val="24"/>
                <w:lang w:val="en-US" w:eastAsia="zh-CN"/>
              </w:rPr>
              <w:t>替换目前的</w:t>
            </w:r>
            <w:r>
              <w:rPr>
                <w:rFonts w:hint="default" w:ascii="Times New Roman" w:hAnsi="Times New Roman" w:eastAsia="宋体" w:cs="Times New Roman"/>
                <w:bCs/>
                <w:color w:val="auto"/>
                <w:sz w:val="24"/>
              </w:rPr>
              <w:t>10t/h燃煤蒸汽锅炉进行过渡，待</w:t>
            </w:r>
            <w:r>
              <w:rPr>
                <w:rFonts w:hint="default" w:ascii="Times New Roman" w:hAnsi="Times New Roman" w:eastAsia="宋体" w:cs="Times New Roman"/>
                <w:bCs/>
                <w:color w:val="auto"/>
                <w:sz w:val="24"/>
                <w:lang w:val="en-US" w:eastAsia="zh-CN"/>
              </w:rPr>
              <w:t>建设单位</w:t>
            </w:r>
            <w:r>
              <w:rPr>
                <w:rFonts w:hint="default" w:ascii="Times New Roman" w:hAnsi="Times New Roman" w:eastAsia="宋体" w:cs="Times New Roman"/>
                <w:bCs/>
                <w:color w:val="auto"/>
                <w:sz w:val="24"/>
              </w:rPr>
              <w:t>生意好转，重新安装一台20吨燃煤锅炉</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10.5t生物质锅炉作为备用锅炉</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val="en-US" w:eastAsia="zh-CN"/>
              </w:rPr>
              <w:t>本次项目的建设原有的</w:t>
            </w:r>
            <w:r>
              <w:rPr>
                <w:rFonts w:hint="default" w:ascii="Times New Roman" w:hAnsi="Times New Roman" w:eastAsia="宋体" w:cs="Times New Roman"/>
                <w:color w:val="auto"/>
                <w:sz w:val="24"/>
              </w:rPr>
              <w:t>生产线不变，改建后的锅炉用途不变，依旧是对现有的</w:t>
            </w:r>
            <w:r>
              <w:rPr>
                <w:rFonts w:hint="default" w:ascii="Times New Roman" w:hAnsi="Times New Roman" w:eastAsia="宋体" w:cs="Times New Roman"/>
                <w:bCs/>
                <w:color w:val="auto"/>
                <w:sz w:val="24"/>
              </w:rPr>
              <w:t>生产设备进行供热。本次</w:t>
            </w:r>
            <w:r>
              <w:rPr>
                <w:rFonts w:hint="default" w:ascii="Times New Roman" w:hAnsi="Times New Roman" w:eastAsia="宋体" w:cs="Times New Roman"/>
                <w:color w:val="auto"/>
                <w:sz w:val="24"/>
              </w:rPr>
              <w:t>改建不会改变</w:t>
            </w:r>
            <w:r>
              <w:rPr>
                <w:rFonts w:hint="default" w:ascii="Times New Roman" w:hAnsi="Times New Roman" w:eastAsia="宋体" w:cs="Times New Roman"/>
                <w:bCs/>
                <w:color w:val="auto"/>
                <w:sz w:val="24"/>
              </w:rPr>
              <w:t>现有项目的生产工艺、生产线设备、生产规模及劳动</w:t>
            </w:r>
            <w:r>
              <w:rPr>
                <w:rFonts w:hint="default" w:ascii="Times New Roman" w:hAnsi="Times New Roman" w:eastAsia="宋体" w:cs="Times New Roman"/>
                <w:color w:val="auto"/>
                <w:sz w:val="24"/>
              </w:rPr>
              <w:t>定员。</w:t>
            </w:r>
          </w:p>
          <w:p w14:paraId="07EB99E1">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根据《国民经济行业分类》（GB/T4754-2017），本项目属于D4430热力生产和供应。根据《建设项目环境影响评价分类管理名录》（2021版），项目属于四十一、电力、热力生产和供应业 第91“热力生产和供应工程（包括建设单位自建自用的供热工程）”；使用其他高污染燃料的（高污染燃料指国环规大气〔2017〕2号《高污染燃料目录》中规定的燃料）；需编制环境影响报告表。</w:t>
            </w:r>
          </w:p>
          <w:p w14:paraId="74B572DA">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受</w:t>
            </w:r>
            <w:r>
              <w:rPr>
                <w:rFonts w:hint="default" w:ascii="Times New Roman" w:hAnsi="Times New Roman" w:eastAsia="宋体" w:cs="Times New Roman"/>
                <w:color w:val="auto"/>
                <w:kern w:val="0"/>
                <w:sz w:val="24"/>
              </w:rPr>
              <w:t>云南李好纸业有限公司</w:t>
            </w:r>
            <w:r>
              <w:rPr>
                <w:rFonts w:hint="default" w:ascii="Times New Roman" w:hAnsi="Times New Roman" w:eastAsia="宋体" w:cs="Times New Roman"/>
                <w:color w:val="auto"/>
                <w:sz w:val="24"/>
              </w:rPr>
              <w:t>（建设单位）委托，我单位承担该项目环境影响评价工作。我单位接受委托后，收集调查核实了相关材料，并组织专业人员对项目区域进行现场踏勘，按照环境影响评价法及有关技术导则要求，编制了《</w:t>
            </w:r>
            <w:r>
              <w:rPr>
                <w:rFonts w:hint="default" w:ascii="Times New Roman" w:hAnsi="Times New Roman" w:eastAsia="宋体" w:cs="Times New Roman"/>
                <w:color w:val="auto"/>
                <w:kern w:val="0"/>
                <w:sz w:val="24"/>
                <w:lang w:eastAsia="zh-CN"/>
              </w:rPr>
              <w:t>云南李好纸业有限公司10t/h燃煤锅炉更换为10.5t/h燃生物质锅炉改建项目</w:t>
            </w:r>
            <w:r>
              <w:rPr>
                <w:rFonts w:hint="default" w:ascii="Times New Roman" w:hAnsi="Times New Roman" w:eastAsia="宋体" w:cs="Times New Roman"/>
                <w:color w:val="auto"/>
                <w:sz w:val="24"/>
              </w:rPr>
              <w:t>环境影响报告表》，供建设单位上报审批，作为环境管理的依据。</w:t>
            </w:r>
          </w:p>
          <w:p w14:paraId="183565C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二、建设内容</w:t>
            </w:r>
          </w:p>
          <w:p w14:paraId="15DCA61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（1）项目概况</w:t>
            </w:r>
          </w:p>
          <w:p w14:paraId="261A2F46">
            <w:pPr>
              <w:pStyle w:val="21"/>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rPr>
              <w:t>①项目名称：</w:t>
            </w:r>
            <w:r>
              <w:rPr>
                <w:rFonts w:hint="default" w:ascii="Times New Roman" w:hAnsi="Times New Roman" w:eastAsia="宋体" w:cs="Times New Roman"/>
                <w:bCs/>
                <w:color w:val="auto"/>
                <w:sz w:val="24"/>
                <w:szCs w:val="24"/>
                <w:lang w:eastAsia="zh-CN"/>
              </w:rPr>
              <w:t>云南李好纸业有限公司10t/h燃煤锅炉更换为10.5t/h燃生物质锅炉改建项目</w:t>
            </w:r>
          </w:p>
          <w:p w14:paraId="4E94C051">
            <w:pPr>
              <w:pStyle w:val="21"/>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②建设单位：云南李好纸业有限公司</w:t>
            </w:r>
          </w:p>
          <w:p w14:paraId="70D6813A">
            <w:pPr>
              <w:pStyle w:val="21"/>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③建设性质：改建</w:t>
            </w:r>
          </w:p>
          <w:p w14:paraId="5BE952F6">
            <w:pPr>
              <w:pStyle w:val="21"/>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④建设地点：云南省昆明市宜良县狗街镇狗街村委会旱滩村</w:t>
            </w:r>
          </w:p>
          <w:p w14:paraId="5D1CC55B">
            <w:pPr>
              <w:pStyle w:val="21"/>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rPr>
              <w:t>⑤建设内容：将现有1台10t/h燃煤蒸汽锅炉</w:t>
            </w:r>
            <w:r>
              <w:rPr>
                <w:rFonts w:hint="default" w:ascii="Times New Roman" w:hAnsi="Times New Roman" w:eastAsia="宋体" w:cs="Times New Roman"/>
                <w:bCs/>
                <w:color w:val="auto"/>
                <w:sz w:val="24"/>
                <w:szCs w:val="24"/>
                <w:lang w:val="en-US" w:eastAsia="zh-CN"/>
              </w:rPr>
              <w:t>替换为10.5t/h生物质锅炉供热</w:t>
            </w:r>
          </w:p>
          <w:p w14:paraId="74473091">
            <w:pPr>
              <w:pStyle w:val="21"/>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⑥地理位置：东经103°08'13.571"，北纬24°47'47.784"</w:t>
            </w:r>
          </w:p>
          <w:p w14:paraId="666562FF">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（2）工程组成</w:t>
            </w:r>
          </w:p>
          <w:p w14:paraId="59BCCC4E">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color w:val="auto"/>
                <w:szCs w:val="21"/>
              </w:rPr>
            </w:pPr>
            <w:r>
              <w:rPr>
                <w:rFonts w:hint="default" w:ascii="Times New Roman" w:hAnsi="Times New Roman" w:eastAsia="宋体" w:cs="Times New Roman"/>
                <w:color w:val="auto"/>
                <w:sz w:val="24"/>
              </w:rPr>
              <w:t>本次建设内容为拟</w:t>
            </w:r>
            <w:r>
              <w:rPr>
                <w:rFonts w:hint="default" w:ascii="Times New Roman" w:hAnsi="Times New Roman" w:eastAsia="宋体" w:cs="Times New Roman"/>
                <w:bCs/>
                <w:color w:val="auto"/>
                <w:sz w:val="24"/>
              </w:rPr>
              <w:t>将</w:t>
            </w:r>
            <w:r>
              <w:rPr>
                <w:rFonts w:hint="default"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rPr>
              <w:t>台</w:t>
            </w:r>
            <w:r>
              <w:rPr>
                <w:rFonts w:hint="default" w:ascii="Times New Roman" w:hAnsi="Times New Roman" w:eastAsia="宋体" w:cs="Times New Roman"/>
                <w:bCs/>
                <w:color w:val="auto"/>
                <w:sz w:val="24"/>
                <w:lang w:val="en-US" w:eastAsia="zh-CN"/>
              </w:rPr>
              <w:t>10</w:t>
            </w:r>
            <w:r>
              <w:rPr>
                <w:rFonts w:hint="default" w:ascii="Times New Roman" w:hAnsi="Times New Roman" w:eastAsia="宋体" w:cs="Times New Roman"/>
                <w:bCs/>
                <w:color w:val="auto"/>
                <w:sz w:val="24"/>
              </w:rPr>
              <w:t>t/h燃煤蒸汽锅炉改为1台</w:t>
            </w:r>
            <w:r>
              <w:rPr>
                <w:rFonts w:hint="default"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rPr>
              <w:t>0</w:t>
            </w:r>
            <w:r>
              <w:rPr>
                <w:rFonts w:hint="default" w:ascii="Times New Roman" w:hAnsi="Times New Roman" w:eastAsia="宋体" w:cs="Times New Roman"/>
                <w:bCs/>
                <w:color w:val="auto"/>
                <w:sz w:val="24"/>
                <w:lang w:val="en-US" w:eastAsia="zh-CN"/>
              </w:rPr>
              <w:t>.5</w:t>
            </w:r>
            <w:r>
              <w:rPr>
                <w:rFonts w:hint="default" w:ascii="Times New Roman" w:hAnsi="Times New Roman" w:eastAsia="宋体" w:cs="Times New Roman"/>
                <w:bCs/>
                <w:color w:val="auto"/>
                <w:sz w:val="24"/>
              </w:rPr>
              <w:t>t/h</w:t>
            </w:r>
            <w:r>
              <w:rPr>
                <w:rFonts w:hint="default" w:ascii="Times New Roman" w:hAnsi="Times New Roman" w:eastAsia="宋体" w:cs="Times New Roman"/>
                <w:bCs/>
                <w:color w:val="auto"/>
                <w:sz w:val="24"/>
                <w:lang w:val="en-US" w:eastAsia="zh-CN"/>
              </w:rPr>
              <w:t>生物质</w:t>
            </w:r>
            <w:r>
              <w:rPr>
                <w:rFonts w:hint="default" w:ascii="Times New Roman" w:hAnsi="Times New Roman" w:eastAsia="宋体" w:cs="Times New Roman"/>
                <w:bCs/>
                <w:color w:val="auto"/>
                <w:sz w:val="24"/>
              </w:rPr>
              <w:t>锅炉进行供热</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其他辅助设施依托现有</w:t>
            </w:r>
            <w:r>
              <w:rPr>
                <w:rFonts w:hint="default" w:ascii="Times New Roman" w:hAnsi="Times New Roman" w:eastAsia="宋体" w:cs="Times New Roman"/>
                <w:color w:val="auto"/>
                <w:sz w:val="24"/>
                <w:lang w:val="en-US" w:eastAsia="zh-CN"/>
              </w:rPr>
              <w:t>工程</w:t>
            </w:r>
            <w:r>
              <w:rPr>
                <w:rFonts w:hint="default" w:ascii="Times New Roman" w:hAnsi="Times New Roman" w:eastAsia="宋体" w:cs="Times New Roman"/>
                <w:color w:val="auto"/>
                <w:sz w:val="24"/>
              </w:rPr>
              <w:t>。</w:t>
            </w:r>
            <w:r>
              <w:rPr>
                <w:rFonts w:hint="default" w:ascii="Times New Roman" w:hAnsi="Times New Roman" w:eastAsia="宋体" w:cs="Times New Roman"/>
                <w:bCs/>
                <w:color w:val="auto"/>
                <w:sz w:val="24"/>
              </w:rPr>
              <w:t>本次改建项目主体工程、公用工程、环保工程及其他附属设施建设情况</w:t>
            </w:r>
            <w:r>
              <w:rPr>
                <w:rFonts w:hint="default" w:ascii="Times New Roman" w:hAnsi="Times New Roman" w:eastAsia="宋体" w:cs="Times New Roman"/>
                <w:color w:val="auto"/>
                <w:sz w:val="24"/>
              </w:rPr>
              <w:t>如下</w:t>
            </w:r>
            <w:r>
              <w:rPr>
                <w:rFonts w:hint="default" w:ascii="Times New Roman" w:hAnsi="Times New Roman" w:eastAsia="宋体" w:cs="Times New Roman"/>
                <w:bCs/>
                <w:color w:val="auto"/>
                <w:sz w:val="24"/>
              </w:rPr>
              <w:t>。</w:t>
            </w:r>
          </w:p>
          <w:p w14:paraId="2313A9BC">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表2.2-1   项目工程组成及依托关系表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69"/>
              <w:gridCol w:w="4521"/>
              <w:gridCol w:w="1884"/>
            </w:tblGrid>
            <w:tr w14:paraId="4138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39" w:type="pct"/>
                  <w:noWrap w:val="0"/>
                  <w:vAlign w:val="center"/>
                </w:tcPr>
                <w:p w14:paraId="51FA895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类别</w:t>
                  </w:r>
                </w:p>
              </w:tc>
              <w:tc>
                <w:tcPr>
                  <w:tcW w:w="754" w:type="pct"/>
                  <w:noWrap w:val="0"/>
                  <w:vAlign w:val="center"/>
                </w:tcPr>
                <w:p w14:paraId="56B3CED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工程名称</w:t>
                  </w:r>
                </w:p>
              </w:tc>
              <w:tc>
                <w:tcPr>
                  <w:tcW w:w="2686" w:type="pct"/>
                  <w:noWrap w:val="0"/>
                  <w:vAlign w:val="center"/>
                </w:tcPr>
                <w:p w14:paraId="097E873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工程内容</w:t>
                  </w:r>
                </w:p>
              </w:tc>
              <w:tc>
                <w:tcPr>
                  <w:tcW w:w="1119" w:type="pct"/>
                  <w:noWrap w:val="0"/>
                  <w:vAlign w:val="center"/>
                </w:tcPr>
                <w:p w14:paraId="29BB7D1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备注</w:t>
                  </w:r>
                </w:p>
              </w:tc>
            </w:tr>
            <w:tr w14:paraId="14A9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pct"/>
                  <w:noWrap w:val="0"/>
                  <w:vAlign w:val="center"/>
                </w:tcPr>
                <w:p w14:paraId="494193C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主体工程</w:t>
                  </w:r>
                </w:p>
              </w:tc>
              <w:tc>
                <w:tcPr>
                  <w:tcW w:w="754" w:type="pct"/>
                  <w:noWrap w:val="0"/>
                  <w:vAlign w:val="center"/>
                </w:tcPr>
                <w:p w14:paraId="5840ED7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锅炉房</w:t>
                  </w:r>
                </w:p>
              </w:tc>
              <w:tc>
                <w:tcPr>
                  <w:tcW w:w="2686" w:type="pct"/>
                  <w:noWrap w:val="0"/>
                  <w:vAlign w:val="center"/>
                </w:tcPr>
                <w:p w14:paraId="5BF2712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1间，总</w:t>
                  </w:r>
                  <w:r>
                    <w:rPr>
                      <w:rFonts w:hint="default" w:ascii="Times New Roman" w:hAnsi="Times New Roman" w:eastAsia="宋体" w:cs="Times New Roman"/>
                      <w:color w:val="auto"/>
                      <w:szCs w:val="21"/>
                    </w:rPr>
                    <w:t>占地面积900m</w:t>
                  </w:r>
                  <w:r>
                    <w:rPr>
                      <w:rFonts w:hint="default" w:ascii="Times New Roman" w:hAnsi="Times New Roman" w:eastAsia="宋体" w:cs="Times New Roman"/>
                      <w:color w:val="auto"/>
                      <w:szCs w:val="21"/>
                      <w:vertAlign w:val="superscript"/>
                    </w:rPr>
                    <w:t>2</w:t>
                  </w:r>
                  <w:r>
                    <w:rPr>
                      <w:rFonts w:hint="default" w:ascii="Times New Roman" w:hAnsi="Times New Roman" w:eastAsia="宋体" w:cs="Times New Roman"/>
                      <w:color w:val="auto"/>
                      <w:szCs w:val="21"/>
                    </w:rPr>
                    <w:t>。拟将现有1台10t/h燃煤蒸汽锅炉</w:t>
                  </w:r>
                  <w:r>
                    <w:rPr>
                      <w:rFonts w:hint="default" w:ascii="Times New Roman" w:hAnsi="Times New Roman" w:eastAsia="宋体" w:cs="Times New Roman"/>
                      <w:color w:val="auto"/>
                      <w:szCs w:val="21"/>
                      <w:lang w:val="en-US" w:eastAsia="zh-CN"/>
                    </w:rPr>
                    <w:t>替换为1台10.5t/h生物质锅炉</w:t>
                  </w:r>
                  <w:r>
                    <w:rPr>
                      <w:rFonts w:hint="default" w:ascii="Times New Roman" w:hAnsi="Times New Roman" w:eastAsia="宋体" w:cs="Times New Roman"/>
                      <w:color w:val="auto"/>
                      <w:szCs w:val="21"/>
                    </w:rPr>
                    <w:t>。</w:t>
                  </w:r>
                </w:p>
              </w:tc>
              <w:tc>
                <w:tcPr>
                  <w:tcW w:w="1119" w:type="pct"/>
                  <w:noWrap w:val="0"/>
                  <w:vAlign w:val="center"/>
                </w:tcPr>
                <w:p w14:paraId="23F1068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新建</w:t>
                  </w:r>
                </w:p>
              </w:tc>
            </w:tr>
            <w:tr w14:paraId="4D81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39" w:type="pct"/>
                  <w:vMerge w:val="restart"/>
                  <w:noWrap w:val="0"/>
                  <w:vAlign w:val="center"/>
                </w:tcPr>
                <w:p w14:paraId="19975F5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辅助工程</w:t>
                  </w:r>
                </w:p>
              </w:tc>
              <w:tc>
                <w:tcPr>
                  <w:tcW w:w="754" w:type="pct"/>
                  <w:noWrap w:val="0"/>
                  <w:vAlign w:val="center"/>
                </w:tcPr>
                <w:p w14:paraId="1660F5A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储水罐</w:t>
                  </w:r>
                </w:p>
              </w:tc>
              <w:tc>
                <w:tcPr>
                  <w:tcW w:w="2686" w:type="pct"/>
                  <w:noWrap w:val="0"/>
                  <w:vAlign w:val="center"/>
                </w:tcPr>
                <w:p w14:paraId="007FE1C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rPr>
                    <w:t>2个，位于锅炉房内，一个为冷凝水箱，容积为15m³，一个为软水箱，容积为15m³。</w:t>
                  </w:r>
                </w:p>
              </w:tc>
              <w:tc>
                <w:tcPr>
                  <w:tcW w:w="1119" w:type="pct"/>
                  <w:noWrap w:val="0"/>
                  <w:vAlign w:val="center"/>
                </w:tcPr>
                <w:p w14:paraId="1D725BB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依托</w:t>
                  </w:r>
                </w:p>
              </w:tc>
            </w:tr>
            <w:tr w14:paraId="191D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39" w:type="pct"/>
                  <w:vMerge w:val="continue"/>
                  <w:noWrap w:val="0"/>
                  <w:vAlign w:val="center"/>
                </w:tcPr>
                <w:p w14:paraId="5CF773C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754" w:type="pct"/>
                  <w:noWrap w:val="0"/>
                  <w:vAlign w:val="center"/>
                </w:tcPr>
                <w:p w14:paraId="10CFE712">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rPr>
                    <w:t>软水制备器</w:t>
                  </w:r>
                </w:p>
              </w:tc>
              <w:tc>
                <w:tcPr>
                  <w:tcW w:w="2686" w:type="pct"/>
                  <w:noWrap w:val="0"/>
                  <w:vAlign w:val="center"/>
                </w:tcPr>
                <w:p w14:paraId="00BD9CC7">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套，位于锅炉房</w:t>
                  </w:r>
                  <w:r>
                    <w:rPr>
                      <w:rFonts w:hint="default" w:ascii="Times New Roman" w:hAnsi="Times New Roman" w:eastAsia="宋体" w:cs="Times New Roman"/>
                      <w:color w:val="auto"/>
                      <w:szCs w:val="21"/>
                      <w:lang w:val="en-US" w:eastAsia="zh-CN"/>
                    </w:rPr>
                    <w:t>旁</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 w:val="21"/>
                      <w:szCs w:val="21"/>
                      <w:lang w:val="en-US" w:eastAsia="zh-CN"/>
                    </w:rPr>
                    <w:t>软水工艺为砂滤+离子交换，</w:t>
                  </w:r>
                  <w:r>
                    <w:rPr>
                      <w:rFonts w:hint="default" w:ascii="Times New Roman" w:hAnsi="Times New Roman" w:eastAsia="宋体" w:cs="Times New Roman"/>
                      <w:color w:val="auto"/>
                      <w:szCs w:val="21"/>
                    </w:rPr>
                    <w:t>水处理量为20m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/h</w:t>
                  </w:r>
                  <w:r>
                    <w:rPr>
                      <w:rFonts w:hint="default" w:ascii="Times New Roman" w:hAnsi="Times New Roman" w:eastAsia="宋体" w:cs="Times New Roman"/>
                      <w:color w:val="auto"/>
                      <w:szCs w:val="21"/>
                      <w:lang w:eastAsia="zh-CN"/>
                    </w:rPr>
                    <w:t>。</w:t>
                  </w:r>
                </w:p>
              </w:tc>
              <w:tc>
                <w:tcPr>
                  <w:tcW w:w="1119" w:type="pct"/>
                  <w:noWrap w:val="0"/>
                  <w:vAlign w:val="center"/>
                </w:tcPr>
                <w:p w14:paraId="582BACC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依托</w:t>
                  </w:r>
                </w:p>
              </w:tc>
            </w:tr>
            <w:tr w14:paraId="5D7E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9" w:type="pct"/>
                  <w:vMerge w:val="restart"/>
                  <w:noWrap w:val="0"/>
                  <w:vAlign w:val="center"/>
                </w:tcPr>
                <w:p w14:paraId="4B2C0B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公用工程</w:t>
                  </w:r>
                </w:p>
              </w:tc>
              <w:tc>
                <w:tcPr>
                  <w:tcW w:w="754" w:type="pct"/>
                  <w:noWrap w:val="0"/>
                  <w:vAlign w:val="center"/>
                </w:tcPr>
                <w:p w14:paraId="586D5C5B">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供电工程</w:t>
                  </w:r>
                </w:p>
              </w:tc>
              <w:tc>
                <w:tcPr>
                  <w:tcW w:w="2686" w:type="pct"/>
                  <w:noWrap w:val="0"/>
                  <w:vAlign w:val="center"/>
                </w:tcPr>
                <w:p w14:paraId="130C5F24">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项目用电由电网公司统一供给。</w:t>
                  </w:r>
                </w:p>
              </w:tc>
              <w:tc>
                <w:tcPr>
                  <w:tcW w:w="1119" w:type="pct"/>
                  <w:noWrap w:val="0"/>
                  <w:vAlign w:val="center"/>
                </w:tcPr>
                <w:p w14:paraId="6605B96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依托已有</w:t>
                  </w:r>
                </w:p>
              </w:tc>
            </w:tr>
            <w:tr w14:paraId="5A30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39" w:type="pct"/>
                  <w:vMerge w:val="continue"/>
                  <w:noWrap w:val="0"/>
                  <w:vAlign w:val="center"/>
                </w:tcPr>
                <w:p w14:paraId="14070E7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754" w:type="pct"/>
                  <w:noWrap w:val="0"/>
                  <w:vAlign w:val="center"/>
                </w:tcPr>
                <w:p w14:paraId="49475DBA">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供水工程</w:t>
                  </w:r>
                </w:p>
              </w:tc>
              <w:tc>
                <w:tcPr>
                  <w:tcW w:w="2686" w:type="pct"/>
                  <w:noWrap w:val="0"/>
                  <w:vAlign w:val="center"/>
                </w:tcPr>
                <w:p w14:paraId="42876FB8">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本次改建用水由</w:t>
                  </w:r>
                  <w:r>
                    <w:rPr>
                      <w:rFonts w:hint="default" w:ascii="Times New Roman" w:hAnsi="Times New Roman" w:eastAsia="宋体" w:cs="Times New Roman"/>
                      <w:color w:val="auto"/>
                      <w:szCs w:val="21"/>
                    </w:rPr>
                    <w:t>狗街镇自来水供水管道提供。</w:t>
                  </w:r>
                </w:p>
              </w:tc>
              <w:tc>
                <w:tcPr>
                  <w:tcW w:w="1119" w:type="pct"/>
                  <w:noWrap w:val="0"/>
                  <w:vAlign w:val="center"/>
                </w:tcPr>
                <w:p w14:paraId="6A66A9E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依托已有</w:t>
                  </w:r>
                </w:p>
              </w:tc>
            </w:tr>
            <w:tr w14:paraId="3EF4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vMerge w:val="continue"/>
                  <w:noWrap w:val="0"/>
                  <w:vAlign w:val="center"/>
                </w:tcPr>
                <w:p w14:paraId="158D639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754" w:type="pct"/>
                  <w:noWrap w:val="0"/>
                  <w:vAlign w:val="center"/>
                </w:tcPr>
                <w:p w14:paraId="41B7E91C">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排水工程</w:t>
                  </w:r>
                </w:p>
              </w:tc>
              <w:tc>
                <w:tcPr>
                  <w:tcW w:w="2686" w:type="pct"/>
                  <w:noWrap w:val="0"/>
                  <w:vAlign w:val="center"/>
                </w:tcPr>
                <w:p w14:paraId="7EF39810">
                  <w:pPr>
                    <w:keepNext w:val="0"/>
                    <w:keepLines w:val="0"/>
                    <w:suppressLineNumbers w:val="0"/>
                    <w:autoSpaceDE w:val="0"/>
                    <w:autoSpaceDN w:val="0"/>
                    <w:spacing w:before="0" w:beforeAutospacing="0" w:after="0" w:afterAutospacing="0"/>
                    <w:ind w:left="0" w:right="0"/>
                    <w:contextualSpacing/>
                    <w:rPr>
                      <w:rFonts w:hint="default" w:ascii="Times New Roman" w:hAnsi="Times New Roman" w:eastAsia="宋体" w:cs="Times New Roman"/>
                      <w:color w:val="auto"/>
                      <w:szCs w:val="21"/>
                    </w:rPr>
                  </w:pPr>
                  <w:r>
                    <w:rPr>
                      <w:rFonts w:hint="default" w:ascii="Times New Roman" w:hAnsi="Times New Roman" w:eastAsia="宋体" w:cs="Times New Roman"/>
                      <w:color w:val="auto"/>
                    </w:rPr>
                    <w:t>①采用雨污分流制；</w:t>
                  </w:r>
                </w:p>
                <w:p w14:paraId="780ED6BA">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②锅炉清净水</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树脂再生沖洗废水进入厂区综合污水处理站处理后</w:t>
                  </w:r>
                  <w:r>
                    <w:rPr>
                      <w:rFonts w:hint="default" w:ascii="Times New Roman" w:hAnsi="Times New Roman" w:eastAsia="宋体" w:cs="Times New Roman"/>
                      <w:color w:val="auto"/>
                      <w:lang w:val="en-US" w:eastAsia="zh-CN"/>
                    </w:rPr>
                    <w:t>回用生产</w:t>
                  </w:r>
                  <w:r>
                    <w:rPr>
                      <w:rFonts w:hint="default" w:ascii="Times New Roman" w:hAnsi="Times New Roman" w:eastAsia="宋体" w:cs="Times New Roman"/>
                      <w:color w:val="auto"/>
                    </w:rPr>
                    <w:t>；</w:t>
                  </w:r>
                </w:p>
                <w:p w14:paraId="5D5E6359">
                  <w:pPr>
                    <w:pStyle w:val="90"/>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③</w:t>
                  </w:r>
                  <w:r>
                    <w:rPr>
                      <w:rFonts w:hint="default" w:ascii="Times New Roman" w:hAnsi="Times New Roman" w:eastAsia="宋体" w:cs="Times New Roman"/>
                      <w:color w:val="auto"/>
                      <w:lang w:val="en-US" w:eastAsia="zh-CN"/>
                    </w:rPr>
                    <w:t>文丘里碱液洗涤水循环使用，定期补充新鲜水</w:t>
                  </w:r>
                  <w:r>
                    <w:rPr>
                      <w:rFonts w:hint="default" w:ascii="Times New Roman" w:hAnsi="Times New Roman" w:eastAsia="宋体" w:cs="Times New Roman"/>
                      <w:color w:val="auto"/>
                    </w:rPr>
                    <w:t>，不外排。</w:t>
                  </w:r>
                </w:p>
              </w:tc>
              <w:tc>
                <w:tcPr>
                  <w:tcW w:w="1119" w:type="pct"/>
                  <w:noWrap w:val="0"/>
                  <w:vAlign w:val="center"/>
                </w:tcPr>
                <w:p w14:paraId="73B60D7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现有项目设置1个厂区综合污水处理站</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本次改建</w:t>
                  </w:r>
                  <w:r>
                    <w:rPr>
                      <w:rFonts w:hint="default" w:ascii="Times New Roman" w:hAnsi="Times New Roman" w:eastAsia="宋体" w:cs="Times New Roman"/>
                      <w:color w:val="auto"/>
                      <w:lang w:val="en-US" w:eastAsia="zh-CN"/>
                    </w:rPr>
                    <w:t>依托</w:t>
                  </w:r>
                  <w:r>
                    <w:rPr>
                      <w:rFonts w:hint="default" w:ascii="Times New Roman" w:hAnsi="Times New Roman" w:eastAsia="宋体" w:cs="Times New Roman"/>
                      <w:color w:val="auto"/>
                    </w:rPr>
                    <w:t>现有污水处理</w:t>
                  </w:r>
                  <w:r>
                    <w:rPr>
                      <w:rFonts w:hint="default" w:ascii="Times New Roman" w:hAnsi="Times New Roman" w:eastAsia="宋体" w:cs="Times New Roman"/>
                      <w:color w:val="auto"/>
                      <w:lang w:val="en-US" w:eastAsia="zh-CN"/>
                    </w:rPr>
                    <w:t>站</w:t>
                  </w:r>
                  <w:r>
                    <w:rPr>
                      <w:rFonts w:hint="default" w:ascii="Times New Roman" w:hAnsi="Times New Roman" w:eastAsia="宋体" w:cs="Times New Roman"/>
                      <w:color w:val="auto"/>
                    </w:rPr>
                    <w:t>。</w:t>
                  </w:r>
                </w:p>
              </w:tc>
            </w:tr>
            <w:tr w14:paraId="17EC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restart"/>
                  <w:noWrap w:val="0"/>
                  <w:vAlign w:val="center"/>
                </w:tcPr>
                <w:p w14:paraId="4CAF138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环保工程</w:t>
                  </w:r>
                </w:p>
              </w:tc>
              <w:tc>
                <w:tcPr>
                  <w:tcW w:w="754" w:type="pct"/>
                  <w:noWrap w:val="0"/>
                  <w:vAlign w:val="center"/>
                </w:tcPr>
                <w:p w14:paraId="497C6221">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废气治理</w:t>
                  </w:r>
                </w:p>
              </w:tc>
              <w:tc>
                <w:tcPr>
                  <w:tcW w:w="2686" w:type="pct"/>
                  <w:noWrap w:val="0"/>
                  <w:vAlign w:val="center"/>
                </w:tcPr>
                <w:p w14:paraId="3F1491CF">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现有燃煤</w:t>
                  </w:r>
                  <w:r>
                    <w:rPr>
                      <w:rFonts w:hint="default" w:ascii="Times New Roman" w:hAnsi="Times New Roman" w:eastAsia="宋体" w:cs="Times New Roman"/>
                      <w:color w:val="auto"/>
                      <w:szCs w:val="21"/>
                    </w:rPr>
                    <w:t>锅炉废气经一套</w:t>
                  </w:r>
                  <w:r>
                    <w:rPr>
                      <w:rFonts w:hint="default" w:ascii="Times New Roman" w:hAnsi="Times New Roman" w:eastAsia="宋体" w:cs="Times New Roman"/>
                      <w:color w:val="auto"/>
                      <w:szCs w:val="21"/>
                      <w:lang w:val="en-US" w:eastAsia="zh-CN"/>
                    </w:rPr>
                    <w:t>双碱法脱硫脱尘</w:t>
                  </w:r>
                  <w:r>
                    <w:rPr>
                      <w:rFonts w:hint="default" w:ascii="Times New Roman" w:hAnsi="Times New Roman" w:eastAsia="宋体" w:cs="Times New Roman"/>
                      <w:color w:val="auto"/>
                      <w:szCs w:val="21"/>
                    </w:rPr>
                    <w:t>装置+4</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m高烟囱排放；</w:t>
                  </w:r>
                  <w:r>
                    <w:rPr>
                      <w:rFonts w:hint="default" w:ascii="Times New Roman" w:hAnsi="Times New Roman" w:eastAsia="宋体" w:cs="Times New Roman"/>
                      <w:color w:val="auto"/>
                      <w:szCs w:val="21"/>
                      <w:lang w:val="en-US" w:eastAsia="zh-CN"/>
                    </w:rPr>
                    <w:t>根据《昆明市空气质量持续改善行动实施方案》-（十八）：生物质锅炉采用专用锅炉，配套高效除尘设施，禁止掺烧煤炭、生活垃圾等其他物料。本次环评提出改建后的生物质锅炉废气治理设施为袋式除尘处理后引入一根40m高排气筒（现有）排放；双碱法脱硫脱尘保留给20t燃煤锅炉使用。</w:t>
                  </w:r>
                </w:p>
              </w:tc>
              <w:tc>
                <w:tcPr>
                  <w:tcW w:w="1119" w:type="pct"/>
                  <w:noWrap w:val="0"/>
                  <w:vAlign w:val="center"/>
                </w:tcPr>
                <w:p w14:paraId="1C7F494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锅炉废气治理设施为布袋除尘器+40m</w:t>
                  </w:r>
                  <w:r>
                    <w:rPr>
                      <w:rFonts w:hint="default" w:ascii="Times New Roman" w:hAnsi="Times New Roman" w:eastAsia="宋体" w:cs="Times New Roman"/>
                      <w:color w:val="auto"/>
                      <w:szCs w:val="21"/>
                    </w:rPr>
                    <w:t>高烟囱排放</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新建20t/h燃煤锅炉后排气筒高度须改为45m。</w:t>
                  </w:r>
                </w:p>
              </w:tc>
            </w:tr>
            <w:tr w14:paraId="4F0A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noWrap w:val="0"/>
                  <w:vAlign w:val="center"/>
                </w:tcPr>
                <w:p w14:paraId="26EE064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754" w:type="pct"/>
                  <w:noWrap w:val="0"/>
                  <w:vAlign w:val="center"/>
                </w:tcPr>
                <w:p w14:paraId="5840555F">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废水治理</w:t>
                  </w:r>
                </w:p>
              </w:tc>
              <w:tc>
                <w:tcPr>
                  <w:tcW w:w="4519" w:type="dxa"/>
                  <w:noWrap w:val="0"/>
                  <w:vAlign w:val="center"/>
                </w:tcPr>
                <w:p w14:paraId="5B6F303F">
                  <w:pPr>
                    <w:keepNext w:val="0"/>
                    <w:keepLines w:val="0"/>
                    <w:suppressLineNumbers w:val="0"/>
                    <w:autoSpaceDE w:val="0"/>
                    <w:autoSpaceDN w:val="0"/>
                    <w:spacing w:before="0" w:beforeAutospacing="0" w:after="0" w:afterAutospacing="0"/>
                    <w:ind w:left="0" w:right="0"/>
                    <w:contextualSpacing/>
                    <w:rPr>
                      <w:rFonts w:hint="default" w:ascii="Times New Roman" w:hAnsi="Times New Roman" w:eastAsia="宋体" w:cs="Times New Roman"/>
                      <w:color w:val="auto"/>
                      <w:szCs w:val="21"/>
                    </w:rPr>
                  </w:pPr>
                  <w:r>
                    <w:rPr>
                      <w:rFonts w:hint="default" w:ascii="Times New Roman" w:hAnsi="Times New Roman" w:eastAsia="宋体" w:cs="Times New Roman"/>
                      <w:color w:val="auto"/>
                    </w:rPr>
                    <w:t>①采用雨污分流制；</w:t>
                  </w:r>
                </w:p>
                <w:p w14:paraId="263574CB">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②锅炉清净水</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树脂再生沖洗废水进入厂区综合污水处理站处理后</w:t>
                  </w:r>
                  <w:r>
                    <w:rPr>
                      <w:rFonts w:hint="default" w:ascii="Times New Roman" w:hAnsi="Times New Roman" w:eastAsia="宋体" w:cs="Times New Roman"/>
                      <w:color w:val="auto"/>
                      <w:lang w:val="en-US" w:eastAsia="zh-CN"/>
                    </w:rPr>
                    <w:t>回用生产</w:t>
                  </w:r>
                  <w:r>
                    <w:rPr>
                      <w:rFonts w:hint="default" w:ascii="Times New Roman" w:hAnsi="Times New Roman" w:eastAsia="宋体" w:cs="Times New Roman"/>
                      <w:color w:val="auto"/>
                    </w:rPr>
                    <w:t>；</w:t>
                  </w:r>
                </w:p>
              </w:tc>
              <w:tc>
                <w:tcPr>
                  <w:tcW w:w="1883" w:type="dxa"/>
                  <w:noWrap w:val="0"/>
                  <w:vAlign w:val="center"/>
                </w:tcPr>
                <w:p w14:paraId="2662A12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现有项目设置1个厂区综合污水处理站</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本次改建</w:t>
                  </w:r>
                  <w:r>
                    <w:rPr>
                      <w:rFonts w:hint="default" w:ascii="Times New Roman" w:hAnsi="Times New Roman" w:eastAsia="宋体" w:cs="Times New Roman"/>
                      <w:color w:val="auto"/>
                      <w:lang w:val="en-US" w:eastAsia="zh-CN"/>
                    </w:rPr>
                    <w:t>依托</w:t>
                  </w:r>
                  <w:r>
                    <w:rPr>
                      <w:rFonts w:hint="default" w:ascii="Times New Roman" w:hAnsi="Times New Roman" w:eastAsia="宋体" w:cs="Times New Roman"/>
                      <w:color w:val="auto"/>
                    </w:rPr>
                    <w:t>现有污水处理</w:t>
                  </w:r>
                  <w:r>
                    <w:rPr>
                      <w:rFonts w:hint="default" w:ascii="Times New Roman" w:hAnsi="Times New Roman" w:eastAsia="宋体" w:cs="Times New Roman"/>
                      <w:color w:val="auto"/>
                      <w:lang w:val="en-US" w:eastAsia="zh-CN"/>
                    </w:rPr>
                    <w:t>站</w:t>
                  </w:r>
                  <w:r>
                    <w:rPr>
                      <w:rFonts w:hint="default" w:ascii="Times New Roman" w:hAnsi="Times New Roman" w:eastAsia="宋体" w:cs="Times New Roman"/>
                      <w:color w:val="auto"/>
                    </w:rPr>
                    <w:t>。</w:t>
                  </w:r>
                </w:p>
              </w:tc>
            </w:tr>
            <w:tr w14:paraId="512F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noWrap w:val="0"/>
                  <w:vAlign w:val="center"/>
                </w:tcPr>
                <w:p w14:paraId="411E7D6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754" w:type="pct"/>
                  <w:noWrap w:val="0"/>
                  <w:vAlign w:val="center"/>
                </w:tcPr>
                <w:p w14:paraId="7D3AABAE">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噪声治理</w:t>
                  </w:r>
                </w:p>
              </w:tc>
              <w:tc>
                <w:tcPr>
                  <w:tcW w:w="2686" w:type="pct"/>
                  <w:noWrap w:val="0"/>
                  <w:vAlign w:val="center"/>
                </w:tcPr>
                <w:p w14:paraId="3AE0D19E">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合理安排作业及运输时间；绿化降噪；距离衰减；厂房隔音；</w:t>
                  </w:r>
                </w:p>
              </w:tc>
              <w:tc>
                <w:tcPr>
                  <w:tcW w:w="1119" w:type="pct"/>
                  <w:noWrap w:val="0"/>
                  <w:vAlign w:val="center"/>
                </w:tcPr>
                <w:p w14:paraId="05DA1BA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新建</w:t>
                  </w:r>
                </w:p>
              </w:tc>
            </w:tr>
            <w:tr w14:paraId="540F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39" w:type="pct"/>
                  <w:vMerge w:val="continue"/>
                  <w:noWrap w:val="0"/>
                  <w:vAlign w:val="center"/>
                </w:tcPr>
                <w:p w14:paraId="446E98C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754" w:type="pct"/>
                  <w:noWrap w:val="0"/>
                  <w:vAlign w:val="center"/>
                </w:tcPr>
                <w:p w14:paraId="4AEE5D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固废处置</w:t>
                  </w:r>
                </w:p>
              </w:tc>
              <w:tc>
                <w:tcPr>
                  <w:tcW w:w="2686" w:type="pct"/>
                  <w:noWrap w:val="0"/>
                  <w:vAlign w:val="center"/>
                </w:tcPr>
                <w:p w14:paraId="1EE2D647">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锅炉灰渣、除尘灰渣</w:t>
                  </w:r>
                  <w:r>
                    <w:rPr>
                      <w:rFonts w:hint="default" w:ascii="Times New Roman" w:hAnsi="Times New Roman" w:eastAsia="宋体" w:cs="Times New Roman"/>
                      <w:color w:val="auto"/>
                      <w:szCs w:val="21"/>
                      <w:lang w:val="en-US" w:eastAsia="zh-CN"/>
                    </w:rPr>
                    <w:t>及</w:t>
                  </w:r>
                  <w:r>
                    <w:rPr>
                      <w:rFonts w:hint="default" w:ascii="Times New Roman" w:hAnsi="Times New Roman" w:eastAsia="宋体" w:cs="Times New Roman"/>
                      <w:color w:val="auto"/>
                      <w:szCs w:val="21"/>
                    </w:rPr>
                    <w:t>废离子树脂外售给</w:t>
                  </w:r>
                  <w:r>
                    <w:rPr>
                      <w:rFonts w:hint="default" w:ascii="Times New Roman" w:hAnsi="Times New Roman" w:eastAsia="宋体" w:cs="Times New Roman"/>
                      <w:color w:val="auto"/>
                    </w:rPr>
                    <w:t>华宁万象再生资源有限公司利用。</w:t>
                  </w:r>
                </w:p>
              </w:tc>
              <w:tc>
                <w:tcPr>
                  <w:tcW w:w="1119" w:type="pct"/>
                  <w:noWrap w:val="0"/>
                  <w:vAlign w:val="center"/>
                </w:tcPr>
                <w:p w14:paraId="3A2251A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w:t>
                  </w:r>
                </w:p>
              </w:tc>
            </w:tr>
          </w:tbl>
          <w:p w14:paraId="2290D89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三、主要产品、产能、设施及原辅材料</w:t>
            </w:r>
          </w:p>
          <w:p w14:paraId="68E640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1、改建前后项目锅炉产能情况</w:t>
            </w:r>
          </w:p>
          <w:p w14:paraId="731F8F5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项目现有锅炉为</w:t>
            </w:r>
            <w:r>
              <w:rPr>
                <w:rFonts w:hint="default"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rPr>
              <w:t>台10t/h燃煤蒸汽锅炉。现有锅炉年运行300天，每天24小时，现有锅炉在满负荷情况下每年蒸汽产量为</w:t>
            </w:r>
            <w:r>
              <w:rPr>
                <w:rFonts w:hint="default" w:ascii="Times New Roman" w:hAnsi="Times New Roman" w:eastAsia="宋体" w:cs="Times New Roman"/>
                <w:bCs/>
                <w:color w:val="auto"/>
                <w:sz w:val="24"/>
                <w:lang w:val="en-US" w:eastAsia="zh-CN"/>
              </w:rPr>
              <w:t>72000</w:t>
            </w:r>
            <w:r>
              <w:rPr>
                <w:rFonts w:hint="default" w:ascii="Times New Roman" w:hAnsi="Times New Roman" w:eastAsia="宋体" w:cs="Times New Roman"/>
                <w:bCs/>
                <w:color w:val="auto"/>
                <w:sz w:val="24"/>
              </w:rPr>
              <w:t>吨。本次改建拟将现有</w:t>
            </w:r>
            <w:r>
              <w:rPr>
                <w:rFonts w:hint="default"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rPr>
              <w:t>台</w:t>
            </w:r>
            <w:r>
              <w:rPr>
                <w:rFonts w:hint="default" w:ascii="Times New Roman" w:hAnsi="Times New Roman" w:eastAsia="宋体" w:cs="Times New Roman"/>
                <w:bCs/>
                <w:color w:val="auto"/>
                <w:sz w:val="24"/>
                <w:lang w:val="en-US" w:eastAsia="zh-CN"/>
              </w:rPr>
              <w:t>10</w:t>
            </w:r>
            <w:r>
              <w:rPr>
                <w:rFonts w:hint="default" w:ascii="Times New Roman" w:hAnsi="Times New Roman" w:eastAsia="宋体" w:cs="Times New Roman"/>
                <w:bCs/>
                <w:color w:val="auto"/>
                <w:sz w:val="24"/>
              </w:rPr>
              <w:t>t/h燃煤蒸汽锅炉改为1台</w:t>
            </w:r>
            <w:r>
              <w:rPr>
                <w:rFonts w:hint="default" w:ascii="Times New Roman" w:hAnsi="Times New Roman" w:eastAsia="宋体" w:cs="Times New Roman"/>
                <w:bCs/>
                <w:color w:val="auto"/>
                <w:sz w:val="24"/>
                <w:lang w:val="en-US" w:eastAsia="zh-CN"/>
              </w:rPr>
              <w:t>10.5</w:t>
            </w:r>
            <w:r>
              <w:rPr>
                <w:rFonts w:hint="default" w:ascii="Times New Roman" w:hAnsi="Times New Roman" w:eastAsia="宋体" w:cs="Times New Roman"/>
                <w:bCs/>
                <w:color w:val="auto"/>
                <w:sz w:val="24"/>
              </w:rPr>
              <w:t>t/h燃煤蒸汽锅炉进行供热。改建后锅炉运行时间不变；改建后的锅炉在满负荷情况下每年蒸汽产量为</w:t>
            </w:r>
            <w:r>
              <w:rPr>
                <w:rFonts w:hint="default" w:ascii="Times New Roman" w:hAnsi="Times New Roman" w:eastAsia="宋体" w:cs="Times New Roman"/>
                <w:bCs/>
                <w:color w:val="auto"/>
                <w:sz w:val="24"/>
                <w:lang w:val="en-US" w:eastAsia="zh-CN"/>
              </w:rPr>
              <w:t>75600</w:t>
            </w:r>
            <w:r>
              <w:rPr>
                <w:rFonts w:hint="default" w:ascii="Times New Roman" w:hAnsi="Times New Roman" w:eastAsia="宋体" w:cs="Times New Roman"/>
                <w:bCs/>
                <w:color w:val="auto"/>
                <w:sz w:val="24"/>
              </w:rPr>
              <w:t>吨。满负荷情况下每年产汽量比现有锅炉增加</w:t>
            </w:r>
            <w:r>
              <w:rPr>
                <w:rFonts w:hint="default" w:ascii="Times New Roman" w:hAnsi="Times New Roman" w:eastAsia="宋体" w:cs="Times New Roman"/>
                <w:bCs/>
                <w:color w:val="auto"/>
                <w:sz w:val="24"/>
                <w:lang w:val="en-US" w:eastAsia="zh-CN"/>
              </w:rPr>
              <w:t>3600</w:t>
            </w:r>
            <w:r>
              <w:rPr>
                <w:rFonts w:hint="default" w:ascii="Times New Roman" w:hAnsi="Times New Roman" w:eastAsia="宋体" w:cs="Times New Roman"/>
                <w:bCs/>
                <w:color w:val="auto"/>
                <w:sz w:val="24"/>
              </w:rPr>
              <w:t>吨。改建前后锅炉产汽变化情况如下:</w:t>
            </w:r>
          </w:p>
          <w:p w14:paraId="13D29942">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lang w:val="zh-CN"/>
              </w:rPr>
            </w:pPr>
            <w:r>
              <w:rPr>
                <w:rFonts w:hint="default" w:ascii="Times New Roman" w:hAnsi="Times New Roman" w:eastAsia="宋体" w:cs="Times New Roman"/>
                <w:b/>
                <w:bCs/>
                <w:color w:val="auto"/>
                <w:szCs w:val="21"/>
                <w:lang w:val="zh-CN"/>
              </w:rPr>
              <w:t>表2.3-1</w:t>
            </w:r>
            <w:r>
              <w:rPr>
                <w:rFonts w:hint="default" w:ascii="Times New Roman" w:hAnsi="Times New Roman" w:eastAsia="宋体" w:cs="Times New Roman"/>
                <w:b/>
                <w:bCs/>
                <w:color w:val="auto"/>
                <w:szCs w:val="21"/>
              </w:rPr>
              <w:t xml:space="preserve">   </w:t>
            </w:r>
            <w:r>
              <w:rPr>
                <w:rFonts w:hint="default" w:ascii="Times New Roman" w:hAnsi="Times New Roman" w:eastAsia="宋体" w:cs="Times New Roman"/>
                <w:b/>
                <w:color w:val="auto"/>
                <w:szCs w:val="21"/>
              </w:rPr>
              <w:t>改建前后项目锅炉产汽情况表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484"/>
              <w:gridCol w:w="1056"/>
              <w:gridCol w:w="1799"/>
              <w:gridCol w:w="1056"/>
              <w:gridCol w:w="1071"/>
              <w:gridCol w:w="1522"/>
            </w:tblGrid>
            <w:tr w14:paraId="3A54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noWrap w:val="0"/>
                  <w:vAlign w:val="center"/>
                </w:tcPr>
                <w:p w14:paraId="30664F7D">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序号</w:t>
                  </w:r>
                </w:p>
              </w:tc>
              <w:tc>
                <w:tcPr>
                  <w:tcW w:w="881" w:type="pct"/>
                  <w:noWrap w:val="0"/>
                  <w:vAlign w:val="center"/>
                </w:tcPr>
                <w:p w14:paraId="291868A4">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改建前锅炉情况</w:t>
                  </w:r>
                </w:p>
              </w:tc>
              <w:tc>
                <w:tcPr>
                  <w:tcW w:w="627" w:type="pct"/>
                  <w:noWrap w:val="0"/>
                  <w:vAlign w:val="center"/>
                </w:tcPr>
                <w:p w14:paraId="722F0686">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改建前产汽量</w:t>
                  </w:r>
                </w:p>
              </w:tc>
              <w:tc>
                <w:tcPr>
                  <w:tcW w:w="1068" w:type="pct"/>
                  <w:noWrap w:val="0"/>
                  <w:vAlign w:val="center"/>
                </w:tcPr>
                <w:p w14:paraId="75084E26">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改建后锅炉情况</w:t>
                  </w:r>
                </w:p>
              </w:tc>
              <w:tc>
                <w:tcPr>
                  <w:tcW w:w="627" w:type="pct"/>
                  <w:noWrap w:val="0"/>
                  <w:vAlign w:val="center"/>
                </w:tcPr>
                <w:p w14:paraId="4CBB424D">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color w:val="auto"/>
                      <w:szCs w:val="21"/>
                    </w:rPr>
                  </w:pPr>
                  <w:r>
                    <w:rPr>
                      <w:rFonts w:hint="default" w:ascii="Times New Roman" w:hAnsi="Times New Roman" w:eastAsia="宋体" w:cs="Times New Roman"/>
                      <w:b/>
                      <w:bCs/>
                      <w:color w:val="auto"/>
                      <w:szCs w:val="21"/>
                    </w:rPr>
                    <w:t>改建后产汽量</w:t>
                  </w:r>
                </w:p>
              </w:tc>
              <w:tc>
                <w:tcPr>
                  <w:tcW w:w="636" w:type="pct"/>
                  <w:noWrap w:val="0"/>
                  <w:vAlign w:val="center"/>
                </w:tcPr>
                <w:p w14:paraId="3EB7D3FA">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与现有锅炉变化情况</w:t>
                  </w:r>
                </w:p>
              </w:tc>
              <w:tc>
                <w:tcPr>
                  <w:tcW w:w="904" w:type="pct"/>
                  <w:noWrap w:val="0"/>
                  <w:vAlign w:val="center"/>
                </w:tcPr>
                <w:p w14:paraId="1CBA3488">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备注</w:t>
                  </w:r>
                </w:p>
              </w:tc>
            </w:tr>
            <w:tr w14:paraId="32D5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noWrap w:val="0"/>
                  <w:vAlign w:val="center"/>
                </w:tcPr>
                <w:p w14:paraId="7BE70D0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w:t>
                  </w:r>
                </w:p>
              </w:tc>
              <w:tc>
                <w:tcPr>
                  <w:tcW w:w="881" w:type="pct"/>
                  <w:noWrap w:val="0"/>
                  <w:vAlign w:val="center"/>
                </w:tcPr>
                <w:p w14:paraId="297C4CB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1台10t/h燃煤蒸汽锅炉</w:t>
                  </w:r>
                </w:p>
              </w:tc>
              <w:tc>
                <w:tcPr>
                  <w:tcW w:w="627" w:type="pct"/>
                  <w:noWrap w:val="0"/>
                  <w:vAlign w:val="center"/>
                </w:tcPr>
                <w:p w14:paraId="34360E7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72000</w:t>
                  </w:r>
                  <w:r>
                    <w:rPr>
                      <w:rFonts w:hint="default" w:ascii="Times New Roman" w:hAnsi="Times New Roman" w:eastAsia="宋体" w:cs="Times New Roman"/>
                      <w:color w:val="auto"/>
                      <w:kern w:val="0"/>
                      <w:szCs w:val="21"/>
                    </w:rPr>
                    <w:t>t/a</w:t>
                  </w:r>
                </w:p>
              </w:tc>
              <w:tc>
                <w:tcPr>
                  <w:tcW w:w="1068" w:type="pct"/>
                  <w:noWrap w:val="0"/>
                  <w:vAlign w:val="center"/>
                </w:tcPr>
                <w:p w14:paraId="4D666A1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rPr>
                    <w:t>1台10</w:t>
                  </w:r>
                  <w:r>
                    <w:rPr>
                      <w:rFonts w:hint="default" w:ascii="Times New Roman" w:hAnsi="Times New Roman" w:eastAsia="宋体" w:cs="Times New Roman"/>
                      <w:color w:val="auto"/>
                      <w:kern w:val="0"/>
                      <w:szCs w:val="21"/>
                      <w:lang w:val="en-US" w:eastAsia="zh-CN"/>
                    </w:rPr>
                    <w:t>.5</w:t>
                  </w:r>
                  <w:r>
                    <w:rPr>
                      <w:rFonts w:hint="default" w:ascii="Times New Roman" w:hAnsi="Times New Roman" w:eastAsia="宋体" w:cs="Times New Roman"/>
                      <w:color w:val="auto"/>
                      <w:kern w:val="0"/>
                      <w:szCs w:val="21"/>
                    </w:rPr>
                    <w:t>t/h</w:t>
                  </w:r>
                  <w:r>
                    <w:rPr>
                      <w:rFonts w:hint="default" w:ascii="Times New Roman" w:hAnsi="Times New Roman" w:eastAsia="宋体" w:cs="Times New Roman"/>
                      <w:color w:val="auto"/>
                      <w:kern w:val="0"/>
                      <w:szCs w:val="21"/>
                      <w:lang w:val="en-US" w:eastAsia="zh-CN"/>
                    </w:rPr>
                    <w:t>生物质专用锅炉</w:t>
                  </w:r>
                </w:p>
              </w:tc>
              <w:tc>
                <w:tcPr>
                  <w:tcW w:w="627" w:type="pct"/>
                  <w:noWrap w:val="0"/>
                  <w:vAlign w:val="center"/>
                </w:tcPr>
                <w:p w14:paraId="61E78F1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75600</w:t>
                  </w:r>
                  <w:r>
                    <w:rPr>
                      <w:rFonts w:hint="default" w:ascii="Times New Roman" w:hAnsi="Times New Roman" w:eastAsia="宋体" w:cs="Times New Roman"/>
                      <w:color w:val="auto"/>
                      <w:kern w:val="0"/>
                      <w:szCs w:val="21"/>
                    </w:rPr>
                    <w:t>t/a</w:t>
                  </w:r>
                </w:p>
              </w:tc>
              <w:tc>
                <w:tcPr>
                  <w:tcW w:w="636" w:type="pct"/>
                  <w:noWrap w:val="0"/>
                  <w:vAlign w:val="center"/>
                </w:tcPr>
                <w:p w14:paraId="0A52620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3600</w:t>
                  </w:r>
                  <w:r>
                    <w:rPr>
                      <w:rFonts w:hint="default" w:ascii="Times New Roman" w:hAnsi="Times New Roman" w:eastAsia="宋体" w:cs="Times New Roman"/>
                      <w:color w:val="auto"/>
                      <w:kern w:val="0"/>
                      <w:szCs w:val="21"/>
                    </w:rPr>
                    <w:t>t/a</w:t>
                  </w:r>
                </w:p>
              </w:tc>
              <w:tc>
                <w:tcPr>
                  <w:tcW w:w="904" w:type="pct"/>
                  <w:noWrap w:val="0"/>
                  <w:vAlign w:val="center"/>
                </w:tcPr>
                <w:p w14:paraId="4600DDA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rPr>
                    <w:t>将原有</w:t>
                  </w: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rPr>
                    <w:t>台</w:t>
                  </w:r>
                  <w:r>
                    <w:rPr>
                      <w:rFonts w:hint="default" w:ascii="Times New Roman" w:hAnsi="Times New Roman" w:eastAsia="宋体" w:cs="Times New Roman"/>
                      <w:color w:val="auto"/>
                      <w:kern w:val="0"/>
                      <w:szCs w:val="21"/>
                      <w:lang w:val="en-US" w:eastAsia="zh-CN"/>
                    </w:rPr>
                    <w:t>10</w:t>
                  </w:r>
                  <w:r>
                    <w:rPr>
                      <w:rFonts w:hint="default" w:ascii="Times New Roman" w:hAnsi="Times New Roman" w:eastAsia="宋体" w:cs="Times New Roman"/>
                      <w:color w:val="auto"/>
                      <w:kern w:val="0"/>
                      <w:szCs w:val="21"/>
                    </w:rPr>
                    <w:t>t/h燃煤蒸汽锅炉拆除，新建1台</w:t>
                  </w:r>
                  <w:r>
                    <w:rPr>
                      <w:rFonts w:hint="default" w:ascii="Times New Roman" w:hAnsi="Times New Roman" w:eastAsia="宋体" w:cs="Times New Roman"/>
                      <w:color w:val="auto"/>
                      <w:kern w:val="0"/>
                      <w:szCs w:val="21"/>
                      <w:lang w:val="en-US" w:eastAsia="zh-CN"/>
                    </w:rPr>
                    <w:t>10.5</w:t>
                  </w:r>
                  <w:r>
                    <w:rPr>
                      <w:rFonts w:hint="default" w:ascii="Times New Roman" w:hAnsi="Times New Roman" w:eastAsia="宋体" w:cs="Times New Roman"/>
                      <w:color w:val="auto"/>
                      <w:kern w:val="0"/>
                      <w:szCs w:val="21"/>
                    </w:rPr>
                    <w:t>t/h燃</w:t>
                  </w:r>
                  <w:r>
                    <w:rPr>
                      <w:rFonts w:hint="default" w:ascii="Times New Roman" w:hAnsi="Times New Roman" w:eastAsia="宋体" w:cs="Times New Roman"/>
                      <w:color w:val="auto"/>
                      <w:kern w:val="0"/>
                      <w:szCs w:val="21"/>
                      <w:lang w:val="en-US" w:eastAsia="zh-CN"/>
                    </w:rPr>
                    <w:t>生物质</w:t>
                  </w:r>
                  <w:r>
                    <w:rPr>
                      <w:rFonts w:hint="default" w:ascii="Times New Roman" w:hAnsi="Times New Roman" w:eastAsia="宋体" w:cs="Times New Roman"/>
                      <w:color w:val="auto"/>
                      <w:kern w:val="0"/>
                      <w:szCs w:val="21"/>
                    </w:rPr>
                    <w:t>蒸汽锅炉</w:t>
                  </w:r>
                  <w:r>
                    <w:rPr>
                      <w:rFonts w:hint="default" w:ascii="Times New Roman" w:hAnsi="Times New Roman" w:eastAsia="宋体" w:cs="Times New Roman"/>
                      <w:color w:val="auto"/>
                      <w:kern w:val="0"/>
                      <w:szCs w:val="21"/>
                      <w:lang w:val="en-US" w:eastAsia="zh-CN"/>
                    </w:rPr>
                    <w:t>及袋式除尘器</w:t>
                  </w:r>
                </w:p>
              </w:tc>
            </w:tr>
          </w:tbl>
          <w:p w14:paraId="06E4C1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2、新建锅炉及设备的技术参数</w:t>
            </w:r>
          </w:p>
          <w:p w14:paraId="10B7CEBD">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lang w:val="zh-CN"/>
              </w:rPr>
            </w:pPr>
            <w:r>
              <w:rPr>
                <w:rFonts w:hint="default" w:ascii="Times New Roman" w:hAnsi="Times New Roman" w:eastAsia="宋体" w:cs="Times New Roman"/>
                <w:b/>
                <w:bCs/>
                <w:color w:val="auto"/>
                <w:szCs w:val="21"/>
                <w:lang w:val="zh-CN"/>
              </w:rPr>
              <w:t>表2.3-2</w:t>
            </w:r>
            <w:r>
              <w:rPr>
                <w:rFonts w:hint="default" w:ascii="Times New Roman" w:hAnsi="Times New Roman" w:eastAsia="宋体" w:cs="Times New Roman"/>
                <w:b/>
                <w:bCs/>
                <w:color w:val="auto"/>
                <w:szCs w:val="21"/>
              </w:rPr>
              <w:t xml:space="preserve">   新建</w:t>
            </w:r>
            <w:r>
              <w:rPr>
                <w:rFonts w:hint="default" w:ascii="Times New Roman" w:hAnsi="Times New Roman" w:eastAsia="宋体" w:cs="Times New Roman"/>
                <w:b/>
                <w:bCs/>
                <w:color w:val="auto"/>
                <w:szCs w:val="21"/>
                <w:lang w:val="en-US" w:eastAsia="zh-CN"/>
              </w:rPr>
              <w:t>10.5t生物质</w:t>
            </w:r>
            <w:r>
              <w:rPr>
                <w:rFonts w:hint="default" w:ascii="Times New Roman" w:hAnsi="Times New Roman" w:eastAsia="宋体" w:cs="Times New Roman"/>
                <w:b/>
                <w:bCs/>
                <w:color w:val="auto"/>
                <w:szCs w:val="21"/>
              </w:rPr>
              <w:t>锅炉的技术参数</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8"/>
              <w:gridCol w:w="4245"/>
            </w:tblGrid>
            <w:tr w14:paraId="096B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1DAA094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Cs w:val="21"/>
                      <w:lang w:eastAsia="zh-CN"/>
                    </w:rPr>
                  </w:pPr>
                  <w:r>
                    <w:rPr>
                      <w:rFonts w:hint="default" w:ascii="Times New Roman" w:hAnsi="Times New Roman" w:eastAsia="宋体" w:cs="Times New Roman"/>
                      <w:b/>
                      <w:bCs/>
                      <w:color w:val="auto"/>
                      <w:kern w:val="0"/>
                      <w:szCs w:val="21"/>
                    </w:rPr>
                    <w:t>锅炉</w:t>
                  </w:r>
                  <w:r>
                    <w:rPr>
                      <w:rFonts w:hint="default" w:ascii="Times New Roman" w:hAnsi="Times New Roman" w:eastAsia="宋体" w:cs="Times New Roman"/>
                      <w:b/>
                      <w:bCs/>
                      <w:color w:val="auto"/>
                      <w:kern w:val="0"/>
                      <w:szCs w:val="21"/>
                      <w:lang w:eastAsia="zh-CN"/>
                    </w:rPr>
                    <w:t>（DZL10.5-1.25-S）</w:t>
                  </w:r>
                </w:p>
              </w:tc>
            </w:tr>
            <w:tr w14:paraId="1DED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pct"/>
                  <w:tcBorders>
                    <w:top w:val="single" w:color="auto" w:sz="4" w:space="0"/>
                    <w:left w:val="single" w:color="auto" w:sz="4" w:space="0"/>
                    <w:bottom w:val="single" w:color="auto" w:sz="4" w:space="0"/>
                    <w:right w:val="single" w:color="auto" w:sz="4" w:space="0"/>
                  </w:tcBorders>
                  <w:noWrap w:val="0"/>
                  <w:vAlign w:val="center"/>
                </w:tcPr>
                <w:p w14:paraId="31DED67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额定蒸发量</w:t>
                  </w:r>
                </w:p>
              </w:tc>
              <w:tc>
                <w:tcPr>
                  <w:tcW w:w="2522" w:type="pct"/>
                  <w:tcBorders>
                    <w:top w:val="single" w:color="auto" w:sz="4" w:space="0"/>
                    <w:left w:val="single" w:color="auto" w:sz="4" w:space="0"/>
                    <w:bottom w:val="single" w:color="auto" w:sz="4" w:space="0"/>
                    <w:right w:val="single" w:color="auto" w:sz="4" w:space="0"/>
                  </w:tcBorders>
                  <w:noWrap w:val="0"/>
                  <w:vAlign w:val="center"/>
                </w:tcPr>
                <w:p w14:paraId="4CA23B6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10.5</w:t>
                  </w:r>
                  <w:r>
                    <w:rPr>
                      <w:rFonts w:hint="default" w:ascii="Times New Roman" w:hAnsi="Times New Roman" w:eastAsia="宋体" w:cs="Times New Roman"/>
                      <w:color w:val="auto"/>
                      <w:szCs w:val="21"/>
                    </w:rPr>
                    <w:t>t/h</w:t>
                  </w:r>
                </w:p>
              </w:tc>
            </w:tr>
            <w:tr w14:paraId="52EE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pct"/>
                  <w:tcBorders>
                    <w:top w:val="single" w:color="auto" w:sz="4" w:space="0"/>
                    <w:left w:val="single" w:color="auto" w:sz="4" w:space="0"/>
                    <w:bottom w:val="single" w:color="auto" w:sz="4" w:space="0"/>
                    <w:right w:val="single" w:color="auto" w:sz="4" w:space="0"/>
                  </w:tcBorders>
                  <w:noWrap w:val="0"/>
                  <w:vAlign w:val="center"/>
                </w:tcPr>
                <w:p w14:paraId="3BE6351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额定蒸汽温度</w:t>
                  </w:r>
                </w:p>
              </w:tc>
              <w:tc>
                <w:tcPr>
                  <w:tcW w:w="2522" w:type="pct"/>
                  <w:tcBorders>
                    <w:top w:val="single" w:color="auto" w:sz="4" w:space="0"/>
                    <w:left w:val="single" w:color="auto" w:sz="4" w:space="0"/>
                    <w:bottom w:val="single" w:color="auto" w:sz="4" w:space="0"/>
                    <w:right w:val="single" w:color="auto" w:sz="4" w:space="0"/>
                  </w:tcBorders>
                  <w:noWrap w:val="0"/>
                  <w:vAlign w:val="center"/>
                </w:tcPr>
                <w:p w14:paraId="371DB5E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194</w:t>
                  </w:r>
                  <w:r>
                    <w:rPr>
                      <w:rFonts w:hint="default" w:ascii="Times New Roman" w:hAnsi="Times New Roman" w:eastAsia="宋体" w:cs="Times New Roman"/>
                      <w:color w:val="auto"/>
                      <w:szCs w:val="21"/>
                    </w:rPr>
                    <w:t>℃</w:t>
                  </w:r>
                </w:p>
              </w:tc>
            </w:tr>
            <w:tr w14:paraId="043C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pct"/>
                  <w:tcBorders>
                    <w:top w:val="single" w:color="auto" w:sz="4" w:space="0"/>
                    <w:left w:val="single" w:color="auto" w:sz="4" w:space="0"/>
                    <w:bottom w:val="single" w:color="auto" w:sz="4" w:space="0"/>
                    <w:right w:val="single" w:color="auto" w:sz="4" w:space="0"/>
                  </w:tcBorders>
                  <w:noWrap w:val="0"/>
                  <w:vAlign w:val="center"/>
                </w:tcPr>
                <w:p w14:paraId="485DA95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额定蒸汽压力</w:t>
                  </w:r>
                </w:p>
              </w:tc>
              <w:tc>
                <w:tcPr>
                  <w:tcW w:w="2522" w:type="pct"/>
                  <w:tcBorders>
                    <w:top w:val="single" w:color="auto" w:sz="4" w:space="0"/>
                    <w:left w:val="single" w:color="auto" w:sz="4" w:space="0"/>
                    <w:bottom w:val="single" w:color="auto" w:sz="4" w:space="0"/>
                    <w:right w:val="single" w:color="auto" w:sz="4" w:space="0"/>
                  </w:tcBorders>
                  <w:noWrap w:val="0"/>
                  <w:vAlign w:val="center"/>
                </w:tcPr>
                <w:p w14:paraId="0F8A8AC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1.6MPa</w:t>
                  </w:r>
                </w:p>
              </w:tc>
            </w:tr>
            <w:tr w14:paraId="53E0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pct"/>
                  <w:tcBorders>
                    <w:top w:val="single" w:color="auto" w:sz="4" w:space="0"/>
                    <w:left w:val="single" w:color="auto" w:sz="4" w:space="0"/>
                    <w:bottom w:val="single" w:color="auto" w:sz="4" w:space="0"/>
                    <w:right w:val="single" w:color="auto" w:sz="4" w:space="0"/>
                  </w:tcBorders>
                  <w:noWrap w:val="0"/>
                  <w:vAlign w:val="center"/>
                </w:tcPr>
                <w:p w14:paraId="02E2431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给水温度</w:t>
                  </w:r>
                </w:p>
              </w:tc>
              <w:tc>
                <w:tcPr>
                  <w:tcW w:w="2522" w:type="pct"/>
                  <w:tcBorders>
                    <w:top w:val="single" w:color="auto" w:sz="4" w:space="0"/>
                    <w:left w:val="single" w:color="auto" w:sz="4" w:space="0"/>
                    <w:bottom w:val="single" w:color="auto" w:sz="4" w:space="0"/>
                    <w:right w:val="single" w:color="auto" w:sz="4" w:space="0"/>
                  </w:tcBorders>
                  <w:noWrap w:val="0"/>
                  <w:vAlign w:val="center"/>
                </w:tcPr>
                <w:p w14:paraId="77D20A7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w:t>
                  </w:r>
                  <w:r>
                    <w:rPr>
                      <w:rFonts w:hint="default" w:ascii="Times New Roman" w:hAnsi="Times New Roman" w:eastAsia="宋体" w:cs="Times New Roman"/>
                      <w:color w:val="auto"/>
                      <w:szCs w:val="21"/>
                    </w:rPr>
                    <w:t>℃</w:t>
                  </w:r>
                </w:p>
              </w:tc>
            </w:tr>
            <w:tr w14:paraId="3EC2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pct"/>
                  <w:tcBorders>
                    <w:top w:val="single" w:color="auto" w:sz="4" w:space="0"/>
                    <w:left w:val="single" w:color="auto" w:sz="4" w:space="0"/>
                    <w:bottom w:val="single" w:color="auto" w:sz="4" w:space="0"/>
                    <w:right w:val="single" w:color="auto" w:sz="4" w:space="0"/>
                  </w:tcBorders>
                  <w:noWrap w:val="0"/>
                  <w:vAlign w:val="center"/>
                </w:tcPr>
                <w:p w14:paraId="4DC8194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设计热效率</w:t>
                  </w:r>
                </w:p>
              </w:tc>
              <w:tc>
                <w:tcPr>
                  <w:tcW w:w="2522" w:type="pct"/>
                  <w:tcBorders>
                    <w:top w:val="single" w:color="auto" w:sz="4" w:space="0"/>
                    <w:left w:val="single" w:color="auto" w:sz="4" w:space="0"/>
                    <w:bottom w:val="single" w:color="auto" w:sz="4" w:space="0"/>
                    <w:right w:val="single" w:color="auto" w:sz="4" w:space="0"/>
                  </w:tcBorders>
                  <w:noWrap w:val="0"/>
                  <w:vAlign w:val="center"/>
                </w:tcPr>
                <w:p w14:paraId="401A749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81.5</w:t>
                  </w:r>
                  <w:r>
                    <w:rPr>
                      <w:rFonts w:hint="default" w:ascii="Times New Roman" w:hAnsi="Times New Roman" w:eastAsia="宋体" w:cs="Times New Roman"/>
                      <w:color w:val="auto"/>
                      <w:szCs w:val="21"/>
                    </w:rPr>
                    <w:t>%</w:t>
                  </w:r>
                </w:p>
              </w:tc>
            </w:tr>
            <w:tr w14:paraId="297F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pct"/>
                  <w:tcBorders>
                    <w:top w:val="single" w:color="auto" w:sz="4" w:space="0"/>
                    <w:left w:val="single" w:color="auto" w:sz="4" w:space="0"/>
                    <w:bottom w:val="single" w:color="auto" w:sz="4" w:space="0"/>
                    <w:right w:val="single" w:color="auto" w:sz="4" w:space="0"/>
                  </w:tcBorders>
                  <w:noWrap w:val="0"/>
                  <w:vAlign w:val="center"/>
                </w:tcPr>
                <w:p w14:paraId="247AEF3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配套风机</w:t>
                  </w:r>
                </w:p>
              </w:tc>
              <w:tc>
                <w:tcPr>
                  <w:tcW w:w="2522" w:type="pct"/>
                  <w:tcBorders>
                    <w:top w:val="single" w:color="auto" w:sz="4" w:space="0"/>
                    <w:left w:val="single" w:color="auto" w:sz="4" w:space="0"/>
                    <w:bottom w:val="single" w:color="auto" w:sz="4" w:space="0"/>
                    <w:right w:val="single" w:color="auto" w:sz="4" w:space="0"/>
                  </w:tcBorders>
                  <w:noWrap w:val="0"/>
                  <w:vAlign w:val="center"/>
                </w:tcPr>
                <w:p w14:paraId="557537C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2台</w:t>
                  </w:r>
                </w:p>
              </w:tc>
            </w:tr>
            <w:tr w14:paraId="6898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pct"/>
                  <w:tcBorders>
                    <w:top w:val="single" w:color="auto" w:sz="4" w:space="0"/>
                    <w:left w:val="single" w:color="auto" w:sz="4" w:space="0"/>
                    <w:bottom w:val="single" w:color="auto" w:sz="4" w:space="0"/>
                    <w:right w:val="single" w:color="auto" w:sz="4" w:space="0"/>
                  </w:tcBorders>
                  <w:noWrap w:val="0"/>
                  <w:vAlign w:val="center"/>
                </w:tcPr>
                <w:p w14:paraId="40F6320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水泵</w:t>
                  </w:r>
                </w:p>
              </w:tc>
              <w:tc>
                <w:tcPr>
                  <w:tcW w:w="2522" w:type="pct"/>
                  <w:tcBorders>
                    <w:top w:val="single" w:color="auto" w:sz="4" w:space="0"/>
                    <w:left w:val="single" w:color="auto" w:sz="4" w:space="0"/>
                    <w:bottom w:val="single" w:color="auto" w:sz="4" w:space="0"/>
                    <w:right w:val="single" w:color="auto" w:sz="4" w:space="0"/>
                  </w:tcBorders>
                  <w:noWrap w:val="0"/>
                  <w:vAlign w:val="center"/>
                </w:tcPr>
                <w:p w14:paraId="015AD20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2台</w:t>
                  </w:r>
                </w:p>
              </w:tc>
            </w:tr>
          </w:tbl>
          <w:p w14:paraId="701B56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3、改建后项目主要</w:t>
            </w:r>
            <w:r>
              <w:rPr>
                <w:rFonts w:hint="default" w:ascii="Times New Roman" w:hAnsi="Times New Roman" w:eastAsia="宋体" w:cs="Times New Roman"/>
                <w:b/>
                <w:bCs/>
                <w:color w:val="auto"/>
                <w:sz w:val="24"/>
              </w:rPr>
              <w:t>原辅材料及燃料的种类、用量</w:t>
            </w:r>
          </w:p>
          <w:p w14:paraId="45469555">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lang w:val="zh-CN"/>
              </w:rPr>
            </w:pPr>
          </w:p>
          <w:p w14:paraId="6F7726DC">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b/>
                <w:bCs/>
                <w:color w:val="auto"/>
                <w:szCs w:val="21"/>
                <w:lang w:val="zh-CN"/>
              </w:rPr>
              <w:t>表2.</w:t>
            </w:r>
            <w:r>
              <w:rPr>
                <w:rFonts w:hint="default" w:ascii="Times New Roman" w:hAnsi="Times New Roman" w:eastAsia="宋体" w:cs="Times New Roman"/>
                <w:b/>
                <w:color w:val="auto"/>
                <w:szCs w:val="21"/>
              </w:rPr>
              <w:t>3-3</w:t>
            </w:r>
            <w:r>
              <w:rPr>
                <w:rFonts w:hint="default" w:ascii="Times New Roman" w:hAnsi="Times New Roman" w:eastAsia="宋体" w:cs="Times New Roman"/>
                <w:b/>
                <w:bCs/>
                <w:color w:val="auto"/>
                <w:szCs w:val="21"/>
                <w:lang w:val="zh-CN"/>
              </w:rPr>
              <w:t xml:space="preserve">  </w:t>
            </w:r>
            <w:r>
              <w:rPr>
                <w:rFonts w:hint="default" w:ascii="Times New Roman" w:hAnsi="Times New Roman" w:eastAsia="宋体" w:cs="Times New Roman"/>
                <w:b/>
                <w:bCs/>
                <w:color w:val="auto"/>
                <w:szCs w:val="21"/>
              </w:rPr>
              <w:t xml:space="preserve"> </w:t>
            </w:r>
            <w:r>
              <w:rPr>
                <w:rFonts w:hint="default" w:ascii="Times New Roman" w:hAnsi="Times New Roman" w:eastAsia="宋体" w:cs="Times New Roman"/>
                <w:b/>
                <w:color w:val="auto"/>
                <w:szCs w:val="21"/>
              </w:rPr>
              <w:t>改建后项目</w:t>
            </w:r>
            <w:r>
              <w:rPr>
                <w:rFonts w:hint="default" w:ascii="Times New Roman" w:hAnsi="Times New Roman" w:eastAsia="宋体" w:cs="Times New Roman"/>
                <w:b/>
                <w:bCs/>
                <w:color w:val="auto"/>
                <w:szCs w:val="21"/>
                <w:lang w:val="zh-CN"/>
              </w:rPr>
              <w:t>主要原辅材料及燃料表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927"/>
              <w:gridCol w:w="1097"/>
              <w:gridCol w:w="882"/>
              <w:gridCol w:w="1133"/>
              <w:gridCol w:w="991"/>
              <w:gridCol w:w="2742"/>
            </w:tblGrid>
            <w:tr w14:paraId="19A6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80" w:type="pct"/>
                  <w:noWrap w:val="0"/>
                  <w:vAlign w:val="center"/>
                </w:tcPr>
                <w:p w14:paraId="5C75ADAD">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lang w:val="zh-CN"/>
                    </w:rPr>
                  </w:pPr>
                  <w:r>
                    <w:rPr>
                      <w:rFonts w:hint="default" w:ascii="Times New Roman" w:hAnsi="Times New Roman" w:eastAsia="宋体" w:cs="Times New Roman"/>
                      <w:b/>
                      <w:bCs/>
                      <w:color w:val="auto"/>
                      <w:szCs w:val="21"/>
                      <w:lang w:val="zh-CN"/>
                    </w:rPr>
                    <w:t>序号</w:t>
                  </w:r>
                </w:p>
              </w:tc>
              <w:tc>
                <w:tcPr>
                  <w:tcW w:w="550" w:type="pct"/>
                  <w:noWrap w:val="0"/>
                  <w:vAlign w:val="center"/>
                </w:tcPr>
                <w:p w14:paraId="240A9D29">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lang w:val="zh-CN"/>
                    </w:rPr>
                  </w:pPr>
                  <w:r>
                    <w:rPr>
                      <w:rFonts w:hint="default" w:ascii="Times New Roman" w:hAnsi="Times New Roman" w:eastAsia="宋体" w:cs="Times New Roman"/>
                      <w:b/>
                      <w:bCs/>
                      <w:color w:val="auto"/>
                      <w:szCs w:val="21"/>
                      <w:lang w:val="zh-CN"/>
                    </w:rPr>
                    <w:t>产品名称</w:t>
                  </w:r>
                </w:p>
              </w:tc>
              <w:tc>
                <w:tcPr>
                  <w:tcW w:w="651" w:type="pct"/>
                  <w:noWrap w:val="0"/>
                  <w:vAlign w:val="center"/>
                </w:tcPr>
                <w:p w14:paraId="6BEBB14A">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lang w:val="zh-CN"/>
                    </w:rPr>
                  </w:pPr>
                  <w:r>
                    <w:rPr>
                      <w:rFonts w:hint="default" w:ascii="Times New Roman" w:hAnsi="Times New Roman" w:eastAsia="宋体" w:cs="Times New Roman"/>
                      <w:b/>
                      <w:bCs/>
                      <w:color w:val="auto"/>
                      <w:szCs w:val="21"/>
                    </w:rPr>
                    <w:t>原辅料名称</w:t>
                  </w:r>
                </w:p>
              </w:tc>
              <w:tc>
                <w:tcPr>
                  <w:tcW w:w="524" w:type="pct"/>
                  <w:noWrap w:val="0"/>
                  <w:vAlign w:val="center"/>
                </w:tcPr>
                <w:p w14:paraId="674B1838">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lang w:val="zh-CN"/>
                    </w:rPr>
                  </w:pPr>
                  <w:r>
                    <w:rPr>
                      <w:rFonts w:hint="default" w:ascii="Times New Roman" w:hAnsi="Times New Roman" w:eastAsia="宋体" w:cs="Times New Roman"/>
                      <w:b/>
                      <w:bCs/>
                      <w:color w:val="auto"/>
                      <w:szCs w:val="21"/>
                    </w:rPr>
                    <w:t>单位</w:t>
                  </w:r>
                </w:p>
              </w:tc>
              <w:tc>
                <w:tcPr>
                  <w:tcW w:w="673" w:type="pct"/>
                  <w:noWrap w:val="0"/>
                  <w:vAlign w:val="center"/>
                </w:tcPr>
                <w:p w14:paraId="6BDCD02D">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lang w:val="zh-CN"/>
                    </w:rPr>
                  </w:pPr>
                  <w:r>
                    <w:rPr>
                      <w:rFonts w:hint="default" w:ascii="Times New Roman" w:hAnsi="Times New Roman" w:eastAsia="宋体" w:cs="Times New Roman"/>
                      <w:b/>
                      <w:bCs/>
                      <w:color w:val="auto"/>
                      <w:szCs w:val="21"/>
                    </w:rPr>
                    <w:t>改建后年消耗量</w:t>
                  </w:r>
                </w:p>
              </w:tc>
              <w:tc>
                <w:tcPr>
                  <w:tcW w:w="588" w:type="pct"/>
                  <w:noWrap w:val="0"/>
                  <w:vAlign w:val="center"/>
                </w:tcPr>
                <w:p w14:paraId="1CD7217A">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来源</w:t>
                  </w:r>
                </w:p>
              </w:tc>
              <w:tc>
                <w:tcPr>
                  <w:tcW w:w="1629" w:type="pct"/>
                  <w:noWrap w:val="0"/>
                  <w:vAlign w:val="center"/>
                </w:tcPr>
                <w:p w14:paraId="67FADAD6">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存放方式</w:t>
                  </w:r>
                </w:p>
              </w:tc>
            </w:tr>
            <w:tr w14:paraId="6866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noWrap w:val="0"/>
                  <w:vAlign w:val="center"/>
                </w:tcPr>
                <w:p w14:paraId="57229BCD">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rPr>
                    <w:t>1</w:t>
                  </w:r>
                </w:p>
              </w:tc>
              <w:tc>
                <w:tcPr>
                  <w:tcW w:w="550" w:type="pct"/>
                  <w:noWrap w:val="0"/>
                  <w:vAlign w:val="center"/>
                </w:tcPr>
                <w:p w14:paraId="7C4A99BC">
                  <w:pPr>
                    <w:pStyle w:val="8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原料</w:t>
                  </w:r>
                </w:p>
              </w:tc>
              <w:tc>
                <w:tcPr>
                  <w:tcW w:w="651" w:type="pct"/>
                  <w:noWrap w:val="0"/>
                  <w:vAlign w:val="center"/>
                </w:tcPr>
                <w:p w14:paraId="5ECAE37E">
                  <w:pPr>
                    <w:pStyle w:val="86"/>
                    <w:keepNext w:val="0"/>
                    <w:keepLines w:val="0"/>
                    <w:suppressLineNumbers w:val="0"/>
                    <w:spacing w:before="0" w:beforeAutospacing="0" w:after="0" w:afterAutospacing="0"/>
                    <w:ind w:left="0" w:right="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生物质固体成型燃料</w:t>
                  </w:r>
                </w:p>
              </w:tc>
              <w:tc>
                <w:tcPr>
                  <w:tcW w:w="524" w:type="pct"/>
                  <w:noWrap w:val="0"/>
                  <w:vAlign w:val="center"/>
                </w:tcPr>
                <w:p w14:paraId="190865E3">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t/a</w:t>
                  </w:r>
                </w:p>
              </w:tc>
              <w:tc>
                <w:tcPr>
                  <w:tcW w:w="673" w:type="pct"/>
                  <w:noWrap w:val="0"/>
                  <w:vAlign w:val="center"/>
                </w:tcPr>
                <w:p w14:paraId="44FFE55F">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14573.74</w:t>
                  </w:r>
                </w:p>
              </w:tc>
              <w:tc>
                <w:tcPr>
                  <w:tcW w:w="588" w:type="pct"/>
                  <w:noWrap w:val="0"/>
                  <w:vAlign w:val="center"/>
                </w:tcPr>
                <w:p w14:paraId="2134C37C">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外购</w:t>
                  </w:r>
                </w:p>
              </w:tc>
              <w:tc>
                <w:tcPr>
                  <w:tcW w:w="1629" w:type="pct"/>
                  <w:noWrap w:val="0"/>
                  <w:vAlign w:val="center"/>
                </w:tcPr>
                <w:p w14:paraId="16FFF6D7">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锅炉房</w:t>
                  </w:r>
                  <w:r>
                    <w:rPr>
                      <w:rFonts w:hint="eastAsia" w:cs="Times New Roman"/>
                      <w:color w:val="auto"/>
                      <w:szCs w:val="21"/>
                      <w:lang w:val="en-US" w:eastAsia="zh-CN"/>
                    </w:rPr>
                    <w:t>原料堆场</w:t>
                  </w:r>
                </w:p>
              </w:tc>
            </w:tr>
            <w:tr w14:paraId="2C19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380" w:type="pct"/>
                  <w:noWrap w:val="0"/>
                  <w:vAlign w:val="center"/>
                </w:tcPr>
                <w:p w14:paraId="3BEBD25A">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550" w:type="pct"/>
                  <w:noWrap w:val="0"/>
                  <w:vAlign w:val="center"/>
                </w:tcPr>
                <w:p w14:paraId="424106E7">
                  <w:pPr>
                    <w:pStyle w:val="8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辅料</w:t>
                  </w:r>
                </w:p>
              </w:tc>
              <w:tc>
                <w:tcPr>
                  <w:tcW w:w="651" w:type="pct"/>
                  <w:shd w:val="clear" w:color="auto" w:fill="auto"/>
                  <w:noWrap w:val="0"/>
                  <w:vAlign w:val="center"/>
                </w:tcPr>
                <w:p w14:paraId="50EC3EC8">
                  <w:pPr>
                    <w:pStyle w:val="86"/>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rPr>
                    <w:t>离子交换树脂</w:t>
                  </w:r>
                </w:p>
              </w:tc>
              <w:tc>
                <w:tcPr>
                  <w:tcW w:w="524" w:type="pct"/>
                  <w:shd w:val="clear" w:color="auto" w:fill="auto"/>
                  <w:noWrap w:val="0"/>
                  <w:vAlign w:val="center"/>
                </w:tcPr>
                <w:p w14:paraId="68339EC2">
                  <w:pPr>
                    <w:pStyle w:val="86"/>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rPr>
                    <w:t>t/a</w:t>
                  </w:r>
                </w:p>
              </w:tc>
              <w:tc>
                <w:tcPr>
                  <w:tcW w:w="673" w:type="pct"/>
                  <w:shd w:val="clear" w:color="auto" w:fill="auto"/>
                  <w:noWrap w:val="0"/>
                  <w:vAlign w:val="center"/>
                </w:tcPr>
                <w:p w14:paraId="17D208DD">
                  <w:pPr>
                    <w:keepNext w:val="0"/>
                    <w:keepLines w:val="0"/>
                    <w:suppressLineNumbers w:val="0"/>
                    <w:autoSpaceDE w:val="0"/>
                    <w:autoSpaceDN w:val="0"/>
                    <w:spacing w:before="0" w:beforeAutospacing="0" w:after="0" w:afterAutospacing="0"/>
                    <w:ind w:left="0" w:leftChars="0" w:right="0" w:rightChars="0"/>
                    <w:contextualSpacing/>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1.2</w:t>
                  </w:r>
                </w:p>
              </w:tc>
              <w:tc>
                <w:tcPr>
                  <w:tcW w:w="588" w:type="pct"/>
                  <w:shd w:val="clear" w:color="auto" w:fill="auto"/>
                  <w:noWrap w:val="0"/>
                  <w:vAlign w:val="center"/>
                </w:tcPr>
                <w:p w14:paraId="33EDCE30">
                  <w:pPr>
                    <w:keepNext w:val="0"/>
                    <w:keepLines w:val="0"/>
                    <w:suppressLineNumbers w:val="0"/>
                    <w:autoSpaceDE w:val="0"/>
                    <w:autoSpaceDN w:val="0"/>
                    <w:spacing w:before="0" w:beforeAutospacing="0" w:after="0" w:afterAutospacing="0"/>
                    <w:ind w:left="0" w:leftChars="0" w:right="0" w:rightChars="0"/>
                    <w:contextualSpacing/>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外购</w:t>
                  </w:r>
                </w:p>
              </w:tc>
              <w:tc>
                <w:tcPr>
                  <w:tcW w:w="1629" w:type="pct"/>
                  <w:shd w:val="clear" w:color="auto" w:fill="auto"/>
                  <w:noWrap w:val="0"/>
                  <w:vAlign w:val="center"/>
                </w:tcPr>
                <w:p w14:paraId="02D75259">
                  <w:pPr>
                    <w:keepNext w:val="0"/>
                    <w:keepLines w:val="0"/>
                    <w:suppressLineNumbers w:val="0"/>
                    <w:autoSpaceDE w:val="0"/>
                    <w:autoSpaceDN w:val="0"/>
                    <w:spacing w:before="0" w:beforeAutospacing="0" w:after="0" w:afterAutospacing="0"/>
                    <w:ind w:left="0" w:leftChars="0" w:right="0" w:rightChars="0"/>
                    <w:contextualSpacing/>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分区存放于锅炉房旁边；离子交换树脂是25kg每袋的复合编织袋袋装；最大量为300kg。</w:t>
                  </w:r>
                </w:p>
              </w:tc>
            </w:tr>
            <w:tr w14:paraId="632C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80" w:type="pct"/>
                  <w:noWrap w:val="0"/>
                  <w:vAlign w:val="center"/>
                </w:tcPr>
                <w:p w14:paraId="5B3B4B4E">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w:t>
                  </w:r>
                </w:p>
              </w:tc>
              <w:tc>
                <w:tcPr>
                  <w:tcW w:w="550" w:type="pct"/>
                  <w:vMerge w:val="restart"/>
                  <w:noWrap w:val="0"/>
                  <w:vAlign w:val="center"/>
                </w:tcPr>
                <w:p w14:paraId="64AD7BC3">
                  <w:pPr>
                    <w:pStyle w:val="8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能源</w:t>
                  </w:r>
                </w:p>
              </w:tc>
              <w:tc>
                <w:tcPr>
                  <w:tcW w:w="651" w:type="pct"/>
                  <w:noWrap w:val="0"/>
                  <w:vAlign w:val="center"/>
                </w:tcPr>
                <w:p w14:paraId="0B82EEA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水</w:t>
                  </w:r>
                </w:p>
              </w:tc>
              <w:tc>
                <w:tcPr>
                  <w:tcW w:w="524" w:type="pct"/>
                  <w:noWrap w:val="0"/>
                  <w:vAlign w:val="center"/>
                </w:tcPr>
                <w:p w14:paraId="4CC425B6">
                  <w:pPr>
                    <w:pStyle w:val="85"/>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3</w:t>
                  </w:r>
                </w:p>
              </w:tc>
              <w:tc>
                <w:tcPr>
                  <w:tcW w:w="673" w:type="pct"/>
                  <w:noWrap w:val="0"/>
                  <w:vAlign w:val="center"/>
                </w:tcPr>
                <w:p w14:paraId="4EDD8BE2">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7455</w:t>
                  </w:r>
                </w:p>
              </w:tc>
              <w:tc>
                <w:tcPr>
                  <w:tcW w:w="588" w:type="pct"/>
                  <w:noWrap w:val="0"/>
                  <w:vAlign w:val="center"/>
                </w:tcPr>
                <w:p w14:paraId="300C7FE1">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1629" w:type="pct"/>
                  <w:noWrap w:val="0"/>
                  <w:vAlign w:val="center"/>
                </w:tcPr>
                <w:p w14:paraId="245BAB9A">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3A81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80" w:type="pct"/>
                  <w:noWrap w:val="0"/>
                  <w:vAlign w:val="center"/>
                </w:tcPr>
                <w:p w14:paraId="297A2547">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w:t>
                  </w:r>
                </w:p>
              </w:tc>
              <w:tc>
                <w:tcPr>
                  <w:tcW w:w="550" w:type="pct"/>
                  <w:vMerge w:val="continue"/>
                  <w:noWrap w:val="0"/>
                  <w:vAlign w:val="center"/>
                </w:tcPr>
                <w:p w14:paraId="02A032F0">
                  <w:pPr>
                    <w:pStyle w:val="86"/>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651" w:type="pct"/>
                  <w:noWrap w:val="0"/>
                  <w:vAlign w:val="center"/>
                </w:tcPr>
                <w:p w14:paraId="117D23A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电</w:t>
                  </w:r>
                </w:p>
              </w:tc>
              <w:tc>
                <w:tcPr>
                  <w:tcW w:w="524" w:type="pct"/>
                  <w:noWrap w:val="0"/>
                  <w:vAlign w:val="center"/>
                </w:tcPr>
                <w:p w14:paraId="1B1AE571">
                  <w:pPr>
                    <w:pStyle w:val="85"/>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万Kwh</w:t>
                  </w:r>
                </w:p>
              </w:tc>
              <w:tc>
                <w:tcPr>
                  <w:tcW w:w="673" w:type="pct"/>
                  <w:noWrap w:val="0"/>
                  <w:vAlign w:val="center"/>
                </w:tcPr>
                <w:p w14:paraId="22DB0B27">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w:t>
                  </w:r>
                </w:p>
              </w:tc>
              <w:tc>
                <w:tcPr>
                  <w:tcW w:w="588" w:type="pct"/>
                  <w:noWrap w:val="0"/>
                  <w:vAlign w:val="center"/>
                </w:tcPr>
                <w:p w14:paraId="78C1DA47">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1629" w:type="pct"/>
                  <w:noWrap w:val="0"/>
                  <w:vAlign w:val="center"/>
                </w:tcPr>
                <w:p w14:paraId="0C3DC7AA">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bl>
          <w:p w14:paraId="18F50DBB">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firstLine="482"/>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①生物质固体成型燃料</w:t>
            </w:r>
          </w:p>
          <w:p w14:paraId="464B6B75">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firstLine="482"/>
              <w:rPr>
                <w:rFonts w:hint="default" w:ascii="Times New Roman" w:hAnsi="Times New Roman" w:eastAsia="宋体" w:cs="Times New Roman"/>
                <w:b/>
                <w:color w:val="auto"/>
                <w:sz w:val="24"/>
              </w:rPr>
            </w:pPr>
            <w:r>
              <w:rPr>
                <w:rFonts w:hint="default" w:ascii="Times New Roman" w:hAnsi="Times New Roman" w:eastAsia="宋体" w:cs="Times New Roman"/>
                <w:bCs/>
                <w:color w:val="auto"/>
                <w:sz w:val="24"/>
              </w:rPr>
              <w:t>根据生物质颗粒检验报告（详见附件），本项目生物质颗成分</w:t>
            </w:r>
            <w:r>
              <w:rPr>
                <w:rFonts w:hint="default" w:ascii="Times New Roman" w:hAnsi="Times New Roman" w:eastAsia="宋体" w:cs="Times New Roman"/>
                <w:color w:val="auto"/>
                <w:sz w:val="24"/>
              </w:rPr>
              <w:t>详见下表。</w:t>
            </w:r>
          </w:p>
          <w:p w14:paraId="468DB576">
            <w:pPr>
              <w:keepNext w:val="0"/>
              <w:keepLines w:val="0"/>
              <w:suppressLineNumbers w:val="0"/>
              <w:spacing w:before="0" w:beforeAutospacing="0" w:after="0" w:afterAutospacing="0" w:line="360" w:lineRule="auto"/>
              <w:ind w:left="0" w:right="0" w:firstLine="482"/>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表2</w:t>
            </w:r>
            <w:r>
              <w:rPr>
                <w:rFonts w:hint="default" w:ascii="Times New Roman" w:hAnsi="Times New Roman" w:eastAsia="宋体" w:cs="Times New Roman"/>
                <w:b/>
                <w:bCs/>
                <w:color w:val="auto"/>
                <w:sz w:val="24"/>
                <w:lang w:val="en-US" w:eastAsia="zh-CN"/>
              </w:rPr>
              <w:t>.3</w:t>
            </w:r>
            <w:r>
              <w:rPr>
                <w:rFonts w:hint="default" w:ascii="Times New Roman" w:hAnsi="Times New Roman" w:eastAsia="宋体" w:cs="Times New Roman"/>
                <w:b/>
                <w:bCs/>
                <w:color w:val="auto"/>
                <w:sz w:val="24"/>
              </w:rPr>
              <w:t>-4  生物质颗粒燃料成分表</w:t>
            </w:r>
          </w:p>
          <w:tbl>
            <w:tblPr>
              <w:tblStyle w:val="3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0"/>
              <w:gridCol w:w="3798"/>
            </w:tblGrid>
            <w:tr w14:paraId="38DB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741" w:type="pct"/>
                  <w:noWrap w:val="0"/>
                  <w:vAlign w:val="center"/>
                </w:tcPr>
                <w:p w14:paraId="42321DCA">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检测项目</w:t>
                  </w:r>
                </w:p>
              </w:tc>
              <w:tc>
                <w:tcPr>
                  <w:tcW w:w="2258" w:type="pct"/>
                  <w:noWrap w:val="0"/>
                  <w:vAlign w:val="center"/>
                </w:tcPr>
                <w:p w14:paraId="30783C2D">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检测结果</w:t>
                  </w:r>
                </w:p>
              </w:tc>
            </w:tr>
            <w:tr w14:paraId="664BA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741" w:type="pct"/>
                  <w:noWrap w:val="0"/>
                  <w:vAlign w:val="center"/>
                </w:tcPr>
                <w:p w14:paraId="17832606">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全水分(Mt%)</w:t>
                  </w:r>
                </w:p>
              </w:tc>
              <w:tc>
                <w:tcPr>
                  <w:tcW w:w="2258" w:type="pct"/>
                  <w:noWrap w:val="0"/>
                  <w:vAlign w:val="center"/>
                </w:tcPr>
                <w:p w14:paraId="76B87E2D">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4.7</w:t>
                  </w:r>
                </w:p>
              </w:tc>
            </w:tr>
            <w:tr w14:paraId="412D7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741" w:type="pct"/>
                  <w:noWrap w:val="0"/>
                  <w:vAlign w:val="center"/>
                </w:tcPr>
                <w:p w14:paraId="4C9090F7">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空干基灰分(Aad%)</w:t>
                  </w:r>
                </w:p>
              </w:tc>
              <w:tc>
                <w:tcPr>
                  <w:tcW w:w="2258" w:type="pct"/>
                  <w:noWrap w:val="0"/>
                  <w:vAlign w:val="center"/>
                </w:tcPr>
                <w:p w14:paraId="21B12E48">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4.56</w:t>
                  </w:r>
                </w:p>
              </w:tc>
            </w:tr>
            <w:tr w14:paraId="27DF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741" w:type="pct"/>
                  <w:noWrap w:val="0"/>
                  <w:vAlign w:val="center"/>
                </w:tcPr>
                <w:p w14:paraId="6DF6DC4C">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空干基挥发分（Vad%）</w:t>
                  </w:r>
                </w:p>
              </w:tc>
              <w:tc>
                <w:tcPr>
                  <w:tcW w:w="2258" w:type="pct"/>
                  <w:noWrap w:val="0"/>
                  <w:vAlign w:val="center"/>
                </w:tcPr>
                <w:p w14:paraId="4E59B6D8">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76.48</w:t>
                  </w:r>
                </w:p>
              </w:tc>
            </w:tr>
            <w:tr w14:paraId="60EE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741" w:type="pct"/>
                  <w:noWrap w:val="0"/>
                  <w:vAlign w:val="center"/>
                </w:tcPr>
                <w:p w14:paraId="2E75F4CD">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空干基固定碳（FCad%）</w:t>
                  </w:r>
                </w:p>
              </w:tc>
              <w:tc>
                <w:tcPr>
                  <w:tcW w:w="2258" w:type="pct"/>
                  <w:noWrap w:val="0"/>
                  <w:vAlign w:val="center"/>
                </w:tcPr>
                <w:p w14:paraId="4F1A2E32">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17.88</w:t>
                  </w:r>
                </w:p>
              </w:tc>
            </w:tr>
            <w:tr w14:paraId="3D3A8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741" w:type="pct"/>
                  <w:noWrap w:val="0"/>
                  <w:vAlign w:val="center"/>
                </w:tcPr>
                <w:p w14:paraId="557A0969">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空干基全硫(St,ad%)</w:t>
                  </w:r>
                </w:p>
              </w:tc>
              <w:tc>
                <w:tcPr>
                  <w:tcW w:w="2258" w:type="pct"/>
                  <w:noWrap w:val="0"/>
                  <w:vAlign w:val="center"/>
                </w:tcPr>
                <w:p w14:paraId="0291E50C">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0.02</w:t>
                  </w:r>
                </w:p>
              </w:tc>
            </w:tr>
            <w:tr w14:paraId="6ACE3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741" w:type="pct"/>
                  <w:noWrap w:val="0"/>
                  <w:vAlign w:val="center"/>
                </w:tcPr>
                <w:p w14:paraId="75079F53">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空干基高位发热量(Qgr,ad MJ/kg)</w:t>
                  </w:r>
                </w:p>
              </w:tc>
              <w:tc>
                <w:tcPr>
                  <w:tcW w:w="2258" w:type="pct"/>
                  <w:noWrap w:val="0"/>
                  <w:vAlign w:val="center"/>
                </w:tcPr>
                <w:p w14:paraId="2158D54C">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19.22</w:t>
                  </w:r>
                </w:p>
              </w:tc>
            </w:tr>
            <w:tr w14:paraId="68A7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741" w:type="pct"/>
                  <w:noWrap w:val="0"/>
                  <w:vAlign w:val="center"/>
                </w:tcPr>
                <w:p w14:paraId="5A47AB7B">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收到基恒容低位发热量(Qnet，v，ar MJ/kg)</w:t>
                  </w:r>
                </w:p>
              </w:tc>
              <w:tc>
                <w:tcPr>
                  <w:tcW w:w="2258" w:type="pct"/>
                  <w:noWrap w:val="0"/>
                  <w:vAlign w:val="center"/>
                </w:tcPr>
                <w:p w14:paraId="3CC21B3C">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17.24</w:t>
                  </w:r>
                </w:p>
              </w:tc>
            </w:tr>
            <w:tr w14:paraId="0955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2741" w:type="pct"/>
                  <w:noWrap w:val="0"/>
                  <w:vAlign w:val="center"/>
                </w:tcPr>
                <w:p w14:paraId="405590F4">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空干基氢</w:t>
                  </w:r>
                  <w:r>
                    <w:rPr>
                      <w:rFonts w:hint="default" w:ascii="Times New Roman" w:hAnsi="Times New Roman" w:eastAsia="宋体" w:cs="Times New Roman"/>
                      <w:color w:val="auto"/>
                      <w:lang w:val="en-US" w:eastAsia="zh-CN"/>
                    </w:rPr>
                    <w:t>元素</w:t>
                  </w:r>
                  <w:r>
                    <w:rPr>
                      <w:rFonts w:hint="default" w:ascii="Times New Roman" w:hAnsi="Times New Roman" w:eastAsia="宋体" w:cs="Times New Roman"/>
                      <w:color w:val="auto"/>
                    </w:rPr>
                    <w:t>(Had %)</w:t>
                  </w:r>
                </w:p>
              </w:tc>
              <w:tc>
                <w:tcPr>
                  <w:tcW w:w="2258" w:type="pct"/>
                  <w:noWrap w:val="0"/>
                  <w:vAlign w:val="center"/>
                </w:tcPr>
                <w:p w14:paraId="5FAAAFC8">
                  <w:pPr>
                    <w:keepNext w:val="0"/>
                    <w:keepLines w:val="0"/>
                    <w:suppressLineNumbers w:val="0"/>
                    <w:kinsoku w:val="0"/>
                    <w:overflowPunct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5.88</w:t>
                  </w:r>
                </w:p>
              </w:tc>
            </w:tr>
          </w:tbl>
          <w:p w14:paraId="497A6577">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项目锅炉主要用于提供生产用热能，生物质蒸汽锅炉燃</w:t>
            </w:r>
            <w:r>
              <w:rPr>
                <w:rFonts w:hint="default" w:ascii="Times New Roman" w:hAnsi="Times New Roman" w:eastAsia="宋体" w:cs="Times New Roman"/>
                <w:color w:val="auto"/>
                <w:sz w:val="24"/>
                <w:lang w:val="en-US" w:eastAsia="zh-CN"/>
              </w:rPr>
              <w:t>料</w:t>
            </w:r>
            <w:r>
              <w:rPr>
                <w:rFonts w:hint="default" w:ascii="Times New Roman" w:hAnsi="Times New Roman" w:eastAsia="宋体" w:cs="Times New Roman"/>
                <w:color w:val="auto"/>
                <w:sz w:val="24"/>
              </w:rPr>
              <w:t>用量根据《环境统计手册》进行计算，其计算方法如下</w:t>
            </w:r>
            <w:r>
              <w:rPr>
                <w:rFonts w:hint="default" w:ascii="Times New Roman" w:hAnsi="Times New Roman" w:eastAsia="宋体" w:cs="Times New Roman"/>
                <w:color w:val="auto"/>
                <w:sz w:val="24"/>
                <w:lang w:eastAsia="zh-CN"/>
              </w:rPr>
              <w:t>：</w:t>
            </w:r>
          </w:p>
          <w:p w14:paraId="5E11479E">
            <w:pPr>
              <w:keepNext w:val="0"/>
              <w:keepLines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position w:val="-30"/>
                <w:sz w:val="24"/>
              </w:rPr>
              <w:object>
                <v:shape id="_x0000_i1025" o:spt="75" type="#_x0000_t75" style="height:34pt;width:74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p>
          <w:p w14:paraId="7D993FD8">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式中</w:t>
            </w:r>
            <w:r>
              <w:rPr>
                <w:rFonts w:hint="default" w:ascii="Times New Roman" w:hAnsi="Times New Roman" w:eastAsia="宋体" w:cs="Times New Roman"/>
                <w:color w:val="auto"/>
                <w:sz w:val="24"/>
                <w:lang w:val="en-US" w:eastAsia="zh-CN"/>
              </w:rPr>
              <w:t>:B-</w:t>
            </w:r>
            <w:r>
              <w:rPr>
                <w:rFonts w:hint="default" w:ascii="Times New Roman" w:hAnsi="Times New Roman" w:eastAsia="宋体" w:cs="Times New Roman"/>
                <w:color w:val="auto"/>
                <w:sz w:val="24"/>
              </w:rPr>
              <w:t>锅炉燃科耗量</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单位kg</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h</w:t>
            </w:r>
            <w:r>
              <w:rPr>
                <w:rFonts w:hint="default" w:ascii="Times New Roman" w:hAnsi="Times New Roman" w:eastAsia="宋体" w:cs="Times New Roman"/>
                <w:color w:val="auto"/>
                <w:sz w:val="24"/>
                <w:lang w:eastAsia="zh-CN"/>
              </w:rPr>
              <w:t>）；</w:t>
            </w:r>
          </w:p>
          <w:p w14:paraId="528ABE47">
            <w:pPr>
              <w:keepNext w:val="0"/>
              <w:keepLines w:val="0"/>
              <w:numPr>
                <w:ilvl w:val="0"/>
                <w:numId w:val="3"/>
              </w:numPr>
              <w:suppressLineNumbers w:val="0"/>
              <w:autoSpaceDE w:val="0"/>
              <w:autoSpaceDN w:val="0"/>
              <w:spacing w:before="0" w:beforeAutospacing="0" w:after="0" w:afterAutospacing="0" w:line="360" w:lineRule="auto"/>
              <w:ind w:left="0" w:right="0" w:firstLine="720" w:firstLineChars="3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锅炉产气量</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单位kg</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h</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，本项目锅炉为</w:t>
            </w:r>
            <w:r>
              <w:rPr>
                <w:rFonts w:hint="default" w:ascii="Times New Roman" w:hAnsi="Times New Roman" w:eastAsia="宋体" w:cs="Times New Roman"/>
                <w:color w:val="auto"/>
                <w:sz w:val="24"/>
                <w:lang w:val="en-US" w:eastAsia="zh-CN"/>
              </w:rPr>
              <w:t>1050</w:t>
            </w:r>
            <w:r>
              <w:rPr>
                <w:rFonts w:hint="default" w:ascii="Times New Roman" w:hAnsi="Times New Roman" w:eastAsia="宋体" w:cs="Times New Roman"/>
                <w:color w:val="auto"/>
                <w:sz w:val="24"/>
              </w:rPr>
              <w:t>0</w:t>
            </w:r>
            <w:r>
              <w:rPr>
                <w:rFonts w:hint="default" w:ascii="Times New Roman" w:hAnsi="Times New Roman" w:eastAsia="宋体" w:cs="Times New Roman"/>
                <w:color w:val="auto"/>
                <w:sz w:val="24"/>
                <w:lang w:val="en-US" w:eastAsia="zh-CN"/>
              </w:rPr>
              <w:t>kg/h；</w:t>
            </w:r>
          </w:p>
          <w:p w14:paraId="213FCAA6">
            <w:pPr>
              <w:keepNext w:val="0"/>
              <w:keepLines w:val="0"/>
              <w:numPr>
                <w:ilvl w:val="0"/>
                <w:numId w:val="0"/>
              </w:numPr>
              <w:suppressLineNumbers w:val="0"/>
              <w:autoSpaceDE w:val="0"/>
              <w:autoSpaceDN w:val="0"/>
              <w:spacing w:before="0" w:beforeAutospacing="0" w:after="0" w:afterAutospacing="0" w:line="360" w:lineRule="auto"/>
              <w:ind w:left="0" w:right="0" w:firstLine="720" w:firstLineChars="3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QL</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燃料的低位发热值</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单位kg</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h</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，根据生物质厂家提供的检测报告可知，生物质燃料的低位发热值为</w:t>
            </w:r>
            <w:r>
              <w:rPr>
                <w:rFonts w:hint="default" w:ascii="Times New Roman" w:hAnsi="Times New Roman" w:eastAsia="宋体" w:cs="Times New Roman"/>
                <w:color w:val="auto"/>
                <w:sz w:val="24"/>
                <w:lang w:val="en-US" w:eastAsia="zh-CN"/>
              </w:rPr>
              <w:t>17240</w:t>
            </w:r>
            <w:r>
              <w:rPr>
                <w:rFonts w:hint="default" w:ascii="Times New Roman" w:hAnsi="Times New Roman" w:eastAsia="宋体" w:cs="Times New Roman"/>
                <w:color w:val="auto"/>
                <w:sz w:val="24"/>
              </w:rPr>
              <w:t>kJ</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kg</w:t>
            </w:r>
            <w:r>
              <w:rPr>
                <w:rFonts w:hint="default" w:ascii="Times New Roman" w:hAnsi="Times New Roman" w:eastAsia="宋体" w:cs="Times New Roman"/>
                <w:color w:val="auto"/>
                <w:sz w:val="24"/>
                <w:lang w:eastAsia="zh-CN"/>
              </w:rPr>
              <w:t>；</w:t>
            </w:r>
          </w:p>
          <w:p w14:paraId="0489C6FF">
            <w:pPr>
              <w:keepNext w:val="0"/>
              <w:keepLines w:val="0"/>
              <w:suppressLineNumbers w:val="0"/>
              <w:autoSpaceDE w:val="0"/>
              <w:autoSpaceDN w:val="0"/>
              <w:spacing w:before="0" w:beforeAutospacing="0" w:after="0" w:afterAutospacing="0" w:line="360" w:lineRule="auto"/>
              <w:ind w:left="0" w:right="0" w:firstLine="720" w:firstLineChars="3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val="en-US" w:eastAsia="zh-CN"/>
              </w:rPr>
              <w:t>η-</w:t>
            </w:r>
            <w:r>
              <w:rPr>
                <w:rFonts w:hint="default" w:ascii="Times New Roman" w:hAnsi="Times New Roman" w:eastAsia="宋体" w:cs="Times New Roman"/>
                <w:color w:val="auto"/>
                <w:sz w:val="24"/>
              </w:rPr>
              <w:t>锅炉的热效率，项目锅炉热效率为</w:t>
            </w:r>
            <w:r>
              <w:rPr>
                <w:rFonts w:hint="default" w:ascii="Times New Roman" w:hAnsi="Times New Roman" w:eastAsia="宋体" w:cs="Times New Roman"/>
                <w:color w:val="auto"/>
                <w:sz w:val="24"/>
                <w:lang w:val="en-US" w:eastAsia="zh-CN"/>
              </w:rPr>
              <w:t>81.5</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w:t>
            </w:r>
          </w:p>
          <w:p w14:paraId="70998637">
            <w:pPr>
              <w:keepNext w:val="0"/>
              <w:keepLines w:val="0"/>
              <w:suppressLineNumbers w:val="0"/>
              <w:autoSpaceDE w:val="0"/>
              <w:autoSpaceDN w:val="0"/>
              <w:spacing w:before="0" w:beforeAutospacing="0" w:after="0" w:afterAutospacing="0" w:line="360" w:lineRule="auto"/>
              <w:ind w:left="0" w:right="0" w:firstLine="720" w:firstLineChars="300"/>
              <w:rPr>
                <w:rFonts w:hint="default" w:ascii="Times New Roman" w:hAnsi="Times New Roman" w:eastAsia="宋体" w:cs="Times New Roman"/>
                <w:color w:val="auto"/>
                <w:sz w:val="24"/>
                <w:vertAlign w:val="superscript"/>
                <w:lang w:val="en-US" w:eastAsia="zh-CN"/>
              </w:rPr>
            </w:pPr>
            <w:r>
              <w:rPr>
                <w:rFonts w:hint="default" w:ascii="Times New Roman" w:hAnsi="Times New Roman" w:eastAsia="宋体" w:cs="Times New Roman"/>
                <w:color w:val="auto"/>
                <w:sz w:val="24"/>
                <w:lang w:val="en-US" w:eastAsia="zh-CN"/>
              </w:rPr>
              <w:t>i</w:t>
            </w:r>
            <w:r>
              <w:rPr>
                <w:rFonts w:hint="default" w:ascii="Times New Roman" w:hAnsi="Times New Roman" w:eastAsia="宋体" w:cs="Times New Roman"/>
                <w:color w:val="auto"/>
                <w:sz w:val="24"/>
                <w:vertAlign w:val="superscript"/>
                <w:lang w:val="en-US" w:eastAsia="zh-CN"/>
              </w:rPr>
              <w:t>‘’</w:t>
            </w:r>
            <w:r>
              <w:rPr>
                <w:rFonts w:hint="default" w:ascii="Times New Roman" w:hAnsi="Times New Roman" w:eastAsia="宋体" w:cs="Times New Roman"/>
                <w:color w:val="auto"/>
                <w:sz w:val="24"/>
                <w:vertAlign w:val="baseline"/>
                <w:lang w:val="en-US" w:eastAsia="zh-CN"/>
              </w:rPr>
              <w:t>-</w:t>
            </w:r>
            <w:r>
              <w:rPr>
                <w:rFonts w:hint="default" w:ascii="Times New Roman" w:hAnsi="Times New Roman" w:eastAsia="宋体" w:cs="Times New Roman"/>
                <w:color w:val="auto"/>
                <w:sz w:val="24"/>
                <w:lang w:val="en-US" w:eastAsia="zh-CN"/>
              </w:rPr>
              <w:t>锅炉在绝对工作压力下的饱和蒸汽热焓值，单位kJ/kg；项目锅炉额定蒸汽压力1.6Mpa，查蒸汽焓值表得饱和蒸汽焓值2792.2kJ/kg；</w:t>
            </w:r>
          </w:p>
          <w:p w14:paraId="2A6482F7">
            <w:pPr>
              <w:keepNext w:val="0"/>
              <w:keepLines w:val="0"/>
              <w:suppressLineNumbers w:val="0"/>
              <w:autoSpaceDE w:val="0"/>
              <w:autoSpaceDN w:val="0"/>
              <w:spacing w:before="0" w:beforeAutospacing="0" w:after="0" w:afterAutospacing="0" w:line="360" w:lineRule="auto"/>
              <w:ind w:left="0" w:right="0" w:firstLine="720" w:firstLineChars="300"/>
              <w:rPr>
                <w:rFonts w:hint="default" w:ascii="Times New Roman" w:hAnsi="Times New Roman" w:eastAsia="宋体" w:cs="Times New Roman"/>
                <w:color w:val="auto"/>
                <w:sz w:val="24"/>
                <w:vertAlign w:val="baseline"/>
                <w:lang w:val="en-US" w:eastAsia="zh-CN"/>
              </w:rPr>
            </w:pPr>
            <w:r>
              <w:rPr>
                <w:rFonts w:hint="default" w:ascii="Times New Roman" w:hAnsi="Times New Roman" w:eastAsia="宋体" w:cs="Times New Roman"/>
                <w:color w:val="auto"/>
                <w:sz w:val="24"/>
                <w:vertAlign w:val="baseline"/>
                <w:lang w:val="en-US" w:eastAsia="zh-CN"/>
              </w:rPr>
              <w:t>I’-锅炉给水焓值，单位</w:t>
            </w:r>
            <w:r>
              <w:rPr>
                <w:rFonts w:hint="default" w:ascii="Times New Roman" w:hAnsi="Times New Roman" w:eastAsia="宋体" w:cs="Times New Roman"/>
                <w:color w:val="auto"/>
                <w:sz w:val="24"/>
                <w:lang w:val="en-US" w:eastAsia="zh-CN"/>
              </w:rPr>
              <w:t>kJ/kg；</w:t>
            </w:r>
            <w:r>
              <w:rPr>
                <w:rFonts w:hint="default" w:ascii="Times New Roman" w:hAnsi="Times New Roman" w:eastAsia="宋体" w:cs="Times New Roman"/>
                <w:color w:val="auto"/>
                <w:sz w:val="24"/>
                <w:vertAlign w:val="baseline"/>
                <w:lang w:val="en-US" w:eastAsia="zh-CN"/>
              </w:rPr>
              <w:t>常规锅炉给水温度取20℃，锅炉给水</w:t>
            </w:r>
            <w:r>
              <w:rPr>
                <w:rFonts w:hint="default" w:ascii="Times New Roman" w:hAnsi="Times New Roman" w:eastAsia="宋体" w:cs="Times New Roman"/>
                <w:color w:val="auto"/>
                <w:sz w:val="24"/>
                <w:lang w:val="en-US" w:eastAsia="zh-CN"/>
              </w:rPr>
              <w:t>焓值为20℃×4.18kJ/kg℃=83.6kJ/kg</w:t>
            </w:r>
            <w:r>
              <w:rPr>
                <w:rFonts w:hint="default" w:ascii="Times New Roman" w:hAnsi="Times New Roman" w:eastAsia="宋体" w:cs="Times New Roman"/>
                <w:color w:val="auto"/>
                <w:sz w:val="24"/>
                <w:vertAlign w:val="baseline"/>
                <w:lang w:val="en-US" w:eastAsia="zh-CN"/>
              </w:rPr>
              <w:t>。</w:t>
            </w:r>
          </w:p>
          <w:p w14:paraId="4EEDCE46">
            <w:pPr>
              <w:keepNext w:val="0"/>
              <w:keepLines w:val="0"/>
              <w:suppressLineNumbers w:val="0"/>
              <w:autoSpaceDE w:val="0"/>
              <w:autoSpaceDN w:val="0"/>
              <w:spacing w:before="0" w:beforeAutospacing="0" w:after="0" w:afterAutospacing="0" w:line="360" w:lineRule="auto"/>
              <w:ind w:left="0" w:right="0" w:firstLine="720" w:firstLineChars="300"/>
              <w:rPr>
                <w:rFonts w:hint="default" w:ascii="Times New Roman" w:hAnsi="Times New Roman" w:eastAsia="宋体" w:cs="Times New Roman"/>
                <w:color w:val="auto"/>
                <w:sz w:val="24"/>
                <w:vertAlign w:val="baseline"/>
                <w:lang w:val="en-US" w:eastAsia="zh-CN"/>
              </w:rPr>
            </w:pPr>
            <w:r>
              <w:rPr>
                <w:rFonts w:hint="default" w:ascii="Times New Roman" w:hAnsi="Times New Roman" w:eastAsia="宋体" w:cs="Times New Roman"/>
                <w:color w:val="auto"/>
                <w:sz w:val="24"/>
                <w:vertAlign w:val="baseline"/>
                <w:lang w:val="en-US" w:eastAsia="zh-CN"/>
              </w:rPr>
              <w:t>B=10500*（2792.2-83.6）/（17240*0.815）=2024.13kg/h</w:t>
            </w:r>
          </w:p>
          <w:p w14:paraId="31A4F3CC">
            <w:pPr>
              <w:keepNext w:val="0"/>
              <w:keepLines w:val="0"/>
              <w:suppressLineNumbers w:val="0"/>
              <w:spacing w:before="0" w:beforeAutospacing="0" w:after="0" w:afterAutospacing="0" w:line="360" w:lineRule="auto"/>
              <w:ind w:left="0" w:right="0" w:firstLine="482"/>
              <w:jc w:val="left"/>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rPr>
              <w:t>经以上公式及锅炉参数计算得出，本项目锅炉满负荷运行时生物质燃料用量为</w:t>
            </w:r>
            <w:r>
              <w:rPr>
                <w:rFonts w:hint="default" w:ascii="Times New Roman" w:hAnsi="Times New Roman" w:eastAsia="宋体" w:cs="Times New Roman"/>
                <w:color w:val="auto"/>
                <w:sz w:val="24"/>
                <w:lang w:val="en-US" w:eastAsia="zh-CN"/>
              </w:rPr>
              <w:t>2024.13</w:t>
            </w:r>
            <w:r>
              <w:rPr>
                <w:rFonts w:hint="default" w:ascii="Times New Roman" w:hAnsi="Times New Roman" w:eastAsia="宋体" w:cs="Times New Roman"/>
                <w:color w:val="auto"/>
                <w:sz w:val="24"/>
              </w:rPr>
              <w:t>kg</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h，</w:t>
            </w:r>
            <w:r>
              <w:rPr>
                <w:rFonts w:hint="default" w:ascii="Times New Roman" w:hAnsi="Times New Roman" w:eastAsia="宋体" w:cs="Times New Roman"/>
                <w:color w:val="auto"/>
                <w:sz w:val="24"/>
                <w:lang w:val="en-US" w:eastAsia="zh-CN"/>
              </w:rPr>
              <w:t>14573.74</w:t>
            </w:r>
            <w:r>
              <w:rPr>
                <w:rFonts w:hint="default" w:ascii="Times New Roman" w:hAnsi="Times New Roman" w:eastAsia="宋体" w:cs="Times New Roman"/>
                <w:color w:val="auto"/>
                <w:sz w:val="24"/>
              </w:rPr>
              <w:t>t</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a</w:t>
            </w:r>
          </w:p>
          <w:p w14:paraId="451D32AF">
            <w:pPr>
              <w:pStyle w:val="91"/>
              <w:keepNext w:val="0"/>
              <w:keepLines w:val="0"/>
              <w:suppressLineNumbers w:val="0"/>
              <w:spacing w:before="0" w:beforeAutospacing="0" w:after="0" w:afterAutospacing="0"/>
              <w:ind w:left="0" w:right="0" w:firstLine="482"/>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lang w:val="en-US" w:eastAsia="zh-CN"/>
              </w:rPr>
              <w:t>②</w:t>
            </w:r>
            <w:r>
              <w:rPr>
                <w:rFonts w:hint="default" w:ascii="Times New Roman" w:hAnsi="Times New Roman" w:eastAsia="宋体" w:cs="Times New Roman"/>
                <w:color w:val="auto"/>
                <w:szCs w:val="24"/>
              </w:rPr>
              <w:t>离子交换树脂：</w:t>
            </w:r>
            <w:r>
              <w:rPr>
                <w:rFonts w:hint="default" w:ascii="Times New Roman" w:hAnsi="Times New Roman" w:eastAsia="宋体" w:cs="Times New Roman"/>
                <w:b w:val="0"/>
                <w:bCs/>
                <w:color w:val="auto"/>
                <w:szCs w:val="24"/>
              </w:rPr>
              <w:t>是带有官能团</w:t>
            </w:r>
            <w:r>
              <w:rPr>
                <w:rFonts w:hint="default" w:ascii="Times New Roman" w:hAnsi="Times New Roman" w:eastAsia="宋体" w:cs="Times New Roman"/>
                <w:b w:val="0"/>
                <w:bCs/>
                <w:color w:val="auto"/>
                <w:szCs w:val="24"/>
                <w:lang w:eastAsia="zh-CN"/>
              </w:rPr>
              <w:t>（</w:t>
            </w:r>
            <w:r>
              <w:rPr>
                <w:rFonts w:hint="default" w:ascii="Times New Roman" w:hAnsi="Times New Roman" w:eastAsia="宋体" w:cs="Times New Roman"/>
                <w:b w:val="0"/>
                <w:bCs/>
                <w:color w:val="auto"/>
                <w:szCs w:val="24"/>
              </w:rPr>
              <w:t>有交换离子的活性基团</w:t>
            </w:r>
            <w:r>
              <w:rPr>
                <w:rFonts w:hint="default" w:ascii="Times New Roman" w:hAnsi="Times New Roman" w:eastAsia="宋体" w:cs="Times New Roman"/>
                <w:b w:val="0"/>
                <w:bCs/>
                <w:color w:val="auto"/>
                <w:szCs w:val="24"/>
                <w:lang w:eastAsia="zh-CN"/>
              </w:rPr>
              <w:t>）</w:t>
            </w:r>
            <w:r>
              <w:rPr>
                <w:rFonts w:hint="default" w:ascii="Times New Roman" w:hAnsi="Times New Roman" w:eastAsia="宋体" w:cs="Times New Roman"/>
                <w:b w:val="0"/>
                <w:bCs/>
                <w:color w:val="auto"/>
                <w:szCs w:val="24"/>
              </w:rPr>
              <w:t>、具有网状结构、不溶性的</w:t>
            </w:r>
            <w:r>
              <w:rPr>
                <w:rFonts w:hint="default" w:ascii="Times New Roman" w:hAnsi="Times New Roman" w:eastAsia="宋体" w:cs="Times New Roman"/>
                <w:b w:val="0"/>
                <w:bCs/>
                <w:color w:val="auto"/>
                <w:szCs w:val="24"/>
              </w:rPr>
              <w:fldChar w:fldCharType="begin"/>
            </w:r>
            <w:r>
              <w:rPr>
                <w:rFonts w:hint="default" w:ascii="Times New Roman" w:hAnsi="Times New Roman" w:eastAsia="宋体" w:cs="Times New Roman"/>
                <w:b w:val="0"/>
                <w:bCs/>
                <w:color w:val="auto"/>
                <w:szCs w:val="24"/>
              </w:rPr>
              <w:instrText xml:space="preserve"> HYPERLINK "https://baike.so.com/doc/6178432-6391676.html" \t "https://baike.so.com/doc/_blank" </w:instrText>
            </w:r>
            <w:r>
              <w:rPr>
                <w:rFonts w:hint="default" w:ascii="Times New Roman" w:hAnsi="Times New Roman" w:eastAsia="宋体" w:cs="Times New Roman"/>
                <w:b w:val="0"/>
                <w:bCs/>
                <w:color w:val="auto"/>
                <w:szCs w:val="24"/>
              </w:rPr>
              <w:fldChar w:fldCharType="separate"/>
            </w:r>
            <w:r>
              <w:rPr>
                <w:rFonts w:hint="default" w:ascii="Times New Roman" w:hAnsi="Times New Roman" w:eastAsia="宋体" w:cs="Times New Roman"/>
                <w:b w:val="0"/>
                <w:bCs/>
                <w:color w:val="auto"/>
                <w:szCs w:val="24"/>
              </w:rPr>
              <w:t>高分子化合物</w:t>
            </w:r>
            <w:r>
              <w:rPr>
                <w:rFonts w:hint="default" w:ascii="Times New Roman" w:hAnsi="Times New Roman" w:eastAsia="宋体" w:cs="Times New Roman"/>
                <w:b w:val="0"/>
                <w:bCs/>
                <w:color w:val="auto"/>
                <w:szCs w:val="24"/>
              </w:rPr>
              <w:fldChar w:fldCharType="end"/>
            </w:r>
            <w:r>
              <w:rPr>
                <w:rFonts w:hint="default" w:ascii="Times New Roman" w:hAnsi="Times New Roman" w:eastAsia="宋体" w:cs="Times New Roman"/>
                <w:b w:val="0"/>
                <w:bCs/>
                <w:color w:val="auto"/>
                <w:szCs w:val="24"/>
              </w:rPr>
              <w:t>。通常是球形颗粒物。离子交换树脂的全名称由分类名称、骨架</w:t>
            </w:r>
            <w:r>
              <w:rPr>
                <w:rFonts w:hint="default" w:ascii="Times New Roman" w:hAnsi="Times New Roman" w:eastAsia="宋体" w:cs="Times New Roman"/>
                <w:b w:val="0"/>
                <w:bCs/>
                <w:color w:val="auto"/>
                <w:szCs w:val="24"/>
                <w:lang w:eastAsia="zh-CN"/>
              </w:rPr>
              <w:t>（</w:t>
            </w:r>
            <w:r>
              <w:rPr>
                <w:rFonts w:hint="default" w:ascii="Times New Roman" w:hAnsi="Times New Roman" w:eastAsia="宋体" w:cs="Times New Roman"/>
                <w:b w:val="0"/>
                <w:bCs/>
                <w:color w:val="auto"/>
                <w:szCs w:val="24"/>
              </w:rPr>
              <w:t>或基因</w:t>
            </w:r>
            <w:r>
              <w:rPr>
                <w:rFonts w:hint="default" w:ascii="Times New Roman" w:hAnsi="Times New Roman" w:eastAsia="宋体" w:cs="Times New Roman"/>
                <w:b w:val="0"/>
                <w:bCs/>
                <w:color w:val="auto"/>
                <w:szCs w:val="24"/>
                <w:lang w:eastAsia="zh-CN"/>
              </w:rPr>
              <w:t>）</w:t>
            </w:r>
            <w:r>
              <w:rPr>
                <w:rFonts w:hint="default" w:ascii="Times New Roman" w:hAnsi="Times New Roman" w:eastAsia="宋体" w:cs="Times New Roman"/>
                <w:b w:val="0"/>
                <w:bCs/>
                <w:color w:val="auto"/>
                <w:szCs w:val="24"/>
              </w:rPr>
              <w:t>名称、基本名称组成。</w:t>
            </w:r>
          </w:p>
          <w:p w14:paraId="67577CC6">
            <w:pPr>
              <w:pStyle w:val="9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482" w:firstLineChars="200"/>
              <w:textAlignment w:val="baseline"/>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4</w:t>
            </w:r>
            <w:r>
              <w:rPr>
                <w:rFonts w:hint="default" w:ascii="Times New Roman" w:hAnsi="Times New Roman" w:eastAsia="宋体" w:cs="Times New Roman"/>
                <w:b/>
                <w:bCs/>
                <w:color w:val="auto"/>
                <w:szCs w:val="24"/>
                <w:lang w:eastAsia="zh-CN"/>
              </w:rPr>
              <w:t>、</w:t>
            </w:r>
            <w:r>
              <w:rPr>
                <w:rFonts w:hint="default" w:ascii="Times New Roman" w:hAnsi="Times New Roman" w:eastAsia="宋体" w:cs="Times New Roman"/>
                <w:b/>
                <w:bCs/>
                <w:color w:val="auto"/>
                <w:szCs w:val="24"/>
              </w:rPr>
              <w:t>水平衡</w:t>
            </w:r>
          </w:p>
          <w:p w14:paraId="318099D2">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1）用水和产、排污情况</w:t>
            </w:r>
          </w:p>
          <w:p w14:paraId="5EE554B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项目运营期排水主要包括锅炉清净水、树脂再生沖洗废水。本次改建工程，锅炉房人员由原有项目锅炉房人员</w:t>
            </w:r>
            <w:r>
              <w:rPr>
                <w:rFonts w:hint="default" w:ascii="Times New Roman" w:hAnsi="Times New Roman" w:eastAsia="宋体" w:cs="Times New Roman"/>
                <w:color w:val="auto"/>
                <w:sz w:val="24"/>
                <w:lang w:val="en-US" w:eastAsia="zh-CN"/>
              </w:rPr>
              <w:t>负责</w:t>
            </w:r>
            <w:r>
              <w:rPr>
                <w:rFonts w:hint="default" w:ascii="Times New Roman" w:hAnsi="Times New Roman" w:eastAsia="宋体" w:cs="Times New Roman"/>
                <w:color w:val="auto"/>
                <w:sz w:val="24"/>
              </w:rPr>
              <w:t>，不新增劳动定员。锅炉房人员生活污水已在</w:t>
            </w:r>
            <w:r>
              <w:rPr>
                <w:rFonts w:hint="default" w:ascii="Times New Roman" w:hAnsi="Times New Roman" w:eastAsia="宋体" w:cs="Times New Roman"/>
                <w:color w:val="auto"/>
                <w:sz w:val="24"/>
                <w:lang w:val="en-US" w:eastAsia="zh-CN"/>
              </w:rPr>
              <w:t>原有项目</w:t>
            </w:r>
            <w:r>
              <w:rPr>
                <w:rFonts w:hint="default" w:ascii="Times New Roman" w:hAnsi="Times New Roman" w:eastAsia="宋体" w:cs="Times New Roman"/>
                <w:color w:val="auto"/>
                <w:sz w:val="24"/>
              </w:rPr>
              <w:t>中核算，该报告人员生活污水已于2022年6月验收。因此本次不核算锅炉房人员的生活污水。</w:t>
            </w:r>
          </w:p>
          <w:p w14:paraId="16AAF11E">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rPr>
              <w:t>①</w:t>
            </w:r>
            <w:r>
              <w:rPr>
                <w:rFonts w:hint="default" w:ascii="Times New Roman" w:hAnsi="Times New Roman" w:eastAsia="宋体" w:cs="Times New Roman"/>
                <w:b/>
                <w:bCs/>
                <w:color w:val="auto"/>
                <w:sz w:val="24"/>
                <w:lang w:val="en-US" w:eastAsia="zh-CN"/>
              </w:rPr>
              <w:t>冷凝水</w:t>
            </w:r>
          </w:p>
          <w:p w14:paraId="646311E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项目使用一台</w:t>
            </w:r>
            <w:r>
              <w:rPr>
                <w:rFonts w:hint="default" w:ascii="Times New Roman" w:hAnsi="Times New Roman" w:eastAsia="宋体" w:cs="Times New Roman"/>
                <w:color w:val="auto"/>
                <w:sz w:val="24"/>
                <w:lang w:val="en-US" w:eastAsia="zh-CN"/>
              </w:rPr>
              <w:t>10.5</w:t>
            </w:r>
            <w:r>
              <w:rPr>
                <w:rFonts w:hint="default" w:ascii="Times New Roman" w:hAnsi="Times New Roman" w:eastAsia="宋体" w:cs="Times New Roman"/>
                <w:color w:val="auto"/>
                <w:sz w:val="24"/>
              </w:rPr>
              <w:t>t/h</w:t>
            </w:r>
            <w:r>
              <w:rPr>
                <w:rFonts w:hint="default" w:ascii="Times New Roman" w:hAnsi="Times New Roman" w:eastAsia="宋体" w:cs="Times New Roman"/>
                <w:color w:val="auto"/>
                <w:sz w:val="24"/>
                <w:lang w:val="en-US" w:eastAsia="zh-CN"/>
              </w:rPr>
              <w:t>生物质</w:t>
            </w:r>
            <w:r>
              <w:rPr>
                <w:rFonts w:hint="default" w:ascii="Times New Roman" w:hAnsi="Times New Roman" w:eastAsia="宋体" w:cs="Times New Roman"/>
                <w:color w:val="auto"/>
                <w:sz w:val="24"/>
              </w:rPr>
              <w:t>锅炉进行供热，锅炉年运行300d，每天24h。根据</w:t>
            </w:r>
            <w:r>
              <w:rPr>
                <w:rFonts w:hint="default" w:ascii="Times New Roman" w:hAnsi="Times New Roman" w:eastAsia="宋体" w:cs="Times New Roman"/>
                <w:color w:val="auto"/>
                <w:sz w:val="24"/>
                <w:lang w:val="en-US" w:eastAsia="zh-CN"/>
              </w:rPr>
              <w:t>企业实际运营情况，</w:t>
            </w:r>
            <w:r>
              <w:rPr>
                <w:rFonts w:hint="default" w:ascii="Times New Roman" w:hAnsi="Times New Roman" w:eastAsia="宋体" w:cs="Times New Roman"/>
                <w:color w:val="auto"/>
                <w:sz w:val="24"/>
              </w:rPr>
              <w:t>管道汽水损失一般为</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左右，则管道汽水损失量为</w:t>
            </w:r>
            <w:r>
              <w:rPr>
                <w:rFonts w:hint="default" w:ascii="Times New Roman" w:hAnsi="Times New Roman" w:eastAsia="宋体" w:cs="Times New Roman"/>
                <w:color w:val="auto"/>
                <w:sz w:val="24"/>
                <w:lang w:val="en-US" w:eastAsia="zh-CN"/>
              </w:rPr>
              <w:t>0.315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/h（</w:t>
            </w:r>
            <w:r>
              <w:rPr>
                <w:rFonts w:hint="default" w:ascii="Times New Roman" w:hAnsi="Times New Roman" w:eastAsia="宋体" w:cs="Times New Roman"/>
                <w:color w:val="auto"/>
                <w:sz w:val="24"/>
                <w:lang w:val="en-US" w:eastAsia="zh-CN"/>
              </w:rPr>
              <w:t>7.56</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/d，</w:t>
            </w:r>
            <w:r>
              <w:rPr>
                <w:rFonts w:hint="default" w:ascii="Times New Roman" w:hAnsi="Times New Roman" w:eastAsia="宋体" w:cs="Times New Roman"/>
                <w:color w:val="auto"/>
                <w:sz w:val="24"/>
                <w:lang w:val="en-US" w:eastAsia="zh-CN"/>
              </w:rPr>
              <w:t>2268</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w:t>
            </w:r>
          </w:p>
          <w:p w14:paraId="42205F85">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锅炉正常</w:t>
            </w:r>
            <w:r>
              <w:rPr>
                <w:rFonts w:hint="default" w:ascii="Times New Roman" w:hAnsi="Times New Roman" w:eastAsia="宋体" w:cs="Times New Roman"/>
                <w:color w:val="auto"/>
                <w:sz w:val="24"/>
              </w:rPr>
              <w:t>运行期间所</w:t>
            </w:r>
            <w:r>
              <w:rPr>
                <w:rFonts w:hint="default" w:ascii="Times New Roman" w:hAnsi="Times New Roman" w:eastAsia="宋体" w:cs="Times New Roman"/>
                <w:color w:val="auto"/>
                <w:sz w:val="24"/>
                <w:lang w:val="en-US" w:eastAsia="zh-CN"/>
              </w:rPr>
              <w:t>产</w:t>
            </w:r>
            <w:r>
              <w:rPr>
                <w:rFonts w:hint="default" w:ascii="Times New Roman" w:hAnsi="Times New Roman" w:eastAsia="宋体" w:cs="Times New Roman"/>
                <w:color w:val="auto"/>
                <w:sz w:val="24"/>
              </w:rPr>
              <w:t>蒸汽量为</w:t>
            </w:r>
            <w:r>
              <w:rPr>
                <w:rFonts w:hint="default" w:ascii="Times New Roman" w:hAnsi="Times New Roman" w:eastAsia="宋体" w:cs="Times New Roman"/>
                <w:color w:val="auto"/>
                <w:sz w:val="24"/>
                <w:lang w:val="en-US" w:eastAsia="zh-CN"/>
              </w:rPr>
              <w:t>252</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/d，锅炉汽水损失量为</w:t>
            </w:r>
            <w:r>
              <w:rPr>
                <w:rFonts w:hint="default" w:ascii="Times New Roman" w:hAnsi="Times New Roman" w:eastAsia="宋体" w:cs="Times New Roman"/>
                <w:color w:val="auto"/>
                <w:sz w:val="24"/>
                <w:lang w:val="en-US" w:eastAsia="zh-CN"/>
              </w:rPr>
              <w:t>7.56</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/d。提供蒸汽过程中蒸汽没有与物料直接接触，提供蒸汽过程中蒸汽没有与物料直接接触，冷凝水没有受到污染，可以回用于锅炉，锅炉蒸汽冷凝水产生量为</w:t>
            </w:r>
            <w:r>
              <w:rPr>
                <w:rFonts w:hint="default" w:ascii="Times New Roman" w:hAnsi="Times New Roman" w:eastAsia="宋体" w:cs="Times New Roman"/>
                <w:color w:val="auto"/>
                <w:sz w:val="24"/>
                <w:lang w:val="en-US" w:eastAsia="zh-CN"/>
              </w:rPr>
              <w:t>244.44</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/d</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73332m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vertAlign w:val="baseline"/>
                <w:lang w:val="en-US" w:eastAsia="zh-CN"/>
              </w:rPr>
              <w:t>/a</w:t>
            </w:r>
            <w:r>
              <w:rPr>
                <w:rFonts w:hint="default" w:ascii="Times New Roman" w:hAnsi="Times New Roman" w:eastAsia="宋体" w:cs="Times New Roman"/>
                <w:color w:val="auto"/>
                <w:sz w:val="24"/>
              </w:rPr>
              <w:t>。锅炉蒸汽冷凝水全部回用；锅炉清净下水进入厂区综合污水处理站处理后</w:t>
            </w:r>
            <w:r>
              <w:rPr>
                <w:rFonts w:hint="default" w:ascii="Times New Roman" w:hAnsi="Times New Roman" w:eastAsia="宋体" w:cs="Times New Roman"/>
                <w:color w:val="auto"/>
                <w:sz w:val="24"/>
                <w:lang w:val="en-US" w:eastAsia="zh-CN"/>
              </w:rPr>
              <w:t>达标后回用生产，废水不外排</w:t>
            </w:r>
            <w:r>
              <w:rPr>
                <w:rFonts w:hint="default" w:ascii="Times New Roman" w:hAnsi="Times New Roman" w:eastAsia="宋体" w:cs="Times New Roman"/>
                <w:color w:val="auto"/>
                <w:sz w:val="24"/>
              </w:rPr>
              <w:t>。</w:t>
            </w:r>
          </w:p>
          <w:p w14:paraId="5072D61F">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②</w:t>
            </w:r>
            <w:r>
              <w:rPr>
                <w:rFonts w:hint="default" w:ascii="Times New Roman" w:hAnsi="Times New Roman" w:eastAsia="宋体" w:cs="Times New Roman"/>
                <w:b/>
                <w:bCs/>
                <w:color w:val="auto"/>
                <w:sz w:val="24"/>
              </w:rPr>
              <w:t>锅炉强排水和软化</w:t>
            </w:r>
            <w:r>
              <w:rPr>
                <w:rFonts w:hint="default" w:ascii="Times New Roman" w:hAnsi="Times New Roman" w:eastAsia="宋体" w:cs="Times New Roman"/>
                <w:b/>
                <w:bCs/>
                <w:color w:val="auto"/>
                <w:sz w:val="24"/>
                <w:lang w:val="en-US" w:eastAsia="zh-CN"/>
              </w:rPr>
              <w:t>水</w:t>
            </w:r>
            <w:r>
              <w:rPr>
                <w:rFonts w:hint="default" w:ascii="Times New Roman" w:hAnsi="Times New Roman" w:eastAsia="宋体" w:cs="Times New Roman"/>
                <w:b/>
                <w:bCs/>
                <w:color w:val="auto"/>
                <w:sz w:val="24"/>
              </w:rPr>
              <w:t>排水</w:t>
            </w:r>
          </w:p>
          <w:p w14:paraId="08647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本项目生物质锅炉排污水及软水制备废水参照中华人民共和国生态环境部2021年6月11日发布的《排放源统计调查产排污核算方法和系数手册》公告（公告2021年第24号）中4430 工业锅炉（热力生产和供应行业）产排污系数表－工业废水量和“化学需氧量”中生物质工业锅炉的产排污系数进行计算，产排污系数见表 2.3-5。</w:t>
            </w:r>
          </w:p>
          <w:p w14:paraId="0A3EC772">
            <w:pPr>
              <w:pStyle w:val="149"/>
              <w:keepNext w:val="0"/>
              <w:keepLines w:val="0"/>
              <w:suppressLineNumbers w:val="0"/>
              <w:spacing w:before="0" w:beforeLines="0" w:beforeAutospacing="0" w:after="0" w:afterLines="0" w:afterAutospacing="0"/>
              <w:ind w:left="0" w:right="0"/>
              <w:rPr>
                <w:rFonts w:hint="default" w:ascii="Times New Roman" w:hAnsi="Times New Roman" w:eastAsia="宋体" w:cs="Times New Roman"/>
                <w:b/>
                <w:color w:val="auto"/>
                <w:sz w:val="24"/>
                <w:szCs w:val="20"/>
                <w:lang w:val="en-US" w:eastAsia="zh-CN"/>
              </w:rPr>
            </w:pPr>
            <w:r>
              <w:rPr>
                <w:rFonts w:hint="default" w:ascii="Times New Roman" w:hAnsi="Times New Roman" w:eastAsia="宋体" w:cs="Times New Roman"/>
                <w:b/>
                <w:color w:val="auto"/>
                <w:sz w:val="24"/>
                <w:szCs w:val="20"/>
                <w:lang w:val="en-US" w:eastAsia="zh-CN"/>
              </w:rPr>
              <w:t>表 2.3-5   工业锅炉（热力生产和供应行业）生产排污系数表</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81"/>
              <w:gridCol w:w="1075"/>
              <w:gridCol w:w="1018"/>
              <w:gridCol w:w="987"/>
              <w:gridCol w:w="1223"/>
              <w:gridCol w:w="2552"/>
            </w:tblGrid>
            <w:tr w14:paraId="6456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 w:type="pct"/>
                  <w:noWrap w:val="0"/>
                  <w:vAlign w:val="center"/>
                </w:tcPr>
                <w:p w14:paraId="20409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产品名称</w:t>
                  </w:r>
                </w:p>
              </w:tc>
              <w:tc>
                <w:tcPr>
                  <w:tcW w:w="464" w:type="pct"/>
                  <w:noWrap w:val="0"/>
                  <w:vAlign w:val="center"/>
                </w:tcPr>
                <w:p w14:paraId="1B4B4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原料名称</w:t>
                  </w:r>
                </w:p>
              </w:tc>
              <w:tc>
                <w:tcPr>
                  <w:tcW w:w="639" w:type="pct"/>
                  <w:noWrap w:val="0"/>
                  <w:vAlign w:val="center"/>
                </w:tcPr>
                <w:p w14:paraId="31BCD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工艺名称</w:t>
                  </w:r>
                </w:p>
              </w:tc>
              <w:tc>
                <w:tcPr>
                  <w:tcW w:w="605" w:type="pct"/>
                  <w:noWrap w:val="0"/>
                  <w:vAlign w:val="center"/>
                </w:tcPr>
                <w:p w14:paraId="0AA0C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规模等级</w:t>
                  </w:r>
                </w:p>
              </w:tc>
              <w:tc>
                <w:tcPr>
                  <w:tcW w:w="587" w:type="pct"/>
                  <w:noWrap w:val="0"/>
                  <w:vAlign w:val="center"/>
                </w:tcPr>
                <w:p w14:paraId="19202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污染物指标</w:t>
                  </w:r>
                </w:p>
              </w:tc>
              <w:tc>
                <w:tcPr>
                  <w:tcW w:w="727" w:type="pct"/>
                  <w:noWrap w:val="0"/>
                  <w:vAlign w:val="center"/>
                </w:tcPr>
                <w:p w14:paraId="0AF099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单位</w:t>
                  </w:r>
                </w:p>
              </w:tc>
              <w:tc>
                <w:tcPr>
                  <w:tcW w:w="1517" w:type="pct"/>
                  <w:noWrap w:val="0"/>
                  <w:vAlign w:val="center"/>
                </w:tcPr>
                <w:p w14:paraId="6DE97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产污系数</w:t>
                  </w:r>
                </w:p>
              </w:tc>
            </w:tr>
            <w:tr w14:paraId="5434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8" w:type="pct"/>
                  <w:vMerge w:val="restart"/>
                  <w:noWrap w:val="0"/>
                  <w:vAlign w:val="center"/>
                </w:tcPr>
                <w:p w14:paraId="33EC30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蒸汽/热水/其他</w:t>
                  </w:r>
                </w:p>
              </w:tc>
              <w:tc>
                <w:tcPr>
                  <w:tcW w:w="464" w:type="pct"/>
                  <w:vMerge w:val="restart"/>
                  <w:noWrap w:val="0"/>
                  <w:vAlign w:val="center"/>
                </w:tcPr>
                <w:p w14:paraId="26C1B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生物质</w:t>
                  </w:r>
                </w:p>
              </w:tc>
              <w:tc>
                <w:tcPr>
                  <w:tcW w:w="639" w:type="pct"/>
                  <w:vMerge w:val="restart"/>
                  <w:noWrap w:val="0"/>
                  <w:vAlign w:val="center"/>
                </w:tcPr>
                <w:p w14:paraId="64340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全部类型锅炉（炉外水处理）</w:t>
                  </w:r>
                </w:p>
              </w:tc>
              <w:tc>
                <w:tcPr>
                  <w:tcW w:w="605" w:type="pct"/>
                  <w:vMerge w:val="restart"/>
                  <w:noWrap w:val="0"/>
                  <w:vAlign w:val="center"/>
                </w:tcPr>
                <w:p w14:paraId="7C478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所有规模</w:t>
                  </w:r>
                </w:p>
              </w:tc>
              <w:tc>
                <w:tcPr>
                  <w:tcW w:w="587" w:type="pct"/>
                  <w:noWrap w:val="0"/>
                  <w:vAlign w:val="center"/>
                </w:tcPr>
                <w:p w14:paraId="7CB93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工业废水量</w:t>
                  </w:r>
                </w:p>
              </w:tc>
              <w:tc>
                <w:tcPr>
                  <w:tcW w:w="727" w:type="pct"/>
                  <w:noWrap w:val="0"/>
                  <w:vAlign w:val="center"/>
                </w:tcPr>
                <w:p w14:paraId="333CE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吨/吨－原料</w:t>
                  </w:r>
                </w:p>
              </w:tc>
              <w:tc>
                <w:tcPr>
                  <w:tcW w:w="1517" w:type="pct"/>
                  <w:noWrap w:val="0"/>
                  <w:vAlign w:val="center"/>
                </w:tcPr>
                <w:p w14:paraId="5D38B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0.356（0.259锅炉排污水+0.097软水处理废水）</w:t>
                  </w:r>
                </w:p>
              </w:tc>
            </w:tr>
            <w:tr w14:paraId="47D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vMerge w:val="continue"/>
                  <w:noWrap w:val="0"/>
                  <w:vAlign w:val="center"/>
                </w:tcPr>
                <w:p w14:paraId="6A51D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464" w:type="pct"/>
                  <w:vMerge w:val="continue"/>
                  <w:noWrap w:val="0"/>
                  <w:vAlign w:val="center"/>
                </w:tcPr>
                <w:p w14:paraId="2539F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639" w:type="pct"/>
                  <w:vMerge w:val="continue"/>
                  <w:noWrap w:val="0"/>
                  <w:vAlign w:val="center"/>
                </w:tcPr>
                <w:p w14:paraId="2DECC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605" w:type="pct"/>
                  <w:vMerge w:val="continue"/>
                  <w:noWrap w:val="0"/>
                  <w:vAlign w:val="center"/>
                </w:tcPr>
                <w:p w14:paraId="3A2E07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587" w:type="pct"/>
                  <w:noWrap w:val="0"/>
                  <w:vAlign w:val="center"/>
                </w:tcPr>
                <w:p w14:paraId="25B5F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化学需氧量</w:t>
                  </w:r>
                </w:p>
              </w:tc>
              <w:tc>
                <w:tcPr>
                  <w:tcW w:w="727" w:type="pct"/>
                  <w:noWrap w:val="0"/>
                  <w:vAlign w:val="center"/>
                </w:tcPr>
                <w:p w14:paraId="355F5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克/吨-原料</w:t>
                  </w:r>
                </w:p>
              </w:tc>
              <w:tc>
                <w:tcPr>
                  <w:tcW w:w="1517" w:type="pct"/>
                  <w:noWrap w:val="0"/>
                  <w:vAlign w:val="center"/>
                </w:tcPr>
                <w:p w14:paraId="1E7626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r>
          </w:tbl>
          <w:p w14:paraId="588DD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锅炉每年运行时间为300天，每天运行24小时；项目区10.5t/h生物质锅炉满负荷运行时生物质燃料总用量为</w:t>
            </w:r>
            <w:r>
              <w:rPr>
                <w:rFonts w:hint="eastAsia" w:cs="Times New Roman"/>
                <w:color w:val="auto"/>
                <w:sz w:val="24"/>
                <w:szCs w:val="24"/>
                <w:lang w:val="en-US" w:eastAsia="zh-CN"/>
              </w:rPr>
              <w:t>14573.74</w:t>
            </w:r>
            <w:r>
              <w:rPr>
                <w:rFonts w:hint="default" w:ascii="Times New Roman" w:hAnsi="Times New Roman" w:eastAsia="宋体" w:cs="Times New Roman"/>
                <w:color w:val="auto"/>
                <w:sz w:val="24"/>
                <w:szCs w:val="24"/>
                <w:lang w:val="en-US" w:eastAsia="zh-CN"/>
              </w:rPr>
              <w:t>t/a。</w:t>
            </w:r>
          </w:p>
          <w:p w14:paraId="0D5D3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A、锅炉排污水</w:t>
            </w:r>
          </w:p>
          <w:p w14:paraId="318A0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1台锅炉在运行过程中，由于不断地蒸发、浓缩，水的含盐量不断地增加。为了保持炉水的质量和排除锅炉底部的泥渣、水垢等杂质，需定期对锅炉进行排污，即定期排污。根据上表可知，锅炉工业废水量锅炉排污水0.259吨/吨－原料，则锅炉排污水0.5</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eastAsia" w:cs="Times New Roman"/>
                <w:color w:val="auto"/>
                <w:sz w:val="24"/>
                <w:szCs w:val="24"/>
                <w:lang w:val="en-US" w:eastAsia="zh-CN"/>
              </w:rPr>
              <w:t>12.58</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eastAsia" w:cs="Times New Roman"/>
                <w:color w:val="auto"/>
                <w:sz w:val="24"/>
                <w:szCs w:val="24"/>
                <w:lang w:val="en-US" w:eastAsia="zh-CN"/>
              </w:rPr>
              <w:t>3774.6</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p>
          <w:p w14:paraId="6C1737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B、软水制备废水</w:t>
            </w:r>
          </w:p>
          <w:p w14:paraId="0E134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szCs w:val="24"/>
                <w:lang w:val="en-US" w:eastAsia="zh-CN"/>
              </w:rPr>
              <w:t>项目设有1套软水制备系统，软水制备系统需要每天进行反冲洗和再生，会产生一定的废水。根据上表可知，锅炉工业废水量软水制备废水0.097吨/吨－原料，则锅炉软水制备废水量为0.2m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eastAsia" w:cs="Times New Roman"/>
                <w:color w:val="auto"/>
                <w:sz w:val="24"/>
                <w:szCs w:val="24"/>
                <w:lang w:val="en-US" w:eastAsia="zh-CN"/>
              </w:rPr>
              <w:t>4.71</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eastAsia" w:cs="Times New Roman"/>
                <w:color w:val="auto"/>
                <w:sz w:val="24"/>
                <w:szCs w:val="24"/>
                <w:lang w:val="en-US" w:eastAsia="zh-CN"/>
              </w:rPr>
              <w:t>1413.65</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p>
          <w:p w14:paraId="0359F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综上，项目锅炉软水制备耗水量为0.2m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eastAsia" w:cs="Times New Roman"/>
                <w:color w:val="auto"/>
                <w:sz w:val="24"/>
                <w:szCs w:val="24"/>
                <w:lang w:val="en-US" w:eastAsia="zh-CN"/>
              </w:rPr>
              <w:t>4.71</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eastAsia" w:cs="Times New Roman"/>
                <w:color w:val="auto"/>
                <w:sz w:val="24"/>
                <w:szCs w:val="24"/>
                <w:lang w:val="en-US" w:eastAsia="zh-CN"/>
              </w:rPr>
              <w:t>1413.65</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/a，锅炉蒸汽用水量为10.5m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vertAlign w:val="baseline"/>
                <w:lang w:val="en-US" w:eastAsia="zh-CN"/>
              </w:rPr>
              <w:t>/h，252</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vertAlign w:val="baseline"/>
                <w:lang w:val="en-US" w:eastAsia="zh-CN"/>
              </w:rPr>
              <w:t>75600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/a，其中</w:t>
            </w:r>
            <w:r>
              <w:rPr>
                <w:rFonts w:hint="default" w:ascii="Times New Roman" w:hAnsi="Times New Roman" w:eastAsia="宋体" w:cs="Times New Roman"/>
                <w:color w:val="auto"/>
                <w:sz w:val="24"/>
              </w:rPr>
              <w:t>锅炉管道汽水损失</w:t>
            </w:r>
            <w:r>
              <w:rPr>
                <w:rFonts w:hint="default" w:ascii="Times New Roman" w:hAnsi="Times New Roman" w:eastAsia="宋体" w:cs="Times New Roman"/>
                <w:color w:val="auto"/>
                <w:sz w:val="24"/>
                <w:lang w:val="en-US" w:eastAsia="zh-CN"/>
              </w:rPr>
              <w:t>为</w:t>
            </w:r>
            <w:r>
              <w:rPr>
                <w:rFonts w:hint="eastAsia" w:cs="Times New Roman"/>
                <w:color w:val="auto"/>
                <w:sz w:val="24"/>
                <w:lang w:val="en-US" w:eastAsia="zh-CN"/>
              </w:rPr>
              <w:t>7.56</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/d，</w:t>
            </w:r>
            <w:r>
              <w:rPr>
                <w:rFonts w:hint="eastAsia" w:cs="Times New Roman"/>
                <w:color w:val="auto"/>
                <w:sz w:val="24"/>
                <w:lang w:val="en-US" w:eastAsia="zh-CN"/>
              </w:rPr>
              <w:t>2268</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4"/>
                <w:lang w:val="en-US" w:eastAsia="zh-CN"/>
              </w:rPr>
              <w:t>冷凝水</w:t>
            </w:r>
            <w:r>
              <w:rPr>
                <w:rFonts w:hint="default" w:ascii="Times New Roman" w:hAnsi="Times New Roman" w:eastAsia="宋体" w:cs="Times New Roman"/>
                <w:color w:val="auto"/>
                <w:sz w:val="24"/>
                <w:lang w:val="en-US" w:eastAsia="zh-CN"/>
              </w:rPr>
              <w:t>244.44</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/d</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73332m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vertAlign w:val="baseline"/>
                <w:lang w:val="en-US" w:eastAsia="zh-CN"/>
              </w:rPr>
              <w:t>/a。综上所述锅炉及软水制备用水量为</w:t>
            </w:r>
            <w:r>
              <w:rPr>
                <w:rFonts w:hint="eastAsia" w:cs="Times New Roman"/>
                <w:color w:val="auto"/>
                <w:sz w:val="24"/>
                <w:vertAlign w:val="baseline"/>
                <w:lang w:val="en-US" w:eastAsia="zh-CN"/>
              </w:rPr>
              <w:t>24.85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/d，</w:t>
            </w:r>
            <w:r>
              <w:rPr>
                <w:rFonts w:hint="eastAsia" w:cs="Times New Roman"/>
                <w:color w:val="auto"/>
                <w:sz w:val="24"/>
                <w:lang w:val="en-US" w:eastAsia="zh-CN"/>
              </w:rPr>
              <w:t>7455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w:t>
            </w:r>
            <w:r>
              <w:rPr>
                <w:rFonts w:hint="default" w:ascii="Times New Roman" w:hAnsi="Times New Roman" w:eastAsia="宋体" w:cs="Times New Roman"/>
                <w:color w:val="auto"/>
                <w:sz w:val="24"/>
                <w:lang w:eastAsia="zh-CN"/>
              </w:rPr>
              <w:t>。</w:t>
            </w:r>
          </w:p>
          <w:p w14:paraId="406B03D4">
            <w:pPr>
              <w:keepNext w:val="0"/>
              <w:keepLines w:val="0"/>
              <w:numPr>
                <w:ilvl w:val="0"/>
                <w:numId w:val="4"/>
              </w:numPr>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水量平衡图</w:t>
            </w:r>
          </w:p>
          <w:p w14:paraId="5C902D0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object>
                <v:shape id="_x0000_i1026" o:spt="75" type="#_x0000_t75" style="height:174.55pt;width:345.65pt;" o:ole="t" filled="f" o:preferrelative="t" stroked="f" coordsize="21600,21600">
                  <v:path/>
                  <v:fill on="f" focussize="0,0"/>
                  <v:stroke on="f"/>
                  <v:imagedata r:id="rId13" o:title=""/>
                  <o:lock v:ext="edit" aspectratio="f"/>
                  <w10:wrap type="none"/>
                  <w10:anchorlock/>
                </v:shape>
                <o:OLEObject Type="Embed" ProgID="Visio.Drawing.11" ShapeID="_x0000_i1026" DrawAspect="Content" ObjectID="_1468075726" r:id="rId12">
                  <o:LockedField>false</o:LockedField>
                </o:OLEObject>
              </w:object>
            </w:r>
          </w:p>
          <w:p w14:paraId="66B8549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Cs w:val="21"/>
                <w:highlight w:val="green"/>
              </w:rPr>
            </w:pPr>
            <w:r>
              <w:rPr>
                <w:rFonts w:hint="default" w:ascii="Times New Roman" w:hAnsi="Times New Roman" w:eastAsia="宋体" w:cs="Times New Roman"/>
                <w:b/>
                <w:bCs/>
                <w:color w:val="auto"/>
                <w:szCs w:val="21"/>
                <w:highlight w:val="none"/>
              </w:rPr>
              <w:t>图2.</w:t>
            </w:r>
            <w:r>
              <w:rPr>
                <w:rFonts w:hint="default" w:ascii="Times New Roman" w:hAnsi="Times New Roman" w:eastAsia="宋体" w:cs="Times New Roman"/>
                <w:b/>
                <w:bCs/>
                <w:color w:val="auto"/>
                <w:szCs w:val="21"/>
                <w:highlight w:val="none"/>
                <w:lang w:val="en-US" w:eastAsia="zh-CN"/>
              </w:rPr>
              <w:t>3</w:t>
            </w:r>
            <w:r>
              <w:rPr>
                <w:rFonts w:hint="default" w:ascii="Times New Roman" w:hAnsi="Times New Roman" w:eastAsia="宋体" w:cs="Times New Roman"/>
                <w:b/>
                <w:bCs/>
                <w:color w:val="auto"/>
                <w:szCs w:val="21"/>
                <w:highlight w:val="none"/>
              </w:rPr>
              <w:t xml:space="preserve">-1   </w:t>
            </w:r>
            <w:r>
              <w:rPr>
                <w:rFonts w:hint="default" w:ascii="Times New Roman" w:hAnsi="Times New Roman" w:eastAsia="宋体" w:cs="Times New Roman"/>
                <w:b/>
                <w:bCs/>
                <w:color w:val="auto"/>
                <w:szCs w:val="21"/>
                <w:highlight w:val="none"/>
                <w:lang w:val="en-US" w:eastAsia="zh-CN"/>
              </w:rPr>
              <w:t>项目</w:t>
            </w:r>
            <w:r>
              <w:rPr>
                <w:rFonts w:hint="default" w:ascii="Times New Roman" w:hAnsi="Times New Roman" w:eastAsia="宋体" w:cs="Times New Roman"/>
                <w:b/>
                <w:bCs/>
                <w:color w:val="auto"/>
                <w:szCs w:val="21"/>
                <w:highlight w:val="none"/>
              </w:rPr>
              <w:t>水量平衡图（单位：m</w:t>
            </w:r>
            <w:r>
              <w:rPr>
                <w:rFonts w:hint="default" w:ascii="Times New Roman" w:hAnsi="Times New Roman" w:eastAsia="宋体" w:cs="Times New Roman"/>
                <w:b/>
                <w:bCs/>
                <w:color w:val="auto"/>
                <w:szCs w:val="21"/>
                <w:highlight w:val="none"/>
                <w:vertAlign w:val="superscript"/>
              </w:rPr>
              <w:t>3</w:t>
            </w:r>
            <w:r>
              <w:rPr>
                <w:rFonts w:hint="default" w:ascii="Times New Roman" w:hAnsi="Times New Roman" w:eastAsia="宋体" w:cs="Times New Roman"/>
                <w:b/>
                <w:bCs/>
                <w:color w:val="auto"/>
                <w:szCs w:val="21"/>
                <w:highlight w:val="none"/>
              </w:rPr>
              <w:t>/d）</w:t>
            </w:r>
          </w:p>
          <w:p w14:paraId="3DE6BE7B">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、劳动定员及工作制度</w:t>
            </w:r>
          </w:p>
          <w:p w14:paraId="1660B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劳动定员</w:t>
            </w:r>
          </w:p>
          <w:p w14:paraId="50C3D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本次改建工程，锅炉房人员由原有项目锅炉房人员调配，原有项目锅炉房人员为3人，不新增劳动定员。</w:t>
            </w:r>
          </w:p>
          <w:p w14:paraId="71B06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2、</w:t>
            </w:r>
            <w:r>
              <w:rPr>
                <w:rFonts w:hint="default" w:ascii="Times New Roman" w:hAnsi="Times New Roman" w:eastAsia="宋体" w:cs="Times New Roman"/>
                <w:b/>
                <w:bCs/>
                <w:color w:val="auto"/>
                <w:sz w:val="24"/>
              </w:rPr>
              <w:t>工作制度</w:t>
            </w:r>
          </w:p>
          <w:p w14:paraId="61D9C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本次改建工程工作天数、工作制度不变。生产时间为300天，三班制，每班8小时。</w:t>
            </w:r>
          </w:p>
          <w:p w14:paraId="32278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3、</w:t>
            </w:r>
            <w:r>
              <w:rPr>
                <w:rFonts w:hint="default" w:ascii="Times New Roman" w:hAnsi="Times New Roman" w:eastAsia="宋体" w:cs="Times New Roman"/>
                <w:b/>
                <w:bCs/>
                <w:color w:val="auto"/>
                <w:sz w:val="24"/>
              </w:rPr>
              <w:t>建设工期</w:t>
            </w:r>
          </w:p>
          <w:p w14:paraId="46AAA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改建项目现尚未开工建设，项目拟于202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8</w:t>
            </w:r>
            <w:r>
              <w:rPr>
                <w:rFonts w:hint="default" w:ascii="Times New Roman" w:hAnsi="Times New Roman" w:eastAsia="宋体" w:cs="Times New Roman"/>
                <w:color w:val="auto"/>
                <w:sz w:val="24"/>
              </w:rPr>
              <w:t>月开工建设，202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9</w:t>
            </w:r>
            <w:r>
              <w:rPr>
                <w:rFonts w:hint="default" w:ascii="Times New Roman" w:hAnsi="Times New Roman" w:eastAsia="宋体" w:cs="Times New Roman"/>
                <w:color w:val="auto"/>
                <w:sz w:val="24"/>
              </w:rPr>
              <w:t>月底竣工。施工工期共</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个月。</w:t>
            </w:r>
          </w:p>
          <w:p w14:paraId="31ACA589">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五</w:t>
            </w:r>
            <w:r>
              <w:rPr>
                <w:rFonts w:hint="default" w:ascii="Times New Roman" w:hAnsi="Times New Roman" w:eastAsia="宋体" w:cs="Times New Roman"/>
                <w:b/>
                <w:bCs/>
                <w:color w:val="auto"/>
                <w:sz w:val="24"/>
              </w:rPr>
              <w:t>、项目投资</w:t>
            </w:r>
          </w:p>
          <w:p w14:paraId="3DD2227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rPr>
              <w:t>项目总投资为</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00万元，其中环保投资为</w:t>
            </w:r>
            <w:r>
              <w:rPr>
                <w:rFonts w:hint="default" w:ascii="Times New Roman" w:hAnsi="Times New Roman" w:eastAsia="宋体" w:cs="Times New Roman"/>
                <w:color w:val="auto"/>
                <w:sz w:val="24"/>
                <w:lang w:val="en-US" w:eastAsia="zh-CN"/>
              </w:rPr>
              <w:t>17</w:t>
            </w:r>
            <w:r>
              <w:rPr>
                <w:rFonts w:hint="default" w:ascii="Times New Roman" w:hAnsi="Times New Roman" w:eastAsia="宋体" w:cs="Times New Roman"/>
                <w:color w:val="auto"/>
                <w:sz w:val="24"/>
              </w:rPr>
              <w:t>万元，环保投资占总投资的</w:t>
            </w:r>
            <w:r>
              <w:rPr>
                <w:rFonts w:hint="default" w:ascii="Times New Roman" w:hAnsi="Times New Roman" w:eastAsia="宋体" w:cs="Times New Roman"/>
                <w:color w:val="auto"/>
                <w:sz w:val="24"/>
                <w:lang w:val="en-US" w:eastAsia="zh-CN"/>
              </w:rPr>
              <w:t>17</w:t>
            </w:r>
            <w:r>
              <w:rPr>
                <w:rFonts w:hint="default" w:ascii="Times New Roman" w:hAnsi="Times New Roman" w:eastAsia="宋体" w:cs="Times New Roman"/>
                <w:color w:val="auto"/>
                <w:sz w:val="24"/>
              </w:rPr>
              <w:t>%。环保投资情况详见下表。</w:t>
            </w:r>
          </w:p>
          <w:p w14:paraId="4AFB9530">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表2.</w:t>
            </w:r>
            <w:r>
              <w:rPr>
                <w:rFonts w:hint="default" w:ascii="Times New Roman" w:hAnsi="Times New Roman" w:eastAsia="宋体" w:cs="Times New Roman"/>
                <w:b/>
                <w:bCs/>
                <w:color w:val="auto"/>
                <w:szCs w:val="21"/>
                <w:lang w:val="en-US" w:eastAsia="zh-CN"/>
              </w:rPr>
              <w:t>5</w:t>
            </w:r>
            <w:r>
              <w:rPr>
                <w:rFonts w:hint="default" w:ascii="Times New Roman" w:hAnsi="Times New Roman" w:eastAsia="宋体" w:cs="Times New Roman"/>
                <w:b/>
                <w:bCs/>
                <w:color w:val="auto"/>
                <w:szCs w:val="21"/>
              </w:rPr>
              <w:t>-1   项目环保投资表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816"/>
              <w:gridCol w:w="1996"/>
              <w:gridCol w:w="1218"/>
              <w:gridCol w:w="1219"/>
            </w:tblGrid>
            <w:tr w14:paraId="3A5E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tcBorders>
                    <w:top w:val="single" w:color="auto" w:sz="4" w:space="0"/>
                    <w:left w:val="single" w:color="auto" w:sz="4" w:space="0"/>
                    <w:bottom w:val="single" w:color="auto" w:sz="4" w:space="0"/>
                    <w:right w:val="single" w:color="auto" w:sz="4" w:space="0"/>
                  </w:tcBorders>
                  <w:noWrap w:val="0"/>
                  <w:vAlign w:val="center"/>
                </w:tcPr>
                <w:p w14:paraId="43E2E64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bookmarkStart w:id="9" w:name="OLE_LINK8"/>
                  <w:r>
                    <w:rPr>
                      <w:rFonts w:hint="default" w:ascii="Times New Roman" w:hAnsi="Times New Roman" w:eastAsia="宋体" w:cs="Times New Roman"/>
                      <w:b/>
                      <w:bCs/>
                      <w:color w:val="auto"/>
                      <w:szCs w:val="21"/>
                    </w:rPr>
                    <w:t>治理类型</w:t>
                  </w:r>
                  <w:bookmarkEnd w:id="9"/>
                </w:p>
              </w:tc>
              <w:tc>
                <w:tcPr>
                  <w:tcW w:w="1673" w:type="pct"/>
                  <w:tcBorders>
                    <w:top w:val="single" w:color="auto" w:sz="4" w:space="0"/>
                    <w:left w:val="nil"/>
                    <w:bottom w:val="single" w:color="auto" w:sz="4" w:space="0"/>
                    <w:right w:val="single" w:color="auto" w:sz="4" w:space="0"/>
                  </w:tcBorders>
                  <w:noWrap w:val="0"/>
                  <w:vAlign w:val="center"/>
                </w:tcPr>
                <w:p w14:paraId="1E29A3B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环保设施</w:t>
                  </w:r>
                </w:p>
              </w:tc>
              <w:tc>
                <w:tcPr>
                  <w:tcW w:w="1186" w:type="pct"/>
                  <w:tcBorders>
                    <w:top w:val="single" w:color="auto" w:sz="4" w:space="0"/>
                    <w:left w:val="nil"/>
                    <w:bottom w:val="single" w:color="auto" w:sz="4" w:space="0"/>
                    <w:right w:val="single" w:color="auto" w:sz="4" w:space="0"/>
                  </w:tcBorders>
                  <w:noWrap w:val="0"/>
                  <w:vAlign w:val="center"/>
                </w:tcPr>
                <w:p w14:paraId="081392A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设置规模</w:t>
                  </w:r>
                </w:p>
              </w:tc>
              <w:tc>
                <w:tcPr>
                  <w:tcW w:w="723" w:type="pct"/>
                  <w:tcBorders>
                    <w:top w:val="single" w:color="auto" w:sz="4" w:space="0"/>
                    <w:left w:val="nil"/>
                    <w:bottom w:val="single" w:color="auto" w:sz="4" w:space="0"/>
                    <w:right w:val="single" w:color="auto" w:sz="4" w:space="0"/>
                  </w:tcBorders>
                  <w:noWrap w:val="0"/>
                  <w:vAlign w:val="center"/>
                </w:tcPr>
                <w:p w14:paraId="0BAA65B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投资(万元)</w:t>
                  </w:r>
                </w:p>
              </w:tc>
              <w:tc>
                <w:tcPr>
                  <w:tcW w:w="724" w:type="pct"/>
                  <w:tcBorders>
                    <w:top w:val="single" w:color="auto" w:sz="4" w:space="0"/>
                    <w:left w:val="nil"/>
                    <w:bottom w:val="single" w:color="auto" w:sz="4" w:space="0"/>
                    <w:right w:val="single" w:color="auto" w:sz="4" w:space="0"/>
                  </w:tcBorders>
                  <w:noWrap w:val="0"/>
                  <w:vAlign w:val="center"/>
                </w:tcPr>
                <w:p w14:paraId="3031EC9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备注</w:t>
                  </w:r>
                </w:p>
              </w:tc>
            </w:tr>
            <w:tr w14:paraId="4C2F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pct"/>
                  <w:vMerge w:val="restart"/>
                  <w:tcBorders>
                    <w:top w:val="nil"/>
                    <w:left w:val="single" w:color="auto" w:sz="4" w:space="0"/>
                    <w:bottom w:val="single" w:color="auto" w:sz="4" w:space="0"/>
                    <w:right w:val="single" w:color="auto" w:sz="4" w:space="0"/>
                  </w:tcBorders>
                  <w:noWrap w:val="0"/>
                  <w:vAlign w:val="center"/>
                </w:tcPr>
                <w:p w14:paraId="3AAA57F0">
                  <w:pPr>
                    <w:keepNext w:val="0"/>
                    <w:keepLines w:val="0"/>
                    <w:suppressLineNumbers w:val="0"/>
                    <w:spacing w:before="0" w:beforeAutospacing="0" w:after="0" w:afterAutospacing="0"/>
                    <w:ind w:left="0" w:right="0" w:firstLine="210" w:firstLineChars="10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w:t>
                  </w:r>
                </w:p>
              </w:tc>
              <w:tc>
                <w:tcPr>
                  <w:tcW w:w="1673" w:type="pct"/>
                  <w:tcBorders>
                    <w:top w:val="single" w:color="auto" w:sz="4" w:space="0"/>
                    <w:left w:val="nil"/>
                    <w:bottom w:val="single" w:color="auto" w:sz="4" w:space="0"/>
                    <w:right w:val="single" w:color="auto" w:sz="4" w:space="0"/>
                  </w:tcBorders>
                  <w:noWrap w:val="0"/>
                  <w:vAlign w:val="center"/>
                </w:tcPr>
                <w:p w14:paraId="147EE61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shd w:val="clear" w:color="auto" w:fill="FFFFFF"/>
                    </w:rPr>
                  </w:pPr>
                  <w:r>
                    <w:rPr>
                      <w:rFonts w:hint="default" w:ascii="Times New Roman" w:hAnsi="Times New Roman" w:eastAsia="宋体" w:cs="Times New Roman"/>
                      <w:color w:val="auto"/>
                      <w:szCs w:val="21"/>
                      <w:shd w:val="clear" w:color="auto" w:fill="FFFFFF"/>
                      <w:lang w:val="en-US" w:eastAsia="zh-CN"/>
                    </w:rPr>
                    <w:t>布袋除尘器</w:t>
                  </w:r>
                </w:p>
              </w:tc>
              <w:tc>
                <w:tcPr>
                  <w:tcW w:w="1186" w:type="pct"/>
                  <w:tcBorders>
                    <w:top w:val="single" w:color="auto" w:sz="4" w:space="0"/>
                    <w:left w:val="nil"/>
                    <w:bottom w:val="single" w:color="auto" w:sz="4" w:space="0"/>
                    <w:right w:val="single" w:color="auto" w:sz="4" w:space="0"/>
                  </w:tcBorders>
                  <w:noWrap w:val="0"/>
                  <w:vAlign w:val="center"/>
                </w:tcPr>
                <w:p w14:paraId="3A14BCC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Style w:val="105"/>
                      <w:rFonts w:hint="default" w:ascii="Times New Roman" w:hAnsi="Times New Roman" w:eastAsia="宋体" w:cs="Times New Roman"/>
                      <w:color w:val="auto"/>
                    </w:rPr>
                    <w:t>套</w:t>
                  </w:r>
                </w:p>
              </w:tc>
              <w:tc>
                <w:tcPr>
                  <w:tcW w:w="723" w:type="pct"/>
                  <w:tcBorders>
                    <w:top w:val="single" w:color="auto" w:sz="4" w:space="0"/>
                    <w:left w:val="nil"/>
                    <w:bottom w:val="single" w:color="auto" w:sz="4" w:space="0"/>
                    <w:right w:val="single" w:color="auto" w:sz="4" w:space="0"/>
                  </w:tcBorders>
                  <w:noWrap w:val="0"/>
                  <w:vAlign w:val="center"/>
                </w:tcPr>
                <w:p w14:paraId="33DD2DD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w:t>
                  </w:r>
                </w:p>
              </w:tc>
              <w:tc>
                <w:tcPr>
                  <w:tcW w:w="724" w:type="pct"/>
                  <w:tcBorders>
                    <w:top w:val="single" w:color="auto" w:sz="4" w:space="0"/>
                    <w:left w:val="nil"/>
                    <w:bottom w:val="single" w:color="auto" w:sz="4" w:space="0"/>
                    <w:right w:val="single" w:color="auto" w:sz="4" w:space="0"/>
                  </w:tcBorders>
                  <w:noWrap w:val="0"/>
                  <w:vAlign w:val="center"/>
                </w:tcPr>
                <w:p w14:paraId="424F683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新建</w:t>
                  </w:r>
                </w:p>
              </w:tc>
            </w:tr>
            <w:tr w14:paraId="4C2A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pct"/>
                  <w:vMerge w:val="continue"/>
                  <w:tcBorders>
                    <w:top w:val="nil"/>
                    <w:left w:val="single" w:color="auto" w:sz="4" w:space="0"/>
                    <w:bottom w:val="single" w:color="auto" w:sz="4" w:space="0"/>
                    <w:right w:val="single" w:color="auto" w:sz="4" w:space="0"/>
                  </w:tcBorders>
                  <w:noWrap w:val="0"/>
                  <w:vAlign w:val="center"/>
                </w:tcPr>
                <w:p w14:paraId="06D292D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1673" w:type="pct"/>
                  <w:tcBorders>
                    <w:top w:val="single" w:color="auto" w:sz="4" w:space="0"/>
                    <w:left w:val="nil"/>
                    <w:bottom w:val="single" w:color="auto" w:sz="4" w:space="0"/>
                    <w:right w:val="single" w:color="auto" w:sz="4" w:space="0"/>
                  </w:tcBorders>
                  <w:noWrap w:val="0"/>
                  <w:vAlign w:val="center"/>
                </w:tcPr>
                <w:p w14:paraId="44E5273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shd w:val="clear" w:color="auto" w:fill="FFFFFF"/>
                    </w:rPr>
                  </w:pPr>
                  <w:r>
                    <w:rPr>
                      <w:rFonts w:hint="default" w:ascii="Times New Roman" w:hAnsi="Times New Roman" w:eastAsia="宋体" w:cs="Times New Roman"/>
                      <w:color w:val="auto"/>
                      <w:szCs w:val="21"/>
                      <w:shd w:val="clear" w:color="auto" w:fill="FFFFFF"/>
                    </w:rPr>
                    <w:t>排气筒</w:t>
                  </w:r>
                </w:p>
              </w:tc>
              <w:tc>
                <w:tcPr>
                  <w:tcW w:w="1186" w:type="pct"/>
                  <w:tcBorders>
                    <w:top w:val="single" w:color="auto" w:sz="4" w:space="0"/>
                    <w:left w:val="nil"/>
                    <w:bottom w:val="single" w:color="auto" w:sz="4" w:space="0"/>
                    <w:right w:val="single" w:color="auto" w:sz="4" w:space="0"/>
                  </w:tcBorders>
                  <w:noWrap w:val="0"/>
                  <w:vAlign w:val="center"/>
                </w:tcPr>
                <w:p w14:paraId="72CA832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Style w:val="105"/>
                      <w:rFonts w:hint="default" w:ascii="Times New Roman" w:hAnsi="Times New Roman" w:eastAsia="宋体" w:cs="Times New Roman"/>
                      <w:color w:val="auto"/>
                    </w:rPr>
                    <w:t>1</w:t>
                  </w:r>
                  <w:r>
                    <w:rPr>
                      <w:rStyle w:val="105"/>
                      <w:rFonts w:hint="default" w:ascii="Times New Roman" w:hAnsi="Times New Roman" w:eastAsia="宋体" w:cs="Times New Roman"/>
                      <w:color w:val="auto"/>
                      <w:lang w:val="en-US" w:eastAsia="zh-CN"/>
                    </w:rPr>
                    <w:t>根40m高排气筒</w:t>
                  </w:r>
                </w:p>
              </w:tc>
              <w:tc>
                <w:tcPr>
                  <w:tcW w:w="723" w:type="pct"/>
                  <w:tcBorders>
                    <w:top w:val="single" w:color="auto" w:sz="4" w:space="0"/>
                    <w:left w:val="nil"/>
                    <w:bottom w:val="single" w:color="auto" w:sz="4" w:space="0"/>
                    <w:right w:val="single" w:color="auto" w:sz="4" w:space="0"/>
                  </w:tcBorders>
                  <w:noWrap w:val="0"/>
                  <w:vAlign w:val="center"/>
                </w:tcPr>
                <w:p w14:paraId="6F57FE9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219" w:type="dxa"/>
                  <w:tcBorders>
                    <w:top w:val="single" w:color="auto" w:sz="4" w:space="0"/>
                    <w:left w:val="nil"/>
                    <w:bottom w:val="single" w:color="auto" w:sz="4" w:space="0"/>
                    <w:right w:val="single" w:color="auto" w:sz="4" w:space="0"/>
                  </w:tcBorders>
                  <w:noWrap w:val="0"/>
                  <w:vAlign w:val="center"/>
                </w:tcPr>
                <w:p w14:paraId="79F1CA5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val="en-US" w:eastAsia="zh-CN"/>
                    </w:rPr>
                    <w:t>现有</w:t>
                  </w:r>
                </w:p>
              </w:tc>
            </w:tr>
            <w:tr w14:paraId="2781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tcBorders>
                    <w:top w:val="nil"/>
                    <w:left w:val="single" w:color="auto" w:sz="4" w:space="0"/>
                    <w:bottom w:val="single" w:color="auto" w:sz="4" w:space="0"/>
                    <w:right w:val="single" w:color="auto" w:sz="4" w:space="0"/>
                  </w:tcBorders>
                  <w:noWrap w:val="0"/>
                  <w:vAlign w:val="center"/>
                </w:tcPr>
                <w:p w14:paraId="10385A0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w:t>
                  </w:r>
                </w:p>
              </w:tc>
              <w:tc>
                <w:tcPr>
                  <w:tcW w:w="1673" w:type="pct"/>
                  <w:tcBorders>
                    <w:top w:val="single" w:color="auto" w:sz="4" w:space="0"/>
                    <w:left w:val="nil"/>
                    <w:bottom w:val="single" w:color="auto" w:sz="4" w:space="0"/>
                    <w:right w:val="single" w:color="auto" w:sz="4" w:space="0"/>
                  </w:tcBorders>
                  <w:noWrap w:val="0"/>
                  <w:vAlign w:val="center"/>
                </w:tcPr>
                <w:p w14:paraId="5DA81C04">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厂区综合污水处理站</w:t>
                  </w:r>
                </w:p>
              </w:tc>
              <w:tc>
                <w:tcPr>
                  <w:tcW w:w="1186" w:type="pct"/>
                  <w:tcBorders>
                    <w:top w:val="single" w:color="auto" w:sz="4" w:space="0"/>
                    <w:left w:val="nil"/>
                    <w:bottom w:val="single" w:color="auto" w:sz="4" w:space="0"/>
                    <w:right w:val="single" w:color="auto" w:sz="4" w:space="0"/>
                  </w:tcBorders>
                  <w:noWrap w:val="0"/>
                  <w:vAlign w:val="center"/>
                </w:tcPr>
                <w:p w14:paraId="1CC3D652">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w:t>
                  </w:r>
                </w:p>
              </w:tc>
              <w:tc>
                <w:tcPr>
                  <w:tcW w:w="723" w:type="pct"/>
                  <w:tcBorders>
                    <w:top w:val="single" w:color="auto" w:sz="4" w:space="0"/>
                    <w:left w:val="nil"/>
                    <w:bottom w:val="single" w:color="auto" w:sz="4" w:space="0"/>
                    <w:right w:val="single" w:color="auto" w:sz="4" w:space="0"/>
                  </w:tcBorders>
                  <w:noWrap w:val="0"/>
                  <w:vAlign w:val="center"/>
                </w:tcPr>
                <w:p w14:paraId="689C618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219" w:type="dxa"/>
                  <w:tcBorders>
                    <w:top w:val="single" w:color="auto" w:sz="4" w:space="0"/>
                    <w:left w:val="nil"/>
                    <w:bottom w:val="single" w:color="auto" w:sz="4" w:space="0"/>
                    <w:right w:val="single" w:color="auto" w:sz="4" w:space="0"/>
                  </w:tcBorders>
                  <w:noWrap w:val="0"/>
                  <w:vAlign w:val="center"/>
                </w:tcPr>
                <w:p w14:paraId="70AF5A5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val="en-US" w:eastAsia="zh-CN"/>
                    </w:rPr>
                    <w:t>现有</w:t>
                  </w:r>
                </w:p>
              </w:tc>
            </w:tr>
            <w:tr w14:paraId="32B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tcBorders>
                    <w:top w:val="single" w:color="auto" w:sz="4" w:space="0"/>
                    <w:left w:val="single" w:color="auto" w:sz="4" w:space="0"/>
                    <w:bottom w:val="single" w:color="auto" w:sz="4" w:space="0"/>
                    <w:right w:val="single" w:color="auto" w:sz="4" w:space="0"/>
                  </w:tcBorders>
                  <w:noWrap w:val="0"/>
                  <w:vAlign w:val="center"/>
                </w:tcPr>
                <w:p w14:paraId="0B57CD8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噪声</w:t>
                  </w:r>
                </w:p>
              </w:tc>
              <w:tc>
                <w:tcPr>
                  <w:tcW w:w="1673" w:type="pct"/>
                  <w:tcBorders>
                    <w:top w:val="single" w:color="auto" w:sz="4" w:space="0"/>
                    <w:left w:val="nil"/>
                    <w:bottom w:val="single" w:color="auto" w:sz="4" w:space="0"/>
                    <w:right w:val="single" w:color="auto" w:sz="4" w:space="0"/>
                  </w:tcBorders>
                  <w:noWrap w:val="0"/>
                  <w:vAlign w:val="center"/>
                </w:tcPr>
                <w:p w14:paraId="00B4990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设备减震降噪</w:t>
                  </w:r>
                </w:p>
              </w:tc>
              <w:tc>
                <w:tcPr>
                  <w:tcW w:w="1186" w:type="pct"/>
                  <w:tcBorders>
                    <w:top w:val="single" w:color="auto" w:sz="4" w:space="0"/>
                    <w:left w:val="nil"/>
                    <w:bottom w:val="single" w:color="auto" w:sz="4" w:space="0"/>
                    <w:right w:val="single" w:color="auto" w:sz="4" w:space="0"/>
                  </w:tcBorders>
                  <w:noWrap w:val="0"/>
                  <w:vAlign w:val="center"/>
                </w:tcPr>
                <w:p w14:paraId="1DE4C9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Style w:val="105"/>
                      <w:rFonts w:hint="default" w:ascii="Times New Roman" w:hAnsi="Times New Roman" w:eastAsia="宋体" w:cs="Times New Roman"/>
                      <w:color w:val="auto"/>
                    </w:rPr>
                    <w:t>套</w:t>
                  </w:r>
                </w:p>
              </w:tc>
              <w:tc>
                <w:tcPr>
                  <w:tcW w:w="723" w:type="pct"/>
                  <w:tcBorders>
                    <w:top w:val="single" w:color="auto" w:sz="4" w:space="0"/>
                    <w:left w:val="nil"/>
                    <w:bottom w:val="single" w:color="auto" w:sz="4" w:space="0"/>
                    <w:right w:val="single" w:color="auto" w:sz="4" w:space="0"/>
                  </w:tcBorders>
                  <w:noWrap w:val="0"/>
                  <w:vAlign w:val="center"/>
                </w:tcPr>
                <w:p w14:paraId="535C78E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2</w:t>
                  </w:r>
                </w:p>
              </w:tc>
              <w:tc>
                <w:tcPr>
                  <w:tcW w:w="724" w:type="pct"/>
                  <w:tcBorders>
                    <w:top w:val="single" w:color="auto" w:sz="4" w:space="0"/>
                    <w:left w:val="nil"/>
                    <w:bottom w:val="single" w:color="auto" w:sz="4" w:space="0"/>
                    <w:right w:val="single" w:color="auto" w:sz="4" w:space="0"/>
                  </w:tcBorders>
                  <w:noWrap w:val="0"/>
                  <w:vAlign w:val="center"/>
                </w:tcPr>
                <w:p w14:paraId="3B60EA1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r>
            <w:tr w14:paraId="509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tcBorders>
                    <w:top w:val="nil"/>
                    <w:left w:val="single" w:color="auto" w:sz="4" w:space="0"/>
                    <w:bottom w:val="single" w:color="auto" w:sz="4" w:space="0"/>
                    <w:right w:val="single" w:color="auto" w:sz="4" w:space="0"/>
                  </w:tcBorders>
                  <w:noWrap w:val="0"/>
                  <w:vAlign w:val="center"/>
                </w:tcPr>
                <w:p w14:paraId="569FFA7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固废</w:t>
                  </w:r>
                </w:p>
              </w:tc>
              <w:tc>
                <w:tcPr>
                  <w:tcW w:w="1673" w:type="pct"/>
                  <w:tcBorders>
                    <w:top w:val="single" w:color="auto" w:sz="4" w:space="0"/>
                    <w:left w:val="nil"/>
                    <w:bottom w:val="single" w:color="auto" w:sz="4" w:space="0"/>
                    <w:right w:val="single" w:color="auto" w:sz="4" w:space="0"/>
                  </w:tcBorders>
                  <w:noWrap w:val="0"/>
                  <w:vAlign w:val="center"/>
                </w:tcPr>
                <w:p w14:paraId="4EC6303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一般固废暂存间</w:t>
                  </w:r>
                </w:p>
              </w:tc>
              <w:tc>
                <w:tcPr>
                  <w:tcW w:w="1186" w:type="pct"/>
                  <w:tcBorders>
                    <w:top w:val="single" w:color="auto" w:sz="4" w:space="0"/>
                    <w:left w:val="nil"/>
                    <w:bottom w:val="single" w:color="auto" w:sz="4" w:space="0"/>
                    <w:right w:val="single" w:color="auto" w:sz="4" w:space="0"/>
                  </w:tcBorders>
                  <w:noWrap w:val="0"/>
                  <w:vAlign w:val="center"/>
                </w:tcPr>
                <w:p w14:paraId="76EED04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Style w:val="105"/>
                      <w:rFonts w:hint="default" w:ascii="Times New Roman" w:hAnsi="Times New Roman" w:eastAsia="宋体" w:cs="Times New Roman"/>
                      <w:color w:val="auto"/>
                    </w:rPr>
                    <w:t>间</w:t>
                  </w:r>
                </w:p>
              </w:tc>
              <w:tc>
                <w:tcPr>
                  <w:tcW w:w="723" w:type="pct"/>
                  <w:tcBorders>
                    <w:top w:val="single" w:color="auto" w:sz="4" w:space="0"/>
                    <w:left w:val="nil"/>
                    <w:bottom w:val="single" w:color="auto" w:sz="4" w:space="0"/>
                    <w:right w:val="single" w:color="auto" w:sz="4" w:space="0"/>
                  </w:tcBorders>
                  <w:noWrap w:val="0"/>
                  <w:vAlign w:val="center"/>
                </w:tcPr>
                <w:p w14:paraId="2E2C020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724" w:type="pct"/>
                  <w:tcBorders>
                    <w:top w:val="single" w:color="auto" w:sz="4" w:space="0"/>
                    <w:left w:val="nil"/>
                    <w:bottom w:val="single" w:color="auto" w:sz="4" w:space="0"/>
                    <w:right w:val="single" w:color="auto" w:sz="4" w:space="0"/>
                  </w:tcBorders>
                  <w:noWrap w:val="0"/>
                  <w:vAlign w:val="center"/>
                </w:tcPr>
                <w:p w14:paraId="0CFF8C3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依托现有</w:t>
                  </w:r>
                </w:p>
              </w:tc>
            </w:tr>
            <w:tr w14:paraId="4946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51" w:type="pct"/>
                  <w:gridSpan w:val="3"/>
                  <w:tcBorders>
                    <w:top w:val="single" w:color="auto" w:sz="4" w:space="0"/>
                    <w:left w:val="single" w:color="auto" w:sz="4" w:space="0"/>
                    <w:bottom w:val="single" w:color="auto" w:sz="4" w:space="0"/>
                    <w:right w:val="single" w:color="auto" w:sz="4" w:space="0"/>
                  </w:tcBorders>
                  <w:noWrap w:val="0"/>
                  <w:vAlign w:val="center"/>
                </w:tcPr>
                <w:p w14:paraId="6A99EF1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环保设施运行维护管理费用，环境管理与监测费用</w:t>
                  </w:r>
                </w:p>
              </w:tc>
              <w:tc>
                <w:tcPr>
                  <w:tcW w:w="723" w:type="pct"/>
                  <w:tcBorders>
                    <w:top w:val="single" w:color="auto" w:sz="4" w:space="0"/>
                    <w:left w:val="nil"/>
                    <w:bottom w:val="single" w:color="auto" w:sz="4" w:space="0"/>
                    <w:right w:val="single" w:color="auto" w:sz="4" w:space="0"/>
                  </w:tcBorders>
                  <w:noWrap w:val="0"/>
                  <w:vAlign w:val="center"/>
                </w:tcPr>
                <w:p w14:paraId="1A26041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5</w:t>
                  </w:r>
                </w:p>
              </w:tc>
              <w:tc>
                <w:tcPr>
                  <w:tcW w:w="724" w:type="pct"/>
                  <w:tcBorders>
                    <w:top w:val="single" w:color="auto" w:sz="4" w:space="0"/>
                    <w:left w:val="nil"/>
                    <w:bottom w:val="single" w:color="auto" w:sz="4" w:space="0"/>
                    <w:right w:val="single" w:color="auto" w:sz="4" w:space="0"/>
                  </w:tcBorders>
                  <w:noWrap w:val="0"/>
                  <w:vAlign w:val="center"/>
                </w:tcPr>
                <w:p w14:paraId="0F76F20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r>
            <w:tr w14:paraId="6648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1" w:type="pct"/>
                  <w:gridSpan w:val="3"/>
                  <w:tcBorders>
                    <w:top w:val="single" w:color="auto" w:sz="4" w:space="0"/>
                    <w:left w:val="single" w:color="auto" w:sz="4" w:space="0"/>
                    <w:bottom w:val="single" w:color="auto" w:sz="4" w:space="0"/>
                    <w:right w:val="single" w:color="auto" w:sz="4" w:space="0"/>
                  </w:tcBorders>
                  <w:noWrap w:val="0"/>
                  <w:vAlign w:val="center"/>
                </w:tcPr>
                <w:p w14:paraId="1D3A30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合计</w:t>
                  </w:r>
                </w:p>
              </w:tc>
              <w:tc>
                <w:tcPr>
                  <w:tcW w:w="723" w:type="pct"/>
                  <w:tcBorders>
                    <w:top w:val="single" w:color="auto" w:sz="4" w:space="0"/>
                    <w:left w:val="nil"/>
                    <w:bottom w:val="single" w:color="auto" w:sz="4" w:space="0"/>
                    <w:right w:val="single" w:color="auto" w:sz="4" w:space="0"/>
                  </w:tcBorders>
                  <w:noWrap w:val="0"/>
                  <w:vAlign w:val="center"/>
                </w:tcPr>
                <w:p w14:paraId="611DDA7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17</w:t>
                  </w:r>
                </w:p>
              </w:tc>
              <w:tc>
                <w:tcPr>
                  <w:tcW w:w="724" w:type="pct"/>
                  <w:tcBorders>
                    <w:top w:val="single" w:color="auto" w:sz="4" w:space="0"/>
                    <w:left w:val="nil"/>
                    <w:bottom w:val="single" w:color="auto" w:sz="4" w:space="0"/>
                    <w:right w:val="single" w:color="auto" w:sz="4" w:space="0"/>
                  </w:tcBorders>
                  <w:noWrap w:val="0"/>
                  <w:vAlign w:val="center"/>
                </w:tcPr>
                <w:p w14:paraId="0671848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r>
          </w:tbl>
          <w:p w14:paraId="0F75ED5C">
            <w:pPr>
              <w:keepNext w:val="0"/>
              <w:keepLines w:val="0"/>
              <w:suppressLineNumbers w:val="0"/>
              <w:autoSpaceDE w:val="0"/>
              <w:autoSpaceDN w:val="0"/>
              <w:spacing w:before="0" w:beforeAutospacing="0" w:after="0" w:afterAutospacing="0" w:line="360" w:lineRule="auto"/>
              <w:ind w:left="0" w:right="0"/>
              <w:contextualSpacing/>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六</w:t>
            </w:r>
            <w:r>
              <w:rPr>
                <w:rFonts w:hint="default" w:ascii="Times New Roman" w:hAnsi="Times New Roman" w:eastAsia="宋体" w:cs="Times New Roman"/>
                <w:b/>
                <w:bCs/>
                <w:color w:val="auto"/>
                <w:sz w:val="24"/>
              </w:rPr>
              <w:t>、项目总平面布置</w:t>
            </w:r>
          </w:p>
          <w:p w14:paraId="6D571E6B">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本项目改建的锅炉位于厂区现有锅炉房内，不改变厂区现有生产布局。项目锅炉房位于厂区西南侧，办公生活区位于厂区东南侧，两者相距较远。</w:t>
            </w:r>
          </w:p>
          <w:p w14:paraId="0D3AB8C8">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项目区主导风向为西南风，办公生活区位于主导风平风向，办公生活区远离生产区，项目高噪声设备锅炉、风机、水泵等布置于锅炉房内，远离办公生活区，对周围环境影响较小。</w:t>
            </w:r>
          </w:p>
          <w:p w14:paraId="32846432">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综上所述，项目按照实用、方便的原则布置项目内各主辅设施，项目平面布局合理。项目总平面布置图详见附图。</w:t>
            </w:r>
          </w:p>
        </w:tc>
      </w:tr>
      <w:tr w14:paraId="15C48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21" w:type="dxa"/>
            <w:noWrap w:val="0"/>
            <w:vAlign w:val="center"/>
          </w:tcPr>
          <w:p w14:paraId="69970C08">
            <w:pPr>
              <w:pStyle w:val="3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工艺流程和产排污环节</w:t>
            </w:r>
          </w:p>
        </w:tc>
        <w:tc>
          <w:tcPr>
            <w:tcW w:w="8639" w:type="dxa"/>
            <w:noWrap w:val="0"/>
            <w:vAlign w:val="top"/>
          </w:tcPr>
          <w:p w14:paraId="0443975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七</w:t>
            </w:r>
            <w:r>
              <w:rPr>
                <w:rFonts w:hint="default" w:ascii="Times New Roman" w:hAnsi="Times New Roman" w:eastAsia="宋体" w:cs="Times New Roman"/>
                <w:b/>
                <w:bCs/>
                <w:color w:val="auto"/>
                <w:sz w:val="24"/>
              </w:rPr>
              <w:t>、工艺流程简述（图示）：</w:t>
            </w:r>
          </w:p>
          <w:p w14:paraId="56A524E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1施工期</w:t>
            </w:r>
          </w:p>
          <w:p w14:paraId="1ED2F812">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经过现场勘查，项目位于云南省昆明市宜良县狗街镇狗街村委会旱滩村，在原址进行改建。施工过程中将先进行原有的</w:t>
            </w:r>
            <w:r>
              <w:rPr>
                <w:rFonts w:hint="default" w:ascii="Times New Roman" w:hAnsi="Times New Roman" w:eastAsia="宋体" w:cs="Times New Roman"/>
                <w:color w:val="auto"/>
                <w:sz w:val="24"/>
                <w:lang w:val="en-US" w:eastAsia="zh-CN"/>
              </w:rPr>
              <w:t>10t燃煤</w:t>
            </w:r>
            <w:r>
              <w:rPr>
                <w:rFonts w:hint="default" w:ascii="Times New Roman" w:hAnsi="Times New Roman" w:eastAsia="宋体" w:cs="Times New Roman"/>
                <w:color w:val="auto"/>
                <w:sz w:val="24"/>
              </w:rPr>
              <w:t>锅炉设备拆除，然后新建锅炉</w:t>
            </w:r>
            <w:r>
              <w:rPr>
                <w:rFonts w:hint="default" w:ascii="Times New Roman" w:hAnsi="Times New Roman" w:eastAsia="宋体" w:cs="Times New Roman"/>
                <w:color w:val="auto"/>
                <w:sz w:val="24"/>
                <w:lang w:val="en-US" w:eastAsia="zh-CN"/>
              </w:rPr>
              <w:t>及布袋除尘器</w:t>
            </w:r>
            <w:r>
              <w:rPr>
                <w:rFonts w:hint="default" w:ascii="Times New Roman" w:hAnsi="Times New Roman" w:eastAsia="宋体" w:cs="Times New Roman"/>
                <w:color w:val="auto"/>
                <w:sz w:val="24"/>
              </w:rPr>
              <w:t>等。</w:t>
            </w:r>
          </w:p>
          <w:p w14:paraId="10DD14B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施工过程及流程图如下。</w:t>
            </w:r>
          </w:p>
          <w:p w14:paraId="72530F49">
            <w:pPr>
              <w:keepNext w:val="0"/>
              <w:keepLines w:val="0"/>
              <w:suppressLineNumbers w:val="0"/>
              <w:adjustRightInd w:val="0"/>
              <w:spacing w:before="0" w:beforeAutospacing="0" w:after="0" w:afterAutospacing="0"/>
              <w:ind w:left="0" w:right="0" w:firstLine="420" w:firstLineChars="200"/>
              <w:jc w:val="center"/>
              <w:rPr>
                <w:rFonts w:hint="default" w:ascii="Times New Roman" w:hAnsi="Times New Roman" w:eastAsia="宋体" w:cs="Times New Roman"/>
                <w:color w:val="auto"/>
              </w:rPr>
            </w:pPr>
            <w:r>
              <w:rPr>
                <w:rFonts w:hint="default" w:ascii="Times New Roman" w:hAnsi="Times New Roman" w:eastAsia="宋体" w:cs="Times New Roman"/>
                <w:color w:val="auto"/>
              </w:rPr>
              <w:object>
                <v:shape id="_x0000_i1027" o:spt="75" type="#_x0000_t75" style="height:59.85pt;width:248.65pt;" o:ole="t" filled="f" o:preferrelative="t" stroked="f" coordsize="21600,21600">
                  <v:path/>
                  <v:fill on="f" focussize="0,0"/>
                  <v:stroke on="f"/>
                  <v:imagedata r:id="rId15" o:title=""/>
                  <o:lock v:ext="edit" aspectratio="t"/>
                  <w10:wrap type="none"/>
                  <w10:anchorlock/>
                </v:shape>
                <o:OLEObject Type="Embed" ProgID="Visio.Drawing.15" ShapeID="_x0000_i1027" DrawAspect="Content" ObjectID="_1468075727" r:id="rId14">
                  <o:LockedField>false</o:LockedField>
                </o:OLEObject>
              </w:object>
            </w:r>
          </w:p>
          <w:p w14:paraId="466427B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22" w:firstLineChars="20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图2.</w:t>
            </w:r>
            <w:r>
              <w:rPr>
                <w:rFonts w:hint="default" w:ascii="Times New Roman" w:hAnsi="Times New Roman" w:eastAsia="宋体" w:cs="Times New Roman"/>
                <w:b/>
                <w:bCs/>
                <w:color w:val="auto"/>
                <w:szCs w:val="21"/>
                <w:lang w:val="en-US" w:eastAsia="zh-CN"/>
              </w:rPr>
              <w:t>7</w:t>
            </w:r>
            <w:r>
              <w:rPr>
                <w:rFonts w:hint="default" w:ascii="Times New Roman" w:hAnsi="Times New Roman" w:eastAsia="宋体" w:cs="Times New Roman"/>
                <w:b/>
                <w:bCs/>
                <w:color w:val="auto"/>
                <w:szCs w:val="21"/>
              </w:rPr>
              <w:t>-1   施工期生产工艺流程图及产污节点图</w:t>
            </w:r>
          </w:p>
          <w:p w14:paraId="521C1B7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拆除原有设备：拆除原有的</w:t>
            </w:r>
            <w:r>
              <w:rPr>
                <w:rFonts w:hint="default" w:ascii="Times New Roman" w:hAnsi="Times New Roman" w:eastAsia="宋体" w:cs="Times New Roman"/>
                <w:color w:val="auto"/>
                <w:sz w:val="24"/>
                <w:lang w:val="en-US" w:eastAsia="zh-CN"/>
              </w:rPr>
              <w:t>一</w:t>
            </w:r>
            <w:r>
              <w:rPr>
                <w:rFonts w:hint="default" w:ascii="Times New Roman" w:hAnsi="Times New Roman" w:eastAsia="宋体" w:cs="Times New Roman"/>
                <w:color w:val="auto"/>
                <w:sz w:val="24"/>
              </w:rPr>
              <w:t>台</w:t>
            </w:r>
            <w:r>
              <w:rPr>
                <w:rFonts w:hint="default" w:ascii="Times New Roman" w:hAnsi="Times New Roman" w:eastAsia="宋体" w:cs="Times New Roman"/>
                <w:color w:val="auto"/>
                <w:sz w:val="24"/>
                <w:lang w:val="en-US" w:eastAsia="zh-CN"/>
              </w:rPr>
              <w:t>10</w:t>
            </w:r>
            <w:r>
              <w:rPr>
                <w:rFonts w:hint="default" w:ascii="Times New Roman" w:hAnsi="Times New Roman" w:eastAsia="宋体" w:cs="Times New Roman"/>
                <w:color w:val="auto"/>
                <w:sz w:val="24"/>
              </w:rPr>
              <w:t>t/h</w:t>
            </w:r>
            <w:r>
              <w:rPr>
                <w:rFonts w:hint="default" w:ascii="Times New Roman" w:hAnsi="Times New Roman" w:eastAsia="宋体" w:cs="Times New Roman"/>
                <w:color w:val="auto"/>
                <w:sz w:val="24"/>
                <w:lang w:val="en-US" w:eastAsia="zh-CN"/>
              </w:rPr>
              <w:t>燃煤</w:t>
            </w:r>
            <w:r>
              <w:rPr>
                <w:rFonts w:hint="default" w:ascii="Times New Roman" w:hAnsi="Times New Roman" w:eastAsia="宋体" w:cs="Times New Roman"/>
                <w:color w:val="auto"/>
                <w:sz w:val="24"/>
              </w:rPr>
              <w:t>锅炉，建筑固废可再生利用部分回收利用或出售给收购商送交收购站，剩余部分按管理部门要求运往指定地点处置。</w:t>
            </w:r>
          </w:p>
          <w:p w14:paraId="0C44A57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锅炉建设：根据施工设计要求，及时进行基础施工。</w:t>
            </w:r>
          </w:p>
          <w:p w14:paraId="3E044D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设备安装：锅炉安装等建设完成以后对锅炉设备进行调试，试产汽等。</w:t>
            </w:r>
          </w:p>
          <w:p w14:paraId="6EF8781C">
            <w:pPr>
              <w:keepNext w:val="0"/>
              <w:keepLines w:val="0"/>
              <w:suppressLineNumbers w:val="0"/>
              <w:adjustRightIn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八</w:t>
            </w:r>
            <w:r>
              <w:rPr>
                <w:rFonts w:hint="default" w:ascii="Times New Roman" w:hAnsi="Times New Roman" w:eastAsia="宋体" w:cs="Times New Roman"/>
                <w:b/>
                <w:bCs/>
                <w:color w:val="auto"/>
                <w:sz w:val="24"/>
              </w:rPr>
              <w:t>、运营期工艺流程</w:t>
            </w:r>
          </w:p>
          <w:p w14:paraId="72B4A8AB">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项目是</w:t>
            </w:r>
            <w:r>
              <w:rPr>
                <w:rFonts w:hint="default" w:ascii="Times New Roman" w:hAnsi="Times New Roman" w:eastAsia="宋体" w:cs="Times New Roman"/>
                <w:color w:val="auto"/>
                <w:sz w:val="24"/>
                <w:lang w:eastAsia="zh-CN"/>
              </w:rPr>
              <w:t>云南李好纸业有限公司10t/h燃煤锅炉更换为10.5t/h燃生物质锅炉改建项目，</w:t>
            </w:r>
            <w:r>
              <w:rPr>
                <w:rFonts w:hint="default" w:ascii="Times New Roman" w:hAnsi="Times New Roman" w:eastAsia="宋体" w:cs="Times New Roman"/>
                <w:color w:val="auto"/>
                <w:sz w:val="24"/>
                <w:lang w:val="en-US" w:eastAsia="zh-CN"/>
              </w:rPr>
              <w:t>其余不改变</w:t>
            </w:r>
            <w:r>
              <w:rPr>
                <w:rFonts w:hint="default" w:ascii="Times New Roman" w:hAnsi="Times New Roman" w:eastAsia="宋体" w:cs="Times New Roman"/>
                <w:color w:val="auto"/>
                <w:sz w:val="24"/>
              </w:rPr>
              <w:t>。项目运营期生产工艺及产排污节点图如下：</w:t>
            </w:r>
          </w:p>
          <w:p w14:paraId="6E073B7A">
            <w:pPr>
              <w:pStyle w:val="21"/>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drawing>
                <wp:inline distT="0" distB="0" distL="114300" distR="114300">
                  <wp:extent cx="5343525" cy="1981835"/>
                  <wp:effectExtent l="0" t="0" r="9525" b="18415"/>
                  <wp:docPr id="2" name="图片 2" descr="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99"/>
                          <pic:cNvPicPr>
                            <a:picLocks noChangeAspect="1"/>
                          </pic:cNvPicPr>
                        </pic:nvPicPr>
                        <pic:blipFill>
                          <a:blip r:embed="rId16"/>
                          <a:stretch>
                            <a:fillRect/>
                          </a:stretch>
                        </pic:blipFill>
                        <pic:spPr>
                          <a:xfrm>
                            <a:off x="0" y="0"/>
                            <a:ext cx="5343525" cy="1981835"/>
                          </a:xfrm>
                          <a:prstGeom prst="rect">
                            <a:avLst/>
                          </a:prstGeom>
                        </pic:spPr>
                      </pic:pic>
                    </a:graphicData>
                  </a:graphic>
                </wp:inline>
              </w:drawing>
            </w:r>
          </w:p>
          <w:p w14:paraId="58C5B010">
            <w:pPr>
              <w:pStyle w:val="21"/>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2.9-1   运营期生产工艺流程产污节点图</w:t>
            </w:r>
          </w:p>
          <w:p w14:paraId="6D9E5519">
            <w:pPr>
              <w:keepNext w:val="0"/>
              <w:keepLines w:val="0"/>
              <w:suppressLineNumbers w:val="0"/>
              <w:adjustRightIn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九</w:t>
            </w:r>
            <w:r>
              <w:rPr>
                <w:rFonts w:hint="default" w:ascii="Times New Roman" w:hAnsi="Times New Roman" w:eastAsia="宋体" w:cs="Times New Roman"/>
                <w:b/>
                <w:bCs/>
                <w:color w:val="auto"/>
                <w:sz w:val="24"/>
              </w:rPr>
              <w:t>、工艺流程简述：</w:t>
            </w:r>
          </w:p>
          <w:p w14:paraId="69922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生产工艺</w:t>
            </w:r>
          </w:p>
          <w:p w14:paraId="786E4FD7">
            <w:pPr>
              <w:keepNext w:val="0"/>
              <w:keepLines w:val="0"/>
              <w:suppressLineNumbers w:val="0"/>
              <w:autoSpaceDE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利用现有的</w:t>
            </w:r>
            <w:r>
              <w:rPr>
                <w:rFonts w:hint="default" w:ascii="Times New Roman" w:hAnsi="Times New Roman" w:eastAsia="宋体" w:cs="Times New Roman"/>
                <w:bCs/>
                <w:color w:val="auto"/>
                <w:sz w:val="24"/>
              </w:rPr>
              <w:t>锅炉软水站水处理系统通过离子交换</w:t>
            </w:r>
            <w:r>
              <w:rPr>
                <w:rFonts w:hint="default" w:ascii="Times New Roman" w:hAnsi="Times New Roman" w:eastAsia="宋体" w:cs="Times New Roman"/>
                <w:color w:val="auto"/>
                <w:sz w:val="24"/>
              </w:rPr>
              <w:t>设备加以软化，阳离子交换树脂巨大的表面积可使水中的钙镁离子与树脂中的钠离子发生转换反应，从而保正出水硬度小于0.03nmmol/L。软化水</w:t>
            </w:r>
            <w:r>
              <w:rPr>
                <w:rFonts w:hint="default" w:ascii="Times New Roman" w:hAnsi="Times New Roman" w:eastAsia="宋体" w:cs="Times New Roman"/>
                <w:bCs/>
                <w:color w:val="auto"/>
                <w:sz w:val="24"/>
              </w:rPr>
              <w:t>补入锅炉，被锅炉加热成蒸汽，蒸汽供应给生产使用。</w:t>
            </w:r>
          </w:p>
          <w:p w14:paraId="60539191">
            <w:pPr>
              <w:keepNext w:val="0"/>
              <w:keepLines w:val="0"/>
              <w:suppressLineNumbers w:val="0"/>
              <w:autoSpaceDE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2</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生物质颗粒</w:t>
            </w:r>
            <w:r>
              <w:rPr>
                <w:rFonts w:hint="default" w:ascii="Times New Roman" w:hAnsi="Times New Roman" w:eastAsia="宋体" w:cs="Times New Roman"/>
                <w:bCs/>
                <w:color w:val="auto"/>
                <w:sz w:val="24"/>
              </w:rPr>
              <w:t>运输至厂区内，用人工或者铲车送入进入锅炉炉膛燃烧。项目锅炉为蒸汽锅炉，生产的蒸汽</w:t>
            </w:r>
            <w:r>
              <w:rPr>
                <w:rFonts w:hint="default" w:ascii="Times New Roman" w:hAnsi="Times New Roman" w:eastAsia="宋体" w:cs="Times New Roman"/>
                <w:color w:val="auto"/>
                <w:sz w:val="24"/>
              </w:rPr>
              <w:t>提供给现有</w:t>
            </w:r>
            <w:r>
              <w:rPr>
                <w:rFonts w:hint="default" w:ascii="Times New Roman" w:hAnsi="Times New Roman" w:eastAsia="宋体" w:cs="Times New Roman"/>
                <w:bCs/>
                <w:color w:val="auto"/>
                <w:sz w:val="24"/>
              </w:rPr>
              <w:t>产</w:t>
            </w:r>
            <w:r>
              <w:rPr>
                <w:rFonts w:hint="default" w:ascii="Times New Roman" w:hAnsi="Times New Roman" w:eastAsia="宋体" w:cs="Times New Roman"/>
                <w:color w:val="auto"/>
                <w:sz w:val="24"/>
              </w:rPr>
              <w:t>薄型生活用纸生产线供热，供热蒸汽过程中蒸汽没有与物料直接接触，冷凝水没有受到污染，可以回用于锅炉；</w:t>
            </w:r>
          </w:p>
          <w:p w14:paraId="1EF3D372">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生物质</w:t>
            </w:r>
            <w:r>
              <w:rPr>
                <w:rFonts w:hint="default" w:ascii="Times New Roman" w:hAnsi="Times New Roman" w:eastAsia="宋体" w:cs="Times New Roman"/>
                <w:color w:val="auto"/>
                <w:sz w:val="24"/>
              </w:rPr>
              <w:t>锅炉生产过程中产生的废气通过</w:t>
            </w:r>
            <w:r>
              <w:rPr>
                <w:rFonts w:hint="default" w:ascii="Times New Roman" w:hAnsi="Times New Roman" w:eastAsia="宋体" w:cs="Times New Roman"/>
                <w:color w:val="auto"/>
                <w:sz w:val="24"/>
                <w:lang w:val="en-US" w:eastAsia="zh-CN"/>
              </w:rPr>
              <w:t>布袋除尘器</w:t>
            </w:r>
            <w:r>
              <w:rPr>
                <w:rFonts w:hint="default" w:ascii="Times New Roman" w:hAnsi="Times New Roman" w:eastAsia="宋体" w:cs="Times New Roman"/>
                <w:color w:val="auto"/>
                <w:sz w:val="24"/>
              </w:rPr>
              <w:t>装置处理后通过</w:t>
            </w:r>
            <w:r>
              <w:rPr>
                <w:rFonts w:hint="default" w:ascii="Times New Roman" w:hAnsi="Times New Roman" w:eastAsia="宋体" w:cs="Times New Roman"/>
                <w:color w:val="auto"/>
                <w:sz w:val="24"/>
                <w:lang w:val="en-US" w:eastAsia="zh-CN"/>
              </w:rPr>
              <w:t>1根40</w:t>
            </w:r>
            <w:r>
              <w:rPr>
                <w:rFonts w:hint="default" w:ascii="Times New Roman" w:hAnsi="Times New Roman" w:eastAsia="宋体" w:cs="Times New Roman"/>
                <w:color w:val="auto"/>
                <w:sz w:val="24"/>
              </w:rPr>
              <w:t>米的排气筒</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DA001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排放。</w:t>
            </w:r>
          </w:p>
          <w:p w14:paraId="6BFB44F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根据</w:t>
            </w:r>
            <w:r>
              <w:rPr>
                <w:rFonts w:hint="default" w:ascii="Times New Roman" w:hAnsi="Times New Roman" w:eastAsia="宋体" w:cs="Times New Roman"/>
                <w:color w:val="auto"/>
                <w:sz w:val="24"/>
                <w:szCs w:val="24"/>
                <w:lang w:val="en-US" w:eastAsia="zh-CN"/>
              </w:rPr>
              <w:t>《排放源统计调查产排污核算方法和系数手册》公告（公告2021年第24号）中4430 工业锅炉（热力生产和供应行业）产排污系数表－袋式除尘</w:t>
            </w:r>
            <w:r>
              <w:rPr>
                <w:rFonts w:hint="default" w:ascii="Times New Roman" w:hAnsi="Times New Roman" w:eastAsia="宋体" w:cs="Times New Roman"/>
                <w:color w:val="auto"/>
                <w:sz w:val="24"/>
              </w:rPr>
              <w:t>效率可达</w:t>
            </w:r>
            <w:r>
              <w:rPr>
                <w:rFonts w:hint="default" w:ascii="Times New Roman" w:hAnsi="Times New Roman" w:eastAsia="宋体" w:cs="Times New Roman"/>
                <w:color w:val="auto"/>
                <w:sz w:val="24"/>
                <w:lang w:val="en-US" w:eastAsia="zh-CN"/>
              </w:rPr>
              <w:t>99.7</w:t>
            </w:r>
            <w:r>
              <w:rPr>
                <w:rFonts w:hint="default" w:ascii="Times New Roman" w:hAnsi="Times New Roman" w:eastAsia="宋体" w:cs="Times New Roman"/>
                <w:color w:val="auto"/>
                <w:sz w:val="24"/>
              </w:rPr>
              <w:t>％。</w:t>
            </w:r>
          </w:p>
        </w:tc>
      </w:tr>
      <w:tr w14:paraId="1644E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21" w:type="dxa"/>
            <w:noWrap w:val="0"/>
            <w:vAlign w:val="center"/>
          </w:tcPr>
          <w:p w14:paraId="50D88F78">
            <w:pPr>
              <w:pStyle w:val="3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kern w:val="2"/>
                <w:sz w:val="21"/>
                <w:szCs w:val="21"/>
              </w:rPr>
              <w:t>与项目有关的原有环境污染问题</w:t>
            </w:r>
          </w:p>
        </w:tc>
        <w:tc>
          <w:tcPr>
            <w:tcW w:w="8639" w:type="dxa"/>
            <w:noWrap w:val="0"/>
            <w:vAlign w:val="top"/>
          </w:tcPr>
          <w:p w14:paraId="1F3F21D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color w:val="auto"/>
                <w:sz w:val="24"/>
              </w:rPr>
              <w:t>十、原项目</w:t>
            </w:r>
            <w:r>
              <w:rPr>
                <w:rFonts w:hint="default" w:ascii="Times New Roman" w:hAnsi="Times New Roman" w:eastAsia="宋体" w:cs="Times New Roman"/>
                <w:b/>
                <w:bCs/>
                <w:color w:val="auto"/>
                <w:sz w:val="24"/>
              </w:rPr>
              <w:t>环保手续审批情况</w:t>
            </w:r>
          </w:p>
          <w:p w14:paraId="1F42942F">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云南李好纸业有限公司于2016年租赁土地8486.62m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，并规划新建生产车间、外购纸浆，年生产薄型生活用纸5.0万t，宜良县工贸和科技信息化局于2015年9月6日以宜工贸科信通﹝2015﹞21号文同意对项目予以登记备案。</w:t>
            </w:r>
          </w:p>
          <w:p w14:paraId="56ACB53E">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2017年1月，云南李好纸业有限公司委托昆明天杲环境咨询有限公司编制了《技改扩建5万吨/年薄型生活用纸项目环境影响报告表》，并于2017年1月9日取得《关于对&lt;技改扩建5万吨/年薄型生活用纸项目环境影响报告表&gt;的批复》（宜环保复[2017]3号），项目取得环评批复后，开始建设，2017年12月竣工，并于2018年8月开始调试。根据《技改扩建5万吨/年薄型生活用纸项目环境影响报告表》及批复，云南李好纸业有限公司设计建设6条生产线，年生产薄型生活用纸5.0万t。</w:t>
            </w:r>
          </w:p>
          <w:p w14:paraId="6CAD69AC">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2018年建设单位建成了3条2850/250型高速纸机生产线及配套的环保设施，并于2019年7月完成了一期阶段性验收，验收范围为3条2850/250型高速纸机生产线、原料仓库、成品仓库、综合管理用房、锅炉房、公用工程和配套环保工程（废气处理设施、废水处理设施、固废处理设施、噪声处理设施），实际生产规模为年生产薄型生活用纸9000t。</w:t>
            </w:r>
          </w:p>
          <w:p w14:paraId="0D1D3C1F">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2021年7月，为满足市场需求，云南李好纸业有限公司开始建设第四条生产线，在原有生产车间内新建1条2850/1300新月型高速纸机生产线，生产规模为年生产薄型生活用纸15000t，建成后4条生产线总计生产规模为年生产薄型生活用纸24000t，第四条生产线竣工时间为2022年6月。于2022年10月完成验收。</w:t>
            </w:r>
          </w:p>
          <w:p w14:paraId="628B2D42">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2021年7月9日，建设单位取得昆明市生态环境局核发的《排污许可证》，证书编号为：91530125059463405L001P；2022年6月，建设单位根据现有项目实际情况重新对《企业突发环境事件应急预案》进行了修订并备案。</w:t>
            </w:r>
          </w:p>
          <w:p w14:paraId="3F094B94">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lang w:val="en-US" w:eastAsia="zh-CN"/>
              </w:rPr>
              <w:t>2023年12月</w:t>
            </w:r>
            <w:r>
              <w:rPr>
                <w:rFonts w:hint="default" w:ascii="Times New Roman" w:hAnsi="Times New Roman" w:eastAsia="宋体" w:cs="Times New Roman"/>
                <w:bCs/>
                <w:color w:val="auto"/>
                <w:sz w:val="24"/>
              </w:rPr>
              <w:t>建设单位设计将2台4t/h燃煤蒸汽锅炉和1台10t/h燃煤蒸汽锅炉改建成1台20t/h燃煤蒸汽锅炉，由于考虑到后期检修时供热情况，预保留10t/h燃煤蒸汽锅炉作为备用锅炉。</w:t>
            </w:r>
            <w:r>
              <w:rPr>
                <w:rFonts w:hint="default" w:ascii="Times New Roman" w:hAnsi="Times New Roman" w:eastAsia="宋体" w:cs="Times New Roman"/>
                <w:color w:val="auto"/>
                <w:sz w:val="24"/>
              </w:rPr>
              <w:t>委托云南浑璞环保科技有限公司编制了《</w:t>
            </w:r>
            <w:r>
              <w:rPr>
                <w:rFonts w:hint="default" w:ascii="Times New Roman" w:hAnsi="Times New Roman" w:eastAsia="宋体" w:cs="Times New Roman"/>
                <w:color w:val="auto"/>
                <w:sz w:val="24"/>
                <w:lang w:eastAsia="zh-CN"/>
              </w:rPr>
              <w:t>云南李好纸业有限公司10t/h燃煤锅炉更换为10.5t/h燃生物质锅炉改建项目</w:t>
            </w:r>
            <w:r>
              <w:rPr>
                <w:rFonts w:hint="default" w:ascii="Times New Roman" w:hAnsi="Times New Roman" w:eastAsia="宋体" w:cs="Times New Roman"/>
                <w:color w:val="auto"/>
                <w:sz w:val="24"/>
              </w:rPr>
              <w:t>环境影响报告表》，并于20</w:t>
            </w:r>
            <w:r>
              <w:rPr>
                <w:rFonts w:hint="default" w:ascii="Times New Roman" w:hAnsi="Times New Roman" w:eastAsia="宋体" w:cs="Times New Roman"/>
                <w:color w:val="auto"/>
                <w:sz w:val="24"/>
                <w:lang w:val="en-US" w:eastAsia="zh-CN"/>
              </w:rPr>
              <w:t>23</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日取得《关于对&lt;</w:t>
            </w:r>
            <w:r>
              <w:rPr>
                <w:rFonts w:hint="default" w:ascii="Times New Roman" w:hAnsi="Times New Roman" w:eastAsia="宋体" w:cs="Times New Roman"/>
                <w:color w:val="auto"/>
                <w:sz w:val="24"/>
                <w:lang w:eastAsia="zh-CN"/>
              </w:rPr>
              <w:t>云南李好纸业有限公司10t/h燃煤锅炉更换为10.5t/h燃生物质锅炉改建项目</w:t>
            </w:r>
            <w:r>
              <w:rPr>
                <w:rFonts w:hint="default" w:ascii="Times New Roman" w:hAnsi="Times New Roman" w:eastAsia="宋体" w:cs="Times New Roman"/>
                <w:color w:val="auto"/>
                <w:sz w:val="24"/>
              </w:rPr>
              <w:t>环境影响报告表&gt;的批复》（宜生环[2023]111号）</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2025年8月26日重新申请了</w:t>
            </w:r>
            <w:r>
              <w:rPr>
                <w:rFonts w:hint="default" w:ascii="Times New Roman" w:hAnsi="Times New Roman" w:eastAsia="宋体" w:cs="Times New Roman"/>
                <w:color w:val="auto"/>
                <w:sz w:val="24"/>
              </w:rPr>
              <w:t>《排污许可证》，证书编号为：91530125059463405L001P</w:t>
            </w:r>
            <w:r>
              <w:rPr>
                <w:rFonts w:hint="default" w:ascii="Times New Roman" w:hAnsi="Times New Roman" w:eastAsia="宋体" w:cs="Times New Roman"/>
                <w:color w:val="auto"/>
                <w:sz w:val="24"/>
                <w:lang w:eastAsia="zh-CN"/>
              </w:rPr>
              <w:t>。</w:t>
            </w:r>
          </w:p>
          <w:p w14:paraId="21DDE84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pacing w:val="8"/>
                <w:sz w:val="24"/>
                <w:shd w:val="clear" w:color="auto" w:fill="FFFFFF"/>
              </w:rPr>
              <w:t>十</w:t>
            </w:r>
            <w:r>
              <w:rPr>
                <w:rFonts w:hint="default" w:ascii="Times New Roman" w:hAnsi="Times New Roman" w:eastAsia="宋体" w:cs="Times New Roman"/>
                <w:b/>
                <w:bCs/>
                <w:color w:val="auto"/>
                <w:spacing w:val="8"/>
                <w:sz w:val="24"/>
                <w:shd w:val="clear" w:color="auto" w:fill="FFFFFF"/>
                <w:lang w:val="en-US" w:eastAsia="zh-CN"/>
              </w:rPr>
              <w:t>一</w:t>
            </w:r>
            <w:r>
              <w:rPr>
                <w:rFonts w:hint="default" w:ascii="Times New Roman" w:hAnsi="Times New Roman" w:eastAsia="宋体" w:cs="Times New Roman"/>
                <w:b/>
                <w:bCs/>
                <w:color w:val="auto"/>
                <w:spacing w:val="8"/>
                <w:sz w:val="24"/>
                <w:shd w:val="clear" w:color="auto" w:fill="FFFFFF"/>
              </w:rPr>
              <w:t>、</w:t>
            </w:r>
            <w:r>
              <w:rPr>
                <w:rFonts w:hint="default" w:ascii="Times New Roman" w:hAnsi="Times New Roman" w:eastAsia="宋体" w:cs="Times New Roman"/>
                <w:b/>
                <w:bCs/>
                <w:color w:val="auto"/>
                <w:sz w:val="24"/>
              </w:rPr>
              <w:t>现有项目锅炉污染物排放总量</w:t>
            </w:r>
          </w:p>
          <w:p w14:paraId="5BF2B20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rPr>
              <w:t>现有项目锅炉房内设1台10t/h燃煤蒸汽锅炉。</w:t>
            </w:r>
            <w:r>
              <w:rPr>
                <w:rFonts w:hint="default" w:ascii="Times New Roman" w:hAnsi="Times New Roman" w:eastAsia="宋体" w:cs="Times New Roman"/>
                <w:color w:val="auto"/>
                <w:kern w:val="0"/>
                <w:sz w:val="24"/>
              </w:rPr>
              <w:t>现有项目锅炉污染物产生情况根据建设单位提供的排污许可例行监测进行分析。</w:t>
            </w:r>
          </w:p>
          <w:p w14:paraId="27274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color w:val="auto"/>
                <w:spacing w:val="8"/>
                <w:sz w:val="24"/>
                <w:shd w:val="clear" w:color="auto" w:fill="FFFFFF"/>
              </w:rPr>
            </w:pPr>
            <w:r>
              <w:rPr>
                <w:rFonts w:hint="default" w:ascii="Times New Roman" w:hAnsi="Times New Roman" w:eastAsia="宋体" w:cs="Times New Roman"/>
                <w:color w:val="auto"/>
                <w:sz w:val="24"/>
              </w:rPr>
              <w:t>（1）</w:t>
            </w:r>
            <w:r>
              <w:rPr>
                <w:rFonts w:hint="default" w:ascii="Times New Roman" w:hAnsi="Times New Roman" w:eastAsia="宋体" w:cs="Times New Roman"/>
                <w:b/>
                <w:bCs/>
                <w:color w:val="auto"/>
                <w:spacing w:val="8"/>
                <w:sz w:val="24"/>
                <w:shd w:val="clear" w:color="auto" w:fill="FFFFFF"/>
              </w:rPr>
              <w:t>废气</w:t>
            </w:r>
          </w:p>
          <w:p w14:paraId="556E7C4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现有燃煤锅炉废气通过双碱法脱硫除尘系统处理后经1根40m高排气筒排放；</w:t>
            </w:r>
            <w:r>
              <w:rPr>
                <w:rFonts w:hint="default" w:ascii="Times New Roman" w:hAnsi="Times New Roman" w:eastAsia="宋体" w:cs="Times New Roman"/>
                <w:color w:val="auto"/>
                <w:sz w:val="24"/>
              </w:rPr>
              <w:t>根据</w:t>
            </w:r>
            <w:r>
              <w:rPr>
                <w:rFonts w:hint="default" w:ascii="Times New Roman" w:hAnsi="Times New Roman" w:eastAsia="宋体" w:cs="Times New Roman"/>
                <w:color w:val="auto"/>
                <w:sz w:val="24"/>
                <w:lang w:val="en-US" w:eastAsia="zh-CN"/>
              </w:rPr>
              <w:t>企业2025年和2026年</w:t>
            </w:r>
            <w:r>
              <w:rPr>
                <w:rFonts w:hint="default" w:ascii="Times New Roman" w:hAnsi="Times New Roman" w:eastAsia="宋体" w:cs="Times New Roman"/>
                <w:color w:val="auto"/>
                <w:sz w:val="24"/>
              </w:rPr>
              <w:t>锅炉</w:t>
            </w:r>
            <w:r>
              <w:rPr>
                <w:rFonts w:hint="default" w:ascii="Times New Roman" w:hAnsi="Times New Roman" w:eastAsia="宋体" w:cs="Times New Roman"/>
                <w:color w:val="auto"/>
                <w:sz w:val="24"/>
                <w:lang w:val="en-US" w:eastAsia="zh-CN"/>
              </w:rPr>
              <w:t>自行监测，本次环评取自行监测过程中污染物排放最大值进行核算（有组织为2025年9月16日和2026年2月25日，无组织和噪声为2025年第三季度），监测数据详情如下表。</w:t>
            </w:r>
          </w:p>
          <w:p w14:paraId="1861471C">
            <w:pPr>
              <w:keepNext w:val="0"/>
              <w:keepLines w:val="0"/>
              <w:suppressLineNumbers w:val="0"/>
              <w:adjustRightInd w:val="0"/>
              <w:snapToGrid w:val="0"/>
              <w:spacing w:before="0" w:beforeAutospacing="0" w:after="0" w:afterAutospacing="0" w:line="360" w:lineRule="auto"/>
              <w:ind w:left="0" w:right="0" w:firstLine="482" w:firstLineChars="200"/>
              <w:jc w:val="center"/>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表2.11-1  原有项目的废气排放情况一览表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392"/>
              <w:gridCol w:w="1010"/>
              <w:gridCol w:w="1162"/>
              <w:gridCol w:w="1275"/>
              <w:gridCol w:w="1320"/>
              <w:gridCol w:w="1847"/>
            </w:tblGrid>
            <w:tr w14:paraId="0F8E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noWrap w:val="0"/>
                  <w:vAlign w:val="center"/>
                </w:tcPr>
                <w:p w14:paraId="4C97F3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监测时间</w:t>
                  </w:r>
                </w:p>
              </w:tc>
              <w:tc>
                <w:tcPr>
                  <w:tcW w:w="1402" w:type="dxa"/>
                  <w:gridSpan w:val="2"/>
                  <w:noWrap w:val="0"/>
                  <w:vAlign w:val="center"/>
                </w:tcPr>
                <w:p w14:paraId="7D2BE2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监测因子</w:t>
                  </w:r>
                </w:p>
              </w:tc>
              <w:tc>
                <w:tcPr>
                  <w:tcW w:w="1162" w:type="dxa"/>
                  <w:noWrap w:val="0"/>
                  <w:vAlign w:val="center"/>
                </w:tcPr>
                <w:p w14:paraId="1192E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平均排放速率（kg/h）</w:t>
                  </w:r>
                </w:p>
              </w:tc>
              <w:tc>
                <w:tcPr>
                  <w:tcW w:w="1275" w:type="dxa"/>
                  <w:noWrap w:val="0"/>
                  <w:vAlign w:val="center"/>
                </w:tcPr>
                <w:p w14:paraId="5EFB6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平均排放浓度（mg/m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w:t>
                  </w:r>
                </w:p>
              </w:tc>
              <w:tc>
                <w:tcPr>
                  <w:tcW w:w="1320" w:type="dxa"/>
                  <w:noWrap w:val="0"/>
                  <w:vAlign w:val="center"/>
                </w:tcPr>
                <w:p w14:paraId="1F77D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排放量（t/a）</w:t>
                  </w:r>
                </w:p>
              </w:tc>
              <w:tc>
                <w:tcPr>
                  <w:tcW w:w="1847" w:type="dxa"/>
                  <w:noWrap w:val="0"/>
                  <w:vAlign w:val="center"/>
                </w:tcPr>
                <w:p w14:paraId="031642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执行标准</w:t>
                  </w:r>
                </w:p>
              </w:tc>
            </w:tr>
            <w:tr w14:paraId="4738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2" w:type="dxa"/>
                  <w:vMerge w:val="restart"/>
                  <w:noWrap w:val="0"/>
                  <w:vAlign w:val="center"/>
                </w:tcPr>
                <w:p w14:paraId="5ED00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2025年9月16日</w:t>
                  </w:r>
                </w:p>
              </w:tc>
              <w:tc>
                <w:tcPr>
                  <w:tcW w:w="1402" w:type="dxa"/>
                  <w:gridSpan w:val="2"/>
                  <w:noWrap w:val="0"/>
                  <w:vAlign w:val="center"/>
                </w:tcPr>
                <w:p w14:paraId="30CE52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烟气量</w:t>
                  </w:r>
                </w:p>
              </w:tc>
              <w:tc>
                <w:tcPr>
                  <w:tcW w:w="1162" w:type="dxa"/>
                  <w:noWrap w:val="0"/>
                  <w:vAlign w:val="center"/>
                </w:tcPr>
                <w:p w14:paraId="1D62BB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21565</w:t>
                  </w:r>
                </w:p>
                <w:p w14:paraId="0CE81A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/h</w:t>
                  </w:r>
                </w:p>
              </w:tc>
              <w:tc>
                <w:tcPr>
                  <w:tcW w:w="1275" w:type="dxa"/>
                  <w:noWrap w:val="0"/>
                  <w:vAlign w:val="center"/>
                </w:tcPr>
                <w:p w14:paraId="5BA8E0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320" w:type="dxa"/>
                  <w:noWrap w:val="0"/>
                  <w:vAlign w:val="center"/>
                </w:tcPr>
                <w:p w14:paraId="3745B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15526.8万Nm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/a</w:t>
                  </w:r>
                </w:p>
              </w:tc>
              <w:tc>
                <w:tcPr>
                  <w:tcW w:w="1847" w:type="dxa"/>
                  <w:vMerge w:val="restart"/>
                  <w:noWrap w:val="0"/>
                  <w:vAlign w:val="center"/>
                </w:tcPr>
                <w:p w14:paraId="1B7E4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subscript"/>
                      <w:lang w:val="en-US" w:eastAsia="zh-CN"/>
                    </w:rPr>
                  </w:pPr>
                  <w:r>
                    <w:rPr>
                      <w:rFonts w:hint="default" w:ascii="Times New Roman" w:hAnsi="Times New Roman" w:eastAsia="宋体" w:cs="Times New Roman"/>
                      <w:color w:val="auto"/>
                      <w:sz w:val="21"/>
                      <w:szCs w:val="21"/>
                      <w:vertAlign w:val="baseline"/>
                      <w:lang w:val="en-US" w:eastAsia="zh-CN"/>
                    </w:rPr>
                    <w:t>根据批复及排污许可证：10t燃煤锅炉执行《锅炉大气污染物排放标准》（GB13271-2014）表1中在用燃煤锅炉的浓度限值要求；SO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vertAlign w:val="baseline"/>
                      <w:lang w:val="en-US" w:eastAsia="zh-CN"/>
                    </w:rPr>
                    <w:t>≤400mg/m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，NO</w:t>
                  </w:r>
                  <w:r>
                    <w:rPr>
                      <w:rFonts w:hint="default" w:ascii="Times New Roman" w:hAnsi="Times New Roman" w:eastAsia="宋体" w:cs="Times New Roman"/>
                      <w:color w:val="auto"/>
                      <w:sz w:val="21"/>
                      <w:szCs w:val="21"/>
                      <w:vertAlign w:val="subscript"/>
                      <w:lang w:val="en-US" w:eastAsia="zh-CN"/>
                    </w:rPr>
                    <w:t>x</w:t>
                  </w:r>
                  <w:r>
                    <w:rPr>
                      <w:rFonts w:hint="default" w:ascii="Times New Roman" w:hAnsi="Times New Roman" w:eastAsia="宋体" w:cs="Times New Roman"/>
                      <w:color w:val="auto"/>
                      <w:sz w:val="21"/>
                      <w:szCs w:val="21"/>
                      <w:vertAlign w:val="baseline"/>
                      <w:lang w:val="en-US" w:eastAsia="zh-CN"/>
                    </w:rPr>
                    <w:t>≤400mg/m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，颗粒物≤80mg/m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，汞及其化合物≤0.05mg/m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，烟气黑度（林格曼黑度）≤1级</w:t>
                  </w:r>
                </w:p>
              </w:tc>
            </w:tr>
            <w:tr w14:paraId="5602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noWrap w:val="0"/>
                  <w:vAlign w:val="center"/>
                </w:tcPr>
                <w:p w14:paraId="1403C9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402" w:type="dxa"/>
                  <w:gridSpan w:val="2"/>
                  <w:noWrap w:val="0"/>
                  <w:vAlign w:val="center"/>
                </w:tcPr>
                <w:p w14:paraId="246726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汞</w:t>
                  </w:r>
                </w:p>
              </w:tc>
              <w:tc>
                <w:tcPr>
                  <w:tcW w:w="1162" w:type="dxa"/>
                  <w:noWrap w:val="0"/>
                  <w:vAlign w:val="center"/>
                </w:tcPr>
                <w:p w14:paraId="38DF5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superscript"/>
                      <w:lang w:val="en-US" w:eastAsia="zh-CN"/>
                    </w:rPr>
                  </w:pPr>
                  <w:r>
                    <w:rPr>
                      <w:rFonts w:hint="default" w:ascii="Times New Roman" w:hAnsi="Times New Roman" w:eastAsia="宋体" w:cs="Times New Roman"/>
                      <w:color w:val="auto"/>
                      <w:sz w:val="21"/>
                      <w:szCs w:val="21"/>
                      <w:vertAlign w:val="baseline"/>
                      <w:lang w:val="en-US" w:eastAsia="zh-CN"/>
                    </w:rPr>
                    <w:t>2.1×10</w:t>
                  </w:r>
                  <w:r>
                    <w:rPr>
                      <w:rFonts w:hint="default" w:ascii="Times New Roman" w:hAnsi="Times New Roman" w:eastAsia="宋体" w:cs="Times New Roman"/>
                      <w:color w:val="auto"/>
                      <w:sz w:val="21"/>
                      <w:szCs w:val="21"/>
                      <w:vertAlign w:val="superscript"/>
                      <w:lang w:val="en-US" w:eastAsia="zh-CN"/>
                    </w:rPr>
                    <w:t>-6</w:t>
                  </w:r>
                </w:p>
              </w:tc>
              <w:tc>
                <w:tcPr>
                  <w:tcW w:w="1275" w:type="dxa"/>
                  <w:noWrap w:val="0"/>
                  <w:vAlign w:val="center"/>
                </w:tcPr>
                <w:p w14:paraId="5FA345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superscript"/>
                      <w:lang w:val="en-US" w:eastAsia="zh-CN"/>
                    </w:rPr>
                  </w:pPr>
                  <w:r>
                    <w:rPr>
                      <w:rFonts w:hint="default" w:ascii="Times New Roman" w:hAnsi="Times New Roman" w:eastAsia="宋体" w:cs="Times New Roman"/>
                      <w:color w:val="auto"/>
                      <w:sz w:val="21"/>
                      <w:szCs w:val="21"/>
                      <w:vertAlign w:val="baseline"/>
                      <w:lang w:val="en-US" w:eastAsia="zh-CN"/>
                    </w:rPr>
                    <w:t>2.3×10</w:t>
                  </w:r>
                  <w:r>
                    <w:rPr>
                      <w:rFonts w:hint="default" w:ascii="Times New Roman" w:hAnsi="Times New Roman" w:eastAsia="宋体" w:cs="Times New Roman"/>
                      <w:color w:val="auto"/>
                      <w:sz w:val="21"/>
                      <w:szCs w:val="21"/>
                      <w:vertAlign w:val="superscript"/>
                      <w:lang w:val="en-US" w:eastAsia="zh-CN"/>
                    </w:rPr>
                    <w:t>-4</w:t>
                  </w:r>
                </w:p>
              </w:tc>
              <w:tc>
                <w:tcPr>
                  <w:tcW w:w="1320" w:type="dxa"/>
                  <w:noWrap w:val="0"/>
                  <w:vAlign w:val="center"/>
                </w:tcPr>
                <w:p w14:paraId="196464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1.512×10</w:t>
                  </w:r>
                  <w:r>
                    <w:rPr>
                      <w:rFonts w:hint="default" w:ascii="Times New Roman" w:hAnsi="Times New Roman" w:eastAsia="宋体" w:cs="Times New Roman"/>
                      <w:color w:val="auto"/>
                      <w:sz w:val="21"/>
                      <w:szCs w:val="21"/>
                      <w:vertAlign w:val="superscript"/>
                      <w:lang w:val="en-US" w:eastAsia="zh-CN"/>
                    </w:rPr>
                    <w:t>-5</w:t>
                  </w:r>
                </w:p>
              </w:tc>
              <w:tc>
                <w:tcPr>
                  <w:tcW w:w="1847" w:type="dxa"/>
                  <w:vMerge w:val="continue"/>
                  <w:noWrap w:val="0"/>
                  <w:vAlign w:val="center"/>
                </w:tcPr>
                <w:p w14:paraId="7ECB4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0F7C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19A6B1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402" w:type="dxa"/>
                  <w:gridSpan w:val="2"/>
                  <w:noWrap w:val="0"/>
                  <w:vAlign w:val="center"/>
                </w:tcPr>
                <w:p w14:paraId="0F5C97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颗粒物</w:t>
                  </w:r>
                </w:p>
              </w:tc>
              <w:tc>
                <w:tcPr>
                  <w:tcW w:w="1162" w:type="dxa"/>
                  <w:noWrap w:val="0"/>
                  <w:vAlign w:val="center"/>
                </w:tcPr>
                <w:p w14:paraId="4BCC40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0.471</w:t>
                  </w:r>
                </w:p>
              </w:tc>
              <w:tc>
                <w:tcPr>
                  <w:tcW w:w="1275" w:type="dxa"/>
                  <w:noWrap w:val="0"/>
                  <w:vAlign w:val="center"/>
                </w:tcPr>
                <w:p w14:paraId="4C55AE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55.1</w:t>
                  </w:r>
                </w:p>
              </w:tc>
              <w:tc>
                <w:tcPr>
                  <w:tcW w:w="1320" w:type="dxa"/>
                  <w:noWrap w:val="0"/>
                  <w:vAlign w:val="center"/>
                </w:tcPr>
                <w:p w14:paraId="43D89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3.4</w:t>
                  </w:r>
                </w:p>
              </w:tc>
              <w:tc>
                <w:tcPr>
                  <w:tcW w:w="1847" w:type="dxa"/>
                  <w:vMerge w:val="continue"/>
                  <w:noWrap w:val="0"/>
                  <w:vAlign w:val="center"/>
                </w:tcPr>
                <w:p w14:paraId="4444F3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0A31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6AC4D3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402" w:type="dxa"/>
                  <w:gridSpan w:val="2"/>
                  <w:noWrap w:val="0"/>
                  <w:vAlign w:val="center"/>
                </w:tcPr>
                <w:p w14:paraId="66FAAD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SO</w:t>
                  </w:r>
                  <w:r>
                    <w:rPr>
                      <w:rFonts w:hint="default" w:ascii="Times New Roman" w:hAnsi="Times New Roman" w:eastAsia="宋体" w:cs="Times New Roman"/>
                      <w:color w:val="auto"/>
                      <w:sz w:val="21"/>
                      <w:szCs w:val="21"/>
                      <w:vertAlign w:val="subscript"/>
                      <w:lang w:val="en-US" w:eastAsia="zh-CN"/>
                    </w:rPr>
                    <w:t>2</w:t>
                  </w:r>
                </w:p>
              </w:tc>
              <w:tc>
                <w:tcPr>
                  <w:tcW w:w="1162" w:type="dxa"/>
                  <w:noWrap w:val="0"/>
                  <w:vAlign w:val="center"/>
                </w:tcPr>
                <w:p w14:paraId="2A4888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2.55</w:t>
                  </w:r>
                </w:p>
              </w:tc>
              <w:tc>
                <w:tcPr>
                  <w:tcW w:w="1275" w:type="dxa"/>
                  <w:noWrap w:val="0"/>
                  <w:vAlign w:val="center"/>
                </w:tcPr>
                <w:p w14:paraId="38DF37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293</w:t>
                  </w:r>
                </w:p>
              </w:tc>
              <w:tc>
                <w:tcPr>
                  <w:tcW w:w="1320" w:type="dxa"/>
                  <w:noWrap w:val="0"/>
                  <w:vAlign w:val="center"/>
                </w:tcPr>
                <w:p w14:paraId="48DD5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18.36</w:t>
                  </w:r>
                </w:p>
              </w:tc>
              <w:tc>
                <w:tcPr>
                  <w:tcW w:w="1847" w:type="dxa"/>
                  <w:vMerge w:val="continue"/>
                  <w:noWrap w:val="0"/>
                  <w:vAlign w:val="center"/>
                </w:tcPr>
                <w:p w14:paraId="62F27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6DB3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42256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402" w:type="dxa"/>
                  <w:gridSpan w:val="2"/>
                  <w:noWrap w:val="0"/>
                  <w:vAlign w:val="center"/>
                </w:tcPr>
                <w:p w14:paraId="1FB2B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subscript"/>
                      <w:lang w:val="en-US" w:eastAsia="zh-CN"/>
                    </w:rPr>
                  </w:pPr>
                  <w:r>
                    <w:rPr>
                      <w:rFonts w:hint="default" w:ascii="Times New Roman" w:hAnsi="Times New Roman" w:eastAsia="宋体" w:cs="Times New Roman"/>
                      <w:color w:val="auto"/>
                      <w:sz w:val="21"/>
                      <w:szCs w:val="21"/>
                      <w:vertAlign w:val="baseline"/>
                      <w:lang w:val="en-US" w:eastAsia="zh-CN"/>
                    </w:rPr>
                    <w:t>NO</w:t>
                  </w:r>
                  <w:r>
                    <w:rPr>
                      <w:rFonts w:hint="default" w:ascii="Times New Roman" w:hAnsi="Times New Roman" w:eastAsia="宋体" w:cs="Times New Roman"/>
                      <w:color w:val="auto"/>
                      <w:sz w:val="21"/>
                      <w:szCs w:val="21"/>
                      <w:vertAlign w:val="subscript"/>
                      <w:lang w:val="en-US" w:eastAsia="zh-CN"/>
                    </w:rPr>
                    <w:t>x</w:t>
                  </w:r>
                </w:p>
              </w:tc>
              <w:tc>
                <w:tcPr>
                  <w:tcW w:w="1162" w:type="dxa"/>
                  <w:noWrap w:val="0"/>
                  <w:vAlign w:val="center"/>
                </w:tcPr>
                <w:p w14:paraId="207920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2.33</w:t>
                  </w:r>
                </w:p>
              </w:tc>
              <w:tc>
                <w:tcPr>
                  <w:tcW w:w="1275" w:type="dxa"/>
                  <w:noWrap w:val="0"/>
                  <w:vAlign w:val="center"/>
                </w:tcPr>
                <w:p w14:paraId="62CD3E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273</w:t>
                  </w:r>
                </w:p>
              </w:tc>
              <w:tc>
                <w:tcPr>
                  <w:tcW w:w="1320" w:type="dxa"/>
                  <w:noWrap w:val="0"/>
                  <w:vAlign w:val="center"/>
                </w:tcPr>
                <w:p w14:paraId="236EE5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16.776</w:t>
                  </w:r>
                </w:p>
              </w:tc>
              <w:tc>
                <w:tcPr>
                  <w:tcW w:w="1847" w:type="dxa"/>
                  <w:vMerge w:val="continue"/>
                  <w:noWrap w:val="0"/>
                  <w:vAlign w:val="center"/>
                </w:tcPr>
                <w:p w14:paraId="25F60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39E7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48197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402" w:type="dxa"/>
                  <w:gridSpan w:val="2"/>
                  <w:noWrap w:val="0"/>
                  <w:vAlign w:val="center"/>
                </w:tcPr>
                <w:p w14:paraId="4E5B0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黑度级别</w:t>
                  </w:r>
                </w:p>
              </w:tc>
              <w:tc>
                <w:tcPr>
                  <w:tcW w:w="2437" w:type="dxa"/>
                  <w:gridSpan w:val="2"/>
                  <w:noWrap w:val="0"/>
                  <w:vAlign w:val="center"/>
                </w:tcPr>
                <w:p w14:paraId="1CBBC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＜1级（林格曼黑度）</w:t>
                  </w:r>
                </w:p>
              </w:tc>
              <w:tc>
                <w:tcPr>
                  <w:tcW w:w="1320" w:type="dxa"/>
                  <w:noWrap w:val="0"/>
                  <w:vAlign w:val="center"/>
                </w:tcPr>
                <w:p w14:paraId="131D19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11CEC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69F7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restart"/>
                  <w:noWrap w:val="0"/>
                  <w:vAlign w:val="center"/>
                </w:tcPr>
                <w:p w14:paraId="21D05C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4"/>
                      <w:lang w:val="en-US" w:eastAsia="zh-CN"/>
                    </w:rPr>
                    <w:t>2026年2月25日</w:t>
                  </w:r>
                </w:p>
              </w:tc>
              <w:tc>
                <w:tcPr>
                  <w:tcW w:w="1402" w:type="dxa"/>
                  <w:gridSpan w:val="2"/>
                  <w:noWrap w:val="0"/>
                  <w:vAlign w:val="center"/>
                </w:tcPr>
                <w:p w14:paraId="3D481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烟气量</w:t>
                  </w:r>
                </w:p>
              </w:tc>
              <w:tc>
                <w:tcPr>
                  <w:tcW w:w="1162" w:type="dxa"/>
                  <w:noWrap w:val="0"/>
                  <w:vAlign w:val="center"/>
                </w:tcPr>
                <w:p w14:paraId="31F8C2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15585</w:t>
                  </w:r>
                </w:p>
                <w:p w14:paraId="1E5AF2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/h</w:t>
                  </w:r>
                </w:p>
              </w:tc>
              <w:tc>
                <w:tcPr>
                  <w:tcW w:w="1275" w:type="dxa"/>
                  <w:noWrap w:val="0"/>
                  <w:vAlign w:val="center"/>
                </w:tcPr>
                <w:p w14:paraId="21825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320" w:type="dxa"/>
                  <w:noWrap w:val="0"/>
                  <w:vAlign w:val="center"/>
                </w:tcPr>
                <w:p w14:paraId="17498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11221.2万Nm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/a</w:t>
                  </w:r>
                </w:p>
              </w:tc>
              <w:tc>
                <w:tcPr>
                  <w:tcW w:w="1847" w:type="dxa"/>
                  <w:vMerge w:val="continue"/>
                  <w:noWrap w:val="0"/>
                  <w:vAlign w:val="center"/>
                </w:tcPr>
                <w:p w14:paraId="3175D4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60C1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52A6EA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402" w:type="dxa"/>
                  <w:gridSpan w:val="2"/>
                  <w:noWrap w:val="0"/>
                  <w:vAlign w:val="center"/>
                </w:tcPr>
                <w:p w14:paraId="51482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汞</w:t>
                  </w:r>
                </w:p>
              </w:tc>
              <w:tc>
                <w:tcPr>
                  <w:tcW w:w="1162" w:type="dxa"/>
                  <w:noWrap w:val="0"/>
                  <w:vAlign w:val="center"/>
                </w:tcPr>
                <w:p w14:paraId="6630CA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3.7×10</w:t>
                  </w:r>
                  <w:r>
                    <w:rPr>
                      <w:rFonts w:hint="default" w:ascii="Times New Roman" w:hAnsi="Times New Roman" w:eastAsia="宋体" w:cs="Times New Roman"/>
                      <w:color w:val="auto"/>
                      <w:sz w:val="21"/>
                      <w:szCs w:val="21"/>
                      <w:vertAlign w:val="superscript"/>
                      <w:lang w:val="en-US" w:eastAsia="zh-CN"/>
                    </w:rPr>
                    <w:t>-6</w:t>
                  </w:r>
                </w:p>
              </w:tc>
              <w:tc>
                <w:tcPr>
                  <w:tcW w:w="1275" w:type="dxa"/>
                  <w:noWrap w:val="0"/>
                  <w:vAlign w:val="center"/>
                </w:tcPr>
                <w:p w14:paraId="349D54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5.2×10</w:t>
                  </w:r>
                  <w:r>
                    <w:rPr>
                      <w:rFonts w:hint="default" w:ascii="Times New Roman" w:hAnsi="Times New Roman" w:eastAsia="宋体" w:cs="Times New Roman"/>
                      <w:color w:val="auto"/>
                      <w:sz w:val="21"/>
                      <w:szCs w:val="21"/>
                      <w:vertAlign w:val="superscript"/>
                      <w:lang w:val="en-US" w:eastAsia="zh-CN"/>
                    </w:rPr>
                    <w:t>-4</w:t>
                  </w:r>
                </w:p>
              </w:tc>
              <w:tc>
                <w:tcPr>
                  <w:tcW w:w="1320" w:type="dxa"/>
                  <w:noWrap w:val="0"/>
                  <w:vAlign w:val="center"/>
                </w:tcPr>
                <w:p w14:paraId="118E2A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2.664×10</w:t>
                  </w:r>
                  <w:r>
                    <w:rPr>
                      <w:rFonts w:hint="default" w:ascii="Times New Roman" w:hAnsi="Times New Roman" w:eastAsia="宋体" w:cs="Times New Roman"/>
                      <w:color w:val="auto"/>
                      <w:sz w:val="21"/>
                      <w:szCs w:val="21"/>
                      <w:vertAlign w:val="superscript"/>
                      <w:lang w:val="en-US" w:eastAsia="zh-CN"/>
                    </w:rPr>
                    <w:t>-5</w:t>
                  </w:r>
                </w:p>
              </w:tc>
              <w:tc>
                <w:tcPr>
                  <w:tcW w:w="1847" w:type="dxa"/>
                  <w:vMerge w:val="continue"/>
                  <w:noWrap w:val="0"/>
                  <w:vAlign w:val="center"/>
                </w:tcPr>
                <w:p w14:paraId="41C552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3336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57BD86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402" w:type="dxa"/>
                  <w:gridSpan w:val="2"/>
                  <w:noWrap w:val="0"/>
                  <w:vAlign w:val="center"/>
                </w:tcPr>
                <w:p w14:paraId="08AE1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颗粒物</w:t>
                  </w:r>
                </w:p>
              </w:tc>
              <w:tc>
                <w:tcPr>
                  <w:tcW w:w="1162" w:type="dxa"/>
                  <w:noWrap w:val="0"/>
                  <w:vAlign w:val="center"/>
                </w:tcPr>
                <w:p w14:paraId="154CAF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0.523</w:t>
                  </w:r>
                </w:p>
              </w:tc>
              <w:tc>
                <w:tcPr>
                  <w:tcW w:w="1275" w:type="dxa"/>
                  <w:noWrap w:val="0"/>
                  <w:vAlign w:val="center"/>
                </w:tcPr>
                <w:p w14:paraId="4AEFAE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70.2</w:t>
                  </w:r>
                </w:p>
              </w:tc>
              <w:tc>
                <w:tcPr>
                  <w:tcW w:w="1320" w:type="dxa"/>
                  <w:noWrap w:val="0"/>
                  <w:vAlign w:val="center"/>
                </w:tcPr>
                <w:p w14:paraId="761AC4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3.77</w:t>
                  </w:r>
                </w:p>
              </w:tc>
              <w:tc>
                <w:tcPr>
                  <w:tcW w:w="1847" w:type="dxa"/>
                  <w:vMerge w:val="continue"/>
                  <w:noWrap w:val="0"/>
                  <w:vAlign w:val="center"/>
                </w:tcPr>
                <w:p w14:paraId="16CB19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1226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078E57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402" w:type="dxa"/>
                  <w:gridSpan w:val="2"/>
                  <w:noWrap w:val="0"/>
                  <w:vAlign w:val="center"/>
                </w:tcPr>
                <w:p w14:paraId="13881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SO</w:t>
                  </w:r>
                  <w:r>
                    <w:rPr>
                      <w:rFonts w:hint="default" w:ascii="Times New Roman" w:hAnsi="Times New Roman" w:eastAsia="宋体" w:cs="Times New Roman"/>
                      <w:color w:val="auto"/>
                      <w:sz w:val="21"/>
                      <w:szCs w:val="21"/>
                      <w:vertAlign w:val="subscript"/>
                      <w:lang w:val="en-US" w:eastAsia="zh-CN"/>
                    </w:rPr>
                    <w:t>2</w:t>
                  </w:r>
                </w:p>
              </w:tc>
              <w:tc>
                <w:tcPr>
                  <w:tcW w:w="1162" w:type="dxa"/>
                  <w:noWrap w:val="0"/>
                  <w:vAlign w:val="center"/>
                </w:tcPr>
                <w:p w14:paraId="42C06A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2.05</w:t>
                  </w:r>
                </w:p>
              </w:tc>
              <w:tc>
                <w:tcPr>
                  <w:tcW w:w="1275" w:type="dxa"/>
                  <w:noWrap w:val="0"/>
                  <w:vAlign w:val="center"/>
                </w:tcPr>
                <w:p w14:paraId="324A5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275</w:t>
                  </w:r>
                </w:p>
              </w:tc>
              <w:tc>
                <w:tcPr>
                  <w:tcW w:w="1320" w:type="dxa"/>
                  <w:noWrap w:val="0"/>
                  <w:vAlign w:val="center"/>
                </w:tcPr>
                <w:p w14:paraId="178E6F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14.76</w:t>
                  </w:r>
                </w:p>
              </w:tc>
              <w:tc>
                <w:tcPr>
                  <w:tcW w:w="1847" w:type="dxa"/>
                  <w:vMerge w:val="continue"/>
                  <w:noWrap w:val="0"/>
                  <w:vAlign w:val="center"/>
                </w:tcPr>
                <w:p w14:paraId="710D76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79C2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63A876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402" w:type="dxa"/>
                  <w:gridSpan w:val="2"/>
                  <w:noWrap w:val="0"/>
                  <w:vAlign w:val="center"/>
                </w:tcPr>
                <w:p w14:paraId="36E49E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NO</w:t>
                  </w:r>
                  <w:r>
                    <w:rPr>
                      <w:rFonts w:hint="default" w:ascii="Times New Roman" w:hAnsi="Times New Roman" w:eastAsia="宋体" w:cs="Times New Roman"/>
                      <w:color w:val="auto"/>
                      <w:sz w:val="21"/>
                      <w:szCs w:val="21"/>
                      <w:vertAlign w:val="subscript"/>
                      <w:lang w:val="en-US" w:eastAsia="zh-CN"/>
                    </w:rPr>
                    <w:t>x</w:t>
                  </w:r>
                </w:p>
              </w:tc>
              <w:tc>
                <w:tcPr>
                  <w:tcW w:w="1162" w:type="dxa"/>
                  <w:noWrap w:val="0"/>
                  <w:vAlign w:val="center"/>
                </w:tcPr>
                <w:p w14:paraId="56E120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1.86</w:t>
                  </w:r>
                </w:p>
              </w:tc>
              <w:tc>
                <w:tcPr>
                  <w:tcW w:w="1275" w:type="dxa"/>
                  <w:noWrap w:val="0"/>
                  <w:vAlign w:val="center"/>
                </w:tcPr>
                <w:p w14:paraId="21E5E7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250</w:t>
                  </w:r>
                </w:p>
              </w:tc>
              <w:tc>
                <w:tcPr>
                  <w:tcW w:w="1320" w:type="dxa"/>
                  <w:noWrap w:val="0"/>
                  <w:vAlign w:val="center"/>
                </w:tcPr>
                <w:p w14:paraId="19E818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13.4</w:t>
                  </w:r>
                </w:p>
              </w:tc>
              <w:tc>
                <w:tcPr>
                  <w:tcW w:w="1847" w:type="dxa"/>
                  <w:vMerge w:val="continue"/>
                  <w:noWrap w:val="0"/>
                  <w:vAlign w:val="center"/>
                </w:tcPr>
                <w:p w14:paraId="227783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5ACE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49FDAE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402" w:type="dxa"/>
                  <w:gridSpan w:val="2"/>
                  <w:noWrap w:val="0"/>
                  <w:vAlign w:val="center"/>
                </w:tcPr>
                <w:p w14:paraId="6724C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黑度级别</w:t>
                  </w:r>
                </w:p>
              </w:tc>
              <w:tc>
                <w:tcPr>
                  <w:tcW w:w="2437" w:type="dxa"/>
                  <w:gridSpan w:val="2"/>
                  <w:noWrap w:val="0"/>
                  <w:vAlign w:val="center"/>
                </w:tcPr>
                <w:p w14:paraId="2CF295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＜1级（林格曼黑度）</w:t>
                  </w:r>
                </w:p>
              </w:tc>
              <w:tc>
                <w:tcPr>
                  <w:tcW w:w="1320" w:type="dxa"/>
                  <w:noWrap w:val="0"/>
                  <w:vAlign w:val="center"/>
                </w:tcPr>
                <w:p w14:paraId="7CAB4B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17BD3A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7DD4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02" w:type="dxa"/>
                  <w:vMerge w:val="restart"/>
                  <w:noWrap w:val="0"/>
                  <w:vAlign w:val="center"/>
                </w:tcPr>
                <w:p w14:paraId="7836D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2025年第三季度</w:t>
                  </w:r>
                </w:p>
              </w:tc>
              <w:tc>
                <w:tcPr>
                  <w:tcW w:w="392" w:type="dxa"/>
                  <w:vMerge w:val="restart"/>
                  <w:noWrap w:val="0"/>
                  <w:vAlign w:val="center"/>
                </w:tcPr>
                <w:p w14:paraId="10A94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颗粒物</w:t>
                  </w:r>
                </w:p>
              </w:tc>
              <w:tc>
                <w:tcPr>
                  <w:tcW w:w="1010" w:type="dxa"/>
                  <w:noWrap w:val="0"/>
                  <w:vAlign w:val="center"/>
                </w:tcPr>
                <w:p w14:paraId="23E2B6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上风向</w:t>
                  </w:r>
                </w:p>
              </w:tc>
              <w:tc>
                <w:tcPr>
                  <w:tcW w:w="1162" w:type="dxa"/>
                  <w:noWrap w:val="0"/>
                  <w:vAlign w:val="center"/>
                </w:tcPr>
                <w:p w14:paraId="28826A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7D00D3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＜0.168</w:t>
                  </w:r>
                </w:p>
              </w:tc>
              <w:tc>
                <w:tcPr>
                  <w:tcW w:w="1320" w:type="dxa"/>
                  <w:noWrap w:val="0"/>
                  <w:vAlign w:val="center"/>
                </w:tcPr>
                <w:p w14:paraId="37B4A2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restart"/>
                  <w:noWrap w:val="0"/>
                  <w:vAlign w:val="center"/>
                </w:tcPr>
                <w:p w14:paraId="592C3F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fldChar w:fldCharType="begin"/>
                  </w:r>
                  <w:r>
                    <w:rPr>
                      <w:rFonts w:hint="default" w:ascii="Times New Roman" w:hAnsi="Times New Roman" w:eastAsia="宋体" w:cs="Times New Roman"/>
                      <w:color w:val="auto"/>
                      <w:sz w:val="21"/>
                      <w:szCs w:val="21"/>
                      <w:vertAlign w:val="baseline"/>
                      <w:lang w:val="en-US" w:eastAsia="zh-CN"/>
                    </w:rPr>
                    <w:instrText xml:space="preserve"> HYPERLINK "https://www.mee.gov.cn/ywgz/fgbz/bz/bzwb/dqhjbh/dqgdwrywrwpfbz/199701/W020230315434443757856.pdf" </w:instrText>
                  </w:r>
                  <w:r>
                    <w:rPr>
                      <w:rFonts w:hint="default" w:ascii="Times New Roman" w:hAnsi="Times New Roman" w:eastAsia="宋体" w:cs="Times New Roman"/>
                      <w:color w:val="auto"/>
                      <w:sz w:val="21"/>
                      <w:szCs w:val="21"/>
                      <w:vertAlign w:val="baseline"/>
                      <w:lang w:val="en-US" w:eastAsia="zh-CN"/>
                    </w:rPr>
                    <w:fldChar w:fldCharType="separate"/>
                  </w:r>
                  <w:r>
                    <w:rPr>
                      <w:rFonts w:hint="default" w:ascii="Times New Roman" w:hAnsi="Times New Roman" w:eastAsia="宋体" w:cs="Times New Roman"/>
                      <w:color w:val="auto"/>
                      <w:sz w:val="21"/>
                      <w:szCs w:val="21"/>
                      <w:vertAlign w:val="baseline"/>
                      <w:lang w:val="en-US" w:eastAsia="zh-CN"/>
                    </w:rPr>
                    <w:t>大气污染物综合排放标准</w:t>
                  </w:r>
                  <w:r>
                    <w:rPr>
                      <w:rFonts w:hint="default" w:ascii="Times New Roman" w:hAnsi="Times New Roman" w:eastAsia="宋体" w:cs="Times New Roman"/>
                      <w:color w:val="auto"/>
                      <w:sz w:val="21"/>
                      <w:szCs w:val="21"/>
                      <w:vertAlign w:val="baseline"/>
                      <w:lang w:val="en-US" w:eastAsia="zh-CN"/>
                    </w:rPr>
                    <w:fldChar w:fldCharType="end"/>
                  </w:r>
                  <w:r>
                    <w:rPr>
                      <w:rFonts w:hint="default" w:ascii="Times New Roman" w:hAnsi="Times New Roman" w:eastAsia="宋体" w:cs="Times New Roman"/>
                      <w:color w:val="auto"/>
                      <w:sz w:val="21"/>
                      <w:szCs w:val="21"/>
                      <w:vertAlign w:val="baseline"/>
                      <w:lang w:val="en-US" w:eastAsia="zh-CN"/>
                    </w:rPr>
                    <w:t>》（GB16297-1996）,无组织颗粒物≤1mg/m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w:t>
                  </w:r>
                </w:p>
              </w:tc>
            </w:tr>
            <w:tr w14:paraId="1FC3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740955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348B54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411534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下风向1</w:t>
                  </w:r>
                </w:p>
              </w:tc>
              <w:tc>
                <w:tcPr>
                  <w:tcW w:w="1162" w:type="dxa"/>
                  <w:noWrap w:val="0"/>
                  <w:vAlign w:val="center"/>
                </w:tcPr>
                <w:p w14:paraId="63B520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58ACA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＜0.168</w:t>
                  </w:r>
                </w:p>
              </w:tc>
              <w:tc>
                <w:tcPr>
                  <w:tcW w:w="1320" w:type="dxa"/>
                  <w:noWrap w:val="0"/>
                  <w:vAlign w:val="center"/>
                </w:tcPr>
                <w:p w14:paraId="7A6615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7459B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7B69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70D730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4C40B1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56B17F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下风向2</w:t>
                  </w:r>
                </w:p>
              </w:tc>
              <w:tc>
                <w:tcPr>
                  <w:tcW w:w="1162" w:type="dxa"/>
                  <w:noWrap w:val="0"/>
                  <w:vAlign w:val="center"/>
                </w:tcPr>
                <w:p w14:paraId="385B8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109F37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0.276</w:t>
                  </w:r>
                </w:p>
              </w:tc>
              <w:tc>
                <w:tcPr>
                  <w:tcW w:w="1320" w:type="dxa"/>
                  <w:noWrap w:val="0"/>
                  <w:vAlign w:val="center"/>
                </w:tcPr>
                <w:p w14:paraId="5F3643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072E37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6E8A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50091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3C882E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64E65C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下风向3</w:t>
                  </w:r>
                </w:p>
              </w:tc>
              <w:tc>
                <w:tcPr>
                  <w:tcW w:w="1162" w:type="dxa"/>
                  <w:noWrap w:val="0"/>
                  <w:vAlign w:val="center"/>
                </w:tcPr>
                <w:p w14:paraId="017E22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7D152D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0.176</w:t>
                  </w:r>
                </w:p>
              </w:tc>
              <w:tc>
                <w:tcPr>
                  <w:tcW w:w="1320" w:type="dxa"/>
                  <w:noWrap w:val="0"/>
                  <w:vAlign w:val="center"/>
                </w:tcPr>
                <w:p w14:paraId="0FA500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186B54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2374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66D5FB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restart"/>
                  <w:noWrap w:val="0"/>
                  <w:vAlign w:val="center"/>
                </w:tcPr>
                <w:p w14:paraId="5D3117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氨</w:t>
                  </w:r>
                </w:p>
              </w:tc>
              <w:tc>
                <w:tcPr>
                  <w:tcW w:w="1010" w:type="dxa"/>
                  <w:noWrap w:val="0"/>
                  <w:vAlign w:val="center"/>
                </w:tcPr>
                <w:p w14:paraId="4CB61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上风向</w:t>
                  </w:r>
                </w:p>
              </w:tc>
              <w:tc>
                <w:tcPr>
                  <w:tcW w:w="1162" w:type="dxa"/>
                  <w:noWrap w:val="0"/>
                  <w:vAlign w:val="center"/>
                </w:tcPr>
                <w:p w14:paraId="731929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214834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w:t>
                  </w:r>
                </w:p>
              </w:tc>
              <w:tc>
                <w:tcPr>
                  <w:tcW w:w="1320" w:type="dxa"/>
                  <w:noWrap w:val="0"/>
                  <w:vAlign w:val="center"/>
                </w:tcPr>
                <w:p w14:paraId="167E2F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restart"/>
                  <w:noWrap w:val="0"/>
                  <w:vAlign w:val="center"/>
                </w:tcPr>
                <w:p w14:paraId="6636E6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《恶臭污染物排放标准》（GB14554-93），氨≤1.5mg/m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，硫化氢≤0.06mg/m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，臭气浓度≤20（无量纲）</w:t>
                  </w:r>
                </w:p>
              </w:tc>
            </w:tr>
            <w:tr w14:paraId="3185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45731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18CC8D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2B740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下风向1</w:t>
                  </w:r>
                </w:p>
              </w:tc>
              <w:tc>
                <w:tcPr>
                  <w:tcW w:w="1162" w:type="dxa"/>
                  <w:noWrap w:val="0"/>
                  <w:vAlign w:val="center"/>
                </w:tcPr>
                <w:p w14:paraId="78304B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4EFC51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0.07</w:t>
                  </w:r>
                </w:p>
              </w:tc>
              <w:tc>
                <w:tcPr>
                  <w:tcW w:w="1320" w:type="dxa"/>
                  <w:noWrap w:val="0"/>
                  <w:vAlign w:val="center"/>
                </w:tcPr>
                <w:p w14:paraId="5B8203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28602D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40F2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1EB4C9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40EE89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184670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下风向2</w:t>
                  </w:r>
                </w:p>
              </w:tc>
              <w:tc>
                <w:tcPr>
                  <w:tcW w:w="1162" w:type="dxa"/>
                  <w:noWrap w:val="0"/>
                  <w:vAlign w:val="center"/>
                </w:tcPr>
                <w:p w14:paraId="59D640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43272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0.10</w:t>
                  </w:r>
                </w:p>
              </w:tc>
              <w:tc>
                <w:tcPr>
                  <w:tcW w:w="1320" w:type="dxa"/>
                  <w:noWrap w:val="0"/>
                  <w:vAlign w:val="center"/>
                </w:tcPr>
                <w:p w14:paraId="350BFF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2C974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6671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069CF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342BF2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5C7D6E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下风向3</w:t>
                  </w:r>
                </w:p>
              </w:tc>
              <w:tc>
                <w:tcPr>
                  <w:tcW w:w="1162" w:type="dxa"/>
                  <w:noWrap w:val="0"/>
                  <w:vAlign w:val="center"/>
                </w:tcPr>
                <w:p w14:paraId="773E0B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739D81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0.08</w:t>
                  </w:r>
                </w:p>
              </w:tc>
              <w:tc>
                <w:tcPr>
                  <w:tcW w:w="1320" w:type="dxa"/>
                  <w:noWrap w:val="0"/>
                  <w:vAlign w:val="center"/>
                </w:tcPr>
                <w:p w14:paraId="5B0965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7485B3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0BDA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695975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restart"/>
                  <w:noWrap w:val="0"/>
                  <w:vAlign w:val="center"/>
                </w:tcPr>
                <w:p w14:paraId="667D3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硫化氢</w:t>
                  </w:r>
                </w:p>
              </w:tc>
              <w:tc>
                <w:tcPr>
                  <w:tcW w:w="1010" w:type="dxa"/>
                  <w:noWrap w:val="0"/>
                  <w:vAlign w:val="center"/>
                </w:tcPr>
                <w:p w14:paraId="3EDE1F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上风向</w:t>
                  </w:r>
                </w:p>
              </w:tc>
              <w:tc>
                <w:tcPr>
                  <w:tcW w:w="1162" w:type="dxa"/>
                  <w:noWrap w:val="0"/>
                  <w:vAlign w:val="center"/>
                </w:tcPr>
                <w:p w14:paraId="1BB4E5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3F9A47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0.003</w:t>
                  </w:r>
                </w:p>
              </w:tc>
              <w:tc>
                <w:tcPr>
                  <w:tcW w:w="1320" w:type="dxa"/>
                  <w:noWrap w:val="0"/>
                  <w:vAlign w:val="center"/>
                </w:tcPr>
                <w:p w14:paraId="144181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70BD8C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793E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15886A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79A60E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0E1045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下风向1</w:t>
                  </w:r>
                </w:p>
              </w:tc>
              <w:tc>
                <w:tcPr>
                  <w:tcW w:w="1162" w:type="dxa"/>
                  <w:noWrap w:val="0"/>
                  <w:vAlign w:val="center"/>
                </w:tcPr>
                <w:p w14:paraId="5DECC2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2D1324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0.006</w:t>
                  </w:r>
                </w:p>
              </w:tc>
              <w:tc>
                <w:tcPr>
                  <w:tcW w:w="1320" w:type="dxa"/>
                  <w:noWrap w:val="0"/>
                  <w:vAlign w:val="center"/>
                </w:tcPr>
                <w:p w14:paraId="087A90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4983EB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101E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621E34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4C05EF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63DCD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下风向2</w:t>
                  </w:r>
                </w:p>
              </w:tc>
              <w:tc>
                <w:tcPr>
                  <w:tcW w:w="1162" w:type="dxa"/>
                  <w:noWrap w:val="0"/>
                  <w:vAlign w:val="center"/>
                </w:tcPr>
                <w:p w14:paraId="5E5F1B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57762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0.008</w:t>
                  </w:r>
                </w:p>
              </w:tc>
              <w:tc>
                <w:tcPr>
                  <w:tcW w:w="1320" w:type="dxa"/>
                  <w:noWrap w:val="0"/>
                  <w:vAlign w:val="center"/>
                </w:tcPr>
                <w:p w14:paraId="6F3BBE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1670B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51A3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0BD517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301244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5E3EF9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下风向3</w:t>
                  </w:r>
                </w:p>
              </w:tc>
              <w:tc>
                <w:tcPr>
                  <w:tcW w:w="1162" w:type="dxa"/>
                  <w:noWrap w:val="0"/>
                  <w:vAlign w:val="center"/>
                </w:tcPr>
                <w:p w14:paraId="454020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63D1C3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0.007</w:t>
                  </w:r>
                </w:p>
              </w:tc>
              <w:tc>
                <w:tcPr>
                  <w:tcW w:w="1320" w:type="dxa"/>
                  <w:noWrap w:val="0"/>
                  <w:vAlign w:val="center"/>
                </w:tcPr>
                <w:p w14:paraId="6F619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25477A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2025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01F06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restart"/>
                  <w:noWrap w:val="0"/>
                  <w:vAlign w:val="center"/>
                </w:tcPr>
                <w:p w14:paraId="6C321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臭气浓度</w:t>
                  </w:r>
                </w:p>
              </w:tc>
              <w:tc>
                <w:tcPr>
                  <w:tcW w:w="1010" w:type="dxa"/>
                  <w:noWrap w:val="0"/>
                  <w:vAlign w:val="center"/>
                </w:tcPr>
                <w:p w14:paraId="35ACA9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上风向</w:t>
                  </w:r>
                </w:p>
              </w:tc>
              <w:tc>
                <w:tcPr>
                  <w:tcW w:w="1162" w:type="dxa"/>
                  <w:noWrap w:val="0"/>
                  <w:vAlign w:val="center"/>
                </w:tcPr>
                <w:p w14:paraId="4A6E96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401C99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w:t>
                  </w:r>
                </w:p>
              </w:tc>
              <w:tc>
                <w:tcPr>
                  <w:tcW w:w="1320" w:type="dxa"/>
                  <w:noWrap w:val="0"/>
                  <w:vAlign w:val="center"/>
                </w:tcPr>
                <w:p w14:paraId="6748A2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42384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4ACB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0F3867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448AD9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6ECD06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下风向1</w:t>
                  </w:r>
                </w:p>
              </w:tc>
              <w:tc>
                <w:tcPr>
                  <w:tcW w:w="1162" w:type="dxa"/>
                  <w:noWrap w:val="0"/>
                  <w:vAlign w:val="center"/>
                </w:tcPr>
                <w:p w14:paraId="504B58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7A2DEB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w:t>
                  </w:r>
                </w:p>
              </w:tc>
              <w:tc>
                <w:tcPr>
                  <w:tcW w:w="1320" w:type="dxa"/>
                  <w:noWrap w:val="0"/>
                  <w:vAlign w:val="center"/>
                </w:tcPr>
                <w:p w14:paraId="210896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5E873B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71AD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55AF20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231246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451BC4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下风向2</w:t>
                  </w:r>
                </w:p>
              </w:tc>
              <w:tc>
                <w:tcPr>
                  <w:tcW w:w="1162" w:type="dxa"/>
                  <w:noWrap w:val="0"/>
                  <w:vAlign w:val="center"/>
                </w:tcPr>
                <w:p w14:paraId="4AB47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37556C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w:t>
                  </w:r>
                </w:p>
              </w:tc>
              <w:tc>
                <w:tcPr>
                  <w:tcW w:w="1320" w:type="dxa"/>
                  <w:noWrap w:val="0"/>
                  <w:vAlign w:val="center"/>
                </w:tcPr>
                <w:p w14:paraId="38976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12CC5F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r w14:paraId="20A9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2" w:type="dxa"/>
                  <w:vMerge w:val="continue"/>
                  <w:noWrap w:val="0"/>
                  <w:vAlign w:val="center"/>
                </w:tcPr>
                <w:p w14:paraId="4C0D94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392" w:type="dxa"/>
                  <w:vMerge w:val="continue"/>
                  <w:noWrap w:val="0"/>
                  <w:vAlign w:val="center"/>
                </w:tcPr>
                <w:p w14:paraId="7A96D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1010" w:type="dxa"/>
                  <w:noWrap w:val="0"/>
                  <w:vAlign w:val="center"/>
                </w:tcPr>
                <w:p w14:paraId="64AF5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下风向3</w:t>
                  </w:r>
                </w:p>
              </w:tc>
              <w:tc>
                <w:tcPr>
                  <w:tcW w:w="1162" w:type="dxa"/>
                  <w:noWrap w:val="0"/>
                  <w:vAlign w:val="center"/>
                </w:tcPr>
                <w:p w14:paraId="120791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75" w:type="dxa"/>
                  <w:noWrap w:val="0"/>
                  <w:vAlign w:val="center"/>
                </w:tcPr>
                <w:p w14:paraId="0F794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w:t>
                  </w:r>
                </w:p>
              </w:tc>
              <w:tc>
                <w:tcPr>
                  <w:tcW w:w="1320" w:type="dxa"/>
                  <w:noWrap w:val="0"/>
                  <w:vAlign w:val="center"/>
                </w:tcPr>
                <w:p w14:paraId="3546D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847" w:type="dxa"/>
                  <w:vMerge w:val="continue"/>
                  <w:noWrap w:val="0"/>
                  <w:vAlign w:val="center"/>
                </w:tcPr>
                <w:p w14:paraId="17526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r>
          </w:tbl>
          <w:p w14:paraId="3CC0BB5F">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vertAlign w:val="baseline"/>
                <w:lang w:val="en-US" w:eastAsia="zh-CN"/>
              </w:rPr>
            </w:pPr>
            <w:r>
              <w:rPr>
                <w:rFonts w:hint="default" w:ascii="Times New Roman" w:hAnsi="Times New Roman" w:eastAsia="宋体" w:cs="Times New Roman"/>
                <w:color w:val="auto"/>
                <w:sz w:val="24"/>
                <w:lang w:val="en-US" w:eastAsia="zh-CN"/>
              </w:rPr>
              <w:t>根据上表统计结果，10t燃煤锅炉的污染物排放均能</w:t>
            </w:r>
            <w:r>
              <w:rPr>
                <w:rFonts w:hint="default" w:ascii="Times New Roman" w:hAnsi="Times New Roman" w:eastAsia="宋体" w:cs="Times New Roman"/>
                <w:color w:val="auto"/>
                <w:sz w:val="24"/>
                <w:szCs w:val="24"/>
                <w:vertAlign w:val="baseline"/>
                <w:lang w:val="en-US" w:eastAsia="zh-CN"/>
              </w:rPr>
              <w:t>满足《锅炉大气污染物排放标准》（GB13271-2014）表1中在用燃煤锅炉的浓度限值要求：颗粒物≤80mg/m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vertAlign w:val="baseline"/>
                <w:lang w:val="en-US" w:eastAsia="zh-CN"/>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≤400mg/m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vertAlign w:val="baseline"/>
                <w:lang w:val="en-US" w:eastAsia="zh-CN"/>
              </w:rPr>
              <w:t>，NO</w:t>
            </w:r>
            <w:r>
              <w:rPr>
                <w:rFonts w:hint="default" w:ascii="Times New Roman" w:hAnsi="Times New Roman" w:eastAsia="宋体" w:cs="Times New Roman"/>
                <w:color w:val="auto"/>
                <w:sz w:val="24"/>
                <w:szCs w:val="24"/>
                <w:vertAlign w:val="subscript"/>
                <w:lang w:val="en-US" w:eastAsia="zh-CN"/>
              </w:rPr>
              <w:t>x</w:t>
            </w:r>
            <w:r>
              <w:rPr>
                <w:rFonts w:hint="default" w:ascii="Times New Roman" w:hAnsi="Times New Roman" w:eastAsia="宋体" w:cs="Times New Roman"/>
                <w:color w:val="auto"/>
                <w:sz w:val="24"/>
                <w:szCs w:val="24"/>
                <w:vertAlign w:val="baseline"/>
                <w:lang w:val="en-US" w:eastAsia="zh-CN"/>
              </w:rPr>
              <w:t>≤400mg/m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vertAlign w:val="baseline"/>
                <w:lang w:val="en-US" w:eastAsia="zh-CN"/>
              </w:rPr>
              <w:t>，汞及其化合物≤0.05mg/m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vertAlign w:val="baseline"/>
                <w:lang w:val="en-US" w:eastAsia="zh-CN"/>
              </w:rPr>
              <w:t>，烟气黑度（林格曼黑度）≤1级。</w:t>
            </w:r>
          </w:p>
          <w:p w14:paraId="78C6A96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根据《云南李好纸业有限公司锅炉治理项目环境影响报告表》的批复（宜生环[2023]111号）总量控制指标为：全厂废气排放总量为3105.38万m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/a，烟尘：5.984t/a；SO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：22.129t/a；NO</w:t>
            </w:r>
            <w:r>
              <w:rPr>
                <w:rFonts w:hint="default" w:ascii="Times New Roman" w:hAnsi="Times New Roman" w:eastAsia="宋体" w:cs="Times New Roman"/>
                <w:color w:val="auto"/>
                <w:sz w:val="24"/>
                <w:vertAlign w:val="subscript"/>
                <w:lang w:val="en-US" w:eastAsia="zh-CN"/>
              </w:rPr>
              <w:t>x</w:t>
            </w:r>
            <w:r>
              <w:rPr>
                <w:rFonts w:hint="default" w:ascii="Times New Roman" w:hAnsi="Times New Roman" w:eastAsia="宋体" w:cs="Times New Roman"/>
                <w:color w:val="auto"/>
                <w:sz w:val="24"/>
                <w:lang w:val="en-US" w:eastAsia="zh-CN"/>
              </w:rPr>
              <w:t>：15.435t/a；汞及其化合物：0.0014t/a。</w:t>
            </w:r>
          </w:p>
          <w:p w14:paraId="0E323FE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vertAlign w:val="baseline"/>
                <w:lang w:val="en-US" w:eastAsia="zh-CN"/>
              </w:rPr>
            </w:pPr>
            <w:r>
              <w:rPr>
                <w:rFonts w:hint="default" w:ascii="Times New Roman" w:hAnsi="Times New Roman" w:eastAsia="宋体" w:cs="Times New Roman"/>
                <w:color w:val="auto"/>
                <w:sz w:val="24"/>
                <w:lang w:val="en-US" w:eastAsia="zh-CN"/>
              </w:rPr>
              <w:t>本次环评选取2025年和2026年污染物排放速率最大的自行监测报告，根据最大两次的均值，颗粒物排放量为3.585t/a，SO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vertAlign w:val="baseline"/>
                <w:lang w:val="en-US" w:eastAsia="zh-CN"/>
              </w:rPr>
              <w:t>排放量为16.56t/a，NO</w:t>
            </w:r>
            <w:r>
              <w:rPr>
                <w:rFonts w:hint="default" w:ascii="Times New Roman" w:hAnsi="Times New Roman" w:eastAsia="宋体" w:cs="Times New Roman"/>
                <w:color w:val="auto"/>
                <w:sz w:val="24"/>
                <w:vertAlign w:val="subscript"/>
                <w:lang w:val="en-US" w:eastAsia="zh-CN"/>
              </w:rPr>
              <w:t>x</w:t>
            </w:r>
            <w:r>
              <w:rPr>
                <w:rFonts w:hint="default" w:ascii="Times New Roman" w:hAnsi="Times New Roman" w:eastAsia="宋体" w:cs="Times New Roman"/>
                <w:color w:val="auto"/>
                <w:sz w:val="24"/>
                <w:vertAlign w:val="baseline"/>
                <w:lang w:val="en-US" w:eastAsia="zh-CN"/>
              </w:rPr>
              <w:t>排放量为15.088t/a，汞排放量为2.088×10</w:t>
            </w:r>
            <w:r>
              <w:rPr>
                <w:rFonts w:hint="default" w:ascii="Times New Roman" w:hAnsi="Times New Roman" w:eastAsia="宋体" w:cs="Times New Roman"/>
                <w:color w:val="auto"/>
                <w:sz w:val="24"/>
                <w:vertAlign w:val="superscript"/>
                <w:lang w:val="en-US" w:eastAsia="zh-CN"/>
              </w:rPr>
              <w:t>-5</w:t>
            </w:r>
            <w:r>
              <w:rPr>
                <w:rFonts w:hint="default" w:ascii="Times New Roman" w:hAnsi="Times New Roman" w:eastAsia="宋体" w:cs="Times New Roman"/>
                <w:color w:val="auto"/>
                <w:sz w:val="24"/>
                <w:vertAlign w:val="baseline"/>
                <w:lang w:val="en-US" w:eastAsia="zh-CN"/>
              </w:rPr>
              <w:t>t/a，黑度级别＜1级。污染物排放量均未超过</w:t>
            </w:r>
            <w:r>
              <w:rPr>
                <w:rFonts w:hint="default" w:ascii="Times New Roman" w:hAnsi="Times New Roman" w:eastAsia="宋体" w:cs="Times New Roman"/>
                <w:color w:val="auto"/>
                <w:sz w:val="24"/>
                <w:szCs w:val="24"/>
                <w:vertAlign w:val="baseline"/>
                <w:lang w:val="en-US" w:eastAsia="zh-CN"/>
              </w:rPr>
              <w:t>锅炉治理项目</w:t>
            </w:r>
            <w:r>
              <w:rPr>
                <w:rFonts w:hint="default" w:ascii="Times New Roman" w:hAnsi="Times New Roman" w:eastAsia="宋体" w:cs="Times New Roman"/>
                <w:color w:val="auto"/>
                <w:sz w:val="24"/>
                <w:vertAlign w:val="baseline"/>
                <w:lang w:val="en-US" w:eastAsia="zh-CN"/>
              </w:rPr>
              <w:t>批复</w:t>
            </w:r>
            <w:r>
              <w:rPr>
                <w:rFonts w:hint="default" w:ascii="Times New Roman" w:hAnsi="Times New Roman" w:eastAsia="宋体" w:cs="Times New Roman"/>
                <w:color w:val="auto"/>
                <w:sz w:val="24"/>
                <w:lang w:val="en-US" w:eastAsia="zh-CN"/>
              </w:rPr>
              <w:t>（宜生环[2023]111号）</w:t>
            </w:r>
            <w:r>
              <w:rPr>
                <w:rFonts w:hint="default" w:ascii="Times New Roman" w:hAnsi="Times New Roman" w:eastAsia="宋体" w:cs="Times New Roman"/>
                <w:color w:val="auto"/>
                <w:sz w:val="24"/>
                <w:vertAlign w:val="baseline"/>
                <w:lang w:val="en-US" w:eastAsia="zh-CN"/>
              </w:rPr>
              <w:t>中污染物总量控制指标和排污许可证总量控制指标。</w:t>
            </w:r>
          </w:p>
          <w:p w14:paraId="723CC5C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vertAlign w:val="baseline"/>
                <w:lang w:val="en-US" w:eastAsia="zh-CN"/>
              </w:rPr>
              <w:t>存在问题：本项目涉及总量的排污许可证副本中废气许可量给出，根据批复风量和许可排放浓度折算出：烟尘3.248t/a，SO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vertAlign w:val="baseline"/>
                <w:lang w:val="en-US" w:eastAsia="zh-CN"/>
              </w:rPr>
              <w:t xml:space="preserve"> 16.24t/a，NO</w:t>
            </w:r>
            <w:r>
              <w:rPr>
                <w:rFonts w:hint="default" w:ascii="Times New Roman" w:hAnsi="Times New Roman" w:eastAsia="宋体" w:cs="Times New Roman"/>
                <w:color w:val="auto"/>
                <w:sz w:val="24"/>
                <w:vertAlign w:val="subscript"/>
                <w:lang w:val="en-US" w:eastAsia="zh-CN"/>
              </w:rPr>
              <w:t xml:space="preserve">x </w:t>
            </w:r>
            <w:r>
              <w:rPr>
                <w:rFonts w:hint="default" w:ascii="Times New Roman" w:hAnsi="Times New Roman" w:eastAsia="宋体" w:cs="Times New Roman"/>
                <w:color w:val="auto"/>
                <w:sz w:val="24"/>
                <w:vertAlign w:val="baseline"/>
                <w:lang w:val="en-US" w:eastAsia="zh-CN"/>
              </w:rPr>
              <w:t>16.24t/a；本次环评查阅原有环评相关资料，</w:t>
            </w:r>
            <w:r>
              <w:rPr>
                <w:rFonts w:hint="default" w:ascii="Times New Roman" w:hAnsi="Times New Roman" w:eastAsia="宋体" w:cs="Times New Roman"/>
                <w:color w:val="auto"/>
                <w:sz w:val="24"/>
                <w:lang w:val="en-US" w:eastAsia="zh-CN"/>
              </w:rPr>
              <w:t>锅炉治理项目批复的</w:t>
            </w:r>
            <w:r>
              <w:rPr>
                <w:rFonts w:hint="default" w:ascii="Times New Roman" w:hAnsi="Times New Roman" w:eastAsia="宋体" w:cs="Times New Roman"/>
                <w:color w:val="auto"/>
                <w:sz w:val="24"/>
                <w:vertAlign w:val="baseline"/>
                <w:lang w:val="en-US" w:eastAsia="zh-CN"/>
              </w:rPr>
              <w:t>废气总量是按照排污系数核算（3105.38万m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vertAlign w:val="baseline"/>
                <w:lang w:val="en-US" w:eastAsia="zh-CN"/>
              </w:rPr>
              <w:t>/a），折算浓度排放是根据项目的风机风量（59696m³/h）进行计算，风机风量应以实际风量进行控制。因此导致废气污染物总量控制指标与</w:t>
            </w:r>
            <w:r>
              <w:rPr>
                <w:rFonts w:hint="default" w:ascii="Times New Roman" w:hAnsi="Times New Roman" w:eastAsia="宋体" w:cs="Times New Roman"/>
                <w:color w:val="auto"/>
                <w:sz w:val="24"/>
                <w:szCs w:val="24"/>
                <w:vertAlign w:val="baseline"/>
                <w:lang w:val="en-US" w:eastAsia="zh-CN"/>
              </w:rPr>
              <w:t>锅炉治理项目</w:t>
            </w:r>
            <w:r>
              <w:rPr>
                <w:rFonts w:hint="default" w:ascii="Times New Roman" w:hAnsi="Times New Roman" w:eastAsia="宋体" w:cs="Times New Roman"/>
                <w:color w:val="auto"/>
                <w:sz w:val="24"/>
                <w:vertAlign w:val="baseline"/>
                <w:lang w:val="en-US" w:eastAsia="zh-CN"/>
              </w:rPr>
              <w:t>批复</w:t>
            </w:r>
            <w:r>
              <w:rPr>
                <w:rFonts w:hint="default" w:ascii="Times New Roman" w:hAnsi="Times New Roman" w:eastAsia="宋体" w:cs="Times New Roman"/>
                <w:color w:val="auto"/>
                <w:sz w:val="24"/>
                <w:lang w:val="en-US" w:eastAsia="zh-CN"/>
              </w:rPr>
              <w:t>（宜生环[2023]111号）不一致。</w:t>
            </w:r>
          </w:p>
          <w:p w14:paraId="6B3EEAF6">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zh-CN"/>
              </w:rPr>
              <w:t>（</w:t>
            </w:r>
            <w:r>
              <w:rPr>
                <w:rFonts w:hint="default" w:ascii="Times New Roman" w:hAnsi="Times New Roman" w:eastAsia="宋体" w:cs="Times New Roman"/>
                <w:b/>
                <w:bCs/>
                <w:color w:val="auto"/>
                <w:sz w:val="24"/>
                <w:lang w:val="en-US" w:eastAsia="zh-CN"/>
              </w:rPr>
              <w:t>2</w:t>
            </w:r>
            <w:r>
              <w:rPr>
                <w:rFonts w:hint="default" w:ascii="Times New Roman" w:hAnsi="Times New Roman" w:eastAsia="宋体" w:cs="Times New Roman"/>
                <w:b/>
                <w:bCs/>
                <w:color w:val="auto"/>
                <w:sz w:val="24"/>
                <w:lang w:val="zh-CN"/>
              </w:rPr>
              <w:t>）废水</w:t>
            </w:r>
          </w:p>
          <w:p w14:paraId="73C3AA0B">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根据原有验收和批复文件，废水经</w:t>
            </w:r>
            <w:r>
              <w:rPr>
                <w:rFonts w:hint="default" w:ascii="Times New Roman" w:hAnsi="Times New Roman" w:eastAsia="宋体" w:cs="Times New Roman"/>
                <w:color w:val="auto"/>
                <w:sz w:val="24"/>
              </w:rPr>
              <w:t>综合污水处理站处理</w:t>
            </w:r>
            <w:r>
              <w:rPr>
                <w:rFonts w:hint="default" w:ascii="Times New Roman" w:hAnsi="Times New Roman" w:eastAsia="宋体" w:cs="Times New Roman"/>
                <w:color w:val="auto"/>
                <w:sz w:val="24"/>
                <w:lang w:val="en-US" w:eastAsia="zh-CN"/>
              </w:rPr>
              <w:t>达《城镇污水处理厂污染物排放标准》（GB18918-2002）一级A标准后通过总排口排入南盘江；后因入河排污口未能审批，废水经处理达标后不予外排，企业回用生产，废水不外排。</w:t>
            </w:r>
          </w:p>
          <w:p w14:paraId="79897DE3">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现有项目锅炉污水进入厂区综合污水处理站</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一座，处理规模为4800m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vertAlign w:val="baseline"/>
                <w:lang w:val="en-US" w:eastAsia="zh-CN"/>
              </w:rPr>
              <w:t>/d</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处理后回用于薄型生活用纸生产线</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双碱法脱硫脱尘</w:t>
            </w:r>
            <w:r>
              <w:rPr>
                <w:rFonts w:hint="default" w:ascii="Times New Roman" w:hAnsi="Times New Roman" w:eastAsia="宋体" w:cs="Times New Roman"/>
                <w:color w:val="auto"/>
                <w:sz w:val="24"/>
              </w:rPr>
              <w:t>系统生产的废水循环使用，不外排。</w:t>
            </w:r>
            <w:r>
              <w:rPr>
                <w:rFonts w:hint="default" w:ascii="Times New Roman" w:hAnsi="Times New Roman" w:eastAsia="宋体" w:cs="Times New Roman"/>
                <w:b w:val="0"/>
                <w:bCs w:val="0"/>
                <w:color w:val="auto"/>
                <w:sz w:val="24"/>
                <w:szCs w:val="24"/>
              </w:rPr>
              <w:t>现有项目</w:t>
            </w:r>
            <w:r>
              <w:rPr>
                <w:rFonts w:hint="default" w:ascii="Times New Roman" w:hAnsi="Times New Roman" w:eastAsia="宋体" w:cs="Times New Roman"/>
                <w:b w:val="0"/>
                <w:bCs w:val="0"/>
                <w:color w:val="auto"/>
                <w:sz w:val="24"/>
                <w:szCs w:val="24"/>
                <w:lang w:val="en-US" w:eastAsia="zh-CN"/>
              </w:rPr>
              <w:t>锅炉</w:t>
            </w:r>
            <w:r>
              <w:rPr>
                <w:rFonts w:hint="default" w:ascii="Times New Roman" w:hAnsi="Times New Roman" w:eastAsia="宋体" w:cs="Times New Roman"/>
                <w:b w:val="0"/>
                <w:bCs w:val="0"/>
                <w:color w:val="auto"/>
                <w:sz w:val="24"/>
                <w:szCs w:val="24"/>
              </w:rPr>
              <w:t>外排水量</w:t>
            </w:r>
            <w:r>
              <w:rPr>
                <w:rFonts w:hint="default" w:ascii="Times New Roman" w:hAnsi="Times New Roman" w:eastAsia="宋体" w:cs="Times New Roman"/>
                <w:b w:val="0"/>
                <w:bCs w:val="0"/>
                <w:color w:val="auto"/>
                <w:sz w:val="24"/>
                <w:szCs w:val="24"/>
                <w:lang w:val="en-US" w:eastAsia="zh-CN"/>
              </w:rPr>
              <w:t>约</w:t>
            </w:r>
            <w:r>
              <w:rPr>
                <w:rFonts w:hint="default" w:ascii="Times New Roman" w:hAnsi="Times New Roman" w:eastAsia="宋体" w:cs="Times New Roman"/>
                <w:b w:val="0"/>
                <w:bCs w:val="0"/>
                <w:color w:val="auto"/>
                <w:sz w:val="24"/>
                <w:szCs w:val="24"/>
              </w:rPr>
              <w:t>为</w:t>
            </w:r>
            <w:r>
              <w:rPr>
                <w:rFonts w:hint="default" w:ascii="Times New Roman" w:hAnsi="Times New Roman" w:eastAsia="宋体" w:cs="Times New Roman"/>
                <w:b w:val="0"/>
                <w:bCs w:val="0"/>
                <w:color w:val="auto"/>
                <w:sz w:val="24"/>
                <w:szCs w:val="24"/>
                <w:lang w:val="en-US" w:eastAsia="zh-CN"/>
              </w:rPr>
              <w:t>8.7</w:t>
            </w:r>
            <w:r>
              <w:rPr>
                <w:rFonts w:hint="default" w:ascii="Times New Roman" w:hAnsi="Times New Roman" w:eastAsia="宋体" w:cs="Times New Roman"/>
                <w:b w:val="0"/>
                <w:bCs w:val="0"/>
                <w:color w:val="auto"/>
                <w:sz w:val="24"/>
                <w:szCs w:val="24"/>
              </w:rPr>
              <w:t>m</w:t>
            </w:r>
            <w:r>
              <w:rPr>
                <w:rFonts w:hint="default" w:ascii="Times New Roman" w:hAnsi="Times New Roman" w:eastAsia="宋体" w:cs="Times New Roman"/>
                <w:b w:val="0"/>
                <w:bCs w:val="0"/>
                <w:color w:val="auto"/>
                <w:sz w:val="24"/>
                <w:szCs w:val="24"/>
                <w:vertAlign w:val="superscript"/>
              </w:rPr>
              <w:t>3</w:t>
            </w:r>
            <w:r>
              <w:rPr>
                <w:rFonts w:hint="default" w:ascii="Times New Roman" w:hAnsi="Times New Roman" w:eastAsia="宋体" w:cs="Times New Roman"/>
                <w:b w:val="0"/>
                <w:bCs w:val="0"/>
                <w:color w:val="auto"/>
                <w:sz w:val="24"/>
                <w:szCs w:val="24"/>
              </w:rPr>
              <w:t>/d，</w:t>
            </w:r>
            <w:r>
              <w:rPr>
                <w:rFonts w:hint="default" w:ascii="Times New Roman" w:hAnsi="Times New Roman" w:eastAsia="宋体" w:cs="Times New Roman"/>
                <w:b w:val="0"/>
                <w:bCs w:val="0"/>
                <w:color w:val="auto"/>
                <w:sz w:val="24"/>
                <w:szCs w:val="24"/>
                <w:lang w:val="en-US" w:eastAsia="zh-CN"/>
              </w:rPr>
              <w:t>2610</w:t>
            </w:r>
            <w:r>
              <w:rPr>
                <w:rFonts w:hint="default" w:ascii="Times New Roman" w:hAnsi="Times New Roman" w:eastAsia="宋体" w:cs="Times New Roman"/>
                <w:b w:val="0"/>
                <w:bCs w:val="0"/>
                <w:color w:val="auto"/>
                <w:sz w:val="24"/>
                <w:szCs w:val="24"/>
              </w:rPr>
              <w:t>m</w:t>
            </w:r>
            <w:r>
              <w:rPr>
                <w:rFonts w:hint="default" w:ascii="Times New Roman" w:hAnsi="Times New Roman" w:eastAsia="宋体" w:cs="Times New Roman"/>
                <w:b w:val="0"/>
                <w:bCs w:val="0"/>
                <w:color w:val="auto"/>
                <w:sz w:val="24"/>
                <w:szCs w:val="24"/>
                <w:vertAlign w:val="superscript"/>
              </w:rPr>
              <w:t>3</w:t>
            </w:r>
            <w:r>
              <w:rPr>
                <w:rFonts w:hint="default" w:ascii="Times New Roman" w:hAnsi="Times New Roman" w:eastAsia="宋体" w:cs="Times New Roman"/>
                <w:b w:val="0"/>
                <w:bCs w:val="0"/>
                <w:color w:val="auto"/>
                <w:sz w:val="24"/>
                <w:szCs w:val="24"/>
              </w:rPr>
              <w:t>/a</w:t>
            </w:r>
            <w:r>
              <w:rPr>
                <w:rFonts w:hint="default" w:ascii="Times New Roman" w:hAnsi="Times New Roman" w:eastAsia="宋体" w:cs="Times New Roman"/>
                <w:b w:val="0"/>
                <w:bCs w:val="0"/>
                <w:color w:val="auto"/>
                <w:sz w:val="24"/>
                <w:szCs w:val="24"/>
                <w:lang w:eastAsia="zh-CN"/>
              </w:rPr>
              <w:t>，</w:t>
            </w:r>
            <w:r>
              <w:rPr>
                <w:rStyle w:val="47"/>
                <w:rFonts w:hint="default" w:ascii="Times New Roman" w:hAnsi="Times New Roman" w:eastAsia="宋体" w:cs="Times New Roman"/>
                <w:color w:val="auto"/>
                <w:kern w:val="0"/>
                <w:sz w:val="24"/>
              </w:rPr>
              <w:t>根据业主提供的</w:t>
            </w:r>
            <w:r>
              <w:rPr>
                <w:rFonts w:hint="default" w:ascii="Times New Roman" w:hAnsi="Times New Roman" w:eastAsia="宋体" w:cs="Times New Roman"/>
                <w:color w:val="auto"/>
                <w:sz w:val="24"/>
              </w:rPr>
              <w:t>厂区综合污水处理站自动监测结果</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监测因子为：pH、SS、氨氮、总磷、流量、水温、总氮、COD，数据为2025年4月~6月</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vertAlign w:val="baseline"/>
                <w:lang w:val="en-US" w:eastAsia="zh-CN"/>
              </w:rPr>
              <w:t>同时根据业主介绍，最大</w:t>
            </w:r>
            <w:r>
              <w:rPr>
                <w:rFonts w:hint="default" w:ascii="Times New Roman" w:hAnsi="Times New Roman" w:eastAsia="宋体" w:cs="Times New Roman"/>
                <w:color w:val="auto"/>
                <w:kern w:val="0"/>
                <w:sz w:val="24"/>
              </w:rPr>
              <w:t>厂区综合污水处理站处理量</w:t>
            </w:r>
            <w:r>
              <w:rPr>
                <w:rFonts w:hint="default" w:ascii="Times New Roman" w:hAnsi="Times New Roman" w:eastAsia="宋体" w:cs="Times New Roman"/>
                <w:color w:val="auto"/>
                <w:sz w:val="24"/>
              </w:rPr>
              <w:t>为2</w:t>
            </w:r>
            <w:r>
              <w:rPr>
                <w:rFonts w:hint="default" w:ascii="Times New Roman" w:hAnsi="Times New Roman" w:eastAsia="宋体" w:cs="Times New Roman"/>
                <w:color w:val="auto"/>
                <w:sz w:val="24"/>
                <w:lang w:val="en-US" w:eastAsia="zh-CN"/>
              </w:rPr>
              <w:t>500</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w:t>
            </w:r>
            <w:r>
              <w:rPr>
                <w:rFonts w:hint="default" w:ascii="Times New Roman" w:hAnsi="Times New Roman" w:eastAsia="宋体" w:cs="Times New Roman"/>
                <w:color w:val="auto"/>
                <w:sz w:val="24"/>
              </w:rPr>
              <w:t>各污染物排放浓度：NH</w:t>
            </w:r>
            <w:r>
              <w:rPr>
                <w:rFonts w:hint="default" w:ascii="Times New Roman" w:hAnsi="Times New Roman" w:eastAsia="宋体" w:cs="Times New Roman"/>
                <w:color w:val="auto"/>
                <w:sz w:val="24"/>
                <w:vertAlign w:val="subscript"/>
              </w:rPr>
              <w:t>3</w:t>
            </w:r>
            <w:r>
              <w:rPr>
                <w:rFonts w:hint="default" w:ascii="Times New Roman" w:hAnsi="Times New Roman" w:eastAsia="宋体" w:cs="Times New Roman"/>
                <w:color w:val="auto"/>
                <w:sz w:val="24"/>
              </w:rPr>
              <w:t>-N：</w:t>
            </w:r>
            <w:r>
              <w:rPr>
                <w:rFonts w:hint="default" w:ascii="Times New Roman" w:hAnsi="Times New Roman" w:eastAsia="宋体" w:cs="Times New Roman"/>
                <w:color w:val="auto"/>
                <w:sz w:val="24"/>
                <w:lang w:val="en-US" w:eastAsia="zh-CN"/>
              </w:rPr>
              <w:t>1.5</w:t>
            </w:r>
            <w:r>
              <w:rPr>
                <w:rFonts w:hint="default" w:ascii="Times New Roman" w:hAnsi="Times New Roman" w:eastAsia="宋体" w:cs="Times New Roman"/>
                <w:color w:val="auto"/>
                <w:sz w:val="24"/>
              </w:rPr>
              <w:t>mg/L、TP：</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rPr>
              <w:t>mg/L、COD：</w:t>
            </w:r>
            <w:r>
              <w:rPr>
                <w:rFonts w:hint="default" w:ascii="Times New Roman" w:hAnsi="Times New Roman" w:eastAsia="宋体" w:cs="Times New Roman"/>
                <w:color w:val="auto"/>
                <w:sz w:val="24"/>
                <w:lang w:val="en-US" w:eastAsia="zh-CN"/>
              </w:rPr>
              <w:t>25</w:t>
            </w:r>
            <w:r>
              <w:rPr>
                <w:rFonts w:hint="default" w:ascii="Times New Roman" w:hAnsi="Times New Roman" w:eastAsia="宋体" w:cs="Times New Roman"/>
                <w:color w:val="auto"/>
                <w:sz w:val="24"/>
              </w:rPr>
              <w:t>mg/L、SS：</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mg/L</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TN：3</w:t>
            </w:r>
            <w:r>
              <w:rPr>
                <w:rFonts w:hint="default" w:ascii="Times New Roman" w:hAnsi="Times New Roman" w:eastAsia="宋体" w:cs="Times New Roman"/>
                <w:color w:val="auto"/>
                <w:sz w:val="24"/>
              </w:rPr>
              <w:t>mg/L。</w:t>
            </w:r>
            <w:r>
              <w:rPr>
                <w:rFonts w:hint="default" w:ascii="Times New Roman" w:hAnsi="Times New Roman" w:eastAsia="宋体" w:cs="Times New Roman"/>
                <w:color w:val="auto"/>
                <w:sz w:val="24"/>
                <w:lang w:val="en-US" w:eastAsia="zh-CN"/>
              </w:rPr>
              <w:t>废水在线检测指标满足《城镇污水处理厂污染物排放标准》（GB18918-2002）一级A标准。</w:t>
            </w:r>
          </w:p>
          <w:p w14:paraId="5261774B">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vertAlign w:val="baseline"/>
                <w:lang w:val="en-US" w:eastAsia="zh-CN"/>
              </w:rPr>
            </w:pPr>
            <w:r>
              <w:rPr>
                <w:rFonts w:hint="default" w:ascii="Times New Roman" w:hAnsi="Times New Roman" w:eastAsia="宋体" w:cs="Times New Roman"/>
                <w:color w:val="auto"/>
                <w:sz w:val="24"/>
                <w:highlight w:val="none"/>
                <w:lang w:val="en-US" w:eastAsia="zh-CN"/>
              </w:rPr>
              <w:t>由于本项目目前未取得入河排污口批复，生产废水经处理达《城镇污水处理厂污染物排放标准》(GB18918-2002)一级A标准后废水不能外排，回用于生产线。根据《城市污水再生利用  工业用水水质》（GB/T19923-2024）-工业用水水质标准，NH</w:t>
            </w:r>
            <w:r>
              <w:rPr>
                <w:rFonts w:hint="default" w:ascii="Times New Roman" w:hAnsi="Times New Roman" w:eastAsia="宋体" w:cs="Times New Roman"/>
                <w:color w:val="auto"/>
                <w:sz w:val="24"/>
                <w:highlight w:val="none"/>
                <w:vertAlign w:val="subscript"/>
                <w:lang w:val="en-US" w:eastAsia="zh-CN"/>
              </w:rPr>
              <w:t>3</w:t>
            </w:r>
            <w:r>
              <w:rPr>
                <w:rFonts w:hint="default" w:ascii="Times New Roman" w:hAnsi="Times New Roman" w:eastAsia="宋体" w:cs="Times New Roman"/>
                <w:color w:val="auto"/>
                <w:sz w:val="24"/>
                <w:highlight w:val="none"/>
                <w:vertAlign w:val="baseline"/>
                <w:lang w:val="en-US" w:eastAsia="zh-CN"/>
              </w:rPr>
              <w:t>-N≤5mg/L，TP≤0.5mg/L，COD≤50mg/L，TN≤15mg/L。通过对比</w:t>
            </w:r>
            <w:r>
              <w:rPr>
                <w:rFonts w:hint="default" w:ascii="Times New Roman" w:hAnsi="Times New Roman" w:eastAsia="宋体" w:cs="Times New Roman"/>
                <w:color w:val="auto"/>
                <w:sz w:val="24"/>
                <w:highlight w:val="none"/>
                <w:lang w:val="en-US" w:eastAsia="zh-CN"/>
              </w:rPr>
              <w:t>《城镇污水处理厂污染物排放标准》(GB18918-2002)一级A标准和《城市污水再生利用  工业用水水质》（GB/T19923-2024）-工业用水水质标准，项目的综合废水经污水处理站处理达《城镇污水处理厂污染物排放标准》(GB18918-2002)一级A标准后同时也能满足《城市污水再生利用  工业用水水质》（GB/T19923-2024）-工业用水水质标准。</w:t>
            </w:r>
          </w:p>
          <w:p w14:paraId="463E01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lang w:eastAsia="zh-CN"/>
              </w:rPr>
              <w:t>（</w:t>
            </w:r>
            <w:r>
              <w:rPr>
                <w:rFonts w:hint="default" w:ascii="Times New Roman" w:hAnsi="Times New Roman" w:eastAsia="宋体" w:cs="Times New Roman"/>
                <w:b/>
                <w:bCs/>
                <w:color w:val="auto"/>
                <w:kern w:val="0"/>
                <w:sz w:val="24"/>
                <w:lang w:val="en-US" w:eastAsia="zh-CN"/>
              </w:rPr>
              <w:t>3</w:t>
            </w:r>
            <w:r>
              <w:rPr>
                <w:rFonts w:hint="default" w:ascii="Times New Roman" w:hAnsi="Times New Roman" w:eastAsia="宋体" w:cs="Times New Roman"/>
                <w:b/>
                <w:bCs/>
                <w:color w:val="auto"/>
                <w:kern w:val="0"/>
                <w:sz w:val="24"/>
                <w:lang w:eastAsia="zh-CN"/>
              </w:rPr>
              <w:t>）</w:t>
            </w:r>
            <w:r>
              <w:rPr>
                <w:rFonts w:hint="default" w:ascii="Times New Roman" w:hAnsi="Times New Roman" w:eastAsia="宋体" w:cs="Times New Roman"/>
                <w:b/>
                <w:bCs/>
                <w:color w:val="auto"/>
                <w:kern w:val="0"/>
                <w:sz w:val="24"/>
              </w:rPr>
              <w:t>噪声</w:t>
            </w:r>
          </w:p>
          <w:p w14:paraId="66616F9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rPr>
              <w:t>现有项目于202</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第三季度</w:t>
            </w:r>
            <w:r>
              <w:rPr>
                <w:rFonts w:hint="default" w:ascii="Times New Roman" w:hAnsi="Times New Roman" w:eastAsia="宋体" w:cs="Times New Roman"/>
                <w:color w:val="auto"/>
                <w:sz w:val="24"/>
              </w:rPr>
              <w:t>对厂界进行监测，厂界噪声监测结果如下：</w:t>
            </w:r>
          </w:p>
          <w:p w14:paraId="7043778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b/>
                <w:color w:val="auto"/>
                <w:szCs w:val="21"/>
              </w:rPr>
              <w:t>表2.1</w:t>
            </w:r>
            <w:r>
              <w:rPr>
                <w:rFonts w:hint="default" w:ascii="Times New Roman" w:hAnsi="Times New Roman" w:eastAsia="宋体" w:cs="Times New Roman"/>
                <w:b/>
                <w:color w:val="auto"/>
                <w:szCs w:val="21"/>
                <w:lang w:val="en-US" w:eastAsia="zh-CN"/>
              </w:rPr>
              <w:t>1</w:t>
            </w:r>
            <w:r>
              <w:rPr>
                <w:rFonts w:hint="default" w:ascii="Times New Roman" w:hAnsi="Times New Roman" w:eastAsia="宋体" w:cs="Times New Roman"/>
                <w:b/>
                <w:color w:val="auto"/>
                <w:szCs w:val="21"/>
              </w:rPr>
              <w:t>-</w:t>
            </w:r>
            <w:r>
              <w:rPr>
                <w:rFonts w:hint="default" w:ascii="Times New Roman" w:hAnsi="Times New Roman" w:eastAsia="宋体" w:cs="Times New Roman"/>
                <w:b/>
                <w:color w:val="auto"/>
                <w:szCs w:val="21"/>
                <w:lang w:val="en-US" w:eastAsia="zh-CN"/>
              </w:rPr>
              <w:t>2</w:t>
            </w:r>
            <w:r>
              <w:rPr>
                <w:rFonts w:hint="default" w:ascii="Times New Roman" w:hAnsi="Times New Roman" w:eastAsia="宋体" w:cs="Times New Roman"/>
                <w:b/>
                <w:color w:val="auto"/>
                <w:szCs w:val="21"/>
              </w:rPr>
              <w:t xml:space="preserve">   </w:t>
            </w:r>
            <w:r>
              <w:rPr>
                <w:rFonts w:hint="default" w:ascii="Times New Roman" w:hAnsi="Times New Roman" w:eastAsia="宋体" w:cs="Times New Roman"/>
                <w:b/>
                <w:color w:val="auto"/>
                <w:szCs w:val="21"/>
                <w:lang w:val="en-US" w:eastAsia="zh-CN"/>
              </w:rPr>
              <w:t>原有</w:t>
            </w:r>
            <w:r>
              <w:rPr>
                <w:rFonts w:hint="default" w:ascii="Times New Roman" w:hAnsi="Times New Roman" w:eastAsia="宋体" w:cs="Times New Roman"/>
                <w:b/>
                <w:color w:val="auto"/>
                <w:szCs w:val="21"/>
              </w:rPr>
              <w:t>项目厂界噪声监测结果</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5"/>
              <w:gridCol w:w="3125"/>
              <w:gridCol w:w="2303"/>
            </w:tblGrid>
            <w:tr w14:paraId="5849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774" w:type="pct"/>
                  <w:vMerge w:val="restart"/>
                  <w:noWrap w:val="0"/>
                  <w:vAlign w:val="center"/>
                </w:tcPr>
                <w:p w14:paraId="1D5F50D8">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监测点位</w:t>
                  </w:r>
                </w:p>
              </w:tc>
              <w:tc>
                <w:tcPr>
                  <w:tcW w:w="3226" w:type="pct"/>
                  <w:gridSpan w:val="2"/>
                  <w:noWrap w:val="0"/>
                  <w:vAlign w:val="center"/>
                </w:tcPr>
                <w:p w14:paraId="568B0E16">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测量值LeqdB(A)</w:t>
                  </w:r>
                </w:p>
              </w:tc>
            </w:tr>
            <w:tr w14:paraId="241D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774" w:type="pct"/>
                  <w:vMerge w:val="continue"/>
                  <w:noWrap w:val="0"/>
                  <w:vAlign w:val="center"/>
                </w:tcPr>
                <w:p w14:paraId="722874BF">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b/>
                      <w:bCs/>
                      <w:color w:val="auto"/>
                      <w:szCs w:val="21"/>
                    </w:rPr>
                  </w:pPr>
                </w:p>
              </w:tc>
              <w:tc>
                <w:tcPr>
                  <w:tcW w:w="3226" w:type="pct"/>
                  <w:gridSpan w:val="2"/>
                  <w:noWrap w:val="0"/>
                  <w:vAlign w:val="center"/>
                </w:tcPr>
                <w:p w14:paraId="2B29D0CB">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监测结果</w:t>
                  </w:r>
                </w:p>
                <w:p w14:paraId="556D6599">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w:t>
                  </w:r>
                </w:p>
              </w:tc>
            </w:tr>
            <w:tr w14:paraId="51B6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774" w:type="pct"/>
                  <w:noWrap w:val="0"/>
                  <w:vAlign w:val="center"/>
                </w:tcPr>
                <w:p w14:paraId="0289E4AA">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厂界东1#</w:t>
                  </w:r>
                </w:p>
              </w:tc>
              <w:tc>
                <w:tcPr>
                  <w:tcW w:w="1857" w:type="pct"/>
                  <w:noWrap w:val="0"/>
                  <w:vAlign w:val="center"/>
                </w:tcPr>
                <w:p w14:paraId="75DC056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57</w:t>
                  </w:r>
                </w:p>
              </w:tc>
              <w:tc>
                <w:tcPr>
                  <w:tcW w:w="1369" w:type="pct"/>
                  <w:noWrap w:val="0"/>
                  <w:vAlign w:val="center"/>
                </w:tcPr>
                <w:p w14:paraId="172A19E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47</w:t>
                  </w:r>
                </w:p>
              </w:tc>
            </w:tr>
            <w:tr w14:paraId="3BBA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774" w:type="pct"/>
                  <w:noWrap w:val="0"/>
                  <w:vAlign w:val="center"/>
                </w:tcPr>
                <w:p w14:paraId="1A167F83">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厂界南2#</w:t>
                  </w:r>
                </w:p>
              </w:tc>
              <w:tc>
                <w:tcPr>
                  <w:tcW w:w="1857" w:type="pct"/>
                  <w:noWrap w:val="0"/>
                  <w:vAlign w:val="center"/>
                </w:tcPr>
                <w:p w14:paraId="3F25E15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w:t>
                  </w:r>
                </w:p>
              </w:tc>
              <w:tc>
                <w:tcPr>
                  <w:tcW w:w="1369" w:type="pct"/>
                  <w:noWrap w:val="0"/>
                  <w:vAlign w:val="center"/>
                </w:tcPr>
                <w:p w14:paraId="1B54A30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45</w:t>
                  </w:r>
                </w:p>
              </w:tc>
            </w:tr>
            <w:tr w14:paraId="75E3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774" w:type="pct"/>
                  <w:noWrap w:val="0"/>
                  <w:vAlign w:val="center"/>
                </w:tcPr>
                <w:p w14:paraId="7490854E">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厂界西3#</w:t>
                  </w:r>
                </w:p>
              </w:tc>
              <w:tc>
                <w:tcPr>
                  <w:tcW w:w="1857" w:type="pct"/>
                  <w:noWrap w:val="0"/>
                  <w:vAlign w:val="center"/>
                </w:tcPr>
                <w:p w14:paraId="6CA199C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54</w:t>
                  </w:r>
                </w:p>
              </w:tc>
              <w:tc>
                <w:tcPr>
                  <w:tcW w:w="1369" w:type="pct"/>
                  <w:noWrap w:val="0"/>
                  <w:vAlign w:val="center"/>
                </w:tcPr>
                <w:p w14:paraId="458191F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43</w:t>
                  </w:r>
                </w:p>
              </w:tc>
            </w:tr>
            <w:tr w14:paraId="4A29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774" w:type="pct"/>
                  <w:noWrap w:val="0"/>
                  <w:vAlign w:val="center"/>
                </w:tcPr>
                <w:p w14:paraId="2FD4F490">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厂界北4#</w:t>
                  </w:r>
                </w:p>
              </w:tc>
              <w:tc>
                <w:tcPr>
                  <w:tcW w:w="1857" w:type="pct"/>
                  <w:noWrap w:val="0"/>
                  <w:vAlign w:val="center"/>
                </w:tcPr>
                <w:p w14:paraId="1902B7D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56</w:t>
                  </w:r>
                </w:p>
              </w:tc>
              <w:tc>
                <w:tcPr>
                  <w:tcW w:w="1369" w:type="pct"/>
                  <w:noWrap w:val="0"/>
                  <w:vAlign w:val="center"/>
                </w:tcPr>
                <w:p w14:paraId="0FA93A4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45</w:t>
                  </w:r>
                </w:p>
              </w:tc>
            </w:tr>
            <w:tr w14:paraId="66B5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774" w:type="pct"/>
                  <w:noWrap w:val="0"/>
                  <w:vAlign w:val="center"/>
                </w:tcPr>
                <w:p w14:paraId="4CB7F170">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标准值</w:t>
                  </w:r>
                </w:p>
              </w:tc>
              <w:tc>
                <w:tcPr>
                  <w:tcW w:w="1857" w:type="pct"/>
                  <w:noWrap w:val="0"/>
                  <w:vAlign w:val="center"/>
                </w:tcPr>
                <w:p w14:paraId="106C0B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60</w:t>
                  </w:r>
                </w:p>
              </w:tc>
              <w:tc>
                <w:tcPr>
                  <w:tcW w:w="1369" w:type="pct"/>
                  <w:noWrap w:val="0"/>
                  <w:vAlign w:val="center"/>
                </w:tcPr>
                <w:p w14:paraId="1A123D2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w:t>
                  </w:r>
                </w:p>
              </w:tc>
            </w:tr>
            <w:tr w14:paraId="1E51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774" w:type="pct"/>
                  <w:noWrap w:val="0"/>
                  <w:vAlign w:val="center"/>
                </w:tcPr>
                <w:p w14:paraId="2C91BFBF">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达标情况</w:t>
                  </w:r>
                </w:p>
              </w:tc>
              <w:tc>
                <w:tcPr>
                  <w:tcW w:w="1857" w:type="pct"/>
                  <w:noWrap w:val="0"/>
                  <w:vAlign w:val="center"/>
                </w:tcPr>
                <w:p w14:paraId="1CF5AC8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c>
                <w:tcPr>
                  <w:tcW w:w="1369" w:type="pct"/>
                  <w:noWrap w:val="0"/>
                  <w:vAlign w:val="center"/>
                </w:tcPr>
                <w:p w14:paraId="2CEB801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r w14:paraId="16E7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000" w:type="pct"/>
                  <w:gridSpan w:val="3"/>
                  <w:noWrap w:val="0"/>
                  <w:vAlign w:val="center"/>
                </w:tcPr>
                <w:p w14:paraId="747E1FB0">
                  <w:pPr>
                    <w:pStyle w:val="83"/>
                    <w:keepNext w:val="0"/>
                    <w:keepLines w:val="0"/>
                    <w:suppressLineNumbers w:val="0"/>
                    <w:spacing w:before="24" w:beforeAutospacing="0" w:after="24" w:afterAutospacing="0" w:line="240" w:lineRule="auto"/>
                    <w:ind w:left="0" w:right="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《工业企业厂界环境噪声排放标准》（GB12348-2008）2类区</w:t>
                  </w:r>
                </w:p>
              </w:tc>
            </w:tr>
          </w:tbl>
          <w:p w14:paraId="5B15E42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根据监测结果，现有项目厂界噪声低于</w:t>
            </w:r>
            <w:r>
              <w:rPr>
                <w:rFonts w:hint="default" w:ascii="Times New Roman" w:hAnsi="Times New Roman" w:eastAsia="宋体" w:cs="Times New Roman"/>
                <w:color w:val="auto"/>
                <w:kern w:val="0"/>
                <w:sz w:val="24"/>
                <w:szCs w:val="24"/>
                <w:lang w:bidi="ar"/>
              </w:rPr>
              <w:t>《工业企业厂界环境噪声排放标准》</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kern w:val="0"/>
                <w:sz w:val="24"/>
                <w:szCs w:val="24"/>
                <w:lang w:bidi="ar"/>
              </w:rPr>
              <w:t>GB12348-2008</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sz w:val="24"/>
              </w:rPr>
              <w:t>2类标准值；对周围环境影响较小。</w:t>
            </w:r>
          </w:p>
          <w:p w14:paraId="22BC43C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原有项目环评及批复文件中明确项目厂界噪声执行</w:t>
            </w:r>
            <w:r>
              <w:rPr>
                <w:rFonts w:hint="default" w:ascii="Times New Roman" w:hAnsi="Times New Roman" w:eastAsia="宋体" w:cs="Times New Roman"/>
                <w:color w:val="auto"/>
                <w:sz w:val="24"/>
              </w:rPr>
              <w:t>《声环境质量标准》（GB3096-2008）2类标准值</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排污许可证副本中给出：项目东厂界执行</w:t>
            </w:r>
            <w:r>
              <w:rPr>
                <w:rFonts w:hint="default" w:ascii="Times New Roman" w:hAnsi="Times New Roman" w:eastAsia="宋体" w:cs="Times New Roman"/>
                <w:color w:val="auto"/>
                <w:sz w:val="24"/>
              </w:rPr>
              <w:t>《声环境质量标准》（GB3096-2008）</w:t>
            </w: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类标准值</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其余厂界执行执行</w:t>
            </w:r>
            <w:r>
              <w:rPr>
                <w:rFonts w:hint="default" w:ascii="Times New Roman" w:hAnsi="Times New Roman" w:eastAsia="宋体" w:cs="Times New Roman"/>
                <w:color w:val="auto"/>
                <w:sz w:val="24"/>
              </w:rPr>
              <w:t>《声环境质量标准》（GB3096-2008）2类标准值</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经核实，东厂界为盘江西路，宜良盘江西路旱滩段：南盘江堤顶路+村道/乡道属性，道路等级应为四级公路，根据《声环境功能区划分技术规范》（GB/T15190-2014），项目东厂界应执行</w:t>
            </w:r>
            <w:r>
              <w:rPr>
                <w:rFonts w:hint="default" w:ascii="Times New Roman" w:hAnsi="Times New Roman" w:eastAsia="宋体" w:cs="Times New Roman"/>
                <w:color w:val="auto"/>
                <w:sz w:val="24"/>
              </w:rPr>
              <w:t>《声环境质量标准》（GB3096-2008）2类标准值</w:t>
            </w:r>
            <w:r>
              <w:rPr>
                <w:rFonts w:hint="default" w:ascii="Times New Roman" w:hAnsi="Times New Roman" w:eastAsia="宋体" w:cs="Times New Roman"/>
                <w:color w:val="auto"/>
                <w:sz w:val="24"/>
                <w:lang w:eastAsia="zh-CN"/>
              </w:rPr>
              <w:t>。</w:t>
            </w:r>
          </w:p>
          <w:p w14:paraId="07500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lang w:val="en-US" w:eastAsia="zh-CN"/>
              </w:rPr>
              <w:t>4</w:t>
            </w: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rPr>
              <w:t>固体废物</w:t>
            </w:r>
          </w:p>
          <w:p w14:paraId="4C767332">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现有项目锅炉灰渣、除尘灰渣产生量为302t/a</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废离子树脂的产生量为</w:t>
            </w:r>
            <w:r>
              <w:rPr>
                <w:rFonts w:hint="default" w:ascii="Times New Roman" w:hAnsi="Times New Roman" w:eastAsia="宋体" w:cs="Times New Roman"/>
                <w:color w:val="auto"/>
                <w:sz w:val="24"/>
                <w:lang w:val="en-US" w:eastAsia="zh-CN"/>
              </w:rPr>
              <w:t>1.1t</w:t>
            </w:r>
            <w:r>
              <w:rPr>
                <w:rFonts w:hint="default" w:ascii="Times New Roman" w:hAnsi="Times New Roman" w:eastAsia="宋体" w:cs="Times New Roman"/>
                <w:color w:val="auto"/>
                <w:sz w:val="24"/>
              </w:rPr>
              <w:t>/a。外售给华宁万象再生资源有限公司利用。</w:t>
            </w:r>
          </w:p>
          <w:p w14:paraId="054BC800">
            <w:pPr>
              <w:pStyle w:val="16"/>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十</w:t>
            </w:r>
            <w:r>
              <w:rPr>
                <w:rFonts w:hint="default" w:ascii="Times New Roman" w:hAnsi="Times New Roman" w:eastAsia="宋体" w:cs="Times New Roman"/>
                <w:b/>
                <w:bCs/>
                <w:color w:val="auto"/>
                <w:szCs w:val="24"/>
                <w:lang w:val="en-US" w:eastAsia="zh-CN"/>
              </w:rPr>
              <w:t>二</w:t>
            </w:r>
            <w:r>
              <w:rPr>
                <w:rFonts w:hint="default" w:ascii="Times New Roman" w:hAnsi="Times New Roman" w:eastAsia="宋体" w:cs="Times New Roman"/>
                <w:b/>
                <w:bCs/>
                <w:color w:val="auto"/>
                <w:szCs w:val="24"/>
              </w:rPr>
              <w:t>、现有项目存在的主要环境问题及整改措施</w:t>
            </w:r>
          </w:p>
          <w:p w14:paraId="0F047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723" w:firstLineChars="300"/>
              <w:textAlignment w:val="auto"/>
              <w:rPr>
                <w:rFonts w:hint="default" w:ascii="Times New Roman" w:hAnsi="Times New Roman" w:eastAsia="宋体" w:cs="Times New Roman"/>
                <w:b/>
                <w:bCs/>
                <w:color w:val="auto"/>
                <w:kern w:val="0"/>
                <w:sz w:val="24"/>
                <w:lang w:val="en-US" w:eastAsia="zh-CN"/>
              </w:rPr>
            </w:pPr>
            <w:r>
              <w:rPr>
                <w:rFonts w:hint="default" w:ascii="Times New Roman" w:hAnsi="Times New Roman" w:eastAsia="宋体" w:cs="Times New Roman"/>
                <w:b/>
                <w:bCs/>
                <w:color w:val="auto"/>
                <w:kern w:val="0"/>
                <w:sz w:val="24"/>
                <w:lang w:val="en-US" w:eastAsia="zh-CN"/>
              </w:rPr>
              <w:t>（1）原有项目存在的主要环境问题</w:t>
            </w:r>
          </w:p>
          <w:p w14:paraId="20B3F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textAlignment w:val="auto"/>
              <w:rPr>
                <w:rFonts w:hint="default" w:ascii="Times New Roman" w:hAnsi="Times New Roman" w:eastAsia="宋体" w:cs="Times New Roman"/>
                <w:b w:val="0"/>
                <w:bCs w:val="0"/>
                <w:color w:val="auto"/>
                <w:kern w:val="0"/>
                <w:sz w:val="24"/>
                <w:lang w:val="en-US" w:eastAsia="zh-CN"/>
              </w:rPr>
            </w:pPr>
            <w:r>
              <w:rPr>
                <w:rFonts w:hint="default" w:ascii="Times New Roman" w:hAnsi="Times New Roman" w:eastAsia="宋体" w:cs="Times New Roman"/>
                <w:b w:val="0"/>
                <w:bCs w:val="0"/>
                <w:color w:val="auto"/>
                <w:kern w:val="0"/>
                <w:sz w:val="24"/>
                <w:lang w:val="en-US" w:eastAsia="zh-CN"/>
              </w:rPr>
              <w:t>根据上述分析，现有项目存在以下问题：</w:t>
            </w:r>
          </w:p>
          <w:p w14:paraId="66664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b w:val="0"/>
                <w:bCs w:val="0"/>
                <w:color w:val="auto"/>
                <w:kern w:val="0"/>
                <w:sz w:val="24"/>
                <w:lang w:val="en-US" w:eastAsia="zh-CN"/>
              </w:rPr>
              <w:t>①项目厂界噪声应执行</w:t>
            </w:r>
            <w:r>
              <w:rPr>
                <w:rFonts w:hint="default" w:ascii="Times New Roman" w:hAnsi="Times New Roman" w:eastAsia="宋体" w:cs="Times New Roman"/>
                <w:color w:val="auto"/>
                <w:kern w:val="0"/>
                <w:sz w:val="24"/>
                <w:szCs w:val="24"/>
                <w:lang w:bidi="ar"/>
              </w:rPr>
              <w:t>《工业企业厂界环境噪声排放标准》</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kern w:val="0"/>
                <w:sz w:val="24"/>
                <w:szCs w:val="24"/>
                <w:lang w:bidi="ar"/>
              </w:rPr>
              <w:t>GB12348-2008</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sz w:val="24"/>
              </w:rPr>
              <w:t>2类标准值</w:t>
            </w:r>
            <w:r>
              <w:rPr>
                <w:rFonts w:hint="default" w:ascii="Times New Roman" w:hAnsi="Times New Roman" w:eastAsia="宋体" w:cs="Times New Roman"/>
                <w:color w:val="auto"/>
                <w:sz w:val="24"/>
                <w:lang w:eastAsia="zh-CN"/>
              </w:rPr>
              <w:t>；</w:t>
            </w:r>
          </w:p>
          <w:p w14:paraId="1103C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②现有的10t燃煤锅炉锅炉废气污染物排放浓度虽然能满足</w:t>
            </w:r>
            <w:r>
              <w:rPr>
                <w:rFonts w:hint="default" w:ascii="Times New Roman" w:hAnsi="Times New Roman" w:eastAsia="宋体" w:cs="Times New Roman"/>
                <w:color w:val="auto"/>
                <w:sz w:val="24"/>
                <w:szCs w:val="24"/>
                <w:vertAlign w:val="baseline"/>
                <w:lang w:val="en-US" w:eastAsia="zh-CN"/>
              </w:rPr>
              <w:t>《锅炉大气污染物排放标准》（GB13271-2014）表1中在用燃煤锅炉的浓度限值要求，改建为生物质锅炉后锅炉废气已经不能满足锅炉治理项目</w:t>
            </w:r>
            <w:r>
              <w:rPr>
                <w:rFonts w:hint="default" w:ascii="Times New Roman" w:hAnsi="Times New Roman" w:eastAsia="宋体" w:cs="Times New Roman"/>
                <w:color w:val="auto"/>
                <w:sz w:val="24"/>
                <w:lang w:val="en-US" w:eastAsia="zh-CN"/>
              </w:rPr>
              <w:t>环评文件（宜生环[2023]111号）要求（</w:t>
            </w:r>
            <w:r>
              <w:rPr>
                <w:rFonts w:hint="default" w:ascii="Times New Roman" w:hAnsi="Times New Roman" w:eastAsia="宋体" w:cs="Times New Roman"/>
                <w:bCs/>
                <w:color w:val="auto"/>
                <w:sz w:val="24"/>
              </w:rPr>
              <w:t>《锅炉大气污染物排放标准》（GB13271-2014）表2中燃气锅炉的浓度限值要求</w:t>
            </w:r>
            <w:r>
              <w:rPr>
                <w:rFonts w:hint="default" w:ascii="Times New Roman" w:hAnsi="Times New Roman" w:eastAsia="宋体" w:cs="Times New Roman"/>
                <w:color w:val="auto"/>
                <w:sz w:val="24"/>
                <w:lang w:val="en-US" w:eastAsia="zh-CN"/>
              </w:rPr>
              <w:t>）；</w:t>
            </w:r>
          </w:p>
          <w:p w14:paraId="6BDC8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③根据</w:t>
            </w:r>
            <w:r>
              <w:rPr>
                <w:rFonts w:hint="default" w:ascii="Times New Roman" w:hAnsi="Times New Roman" w:eastAsia="宋体" w:cs="Times New Roman"/>
                <w:color w:val="auto"/>
                <w:sz w:val="24"/>
                <w:szCs w:val="24"/>
                <w:vertAlign w:val="baseline"/>
                <w:lang w:val="en-US" w:eastAsia="zh-CN"/>
              </w:rPr>
              <w:t>锅炉治理项目</w:t>
            </w:r>
            <w:r>
              <w:rPr>
                <w:rFonts w:hint="default" w:ascii="Times New Roman" w:hAnsi="Times New Roman" w:eastAsia="宋体" w:cs="Times New Roman"/>
                <w:color w:val="auto"/>
                <w:sz w:val="24"/>
                <w:vertAlign w:val="baseline"/>
                <w:lang w:val="en-US" w:eastAsia="zh-CN"/>
              </w:rPr>
              <w:t>批复</w:t>
            </w:r>
            <w:r>
              <w:rPr>
                <w:rFonts w:hint="default" w:ascii="Times New Roman" w:hAnsi="Times New Roman" w:eastAsia="宋体" w:cs="Times New Roman"/>
                <w:color w:val="auto"/>
                <w:sz w:val="24"/>
                <w:lang w:val="en-US" w:eastAsia="zh-CN"/>
              </w:rPr>
              <w:t>（宜生环[2023]111号）废气总量控制指标与排污许可证废气许可量不一致。</w:t>
            </w:r>
          </w:p>
          <w:p w14:paraId="5F660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723" w:firstLineChars="300"/>
              <w:textAlignment w:val="auto"/>
              <w:rPr>
                <w:rFonts w:hint="default" w:ascii="Times New Roman" w:hAnsi="Times New Roman" w:eastAsia="宋体" w:cs="Times New Roman"/>
                <w:b/>
                <w:bCs/>
                <w:color w:val="auto"/>
                <w:kern w:val="0"/>
                <w:sz w:val="24"/>
                <w:lang w:val="en-US" w:eastAsia="zh-CN"/>
              </w:rPr>
            </w:pPr>
            <w:r>
              <w:rPr>
                <w:rFonts w:hint="default" w:ascii="Times New Roman" w:hAnsi="Times New Roman" w:eastAsia="宋体" w:cs="Times New Roman"/>
                <w:b/>
                <w:bCs/>
                <w:color w:val="auto"/>
                <w:kern w:val="0"/>
                <w:sz w:val="24"/>
                <w:lang w:val="en-US" w:eastAsia="zh-CN"/>
              </w:rPr>
              <w:t>（2）整改措施</w:t>
            </w:r>
          </w:p>
          <w:p w14:paraId="242E4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①按照《排污许可管理条例》-第十五条：排污单位有新建、改建、扩建排放污染物的项目；应当重新申请取得排污许可证。本次项目为改建项目，取得环评批复文件后应重新申请取得排污许可证。</w:t>
            </w:r>
          </w:p>
          <w:p w14:paraId="3015B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重新申请排污许可证的同时根据排污许可证目前存在的噪声和总量问题调整，厂界噪声调整为</w:t>
            </w:r>
            <w:r>
              <w:rPr>
                <w:rFonts w:hint="default" w:ascii="Times New Roman" w:hAnsi="Times New Roman" w:eastAsia="宋体" w:cs="Times New Roman"/>
                <w:color w:val="auto"/>
                <w:kern w:val="0"/>
                <w:sz w:val="24"/>
                <w:szCs w:val="24"/>
                <w:lang w:bidi="ar"/>
              </w:rPr>
              <w:t>《工业企业厂界环境噪声排放标准》</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kern w:val="0"/>
                <w:sz w:val="24"/>
                <w:szCs w:val="24"/>
                <w:lang w:bidi="ar"/>
              </w:rPr>
              <w:t>GB12348-2008</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sz w:val="24"/>
              </w:rPr>
              <w:t>2类标准值</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调整全厂废气污染物总量控制指标与《云南李好纸业有限公司锅炉治理项目环境影响报告表》的批复（宜生环[2023]111号）保持一致。</w:t>
            </w:r>
          </w:p>
          <w:p w14:paraId="2105C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②本次改建项目为10t燃煤锅炉更换为10.5t生物质锅炉，10.5t生物质锅炉废气的执行标准调整为</w:t>
            </w:r>
            <w:r>
              <w:rPr>
                <w:rFonts w:hint="default" w:ascii="Times New Roman" w:hAnsi="Times New Roman" w:eastAsia="宋体" w:cs="Times New Roman"/>
                <w:bCs/>
                <w:color w:val="auto"/>
                <w:sz w:val="24"/>
              </w:rPr>
              <w:t>《锅炉大气污染物排放标准》（GB13271-2014）表2中燃气锅炉的浓度限值要求</w:t>
            </w:r>
            <w:r>
              <w:rPr>
                <w:rFonts w:hint="default" w:ascii="Times New Roman" w:hAnsi="Times New Roman" w:eastAsia="宋体" w:cs="Times New Roman"/>
                <w:bCs/>
                <w:color w:val="auto"/>
                <w:sz w:val="24"/>
                <w:lang w:eastAsia="zh-CN"/>
              </w:rPr>
              <w:t>。</w:t>
            </w:r>
          </w:p>
          <w:p w14:paraId="2EA390AB">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r>
    </w:tbl>
    <w:p w14:paraId="0153F797">
      <w:pPr>
        <w:pStyle w:val="33"/>
        <w:jc w:val="center"/>
        <w:rPr>
          <w:rFonts w:hint="default" w:ascii="Times New Roman" w:hAnsi="Times New Roman" w:eastAsia="宋体" w:cs="Times New Roman"/>
          <w:snapToGrid w:val="0"/>
          <w:color w:val="auto"/>
          <w:sz w:val="21"/>
          <w:szCs w:val="21"/>
        </w:rPr>
        <w:sectPr>
          <w:pgSz w:w="11906" w:h="16838"/>
          <w:pgMar w:top="1701" w:right="1531" w:bottom="1701" w:left="1531" w:header="851" w:footer="851" w:gutter="0"/>
          <w:cols w:space="720" w:num="1"/>
          <w:docGrid w:linePitch="312" w:charSpace="0"/>
        </w:sectPr>
      </w:pPr>
    </w:p>
    <w:p w14:paraId="552A1FF2">
      <w:pPr>
        <w:pStyle w:val="33"/>
        <w:adjustRightInd w:val="0"/>
        <w:snapToGrid w:val="0"/>
        <w:spacing w:before="0" w:beforeAutospacing="0" w:after="0" w:afterAutospacing="0"/>
        <w:jc w:val="center"/>
        <w:outlineLvl w:val="0"/>
        <w:rPr>
          <w:rFonts w:hint="default" w:ascii="Times New Roman" w:hAnsi="Times New Roman" w:eastAsia="宋体" w:cs="Times New Roman"/>
          <w:b/>
          <w:bCs/>
          <w:snapToGrid w:val="0"/>
          <w:color w:val="auto"/>
          <w:sz w:val="30"/>
          <w:szCs w:val="30"/>
        </w:rPr>
      </w:pPr>
      <w:bookmarkStart w:id="10" w:name="_Toc69726039"/>
      <w:bookmarkStart w:id="11" w:name="_Toc19688"/>
      <w:r>
        <w:rPr>
          <w:rFonts w:hint="default" w:ascii="Times New Roman" w:hAnsi="Times New Roman" w:eastAsia="宋体" w:cs="Times New Roman"/>
          <w:b/>
          <w:bCs/>
          <w:snapToGrid w:val="0"/>
          <w:color w:val="auto"/>
          <w:sz w:val="30"/>
          <w:szCs w:val="30"/>
        </w:rPr>
        <w:t>三、区域环境质量现状、环境保护目标及评价标准</w:t>
      </w:r>
      <w:bookmarkEnd w:id="10"/>
      <w:bookmarkEnd w:id="11"/>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2E013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800" w:type="dxa"/>
            <w:noWrap w:val="0"/>
            <w:vAlign w:val="center"/>
          </w:tcPr>
          <w:p w14:paraId="2DAB0B1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区域</w:t>
            </w:r>
          </w:p>
          <w:p w14:paraId="18DF31E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环境</w:t>
            </w:r>
          </w:p>
          <w:p w14:paraId="2A79C91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质量</w:t>
            </w:r>
          </w:p>
          <w:p w14:paraId="24B39E3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现状</w:t>
            </w:r>
          </w:p>
        </w:tc>
        <w:tc>
          <w:tcPr>
            <w:tcW w:w="8190" w:type="dxa"/>
            <w:noWrap w:val="0"/>
            <w:vAlign w:val="center"/>
          </w:tcPr>
          <w:p w14:paraId="6F9CDB7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1、大气环境质量现状</w:t>
            </w:r>
          </w:p>
          <w:p w14:paraId="3FB472FF">
            <w:pPr>
              <w:keepNext w:val="0"/>
              <w:keepLines w:val="0"/>
              <w:suppressLineNumbers w:val="0"/>
              <w:tabs>
                <w:tab w:val="left" w:pos="1080"/>
              </w:tabs>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项目建设于云南省昆明市宜良县狗街镇狗街村委会旱滩村，该区域大气环境功能区划为二类区，执行《环境空气质量标准》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GB3095-20</w:t>
            </w:r>
            <w:r>
              <w:rPr>
                <w:rFonts w:hint="default" w:ascii="Times New Roman" w:hAnsi="Times New Roman" w:eastAsia="宋体" w:cs="Times New Roman"/>
                <w:color w:val="auto"/>
                <w:sz w:val="24"/>
                <w:lang w:val="en-US" w:eastAsia="zh-CN"/>
              </w:rPr>
              <w:t>26</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二级标准。</w:t>
            </w:r>
          </w:p>
          <w:p w14:paraId="00E4C282">
            <w:pPr>
              <w:pStyle w:val="18"/>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根据昆明市生态环境局发布的《</w:t>
            </w:r>
            <w:r>
              <w:rPr>
                <w:rFonts w:hint="default" w:ascii="Times New Roman" w:hAnsi="Times New Roman" w:eastAsia="宋体" w:cs="Times New Roman"/>
                <w:bCs/>
                <w:color w:val="auto"/>
                <w:sz w:val="24"/>
                <w:szCs w:val="24"/>
                <w:lang w:eastAsia="zh-CN"/>
              </w:rPr>
              <w:t>2024年度昆明市生态环境状况公报</w:t>
            </w:r>
            <w:r>
              <w:rPr>
                <w:rFonts w:hint="default" w:ascii="Times New Roman" w:hAnsi="Times New Roman" w:eastAsia="宋体" w:cs="Times New Roman"/>
                <w:bCs/>
                <w:color w:val="auto"/>
                <w:sz w:val="24"/>
                <w:szCs w:val="24"/>
              </w:rPr>
              <w:t>》，2024年昆明市主城区外所辖的8个县(市)、区环境空气质量总体保持良好，各项污染物平均浓度均达到《环境空气质量标准》(</w:t>
            </w:r>
            <w:r>
              <w:rPr>
                <w:rFonts w:hint="default" w:ascii="Times New Roman" w:hAnsi="Times New Roman" w:eastAsia="宋体" w:cs="Times New Roman"/>
                <w:bCs/>
                <w:color w:val="auto"/>
                <w:sz w:val="24"/>
                <w:szCs w:val="24"/>
                <w:lang w:eastAsia="zh-CN"/>
              </w:rPr>
              <w:t>GB3095-2026</w:t>
            </w:r>
            <w:r>
              <w:rPr>
                <w:rFonts w:hint="default" w:ascii="Times New Roman" w:hAnsi="Times New Roman" w:eastAsia="宋体" w:cs="Times New Roman"/>
                <w:bCs/>
                <w:color w:val="auto"/>
                <w:sz w:val="24"/>
                <w:szCs w:val="24"/>
              </w:rPr>
              <w:t>)二级标准;空气优良天数比例范围为97.50%~100%，与2023年相比，石林县、富民县、宜良县、东川区、寻甸县、嵩明县、禄劝县空气优良天数比例均有提高</w:t>
            </w:r>
            <w:r>
              <w:rPr>
                <w:rFonts w:hint="default" w:ascii="Times New Roman" w:hAnsi="Times New Roman" w:eastAsia="宋体" w:cs="Times New Roman"/>
                <w:color w:val="auto"/>
                <w:sz w:val="24"/>
                <w:szCs w:val="24"/>
              </w:rPr>
              <w:t>。</w:t>
            </w:r>
          </w:p>
          <w:p w14:paraId="13AC9B38">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因此，项目所在区域环境空气质量能达到《环境空气质量标准》（GB3095-20</w:t>
            </w:r>
            <w:r>
              <w:rPr>
                <w:rFonts w:hint="default"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rPr>
              <w:t>）二级标准，属达标区。</w:t>
            </w:r>
          </w:p>
          <w:p w14:paraId="5BFD9025">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lang w:val="en-US" w:eastAsia="zh-CN"/>
              </w:rPr>
              <w:t>本项目特征污染物主要为NO</w:t>
            </w:r>
            <w:r>
              <w:rPr>
                <w:rFonts w:hint="default" w:ascii="Times New Roman" w:hAnsi="Times New Roman" w:eastAsia="宋体" w:cs="Times New Roman"/>
                <w:color w:val="auto"/>
                <w:sz w:val="24"/>
                <w:szCs w:val="24"/>
                <w:vertAlign w:val="subscript"/>
                <w:lang w:val="en-US" w:eastAsia="zh-CN"/>
              </w:rPr>
              <w:t>x</w:t>
            </w:r>
            <w:r>
              <w:rPr>
                <w:rFonts w:hint="default" w:ascii="Times New Roman" w:hAnsi="Times New Roman" w:eastAsia="宋体" w:cs="Times New Roman"/>
                <w:color w:val="auto"/>
                <w:sz w:val="24"/>
                <w:szCs w:val="24"/>
                <w:vertAlign w:val="baseline"/>
                <w:lang w:val="en-US" w:eastAsia="zh-CN"/>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及烟尘（颗粒物），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无相关数据的选择当季主导风向下风向1个点位补充不少于3天的监测数据。</w:t>
            </w:r>
          </w:p>
          <w:p w14:paraId="4755194F">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常规污染物SO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引用</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eastAsia="zh-CN"/>
              </w:rPr>
              <w:t>2024年度昆明市生态环境状况公报</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结论；</w:t>
            </w:r>
            <w:r>
              <w:rPr>
                <w:rFonts w:hint="default" w:ascii="Times New Roman" w:hAnsi="Times New Roman" w:eastAsia="宋体" w:cs="Times New Roman"/>
                <w:color w:val="auto"/>
                <w:sz w:val="24"/>
                <w:szCs w:val="24"/>
                <w:vertAlign w:val="baseline"/>
                <w:lang w:val="en-US" w:eastAsia="zh-CN"/>
              </w:rPr>
              <w:t>特征污染因子TSP、NOx的监测数据本次引用《昆明方德波尔格玫瑰花卉有限公司花卉种植加工扩建项目环境影响报告表》中的监测数据，该项目委托云南长源检测技术有限公司于2024年4月5日～4月7日对该项目所在区域NOx、TSP两项特征因子进行了监测，监测点（马军社区）位于昆明方德波尔格玫瑰花卉有限公司下风向700m处，昆明方德波尔格玫瑰花卉有限公司距离本项目厂界3km，马军村位于本项目下风向约4km，监测点位在本项目5km范围内，位置关系详见下图。</w:t>
            </w:r>
          </w:p>
          <w:p w14:paraId="570415D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rPr>
              <w:drawing>
                <wp:inline distT="0" distB="0" distL="114300" distR="114300">
                  <wp:extent cx="5058410" cy="3891915"/>
                  <wp:effectExtent l="0" t="0" r="8890" b="1333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7"/>
                          <a:stretch>
                            <a:fillRect/>
                          </a:stretch>
                        </pic:blipFill>
                        <pic:spPr>
                          <a:xfrm>
                            <a:off x="0" y="0"/>
                            <a:ext cx="5058410" cy="3891915"/>
                          </a:xfrm>
                          <a:prstGeom prst="rect">
                            <a:avLst/>
                          </a:prstGeom>
                          <a:noFill/>
                          <a:ln>
                            <a:noFill/>
                          </a:ln>
                        </pic:spPr>
                      </pic:pic>
                    </a:graphicData>
                  </a:graphic>
                </wp:inline>
              </w:drawing>
            </w:r>
          </w:p>
          <w:p w14:paraId="69514FD9">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b/>
                <w:bCs/>
                <w:color w:val="auto"/>
                <w:sz w:val="24"/>
                <w:szCs w:val="24"/>
                <w:vertAlign w:val="baseline"/>
                <w:lang w:val="en-US" w:eastAsia="zh-CN"/>
              </w:rPr>
              <w:t>图3.1-1 项目与昆明方德波尔格玫瑰花卉有限公司及马军村位置关系图</w:t>
            </w:r>
          </w:p>
          <w:p w14:paraId="0DA674CA">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监测结果如下：</w:t>
            </w:r>
          </w:p>
          <w:p w14:paraId="59E0FF00">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b/>
                <w:bCs/>
                <w:color w:val="auto"/>
                <w:sz w:val="24"/>
                <w:szCs w:val="24"/>
                <w:vertAlign w:val="baseline"/>
                <w:lang w:val="en-US" w:eastAsia="zh-CN"/>
              </w:rPr>
              <w:t>表3.1-1  引用的TSP和NO</w:t>
            </w:r>
            <w:r>
              <w:rPr>
                <w:rFonts w:hint="default" w:ascii="Times New Roman" w:hAnsi="Times New Roman" w:eastAsia="宋体" w:cs="Times New Roman"/>
                <w:b/>
                <w:bCs/>
                <w:color w:val="auto"/>
                <w:sz w:val="24"/>
                <w:szCs w:val="24"/>
                <w:vertAlign w:val="subscript"/>
                <w:lang w:val="en-US" w:eastAsia="zh-CN"/>
              </w:rPr>
              <w:t>x</w:t>
            </w:r>
            <w:r>
              <w:rPr>
                <w:rFonts w:hint="default" w:ascii="Times New Roman" w:hAnsi="Times New Roman" w:eastAsia="宋体" w:cs="Times New Roman"/>
                <w:b/>
                <w:bCs/>
                <w:color w:val="auto"/>
                <w:sz w:val="24"/>
                <w:szCs w:val="24"/>
                <w:vertAlign w:val="baseline"/>
                <w:lang w:val="en-US" w:eastAsia="zh-CN"/>
              </w:rPr>
              <w:t>的监测结果一览表</w:t>
            </w:r>
          </w:p>
          <w:tbl>
            <w:tblPr>
              <w:tblStyle w:val="36"/>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080"/>
              <w:gridCol w:w="1110"/>
              <w:gridCol w:w="1740"/>
              <w:gridCol w:w="1140"/>
              <w:gridCol w:w="1080"/>
              <w:gridCol w:w="919"/>
            </w:tblGrid>
            <w:tr w14:paraId="5EB9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2F5EAC73">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监测点</w:t>
                  </w:r>
                </w:p>
              </w:tc>
              <w:tc>
                <w:tcPr>
                  <w:tcW w:w="1080" w:type="dxa"/>
                  <w:vAlign w:val="center"/>
                </w:tcPr>
                <w:p w14:paraId="545AC21A">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监测项目</w:t>
                  </w:r>
                </w:p>
              </w:tc>
              <w:tc>
                <w:tcPr>
                  <w:tcW w:w="1110" w:type="dxa"/>
                  <w:vAlign w:val="center"/>
                </w:tcPr>
                <w:p w14:paraId="3012FE05">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检测日期</w:t>
                  </w:r>
                </w:p>
              </w:tc>
              <w:tc>
                <w:tcPr>
                  <w:tcW w:w="1740" w:type="dxa"/>
                  <w:vAlign w:val="center"/>
                </w:tcPr>
                <w:p w14:paraId="749648FE">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检测时间</w:t>
                  </w:r>
                </w:p>
              </w:tc>
              <w:tc>
                <w:tcPr>
                  <w:tcW w:w="1140" w:type="dxa"/>
                  <w:vAlign w:val="center"/>
                </w:tcPr>
                <w:p w14:paraId="204DAC67">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监测结果（µg）</w:t>
                  </w:r>
                </w:p>
              </w:tc>
              <w:tc>
                <w:tcPr>
                  <w:tcW w:w="1080" w:type="dxa"/>
                  <w:vAlign w:val="center"/>
                </w:tcPr>
                <w:p w14:paraId="0473E60E">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标准值</w:t>
                  </w:r>
                </w:p>
              </w:tc>
              <w:tc>
                <w:tcPr>
                  <w:tcW w:w="919" w:type="dxa"/>
                  <w:vAlign w:val="center"/>
                </w:tcPr>
                <w:p w14:paraId="5B033C0E">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达标情况</w:t>
                  </w:r>
                </w:p>
              </w:tc>
            </w:tr>
            <w:tr w14:paraId="77C1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14:paraId="743E5E9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马军社区（位于项目东北侧约4km处）</w:t>
                  </w:r>
                </w:p>
              </w:tc>
              <w:tc>
                <w:tcPr>
                  <w:tcW w:w="1080" w:type="dxa"/>
                  <w:vMerge w:val="restart"/>
                  <w:vAlign w:val="center"/>
                </w:tcPr>
                <w:p w14:paraId="6D298A08">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氮氧化物</w:t>
                  </w:r>
                </w:p>
              </w:tc>
              <w:tc>
                <w:tcPr>
                  <w:tcW w:w="1110" w:type="dxa"/>
                  <w:vAlign w:val="center"/>
                </w:tcPr>
                <w:p w14:paraId="57C5A45E">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2024.4.5-</w:t>
                  </w:r>
                </w:p>
                <w:p w14:paraId="4115ABF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2024.4-6</w:t>
                  </w:r>
                </w:p>
              </w:tc>
              <w:tc>
                <w:tcPr>
                  <w:tcW w:w="1740" w:type="dxa"/>
                  <w:vAlign w:val="center"/>
                </w:tcPr>
                <w:p w14:paraId="56120206">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08:10-次日08:10</w:t>
                  </w:r>
                </w:p>
              </w:tc>
              <w:tc>
                <w:tcPr>
                  <w:tcW w:w="1140" w:type="dxa"/>
                  <w:vAlign w:val="center"/>
                </w:tcPr>
                <w:p w14:paraId="07BC2DCB">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15</w:t>
                  </w:r>
                </w:p>
              </w:tc>
              <w:tc>
                <w:tcPr>
                  <w:tcW w:w="1080" w:type="dxa"/>
                  <w:vAlign w:val="center"/>
                </w:tcPr>
                <w:p w14:paraId="1B977DD2">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100</w:t>
                  </w:r>
                </w:p>
              </w:tc>
              <w:tc>
                <w:tcPr>
                  <w:tcW w:w="919" w:type="dxa"/>
                  <w:vAlign w:val="center"/>
                </w:tcPr>
                <w:p w14:paraId="02901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达标</w:t>
                  </w:r>
                </w:p>
              </w:tc>
            </w:tr>
            <w:tr w14:paraId="2685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53544424">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40D14CFF">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Align w:val="center"/>
                </w:tcPr>
                <w:p w14:paraId="52A9B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2024.4.6-</w:t>
                  </w:r>
                </w:p>
                <w:p w14:paraId="72C1B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sz w:val="21"/>
                      <w:szCs w:val="21"/>
                      <w:vertAlign w:val="baseline"/>
                      <w:lang w:val="en-US" w:eastAsia="zh-CN"/>
                    </w:rPr>
                    <w:t>2024.4-7</w:t>
                  </w:r>
                </w:p>
              </w:tc>
              <w:tc>
                <w:tcPr>
                  <w:tcW w:w="1740" w:type="dxa"/>
                  <w:vAlign w:val="center"/>
                </w:tcPr>
                <w:p w14:paraId="4689733B">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08:25-次日08:25</w:t>
                  </w:r>
                </w:p>
              </w:tc>
              <w:tc>
                <w:tcPr>
                  <w:tcW w:w="1140" w:type="dxa"/>
                  <w:vAlign w:val="center"/>
                </w:tcPr>
                <w:p w14:paraId="0D8068E9">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11</w:t>
                  </w:r>
                </w:p>
              </w:tc>
              <w:tc>
                <w:tcPr>
                  <w:tcW w:w="1080" w:type="dxa"/>
                  <w:vAlign w:val="center"/>
                </w:tcPr>
                <w:p w14:paraId="028CE4F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100</w:t>
                  </w:r>
                </w:p>
              </w:tc>
              <w:tc>
                <w:tcPr>
                  <w:tcW w:w="919" w:type="dxa"/>
                  <w:vAlign w:val="center"/>
                </w:tcPr>
                <w:p w14:paraId="3A867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达标</w:t>
                  </w:r>
                </w:p>
              </w:tc>
            </w:tr>
            <w:tr w14:paraId="3E69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16D79ED5">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0C885E9C">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Align w:val="center"/>
                </w:tcPr>
                <w:p w14:paraId="257D7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2024.4.7-</w:t>
                  </w:r>
                </w:p>
                <w:p w14:paraId="09B5C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sz w:val="21"/>
                      <w:szCs w:val="21"/>
                      <w:vertAlign w:val="baseline"/>
                      <w:lang w:val="en-US" w:eastAsia="zh-CN"/>
                    </w:rPr>
                    <w:t>2024.4-8</w:t>
                  </w:r>
                </w:p>
              </w:tc>
              <w:tc>
                <w:tcPr>
                  <w:tcW w:w="1740" w:type="dxa"/>
                  <w:vAlign w:val="center"/>
                </w:tcPr>
                <w:p w14:paraId="0C2128BA">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08:35-次日08:35</w:t>
                  </w:r>
                </w:p>
              </w:tc>
              <w:tc>
                <w:tcPr>
                  <w:tcW w:w="1140" w:type="dxa"/>
                  <w:vAlign w:val="center"/>
                </w:tcPr>
                <w:p w14:paraId="6FF6F33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13</w:t>
                  </w:r>
                </w:p>
              </w:tc>
              <w:tc>
                <w:tcPr>
                  <w:tcW w:w="1080" w:type="dxa"/>
                  <w:vAlign w:val="center"/>
                </w:tcPr>
                <w:p w14:paraId="2E227AA9">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100</w:t>
                  </w:r>
                </w:p>
              </w:tc>
              <w:tc>
                <w:tcPr>
                  <w:tcW w:w="919" w:type="dxa"/>
                  <w:vAlign w:val="center"/>
                </w:tcPr>
                <w:p w14:paraId="1A87C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达标</w:t>
                  </w:r>
                </w:p>
              </w:tc>
            </w:tr>
            <w:tr w14:paraId="3293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605C91AF">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28C398B0">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restart"/>
                  <w:vAlign w:val="center"/>
                </w:tcPr>
                <w:p w14:paraId="061C9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2024.4.5</w:t>
                  </w:r>
                </w:p>
              </w:tc>
              <w:tc>
                <w:tcPr>
                  <w:tcW w:w="1740" w:type="dxa"/>
                  <w:vAlign w:val="center"/>
                </w:tcPr>
                <w:p w14:paraId="650B7413">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02:00-03:00</w:t>
                  </w:r>
                </w:p>
              </w:tc>
              <w:tc>
                <w:tcPr>
                  <w:tcW w:w="1140" w:type="dxa"/>
                  <w:vAlign w:val="center"/>
                </w:tcPr>
                <w:p w14:paraId="3852FBDA">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14</w:t>
                  </w:r>
                </w:p>
              </w:tc>
              <w:tc>
                <w:tcPr>
                  <w:tcW w:w="1080" w:type="dxa"/>
                  <w:vAlign w:val="center"/>
                </w:tcPr>
                <w:p w14:paraId="239ACF2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56426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达标</w:t>
                  </w:r>
                </w:p>
              </w:tc>
            </w:tr>
            <w:tr w14:paraId="4A72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5FE62C9F">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41092FFE">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continue"/>
                  <w:vAlign w:val="center"/>
                </w:tcPr>
                <w:p w14:paraId="1B909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40" w:type="dxa"/>
                  <w:vAlign w:val="center"/>
                </w:tcPr>
                <w:p w14:paraId="435061E0">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08:00-09:00</w:t>
                  </w:r>
                </w:p>
              </w:tc>
              <w:tc>
                <w:tcPr>
                  <w:tcW w:w="1140" w:type="dxa"/>
                  <w:vAlign w:val="center"/>
                </w:tcPr>
                <w:p w14:paraId="770C9922">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18</w:t>
                  </w:r>
                </w:p>
              </w:tc>
              <w:tc>
                <w:tcPr>
                  <w:tcW w:w="1080" w:type="dxa"/>
                  <w:vAlign w:val="center"/>
                </w:tcPr>
                <w:p w14:paraId="47C1C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306FF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00F6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35B12420">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53F23D94">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continue"/>
                  <w:vAlign w:val="center"/>
                </w:tcPr>
                <w:p w14:paraId="0F0CA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40" w:type="dxa"/>
                  <w:vAlign w:val="center"/>
                </w:tcPr>
                <w:p w14:paraId="356BCB87">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14:00-15:00</w:t>
                  </w:r>
                </w:p>
              </w:tc>
              <w:tc>
                <w:tcPr>
                  <w:tcW w:w="1140" w:type="dxa"/>
                  <w:vAlign w:val="center"/>
                </w:tcPr>
                <w:p w14:paraId="6EA266B5">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19</w:t>
                  </w:r>
                </w:p>
              </w:tc>
              <w:tc>
                <w:tcPr>
                  <w:tcW w:w="1080" w:type="dxa"/>
                  <w:vAlign w:val="center"/>
                </w:tcPr>
                <w:p w14:paraId="0FFFD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2F8516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76F4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475A11EB">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247B48E4">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continue"/>
                  <w:vAlign w:val="center"/>
                </w:tcPr>
                <w:p w14:paraId="3B9806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40" w:type="dxa"/>
                  <w:vAlign w:val="center"/>
                </w:tcPr>
                <w:p w14:paraId="67726621">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20:00-21:00</w:t>
                  </w:r>
                </w:p>
              </w:tc>
              <w:tc>
                <w:tcPr>
                  <w:tcW w:w="1140" w:type="dxa"/>
                  <w:vAlign w:val="center"/>
                </w:tcPr>
                <w:p w14:paraId="1C57D64B">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26</w:t>
                  </w:r>
                </w:p>
              </w:tc>
              <w:tc>
                <w:tcPr>
                  <w:tcW w:w="1080" w:type="dxa"/>
                  <w:vAlign w:val="center"/>
                </w:tcPr>
                <w:p w14:paraId="6152B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69F57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2110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4D55B2B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140B9A36">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restart"/>
                  <w:vAlign w:val="center"/>
                </w:tcPr>
                <w:p w14:paraId="7D587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2024.4-6</w:t>
                  </w:r>
                </w:p>
              </w:tc>
              <w:tc>
                <w:tcPr>
                  <w:tcW w:w="1740" w:type="dxa"/>
                  <w:vAlign w:val="center"/>
                </w:tcPr>
                <w:p w14:paraId="6587CDDC">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02:00-03:00</w:t>
                  </w:r>
                </w:p>
              </w:tc>
              <w:tc>
                <w:tcPr>
                  <w:tcW w:w="1140" w:type="dxa"/>
                  <w:vAlign w:val="center"/>
                </w:tcPr>
                <w:p w14:paraId="65F5C40C">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11</w:t>
                  </w:r>
                </w:p>
              </w:tc>
              <w:tc>
                <w:tcPr>
                  <w:tcW w:w="1080" w:type="dxa"/>
                  <w:vAlign w:val="center"/>
                </w:tcPr>
                <w:p w14:paraId="5DDD9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5F0B6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达标</w:t>
                  </w:r>
                </w:p>
              </w:tc>
            </w:tr>
            <w:tr w14:paraId="6416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1153AC1B">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560227E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continue"/>
                  <w:vAlign w:val="center"/>
                </w:tcPr>
                <w:p w14:paraId="0CA38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40" w:type="dxa"/>
                  <w:vAlign w:val="center"/>
                </w:tcPr>
                <w:p w14:paraId="2017AA3E">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08:00-09:00</w:t>
                  </w:r>
                </w:p>
              </w:tc>
              <w:tc>
                <w:tcPr>
                  <w:tcW w:w="1140" w:type="dxa"/>
                  <w:vAlign w:val="center"/>
                </w:tcPr>
                <w:p w14:paraId="66E49E43">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w:t>
                  </w:r>
                </w:p>
              </w:tc>
              <w:tc>
                <w:tcPr>
                  <w:tcW w:w="1080" w:type="dxa"/>
                  <w:vAlign w:val="center"/>
                </w:tcPr>
                <w:p w14:paraId="29982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158E4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7B75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4809537B">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1D4186B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continue"/>
                  <w:vAlign w:val="center"/>
                </w:tcPr>
                <w:p w14:paraId="5273E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40" w:type="dxa"/>
                  <w:vAlign w:val="center"/>
                </w:tcPr>
                <w:p w14:paraId="30E708E0">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14:00-15:00</w:t>
                  </w:r>
                </w:p>
              </w:tc>
              <w:tc>
                <w:tcPr>
                  <w:tcW w:w="1140" w:type="dxa"/>
                  <w:vAlign w:val="center"/>
                </w:tcPr>
                <w:p w14:paraId="2E463603">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29</w:t>
                  </w:r>
                </w:p>
              </w:tc>
              <w:tc>
                <w:tcPr>
                  <w:tcW w:w="1080" w:type="dxa"/>
                  <w:vAlign w:val="center"/>
                </w:tcPr>
                <w:p w14:paraId="02E55C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04401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0478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1E3A48CC">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4D738DBF">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continue"/>
                  <w:vAlign w:val="center"/>
                </w:tcPr>
                <w:p w14:paraId="03DD6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40" w:type="dxa"/>
                  <w:vAlign w:val="center"/>
                </w:tcPr>
                <w:p w14:paraId="72DE1F05">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20:00-21:00</w:t>
                  </w:r>
                </w:p>
              </w:tc>
              <w:tc>
                <w:tcPr>
                  <w:tcW w:w="1140" w:type="dxa"/>
                  <w:vAlign w:val="center"/>
                </w:tcPr>
                <w:p w14:paraId="74958671">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23</w:t>
                  </w:r>
                </w:p>
              </w:tc>
              <w:tc>
                <w:tcPr>
                  <w:tcW w:w="1080" w:type="dxa"/>
                  <w:vAlign w:val="center"/>
                </w:tcPr>
                <w:p w14:paraId="2AEC4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5E28F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5E01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69969771">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390D6F03">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restart"/>
                  <w:vAlign w:val="center"/>
                </w:tcPr>
                <w:p w14:paraId="7332DA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sz w:val="21"/>
                      <w:szCs w:val="21"/>
                      <w:vertAlign w:val="baseline"/>
                      <w:lang w:val="en-US" w:eastAsia="zh-CN"/>
                    </w:rPr>
                    <w:t>2024.4.7</w:t>
                  </w:r>
                </w:p>
              </w:tc>
              <w:tc>
                <w:tcPr>
                  <w:tcW w:w="1740" w:type="dxa"/>
                  <w:vAlign w:val="center"/>
                </w:tcPr>
                <w:p w14:paraId="10CDADA8">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02:00-03:00</w:t>
                  </w:r>
                </w:p>
              </w:tc>
              <w:tc>
                <w:tcPr>
                  <w:tcW w:w="1140" w:type="dxa"/>
                  <w:vAlign w:val="center"/>
                </w:tcPr>
                <w:p w14:paraId="4FA7104E">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w:t>
                  </w:r>
                </w:p>
              </w:tc>
              <w:tc>
                <w:tcPr>
                  <w:tcW w:w="1080" w:type="dxa"/>
                  <w:vAlign w:val="center"/>
                </w:tcPr>
                <w:p w14:paraId="13105F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5AAFE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达标</w:t>
                  </w:r>
                </w:p>
              </w:tc>
            </w:tr>
            <w:tr w14:paraId="69BC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0A86B7B1">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73478EA8">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continue"/>
                  <w:vAlign w:val="center"/>
                </w:tcPr>
                <w:p w14:paraId="1E7AF0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40" w:type="dxa"/>
                  <w:vAlign w:val="center"/>
                </w:tcPr>
                <w:p w14:paraId="06B89419">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08:00-09:00</w:t>
                  </w:r>
                </w:p>
              </w:tc>
              <w:tc>
                <w:tcPr>
                  <w:tcW w:w="1140" w:type="dxa"/>
                  <w:vAlign w:val="center"/>
                </w:tcPr>
                <w:p w14:paraId="67C9D0D3">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17</w:t>
                  </w:r>
                </w:p>
              </w:tc>
              <w:tc>
                <w:tcPr>
                  <w:tcW w:w="1080" w:type="dxa"/>
                  <w:vAlign w:val="center"/>
                </w:tcPr>
                <w:p w14:paraId="389A4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49028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29AF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6DE5302E">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676F3FF6">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continue"/>
                  <w:vAlign w:val="center"/>
                </w:tcPr>
                <w:p w14:paraId="22781B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40" w:type="dxa"/>
                  <w:vAlign w:val="center"/>
                </w:tcPr>
                <w:p w14:paraId="65047A68">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14:00-15:00</w:t>
                  </w:r>
                </w:p>
              </w:tc>
              <w:tc>
                <w:tcPr>
                  <w:tcW w:w="1140" w:type="dxa"/>
                  <w:vAlign w:val="center"/>
                </w:tcPr>
                <w:p w14:paraId="26DE2F33">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29</w:t>
                  </w:r>
                </w:p>
              </w:tc>
              <w:tc>
                <w:tcPr>
                  <w:tcW w:w="1080" w:type="dxa"/>
                  <w:vAlign w:val="center"/>
                </w:tcPr>
                <w:p w14:paraId="244F5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6AD23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637B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33812AD1">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47E36F29">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Merge w:val="continue"/>
                  <w:vAlign w:val="center"/>
                </w:tcPr>
                <w:p w14:paraId="44593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40" w:type="dxa"/>
                  <w:vAlign w:val="center"/>
                </w:tcPr>
                <w:p w14:paraId="3B789B67">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20:00-21:00</w:t>
                  </w:r>
                </w:p>
              </w:tc>
              <w:tc>
                <w:tcPr>
                  <w:tcW w:w="1140" w:type="dxa"/>
                  <w:vAlign w:val="center"/>
                </w:tcPr>
                <w:p w14:paraId="4CC9D2BC">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22</w:t>
                  </w:r>
                </w:p>
              </w:tc>
              <w:tc>
                <w:tcPr>
                  <w:tcW w:w="1080" w:type="dxa"/>
                  <w:vAlign w:val="center"/>
                </w:tcPr>
                <w:p w14:paraId="1C77841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250</w:t>
                  </w:r>
                </w:p>
              </w:tc>
              <w:tc>
                <w:tcPr>
                  <w:tcW w:w="919" w:type="dxa"/>
                  <w:vAlign w:val="center"/>
                </w:tcPr>
                <w:p w14:paraId="437F1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0CC9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2EC5874B">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restart"/>
                  <w:vAlign w:val="center"/>
                </w:tcPr>
                <w:p w14:paraId="4CBC7CB4">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TSP</w:t>
                  </w:r>
                </w:p>
              </w:tc>
              <w:tc>
                <w:tcPr>
                  <w:tcW w:w="1110" w:type="dxa"/>
                  <w:vAlign w:val="center"/>
                </w:tcPr>
                <w:p w14:paraId="515E7421">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2024.4.5-</w:t>
                  </w:r>
                </w:p>
                <w:p w14:paraId="244F0078">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2024.4-6</w:t>
                  </w:r>
                </w:p>
              </w:tc>
              <w:tc>
                <w:tcPr>
                  <w:tcW w:w="1740" w:type="dxa"/>
                  <w:vAlign w:val="center"/>
                </w:tcPr>
                <w:p w14:paraId="24D89BC4">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08:10-次日08:10</w:t>
                  </w:r>
                </w:p>
              </w:tc>
              <w:tc>
                <w:tcPr>
                  <w:tcW w:w="1140" w:type="dxa"/>
                  <w:vAlign w:val="center"/>
                </w:tcPr>
                <w:p w14:paraId="6CF02A5F">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85</w:t>
                  </w:r>
                </w:p>
              </w:tc>
              <w:tc>
                <w:tcPr>
                  <w:tcW w:w="1080" w:type="dxa"/>
                  <w:vAlign w:val="center"/>
                </w:tcPr>
                <w:p w14:paraId="65C0E278">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300</w:t>
                  </w:r>
                </w:p>
              </w:tc>
              <w:tc>
                <w:tcPr>
                  <w:tcW w:w="919" w:type="dxa"/>
                  <w:vAlign w:val="center"/>
                </w:tcPr>
                <w:p w14:paraId="2A8CC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达标</w:t>
                  </w:r>
                </w:p>
              </w:tc>
            </w:tr>
            <w:tr w14:paraId="6FB2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Merge w:val="continue"/>
                  <w:vAlign w:val="center"/>
                </w:tcPr>
                <w:p w14:paraId="0C1176F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1469B80D">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Align w:val="center"/>
                </w:tcPr>
                <w:p w14:paraId="67C043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2024.4.6-</w:t>
                  </w:r>
                </w:p>
                <w:p w14:paraId="3F75D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2024.4-7</w:t>
                  </w:r>
                </w:p>
              </w:tc>
              <w:tc>
                <w:tcPr>
                  <w:tcW w:w="1740" w:type="dxa"/>
                  <w:vAlign w:val="center"/>
                </w:tcPr>
                <w:p w14:paraId="61CC950C">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08:25-次日08:25</w:t>
                  </w:r>
                </w:p>
              </w:tc>
              <w:tc>
                <w:tcPr>
                  <w:tcW w:w="1140" w:type="dxa"/>
                  <w:vAlign w:val="center"/>
                </w:tcPr>
                <w:p w14:paraId="0EA8EDB3">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103</w:t>
                  </w:r>
                </w:p>
              </w:tc>
              <w:tc>
                <w:tcPr>
                  <w:tcW w:w="1080" w:type="dxa"/>
                  <w:vAlign w:val="center"/>
                </w:tcPr>
                <w:p w14:paraId="239CD8AA">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300</w:t>
                  </w:r>
                </w:p>
              </w:tc>
              <w:tc>
                <w:tcPr>
                  <w:tcW w:w="919" w:type="dxa"/>
                  <w:vAlign w:val="center"/>
                </w:tcPr>
                <w:p w14:paraId="1D316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达标</w:t>
                  </w:r>
                </w:p>
              </w:tc>
            </w:tr>
            <w:tr w14:paraId="40E0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2E43C627">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080" w:type="dxa"/>
                  <w:vMerge w:val="continue"/>
                  <w:vAlign w:val="center"/>
                </w:tcPr>
                <w:p w14:paraId="18002C0F">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rPr>
                  </w:pPr>
                </w:p>
              </w:tc>
              <w:tc>
                <w:tcPr>
                  <w:tcW w:w="1110" w:type="dxa"/>
                  <w:vAlign w:val="center"/>
                </w:tcPr>
                <w:p w14:paraId="718AE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2024.4.7-</w:t>
                  </w:r>
                </w:p>
                <w:p w14:paraId="47664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2024.4-8</w:t>
                  </w:r>
                </w:p>
              </w:tc>
              <w:tc>
                <w:tcPr>
                  <w:tcW w:w="1740" w:type="dxa"/>
                  <w:vAlign w:val="center"/>
                </w:tcPr>
                <w:p w14:paraId="7AB1D311">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08:35-次日08:35</w:t>
                  </w:r>
                </w:p>
              </w:tc>
              <w:tc>
                <w:tcPr>
                  <w:tcW w:w="1140" w:type="dxa"/>
                  <w:vAlign w:val="center"/>
                </w:tcPr>
                <w:p w14:paraId="62621215">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114</w:t>
                  </w:r>
                </w:p>
              </w:tc>
              <w:tc>
                <w:tcPr>
                  <w:tcW w:w="1080" w:type="dxa"/>
                  <w:vAlign w:val="center"/>
                </w:tcPr>
                <w:p w14:paraId="6562F78B">
                  <w:pPr>
                    <w:pStyle w:val="2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300</w:t>
                  </w:r>
                </w:p>
              </w:tc>
              <w:tc>
                <w:tcPr>
                  <w:tcW w:w="919" w:type="dxa"/>
                  <w:vAlign w:val="center"/>
                </w:tcPr>
                <w:p w14:paraId="583B1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达标</w:t>
                  </w:r>
                </w:p>
              </w:tc>
            </w:tr>
          </w:tbl>
          <w:p w14:paraId="0502DC8A">
            <w:pPr>
              <w:pStyle w:val="23"/>
              <w:keepNext w:val="0"/>
              <w:keepLines w:val="0"/>
              <w:pageBreakBefore w:val="0"/>
              <w:suppressLineNumbers w:val="0"/>
              <w:kinsoku/>
              <w:wordWrap/>
              <w:overflowPunct/>
              <w:topLinePunct w:val="0"/>
              <w:autoSpaceDE/>
              <w:autoSpaceDN/>
              <w:bidi w:val="0"/>
              <w:adjustRightInd/>
              <w:spacing w:beforeAutospacing="0" w:afterAutospacing="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根据上述监测结果，NO</w:t>
            </w:r>
            <w:r>
              <w:rPr>
                <w:rFonts w:hint="default" w:ascii="Times New Roman" w:hAnsi="Times New Roman" w:eastAsia="宋体" w:cs="Times New Roman"/>
                <w:color w:val="auto"/>
                <w:sz w:val="24"/>
                <w:szCs w:val="24"/>
                <w:vertAlign w:val="subscript"/>
                <w:lang w:val="en-US" w:eastAsia="zh-CN"/>
              </w:rPr>
              <w:t>x</w:t>
            </w:r>
            <w:r>
              <w:rPr>
                <w:rFonts w:hint="default" w:ascii="Times New Roman" w:hAnsi="Times New Roman" w:eastAsia="宋体" w:cs="Times New Roman"/>
                <w:color w:val="auto"/>
                <w:sz w:val="24"/>
                <w:szCs w:val="24"/>
                <w:vertAlign w:val="baseline"/>
                <w:lang w:val="en-US" w:eastAsia="zh-CN"/>
              </w:rPr>
              <w:t>日均值和小时值、TSP日均值监测结</w:t>
            </w:r>
            <w:r>
              <w:rPr>
                <w:rFonts w:hint="default" w:ascii="Times New Roman" w:hAnsi="Times New Roman" w:eastAsia="宋体" w:cs="Times New Roman"/>
                <w:color w:val="auto"/>
                <w:sz w:val="24"/>
                <w:szCs w:val="24"/>
              </w:rPr>
              <w:t>果满足《环境空气质量标准》（GB3095-2012）表2中的二级标准。</w:t>
            </w:r>
          </w:p>
          <w:p w14:paraId="2ECEE2C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2、地表水环境质量现状</w:t>
            </w:r>
          </w:p>
          <w:p w14:paraId="4D2122AF">
            <w:pPr>
              <w:keepNext w:val="0"/>
              <w:keepLines w:val="0"/>
              <w:widowControl/>
              <w:suppressLineNumbers w:val="0"/>
              <w:tabs>
                <w:tab w:val="left" w:pos="6765"/>
              </w:tabs>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区项目地表水为项目东侧25m处的南盘江，根据《云南省水功能区划（2014年修订）》，属于南盘江宜良工业、农业、渔业用水区（狗街断面），该区由柴石滩水库坝址至高古马水文站，水环境功能主要为工业、农业、渔业用水，2020年水质目标为Ⅳ类，2030年水质目标为Ⅲ类。执行《地表水环境质量标准》（GB 3838—2002）Ⅲ类标准。</w:t>
            </w:r>
          </w:p>
          <w:p w14:paraId="776C7E7B">
            <w:pPr>
              <w:keepNext w:val="0"/>
              <w:keepLines w:val="0"/>
              <w:widowControl/>
              <w:suppressLineNumbers w:val="0"/>
              <w:tabs>
                <w:tab w:val="left" w:pos="6765"/>
              </w:tabs>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根据昆明市生态环境局发布的《</w:t>
            </w:r>
            <w:r>
              <w:rPr>
                <w:rFonts w:hint="default" w:ascii="Times New Roman" w:hAnsi="Times New Roman" w:eastAsia="宋体" w:cs="Times New Roman"/>
                <w:color w:val="auto"/>
                <w:sz w:val="24"/>
                <w:lang w:eastAsia="zh-CN"/>
              </w:rPr>
              <w:t>2024年度昆明市生态环境状况公报</w:t>
            </w:r>
            <w:r>
              <w:rPr>
                <w:rFonts w:hint="default" w:ascii="Times New Roman" w:hAnsi="Times New Roman" w:eastAsia="宋体" w:cs="Times New Roman"/>
                <w:color w:val="auto"/>
                <w:sz w:val="24"/>
              </w:rPr>
              <w:t>》，南盘江与2023年相比，南盘江干流段的狗街断面水质类别保持Ⅲ类不变，禄丰村断面、柴石滩断面水质类别保持Ⅱ类不变。因此项目地表水水质不能满足《地表水环境质量标准》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GB3838-2002</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Ⅲ类标准。</w:t>
            </w:r>
          </w:p>
          <w:p w14:paraId="45D06F57">
            <w:pPr>
              <w:keepNext w:val="0"/>
              <w:keepLines w:val="0"/>
              <w:widowControl/>
              <w:suppressLineNumbers w:val="0"/>
              <w:tabs>
                <w:tab w:val="left" w:pos="6765"/>
              </w:tabs>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3、声环境质量现状</w:t>
            </w:r>
          </w:p>
          <w:p w14:paraId="3D9CF8DC">
            <w:pPr>
              <w:keepNext w:val="0"/>
              <w:keepLines w:val="0"/>
              <w:widowControl/>
              <w:suppressLineNumbers w:val="0"/>
              <w:tabs>
                <w:tab w:val="left" w:pos="6765"/>
              </w:tabs>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项目位于云南省昆明市宜良县狗街镇狗街村委会旱滩村，</w:t>
            </w:r>
            <w:r>
              <w:rPr>
                <w:rFonts w:hint="default" w:ascii="Times New Roman" w:hAnsi="Times New Roman" w:eastAsia="宋体" w:cs="Times New Roman"/>
                <w:color w:val="auto"/>
                <w:sz w:val="24"/>
                <w:lang w:val="en-US" w:eastAsia="zh-CN"/>
              </w:rPr>
              <w:t>东侧紧邻盘江西路（四级道路），</w:t>
            </w:r>
            <w:r>
              <w:rPr>
                <w:rFonts w:hint="default" w:ascii="Times New Roman" w:hAnsi="Times New Roman" w:eastAsia="宋体" w:cs="Times New Roman"/>
                <w:color w:val="auto"/>
                <w:sz w:val="24"/>
              </w:rPr>
              <w:t>声环境质量执行《声环境质量标准》（GB3096-2008）2类标准。根据昆明市生态环境局发布的《</w:t>
            </w:r>
            <w:r>
              <w:rPr>
                <w:rFonts w:hint="default" w:ascii="Times New Roman" w:hAnsi="Times New Roman" w:eastAsia="宋体" w:cs="Times New Roman"/>
                <w:color w:val="auto"/>
                <w:sz w:val="24"/>
                <w:lang w:eastAsia="zh-CN"/>
              </w:rPr>
              <w:t>2024年度昆明市生态环境状况公报</w:t>
            </w:r>
            <w:r>
              <w:rPr>
                <w:rFonts w:hint="default" w:ascii="Times New Roman" w:hAnsi="Times New Roman" w:eastAsia="宋体" w:cs="Times New Roman"/>
                <w:color w:val="auto"/>
                <w:sz w:val="24"/>
              </w:rPr>
              <w:t>》，2024年，昆明市各县(市)区区域环境昼间等效声级平均值分别为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东川区53.4分贝、安宁市49.2分贝、宜良县49.4分贝、石林县53.2分贝、禄劝县51.2分贝、嵩明县52.8分贝、富民县48.9分贝、寻甸县46.3分贝。安宁市、宜良县、富民县、寻甸县区域昼间环境噪声总体水平评价为一级(好)，其余各县(市)区区域昼间环境噪声总体水平评价为二级(较好)。与2023年相比，宜良县、富民县、寻甸县的区域环境昼间等效声级平均值降低，东川区、安宁市、石林县、禄劝县、嵩明县的区域环境昼间等效声级平均值升高。</w:t>
            </w:r>
          </w:p>
          <w:p w14:paraId="5E4AF0EA">
            <w:pPr>
              <w:keepNext w:val="0"/>
              <w:keepLines w:val="0"/>
              <w:widowControl/>
              <w:suppressLineNumbers w:val="0"/>
              <w:tabs>
                <w:tab w:val="left" w:pos="6765"/>
              </w:tabs>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根据《建设项目环境影响报告表编制技术指南（污染影响类）（试行）》，本项目厂界外50米范围内不存在声环境保护目标，不用开展声环境质量现状监测</w:t>
            </w:r>
            <w:r>
              <w:rPr>
                <w:rFonts w:hint="default" w:ascii="Times New Roman" w:hAnsi="Times New Roman" w:eastAsia="宋体" w:cs="Times New Roman"/>
                <w:color w:val="auto"/>
                <w:sz w:val="24"/>
                <w:lang w:val="zh-CN"/>
              </w:rPr>
              <w:t>。</w:t>
            </w:r>
            <w:r>
              <w:rPr>
                <w:rFonts w:hint="default" w:ascii="Times New Roman" w:hAnsi="Times New Roman" w:eastAsia="宋体" w:cs="Times New Roman"/>
                <w:color w:val="auto"/>
                <w:sz w:val="24"/>
              </w:rPr>
              <w:t>根据调查资料和现场踏勘，项目区周边200m范围</w:t>
            </w:r>
            <w:r>
              <w:rPr>
                <w:rFonts w:hint="default" w:ascii="Times New Roman" w:hAnsi="Times New Roman" w:eastAsia="宋体" w:cs="Times New Roman"/>
                <w:color w:val="auto"/>
                <w:sz w:val="24"/>
                <w:lang w:val="en-US" w:eastAsia="zh-CN"/>
              </w:rPr>
              <w:t>工业企业较少，企业加工噪声相互影响不大，项目区声环境质量现状较好，可以满足</w:t>
            </w:r>
            <w:r>
              <w:rPr>
                <w:rFonts w:hint="default" w:ascii="Times New Roman" w:hAnsi="Times New Roman" w:eastAsia="宋体" w:cs="Times New Roman"/>
                <w:color w:val="auto"/>
                <w:kern w:val="0"/>
                <w:sz w:val="24"/>
                <w:szCs w:val="24"/>
                <w:lang w:bidi="ar"/>
              </w:rPr>
              <w:t>《工业企业厂界环境噪声排放标准》</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kern w:val="0"/>
                <w:sz w:val="24"/>
                <w:szCs w:val="24"/>
                <w:lang w:bidi="ar"/>
              </w:rPr>
              <w:t>GB12348-2008</w:t>
            </w:r>
            <w:r>
              <w:rPr>
                <w:rFonts w:hint="default" w:ascii="Times New Roman" w:hAnsi="Times New Roman" w:eastAsia="宋体" w:cs="Times New Roman"/>
                <w:color w:val="auto"/>
                <w:kern w:val="0"/>
                <w:sz w:val="24"/>
                <w:szCs w:val="24"/>
                <w:lang w:eastAsia="zh-CN" w:bidi="ar"/>
              </w:rPr>
              <w:t>）</w:t>
            </w:r>
            <w:r>
              <w:rPr>
                <w:rFonts w:hint="default" w:ascii="Times New Roman" w:hAnsi="Times New Roman" w:eastAsia="宋体" w:cs="Times New Roman"/>
                <w:color w:val="auto"/>
                <w:sz w:val="24"/>
                <w:szCs w:val="24"/>
                <w:lang w:val="en-US" w:eastAsia="zh-CN"/>
              </w:rPr>
              <w:t>2类标准要求</w:t>
            </w:r>
          </w:p>
          <w:p w14:paraId="1396E2C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4、生态环境现状</w:t>
            </w:r>
          </w:p>
          <w:p w14:paraId="2AA96DD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kern w:val="0"/>
                <w:sz w:val="24"/>
              </w:rPr>
              <w:t>项目位于</w:t>
            </w:r>
            <w:r>
              <w:rPr>
                <w:rFonts w:hint="default" w:ascii="Times New Roman" w:hAnsi="Times New Roman" w:eastAsia="宋体" w:cs="Times New Roman"/>
                <w:color w:val="auto"/>
                <w:kern w:val="0"/>
                <w:sz w:val="24"/>
                <w:lang w:bidi="ar"/>
              </w:rPr>
              <w:t>云南省昆明市宜良县狗街镇狗街村委会旱滩村，项目在原址改建，</w:t>
            </w:r>
            <w:r>
              <w:rPr>
                <w:rFonts w:hint="default" w:ascii="Times New Roman" w:hAnsi="Times New Roman" w:eastAsia="宋体" w:cs="Times New Roman"/>
                <w:color w:val="auto"/>
                <w:kern w:val="0"/>
                <w:sz w:val="24"/>
              </w:rPr>
              <w:t>不新增用地；</w:t>
            </w:r>
            <w:r>
              <w:rPr>
                <w:rFonts w:hint="default" w:ascii="Times New Roman" w:hAnsi="Times New Roman" w:eastAsia="宋体" w:cs="Times New Roman"/>
                <w:color w:val="auto"/>
                <w:sz w:val="24"/>
              </w:rPr>
              <w:t>项目周边无自然保护区、风景名胜区、森林公园、历史文化遗迹等需要特殊保护的生态敏感目标分布，也没有国家和省级重点保护的动植物物种及区域特有物种分布。</w:t>
            </w:r>
            <w:r>
              <w:rPr>
                <w:rFonts w:hint="default" w:ascii="Times New Roman" w:hAnsi="Times New Roman" w:eastAsia="宋体" w:cs="Times New Roman"/>
                <w:bCs/>
                <w:color w:val="auto"/>
                <w:sz w:val="24"/>
              </w:rPr>
              <w:t>物种多样性一般，生态环境质量现状一般。因此</w:t>
            </w:r>
            <w:r>
              <w:rPr>
                <w:rFonts w:hint="default" w:ascii="Times New Roman" w:hAnsi="Times New Roman" w:eastAsia="宋体" w:cs="Times New Roman"/>
                <w:color w:val="auto"/>
                <w:kern w:val="0"/>
                <w:sz w:val="24"/>
              </w:rPr>
              <w:t>项目区内无生态环境保护目标。</w:t>
            </w:r>
          </w:p>
          <w:p w14:paraId="37B1CA58">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5、地下水、土壤</w:t>
            </w:r>
          </w:p>
          <w:p w14:paraId="2D5DBB98">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根据《建设项目环境影响报告表编制技术指南（污染影响类）》（试行）项目不涉及集中式饮用水水源和热水、矿泉水、温泉等特殊地下水资源，因此不开展地下水和土壤环境质量现状调查。</w:t>
            </w:r>
          </w:p>
        </w:tc>
      </w:tr>
      <w:tr w14:paraId="2A0DF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14:paraId="746A915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环境</w:t>
            </w:r>
          </w:p>
          <w:p w14:paraId="5FE79C2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保护</w:t>
            </w:r>
          </w:p>
          <w:p w14:paraId="037CC7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目标</w:t>
            </w:r>
          </w:p>
        </w:tc>
        <w:tc>
          <w:tcPr>
            <w:tcW w:w="8190" w:type="dxa"/>
            <w:noWrap w:val="0"/>
            <w:vAlign w:val="center"/>
          </w:tcPr>
          <w:p w14:paraId="0926AB99">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6、保护目标</w:t>
            </w:r>
          </w:p>
          <w:p w14:paraId="1F5C5CE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①</w:t>
            </w:r>
            <w:r>
              <w:rPr>
                <w:rFonts w:hint="default" w:ascii="Times New Roman" w:hAnsi="Times New Roman" w:eastAsia="宋体" w:cs="Times New Roman"/>
                <w:color w:val="auto"/>
                <w:kern w:val="0"/>
                <w:sz w:val="24"/>
              </w:rPr>
              <w:t>本项目厂界外500米范围内不涉及自然保护区、风景名胜区等环境敏感区，项目500m范围内的主要大气环境保护目标见下表3.6-1；</w:t>
            </w:r>
          </w:p>
          <w:p w14:paraId="0E3E42D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②声环境保护目标为厂界外50m范围内，拟建项目厂界外50m范围内无声环境保护目标；</w:t>
            </w:r>
          </w:p>
          <w:p w14:paraId="298B39C7">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rPr>
              <w:t>③地下水环境为</w:t>
            </w:r>
            <w:r>
              <w:rPr>
                <w:rFonts w:hint="default" w:ascii="Times New Roman" w:hAnsi="Times New Roman" w:eastAsia="宋体" w:cs="Times New Roman"/>
                <w:color w:val="auto"/>
                <w:kern w:val="0"/>
                <w:sz w:val="24"/>
              </w:rPr>
              <w:t>厂界外500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kern w:val="0"/>
                <w:sz w:val="24"/>
              </w:rPr>
              <w:t>范围内的地下水集中式饮用水水源和热水、矿泉水、温泉等特殊地下水资源；</w:t>
            </w:r>
            <w:r>
              <w:rPr>
                <w:rFonts w:hint="default" w:ascii="Times New Roman" w:hAnsi="Times New Roman" w:eastAsia="宋体" w:cs="Times New Roman"/>
                <w:color w:val="auto"/>
                <w:sz w:val="24"/>
              </w:rPr>
              <w:t>拟建</w:t>
            </w:r>
            <w:r>
              <w:rPr>
                <w:rFonts w:hint="default" w:ascii="Times New Roman" w:hAnsi="Times New Roman" w:eastAsia="宋体" w:cs="Times New Roman"/>
                <w:color w:val="auto"/>
                <w:kern w:val="0"/>
                <w:sz w:val="24"/>
              </w:rPr>
              <w:t>项目厂界外500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kern w:val="0"/>
                <w:sz w:val="24"/>
              </w:rPr>
              <w:t>范围内无地下水集中式饮用水水源和热水、矿泉水、温泉等特殊地下水资源；</w:t>
            </w:r>
          </w:p>
          <w:p w14:paraId="34A76F07">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④项目位于</w:t>
            </w:r>
            <w:r>
              <w:rPr>
                <w:rFonts w:hint="default" w:ascii="Times New Roman" w:hAnsi="Times New Roman" w:eastAsia="宋体" w:cs="Times New Roman"/>
                <w:color w:val="auto"/>
                <w:kern w:val="0"/>
                <w:sz w:val="24"/>
                <w:lang w:bidi="ar"/>
              </w:rPr>
              <w:t>云南省昆明市宜良县狗街镇狗街村委会旱滩村，项目在原址改建，</w:t>
            </w:r>
            <w:r>
              <w:rPr>
                <w:rFonts w:hint="default" w:ascii="Times New Roman" w:hAnsi="Times New Roman" w:eastAsia="宋体" w:cs="Times New Roman"/>
                <w:color w:val="auto"/>
                <w:kern w:val="0"/>
                <w:sz w:val="24"/>
              </w:rPr>
              <w:t>不新增用地；因此拟建项目区内无</w:t>
            </w:r>
            <w:r>
              <w:rPr>
                <w:rFonts w:hint="default" w:ascii="Times New Roman" w:hAnsi="Times New Roman" w:eastAsia="宋体" w:cs="Times New Roman"/>
                <w:color w:val="auto"/>
                <w:sz w:val="24"/>
              </w:rPr>
              <w:t>生态环境保护目标。</w:t>
            </w:r>
          </w:p>
          <w:p w14:paraId="4BE62692">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⑤</w:t>
            </w:r>
            <w:r>
              <w:rPr>
                <w:rFonts w:hint="default" w:ascii="Times New Roman" w:hAnsi="Times New Roman" w:eastAsia="宋体" w:cs="Times New Roman"/>
                <w:color w:val="auto"/>
                <w:sz w:val="24"/>
              </w:rPr>
              <w:t>项目地表水为项目东侧25m处的南盘江。</w:t>
            </w:r>
          </w:p>
          <w:p w14:paraId="084B2ACF">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项目主要保护目标</w:t>
            </w:r>
            <w:r>
              <w:rPr>
                <w:rFonts w:hint="default" w:ascii="Times New Roman" w:hAnsi="Times New Roman" w:eastAsia="宋体" w:cs="Times New Roman"/>
                <w:color w:val="auto"/>
                <w:sz w:val="24"/>
              </w:rPr>
              <w:t>如下：</w:t>
            </w:r>
          </w:p>
          <w:p w14:paraId="04EAB6DE">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p>
          <w:p w14:paraId="39E11714">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表3.6-1   大气环境保护目标</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25"/>
              <w:gridCol w:w="1531"/>
              <w:gridCol w:w="561"/>
              <w:gridCol w:w="959"/>
              <w:gridCol w:w="787"/>
              <w:gridCol w:w="787"/>
              <w:gridCol w:w="843"/>
            </w:tblGrid>
            <w:tr w14:paraId="5C91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651346CA">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名称</w:t>
                  </w:r>
                </w:p>
              </w:tc>
              <w:tc>
                <w:tcPr>
                  <w:tcW w:w="2105" w:type="pct"/>
                  <w:gridSpan w:val="2"/>
                  <w:tcBorders>
                    <w:top w:val="single" w:color="auto" w:sz="4" w:space="0"/>
                    <w:left w:val="single" w:color="auto" w:sz="4" w:space="0"/>
                    <w:bottom w:val="single" w:color="auto" w:sz="4" w:space="0"/>
                    <w:right w:val="single" w:color="auto" w:sz="4" w:space="0"/>
                  </w:tcBorders>
                  <w:noWrap w:val="0"/>
                  <w:vAlign w:val="center"/>
                </w:tcPr>
                <w:p w14:paraId="730F5D87">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坐标</w:t>
                  </w:r>
                </w:p>
              </w:tc>
              <w:tc>
                <w:tcPr>
                  <w:tcW w:w="352" w:type="pct"/>
                  <w:vMerge w:val="restart"/>
                  <w:tcBorders>
                    <w:top w:val="single" w:color="auto" w:sz="4" w:space="0"/>
                    <w:left w:val="single" w:color="auto" w:sz="4" w:space="0"/>
                    <w:right w:val="single" w:color="auto" w:sz="4" w:space="0"/>
                  </w:tcBorders>
                  <w:noWrap w:val="0"/>
                  <w:vAlign w:val="center"/>
                </w:tcPr>
                <w:p w14:paraId="5A75506D">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保护对象</w:t>
                  </w:r>
                </w:p>
              </w:tc>
              <w:tc>
                <w:tcPr>
                  <w:tcW w:w="602" w:type="pct"/>
                  <w:vMerge w:val="restart"/>
                  <w:tcBorders>
                    <w:top w:val="single" w:color="auto" w:sz="4" w:space="0"/>
                    <w:left w:val="single" w:color="auto" w:sz="4" w:space="0"/>
                    <w:right w:val="single" w:color="auto" w:sz="4" w:space="0"/>
                  </w:tcBorders>
                  <w:noWrap w:val="0"/>
                  <w:vAlign w:val="center"/>
                </w:tcPr>
                <w:p w14:paraId="513AE141">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保护内容</w:t>
                  </w:r>
                </w:p>
              </w:tc>
              <w:tc>
                <w:tcPr>
                  <w:tcW w:w="494" w:type="pct"/>
                  <w:vMerge w:val="restart"/>
                  <w:tcBorders>
                    <w:top w:val="single" w:color="auto" w:sz="4" w:space="0"/>
                    <w:left w:val="single" w:color="auto" w:sz="4" w:space="0"/>
                    <w:right w:val="single" w:color="auto" w:sz="4" w:space="0"/>
                  </w:tcBorders>
                  <w:noWrap w:val="0"/>
                  <w:vAlign w:val="center"/>
                </w:tcPr>
                <w:p w14:paraId="2A93FEAD">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环境功能区</w:t>
                  </w:r>
                </w:p>
              </w:tc>
              <w:tc>
                <w:tcPr>
                  <w:tcW w:w="494" w:type="pct"/>
                  <w:vMerge w:val="restart"/>
                  <w:tcBorders>
                    <w:top w:val="single" w:color="auto" w:sz="4" w:space="0"/>
                    <w:left w:val="single" w:color="auto" w:sz="4" w:space="0"/>
                    <w:right w:val="single" w:color="auto" w:sz="4" w:space="0"/>
                  </w:tcBorders>
                  <w:noWrap w:val="0"/>
                  <w:vAlign w:val="center"/>
                </w:tcPr>
                <w:p w14:paraId="4B01C847">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相对厂址方位</w:t>
                  </w:r>
                </w:p>
              </w:tc>
              <w:tc>
                <w:tcPr>
                  <w:tcW w:w="529" w:type="pct"/>
                  <w:vMerge w:val="restart"/>
                  <w:tcBorders>
                    <w:top w:val="single" w:color="auto" w:sz="4" w:space="0"/>
                    <w:left w:val="single" w:color="auto" w:sz="4" w:space="0"/>
                    <w:right w:val="single" w:color="auto" w:sz="4" w:space="0"/>
                  </w:tcBorders>
                  <w:noWrap w:val="0"/>
                  <w:vAlign w:val="center"/>
                </w:tcPr>
                <w:p w14:paraId="07CAB60C">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相对厂界距离</w:t>
                  </w:r>
                </w:p>
              </w:tc>
            </w:tr>
            <w:tr w14:paraId="3211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2D6ECC3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1145" w:type="pct"/>
                  <w:tcBorders>
                    <w:top w:val="single" w:color="auto" w:sz="4" w:space="0"/>
                    <w:left w:val="single" w:color="auto" w:sz="4" w:space="0"/>
                    <w:bottom w:val="single" w:color="auto" w:sz="4" w:space="0"/>
                    <w:right w:val="single" w:color="auto" w:sz="4" w:space="0"/>
                  </w:tcBorders>
                  <w:noWrap w:val="0"/>
                  <w:vAlign w:val="center"/>
                </w:tcPr>
                <w:p w14:paraId="604A7AF4">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东经</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01B79FB9">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北纬</w:t>
                  </w:r>
                </w:p>
              </w:tc>
              <w:tc>
                <w:tcPr>
                  <w:tcW w:w="352" w:type="pct"/>
                  <w:vMerge w:val="continue"/>
                  <w:tcBorders>
                    <w:left w:val="single" w:color="auto" w:sz="4" w:space="0"/>
                    <w:bottom w:val="single" w:color="auto" w:sz="4" w:space="0"/>
                    <w:right w:val="single" w:color="auto" w:sz="4" w:space="0"/>
                  </w:tcBorders>
                  <w:noWrap w:val="0"/>
                  <w:vAlign w:val="center"/>
                </w:tcPr>
                <w:p w14:paraId="0992D95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602" w:type="pct"/>
                  <w:vMerge w:val="continue"/>
                  <w:tcBorders>
                    <w:left w:val="single" w:color="auto" w:sz="4" w:space="0"/>
                    <w:bottom w:val="single" w:color="auto" w:sz="4" w:space="0"/>
                    <w:right w:val="single" w:color="auto" w:sz="4" w:space="0"/>
                  </w:tcBorders>
                  <w:noWrap w:val="0"/>
                  <w:vAlign w:val="center"/>
                </w:tcPr>
                <w:p w14:paraId="70A137D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494" w:type="pct"/>
                  <w:vMerge w:val="continue"/>
                  <w:tcBorders>
                    <w:left w:val="single" w:color="auto" w:sz="4" w:space="0"/>
                    <w:bottom w:val="single" w:color="auto" w:sz="4" w:space="0"/>
                    <w:right w:val="single" w:color="auto" w:sz="4" w:space="0"/>
                  </w:tcBorders>
                  <w:noWrap w:val="0"/>
                  <w:vAlign w:val="center"/>
                </w:tcPr>
                <w:p w14:paraId="6BD2A0C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494" w:type="pct"/>
                  <w:vMerge w:val="continue"/>
                  <w:tcBorders>
                    <w:left w:val="single" w:color="auto" w:sz="4" w:space="0"/>
                    <w:bottom w:val="single" w:color="auto" w:sz="4" w:space="0"/>
                    <w:right w:val="single" w:color="auto" w:sz="4" w:space="0"/>
                  </w:tcBorders>
                  <w:noWrap w:val="0"/>
                  <w:vAlign w:val="center"/>
                </w:tcPr>
                <w:p w14:paraId="36B441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529" w:type="pct"/>
                  <w:vMerge w:val="continue"/>
                  <w:tcBorders>
                    <w:left w:val="single" w:color="auto" w:sz="4" w:space="0"/>
                    <w:bottom w:val="single" w:color="auto" w:sz="4" w:space="0"/>
                    <w:right w:val="single" w:color="auto" w:sz="4" w:space="0"/>
                  </w:tcBorders>
                  <w:noWrap w:val="0"/>
                  <w:vAlign w:val="center"/>
                </w:tcPr>
                <w:p w14:paraId="0026F2E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r>
            <w:tr w14:paraId="3F0B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5EE4EBA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旱滩村</w:t>
                  </w:r>
                </w:p>
              </w:tc>
              <w:tc>
                <w:tcPr>
                  <w:tcW w:w="1145" w:type="pct"/>
                  <w:tcBorders>
                    <w:top w:val="single" w:color="auto" w:sz="4" w:space="0"/>
                    <w:left w:val="single" w:color="auto" w:sz="4" w:space="0"/>
                    <w:bottom w:val="single" w:color="auto" w:sz="4" w:space="0"/>
                    <w:right w:val="single" w:color="auto" w:sz="4" w:space="0"/>
                  </w:tcBorders>
                  <w:noWrap w:val="0"/>
                  <w:vAlign w:val="center"/>
                </w:tcPr>
                <w:p w14:paraId="2792DA5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103°08'31.24"</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242056F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24°47'25.79"</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79C270F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居民</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7A2E6DB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约3</w:t>
                  </w:r>
                  <w:r>
                    <w:rPr>
                      <w:rFonts w:hint="default" w:ascii="Times New Roman" w:hAnsi="Times New Roman" w:eastAsia="宋体" w:cs="Times New Roman"/>
                      <w:color w:val="auto"/>
                      <w:szCs w:val="21"/>
                      <w:lang w:val="en-US" w:eastAsia="zh-CN"/>
                    </w:rPr>
                    <w:t>20</w:t>
                  </w:r>
                  <w:r>
                    <w:rPr>
                      <w:rFonts w:hint="default" w:ascii="Times New Roman" w:hAnsi="Times New Roman" w:eastAsia="宋体" w:cs="Times New Roman"/>
                      <w:color w:val="auto"/>
                      <w:szCs w:val="21"/>
                    </w:rPr>
                    <w:t>人</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70户</w:t>
                  </w:r>
                </w:p>
              </w:tc>
              <w:tc>
                <w:tcPr>
                  <w:tcW w:w="494" w:type="pct"/>
                  <w:vMerge w:val="restart"/>
                  <w:tcBorders>
                    <w:top w:val="single" w:color="auto" w:sz="4" w:space="0"/>
                    <w:left w:val="single" w:color="auto" w:sz="4" w:space="0"/>
                    <w:right w:val="single" w:color="auto" w:sz="4" w:space="0"/>
                  </w:tcBorders>
                  <w:noWrap w:val="0"/>
                  <w:vAlign w:val="center"/>
                </w:tcPr>
                <w:p w14:paraId="5650CC1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《环境空气质量标准》（</w:t>
                  </w:r>
                  <w:r>
                    <w:rPr>
                      <w:rFonts w:hint="default" w:ascii="Times New Roman" w:hAnsi="Times New Roman" w:eastAsia="宋体" w:cs="Times New Roman"/>
                      <w:color w:val="auto"/>
                      <w:szCs w:val="21"/>
                      <w:lang w:eastAsia="zh-CN"/>
                    </w:rPr>
                    <w:t>GB3095-2026</w:t>
                  </w:r>
                  <w:r>
                    <w:rPr>
                      <w:rFonts w:hint="default" w:ascii="Times New Roman" w:hAnsi="Times New Roman" w:eastAsia="宋体" w:cs="Times New Roman"/>
                      <w:color w:val="auto"/>
                      <w:szCs w:val="21"/>
                    </w:rPr>
                    <w:t>）二级标准；</w:t>
                  </w:r>
                </w:p>
              </w:tc>
              <w:tc>
                <w:tcPr>
                  <w:tcW w:w="494" w:type="pct"/>
                  <w:tcBorders>
                    <w:top w:val="single" w:color="auto" w:sz="4" w:space="0"/>
                    <w:left w:val="single" w:color="auto" w:sz="4" w:space="0"/>
                    <w:bottom w:val="single" w:color="auto" w:sz="4" w:space="0"/>
                    <w:right w:val="single" w:color="auto" w:sz="4" w:space="0"/>
                  </w:tcBorders>
                  <w:noWrap w:val="0"/>
                  <w:vAlign w:val="center"/>
                </w:tcPr>
                <w:p w14:paraId="29F541C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西侧</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5481DC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180m</w:t>
                  </w:r>
                </w:p>
              </w:tc>
            </w:tr>
            <w:tr w14:paraId="22A9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617E668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水赶村</w:t>
                  </w:r>
                </w:p>
              </w:tc>
              <w:tc>
                <w:tcPr>
                  <w:tcW w:w="1145" w:type="pct"/>
                  <w:tcBorders>
                    <w:top w:val="single" w:color="auto" w:sz="4" w:space="0"/>
                    <w:left w:val="single" w:color="auto" w:sz="4" w:space="0"/>
                    <w:bottom w:val="single" w:color="auto" w:sz="4" w:space="0"/>
                    <w:right w:val="single" w:color="auto" w:sz="4" w:space="0"/>
                  </w:tcBorders>
                  <w:noWrap w:val="0"/>
                  <w:vAlign w:val="center"/>
                </w:tcPr>
                <w:p w14:paraId="01A52C2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103°</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8′6.972″</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60661A6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24°48′</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6.516″</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4767B9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居民</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1A7B4D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约150人，30户</w:t>
                  </w:r>
                </w:p>
              </w:tc>
              <w:tc>
                <w:tcPr>
                  <w:tcW w:w="494" w:type="pct"/>
                  <w:vMerge w:val="continue"/>
                  <w:tcBorders>
                    <w:left w:val="single" w:color="auto" w:sz="4" w:space="0"/>
                    <w:right w:val="single" w:color="auto" w:sz="4" w:space="0"/>
                  </w:tcBorders>
                  <w:noWrap w:val="0"/>
                  <w:vAlign w:val="center"/>
                </w:tcPr>
                <w:p w14:paraId="791B215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494" w:type="pct"/>
                  <w:tcBorders>
                    <w:top w:val="single" w:color="auto" w:sz="4" w:space="0"/>
                    <w:left w:val="single" w:color="auto" w:sz="4" w:space="0"/>
                    <w:bottom w:val="single" w:color="auto" w:sz="4" w:space="0"/>
                    <w:right w:val="single" w:color="auto" w:sz="4" w:space="0"/>
                  </w:tcBorders>
                  <w:noWrap w:val="0"/>
                  <w:vAlign w:val="center"/>
                </w:tcPr>
                <w:p w14:paraId="77A7FC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西北侧</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3B1AF6D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480m</w:t>
                  </w:r>
                </w:p>
              </w:tc>
            </w:tr>
            <w:tr w14:paraId="0783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7133FA1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狗街村</w:t>
                  </w:r>
                </w:p>
              </w:tc>
              <w:tc>
                <w:tcPr>
                  <w:tcW w:w="1145" w:type="pct"/>
                  <w:tcBorders>
                    <w:top w:val="single" w:color="auto" w:sz="4" w:space="0"/>
                    <w:left w:val="single" w:color="auto" w:sz="4" w:space="0"/>
                    <w:bottom w:val="single" w:color="auto" w:sz="4" w:space="0"/>
                    <w:right w:val="single" w:color="auto" w:sz="4" w:space="0"/>
                  </w:tcBorders>
                  <w:noWrap w:val="0"/>
                  <w:vAlign w:val="center"/>
                </w:tcPr>
                <w:p w14:paraId="7C1E420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103°08'07.83"</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5FE332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24°47'35.40"</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495E839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居民</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41394B9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约3240人</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800户</w:t>
                  </w:r>
                </w:p>
              </w:tc>
              <w:tc>
                <w:tcPr>
                  <w:tcW w:w="494" w:type="pct"/>
                  <w:vMerge w:val="continue"/>
                  <w:tcBorders>
                    <w:left w:val="single" w:color="auto" w:sz="4" w:space="0"/>
                    <w:right w:val="single" w:color="auto" w:sz="4" w:space="0"/>
                  </w:tcBorders>
                  <w:noWrap w:val="0"/>
                  <w:vAlign w:val="center"/>
                </w:tcPr>
                <w:p w14:paraId="4CF19AC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494" w:type="pct"/>
                  <w:tcBorders>
                    <w:top w:val="single" w:color="auto" w:sz="4" w:space="0"/>
                    <w:left w:val="single" w:color="auto" w:sz="4" w:space="0"/>
                    <w:bottom w:val="single" w:color="auto" w:sz="4" w:space="0"/>
                    <w:right w:val="single" w:color="auto" w:sz="4" w:space="0"/>
                  </w:tcBorders>
                  <w:noWrap w:val="0"/>
                  <w:vAlign w:val="center"/>
                </w:tcPr>
                <w:p w14:paraId="6A9C9FA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东南侧                                                                                                                          </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655B88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290m</w:t>
                  </w:r>
                </w:p>
              </w:tc>
            </w:tr>
          </w:tbl>
          <w:p w14:paraId="4E663045">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表3.6-2  地表水保护目标一览表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237"/>
              <w:gridCol w:w="1236"/>
              <w:gridCol w:w="1238"/>
              <w:gridCol w:w="3018"/>
            </w:tblGrid>
            <w:tr w14:paraId="6CAA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75FA3E5E">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环境要素</w:t>
                  </w:r>
                </w:p>
              </w:tc>
              <w:tc>
                <w:tcPr>
                  <w:tcW w:w="776" w:type="pct"/>
                  <w:noWrap w:val="0"/>
                  <w:vAlign w:val="center"/>
                </w:tcPr>
                <w:p w14:paraId="73AC3416">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保护对象</w:t>
                  </w:r>
                </w:p>
              </w:tc>
              <w:tc>
                <w:tcPr>
                  <w:tcW w:w="776" w:type="pct"/>
                  <w:noWrap w:val="0"/>
                  <w:vAlign w:val="center"/>
                </w:tcPr>
                <w:p w14:paraId="75B43C30">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方位</w:t>
                  </w:r>
                </w:p>
              </w:tc>
              <w:tc>
                <w:tcPr>
                  <w:tcW w:w="777" w:type="pct"/>
                  <w:noWrap w:val="0"/>
                  <w:vAlign w:val="center"/>
                </w:tcPr>
                <w:p w14:paraId="2C390965">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距离</w:t>
                  </w:r>
                </w:p>
              </w:tc>
              <w:tc>
                <w:tcPr>
                  <w:tcW w:w="1895" w:type="pct"/>
                  <w:noWrap w:val="0"/>
                  <w:vAlign w:val="center"/>
                </w:tcPr>
                <w:p w14:paraId="0F0028CD">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保护级别</w:t>
                  </w:r>
                </w:p>
              </w:tc>
            </w:tr>
            <w:tr w14:paraId="0BCD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0BC54BB0">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rPr>
                  </w:pPr>
                  <w:r>
                    <w:rPr>
                      <w:rFonts w:hint="default" w:ascii="Times New Roman" w:hAnsi="Times New Roman" w:eastAsia="宋体" w:cs="Times New Roman"/>
                      <w:b w:val="0"/>
                      <w:bCs/>
                      <w:color w:val="auto"/>
                      <w:sz w:val="21"/>
                    </w:rPr>
                    <w:t>地表水</w:t>
                  </w:r>
                </w:p>
              </w:tc>
              <w:tc>
                <w:tcPr>
                  <w:tcW w:w="776" w:type="pct"/>
                  <w:noWrap w:val="0"/>
                  <w:vAlign w:val="center"/>
                </w:tcPr>
                <w:p w14:paraId="49FD8458">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rPr>
                  </w:pPr>
                  <w:r>
                    <w:rPr>
                      <w:rFonts w:hint="default" w:ascii="Times New Roman" w:hAnsi="Times New Roman" w:eastAsia="宋体" w:cs="Times New Roman"/>
                      <w:b w:val="0"/>
                      <w:bCs/>
                      <w:color w:val="auto"/>
                      <w:sz w:val="21"/>
                    </w:rPr>
                    <w:t>南盘江</w:t>
                  </w:r>
                </w:p>
              </w:tc>
              <w:tc>
                <w:tcPr>
                  <w:tcW w:w="776" w:type="pct"/>
                  <w:noWrap w:val="0"/>
                  <w:vAlign w:val="center"/>
                </w:tcPr>
                <w:p w14:paraId="3D157C07">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rPr>
                  </w:pPr>
                  <w:r>
                    <w:rPr>
                      <w:rFonts w:hint="default" w:ascii="Times New Roman" w:hAnsi="Times New Roman" w:eastAsia="宋体" w:cs="Times New Roman"/>
                      <w:b w:val="0"/>
                      <w:bCs/>
                      <w:color w:val="auto"/>
                      <w:sz w:val="21"/>
                    </w:rPr>
                    <w:t>东侧</w:t>
                  </w:r>
                </w:p>
              </w:tc>
              <w:tc>
                <w:tcPr>
                  <w:tcW w:w="777" w:type="pct"/>
                  <w:noWrap w:val="0"/>
                  <w:vAlign w:val="center"/>
                </w:tcPr>
                <w:p w14:paraId="425121BB">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rPr>
                  </w:pPr>
                  <w:r>
                    <w:rPr>
                      <w:rFonts w:hint="default" w:ascii="Times New Roman" w:hAnsi="Times New Roman" w:eastAsia="宋体" w:cs="Times New Roman"/>
                      <w:b w:val="0"/>
                      <w:bCs/>
                      <w:color w:val="auto"/>
                      <w:sz w:val="21"/>
                    </w:rPr>
                    <w:t>25m</w:t>
                  </w:r>
                </w:p>
              </w:tc>
              <w:tc>
                <w:tcPr>
                  <w:tcW w:w="1895" w:type="pct"/>
                  <w:noWrap w:val="0"/>
                  <w:vAlign w:val="center"/>
                </w:tcPr>
                <w:p w14:paraId="41782039">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rPr>
                  </w:pPr>
                  <w:r>
                    <w:rPr>
                      <w:rFonts w:hint="default" w:ascii="Times New Roman" w:hAnsi="Times New Roman" w:eastAsia="宋体" w:cs="Times New Roman"/>
                      <w:b w:val="0"/>
                      <w:bCs/>
                      <w:color w:val="auto"/>
                      <w:sz w:val="21"/>
                    </w:rPr>
                    <w:t>《地表水环境质量标准》（GB3838-2002）中Ⅲ类标准</w:t>
                  </w:r>
                </w:p>
              </w:tc>
            </w:tr>
          </w:tbl>
          <w:p w14:paraId="3712E5C2">
            <w:pPr>
              <w:pStyle w:val="9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rPr>
            </w:pPr>
          </w:p>
          <w:p w14:paraId="274A95FA">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r>
      <w:tr w14:paraId="600DC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800" w:type="dxa"/>
            <w:noWrap w:val="0"/>
            <w:tcMar>
              <w:left w:w="28" w:type="dxa"/>
              <w:right w:w="28" w:type="dxa"/>
            </w:tcMar>
            <w:vAlign w:val="center"/>
          </w:tcPr>
          <w:p w14:paraId="3B4CA0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污染</w:t>
            </w:r>
          </w:p>
          <w:p w14:paraId="6FBA93A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物排</w:t>
            </w:r>
          </w:p>
          <w:p w14:paraId="7DACEE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放控</w:t>
            </w:r>
          </w:p>
          <w:p w14:paraId="6C8E22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制标</w:t>
            </w:r>
          </w:p>
          <w:p w14:paraId="37764B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准</w:t>
            </w:r>
          </w:p>
        </w:tc>
        <w:tc>
          <w:tcPr>
            <w:tcW w:w="8190" w:type="dxa"/>
            <w:noWrap w:val="0"/>
            <w:vAlign w:val="center"/>
          </w:tcPr>
          <w:p w14:paraId="0973712B">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7、废气</w:t>
            </w:r>
          </w:p>
          <w:p w14:paraId="7FD1D565">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（1）施工期</w:t>
            </w:r>
          </w:p>
          <w:p w14:paraId="38B4C38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项目施工期无组织粉尘排放执行《大气污染物综合排放标准》（GB16297-1996）中的无组织排放监控浓度限值标准，具体指标见表3</w:t>
            </w:r>
            <w:r>
              <w:rPr>
                <w:rFonts w:hint="default" w:ascii="Times New Roman" w:hAnsi="Times New Roman" w:eastAsia="宋体" w:cs="Times New Roman"/>
                <w:bCs/>
                <w:color w:val="auto"/>
                <w:sz w:val="24"/>
                <w:lang w:val="en-US" w:eastAsia="zh-CN"/>
              </w:rPr>
              <w:t>.7-1</w:t>
            </w:r>
            <w:r>
              <w:rPr>
                <w:rFonts w:hint="default" w:ascii="Times New Roman" w:hAnsi="Times New Roman" w:eastAsia="宋体" w:cs="Times New Roman"/>
                <w:bCs/>
                <w:color w:val="auto"/>
                <w:sz w:val="24"/>
              </w:rPr>
              <w:t>。</w:t>
            </w:r>
          </w:p>
          <w:p w14:paraId="17F3A10C">
            <w:pPr>
              <w:keepNext w:val="0"/>
              <w:keepLines w:val="0"/>
              <w:suppressLineNumbers w:val="0"/>
              <w:spacing w:before="0" w:beforeAutospacing="0" w:after="0" w:afterAutospacing="0" w:line="360" w:lineRule="auto"/>
              <w:ind w:left="0" w:right="0" w:firstLine="48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表3</w:t>
            </w:r>
            <w:r>
              <w:rPr>
                <w:rFonts w:hint="default" w:ascii="Times New Roman" w:hAnsi="Times New Roman" w:eastAsia="宋体" w:cs="Times New Roman"/>
                <w:b/>
                <w:bCs/>
                <w:color w:val="auto"/>
                <w:sz w:val="24"/>
                <w:lang w:val="en-US" w:eastAsia="zh-CN"/>
              </w:rPr>
              <w:t>.7-1</w:t>
            </w:r>
            <w:r>
              <w:rPr>
                <w:rFonts w:hint="default" w:ascii="Times New Roman" w:hAnsi="Times New Roman" w:eastAsia="宋体" w:cs="Times New Roman"/>
                <w:b/>
                <w:bCs/>
                <w:color w:val="auto"/>
                <w:sz w:val="24"/>
              </w:rPr>
              <w:t xml:space="preserve">  大气污染物综合排放标准（GB16297-1996）</w:t>
            </w:r>
          </w:p>
          <w:tbl>
            <w:tblPr>
              <w:tblStyle w:val="3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4463"/>
              <w:gridCol w:w="1953"/>
            </w:tblGrid>
            <w:tr w14:paraId="2DC2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1" w:type="pct"/>
                  <w:vMerge w:val="restart"/>
                  <w:tcBorders>
                    <w:top w:val="single" w:color="auto" w:sz="4" w:space="0"/>
                    <w:left w:val="single" w:color="auto" w:sz="4" w:space="0"/>
                    <w:bottom w:val="single" w:color="auto" w:sz="4" w:space="0"/>
                    <w:right w:val="single" w:color="auto" w:sz="4" w:space="0"/>
                  </w:tcBorders>
                  <w:noWrap w:val="0"/>
                  <w:vAlign w:val="center"/>
                </w:tcPr>
                <w:p w14:paraId="718C329F">
                  <w:pPr>
                    <w:keepNext w:val="0"/>
                    <w:keepLines w:val="0"/>
                    <w:suppressLineNumbers w:val="0"/>
                    <w:spacing w:before="0" w:beforeAutospacing="0" w:after="0" w:afterAutospacing="0" w:line="360" w:lineRule="auto"/>
                    <w:ind w:left="0" w:right="0"/>
                    <w:jc w:val="center"/>
                    <w:textAlignment w:val="baseline"/>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污染物</w:t>
                  </w:r>
                </w:p>
              </w:tc>
              <w:tc>
                <w:tcPr>
                  <w:tcW w:w="4028" w:type="pct"/>
                  <w:gridSpan w:val="2"/>
                  <w:tcBorders>
                    <w:top w:val="single" w:color="auto" w:sz="4" w:space="0"/>
                    <w:left w:val="single" w:color="auto" w:sz="4" w:space="0"/>
                    <w:bottom w:val="single" w:color="auto" w:sz="4" w:space="0"/>
                    <w:right w:val="single" w:color="auto" w:sz="4" w:space="0"/>
                  </w:tcBorders>
                  <w:noWrap w:val="0"/>
                  <w:vAlign w:val="center"/>
                </w:tcPr>
                <w:p w14:paraId="49247F53">
                  <w:pPr>
                    <w:keepNext w:val="0"/>
                    <w:keepLines w:val="0"/>
                    <w:suppressLineNumbers w:val="0"/>
                    <w:spacing w:before="0" w:beforeAutospacing="0" w:after="0" w:afterAutospacing="0" w:line="360" w:lineRule="auto"/>
                    <w:ind w:left="0" w:right="0"/>
                    <w:jc w:val="center"/>
                    <w:textAlignment w:val="baseline"/>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无组织排放监控浓度限值（mg/m</w:t>
                  </w:r>
                  <w:r>
                    <w:rPr>
                      <w:rFonts w:hint="default" w:ascii="Times New Roman" w:hAnsi="Times New Roman" w:eastAsia="宋体" w:cs="Times New Roman"/>
                      <w:b/>
                      <w:bCs/>
                      <w:color w:val="auto"/>
                      <w:szCs w:val="21"/>
                      <w:vertAlign w:val="superscript"/>
                    </w:rPr>
                    <w:t>3</w:t>
                  </w:r>
                  <w:r>
                    <w:rPr>
                      <w:rFonts w:hint="default" w:ascii="Times New Roman" w:hAnsi="Times New Roman" w:eastAsia="宋体" w:cs="Times New Roman"/>
                      <w:b/>
                      <w:bCs/>
                      <w:color w:val="auto"/>
                      <w:szCs w:val="21"/>
                    </w:rPr>
                    <w:t>）</w:t>
                  </w:r>
                </w:p>
              </w:tc>
            </w:tr>
            <w:tr w14:paraId="633A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1" w:type="pct"/>
                  <w:vMerge w:val="continue"/>
                  <w:tcBorders>
                    <w:top w:val="single" w:color="auto" w:sz="4" w:space="0"/>
                    <w:left w:val="single" w:color="auto" w:sz="4" w:space="0"/>
                    <w:bottom w:val="single" w:color="auto" w:sz="4" w:space="0"/>
                    <w:right w:val="single" w:color="auto" w:sz="4" w:space="0"/>
                  </w:tcBorders>
                  <w:noWrap w:val="0"/>
                  <w:vAlign w:val="center"/>
                </w:tcPr>
                <w:p w14:paraId="4F294709">
                  <w:pPr>
                    <w:keepNext w:val="0"/>
                    <w:keepLines w:val="0"/>
                    <w:suppressLineNumbers w:val="0"/>
                    <w:spacing w:before="0" w:beforeAutospacing="0" w:after="0" w:afterAutospacing="0" w:line="360" w:lineRule="auto"/>
                    <w:ind w:left="0" w:right="0"/>
                    <w:jc w:val="center"/>
                    <w:textAlignment w:val="baseline"/>
                    <w:rPr>
                      <w:rFonts w:hint="default" w:ascii="Times New Roman" w:hAnsi="Times New Roman" w:eastAsia="宋体" w:cs="Times New Roman"/>
                      <w:b/>
                      <w:bCs/>
                      <w:color w:val="auto"/>
                      <w:szCs w:val="21"/>
                    </w:rPr>
                  </w:pPr>
                </w:p>
              </w:tc>
              <w:tc>
                <w:tcPr>
                  <w:tcW w:w="2802" w:type="pct"/>
                  <w:tcBorders>
                    <w:top w:val="single" w:color="auto" w:sz="4" w:space="0"/>
                    <w:left w:val="single" w:color="auto" w:sz="4" w:space="0"/>
                    <w:bottom w:val="single" w:color="auto" w:sz="4" w:space="0"/>
                    <w:right w:val="single" w:color="auto" w:sz="4" w:space="0"/>
                  </w:tcBorders>
                  <w:noWrap w:val="0"/>
                  <w:vAlign w:val="center"/>
                </w:tcPr>
                <w:p w14:paraId="0FFCC483">
                  <w:pPr>
                    <w:keepNext w:val="0"/>
                    <w:keepLines w:val="0"/>
                    <w:suppressLineNumbers w:val="0"/>
                    <w:spacing w:before="0" w:beforeAutospacing="0" w:after="0" w:afterAutospacing="0" w:line="360" w:lineRule="auto"/>
                    <w:ind w:left="0" w:right="0"/>
                    <w:jc w:val="center"/>
                    <w:textAlignment w:val="baseline"/>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监控点</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39168C87">
                  <w:pPr>
                    <w:keepNext w:val="0"/>
                    <w:keepLines w:val="0"/>
                    <w:suppressLineNumbers w:val="0"/>
                    <w:spacing w:before="0" w:beforeAutospacing="0" w:after="0" w:afterAutospacing="0" w:line="360" w:lineRule="auto"/>
                    <w:ind w:left="0" w:right="0"/>
                    <w:jc w:val="center"/>
                    <w:textAlignment w:val="baseline"/>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浓度</w:t>
                  </w:r>
                </w:p>
              </w:tc>
            </w:tr>
            <w:tr w14:paraId="52AB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1" w:type="pct"/>
                  <w:tcBorders>
                    <w:top w:val="single" w:color="auto" w:sz="4" w:space="0"/>
                    <w:left w:val="single" w:color="auto" w:sz="4" w:space="0"/>
                    <w:bottom w:val="single" w:color="auto" w:sz="4" w:space="0"/>
                    <w:right w:val="single" w:color="auto" w:sz="4" w:space="0"/>
                  </w:tcBorders>
                  <w:noWrap w:val="0"/>
                  <w:vAlign w:val="center"/>
                </w:tcPr>
                <w:p w14:paraId="6F48D789">
                  <w:pPr>
                    <w:keepNext w:val="0"/>
                    <w:keepLines w:val="0"/>
                    <w:suppressLineNumbers w:val="0"/>
                    <w:spacing w:before="0" w:beforeAutospacing="0" w:after="0" w:afterAutospacing="0" w:line="360" w:lineRule="auto"/>
                    <w:ind w:left="0" w:right="0"/>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w:t>
                  </w:r>
                </w:p>
              </w:tc>
              <w:tc>
                <w:tcPr>
                  <w:tcW w:w="2802" w:type="pct"/>
                  <w:tcBorders>
                    <w:top w:val="single" w:color="auto" w:sz="4" w:space="0"/>
                    <w:left w:val="single" w:color="auto" w:sz="4" w:space="0"/>
                    <w:bottom w:val="single" w:color="auto" w:sz="4" w:space="0"/>
                    <w:right w:val="single" w:color="auto" w:sz="4" w:space="0"/>
                  </w:tcBorders>
                  <w:noWrap w:val="0"/>
                  <w:vAlign w:val="center"/>
                </w:tcPr>
                <w:p w14:paraId="0014C560">
                  <w:pPr>
                    <w:keepNext w:val="0"/>
                    <w:keepLines w:val="0"/>
                    <w:suppressLineNumbers w:val="0"/>
                    <w:spacing w:before="0" w:beforeAutospacing="0" w:after="0" w:afterAutospacing="0" w:line="360" w:lineRule="auto"/>
                    <w:ind w:left="0" w:right="0"/>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周围外浓度最高点</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4FAAE2BD">
                  <w:pPr>
                    <w:keepNext w:val="0"/>
                    <w:keepLines w:val="0"/>
                    <w:suppressLineNumbers w:val="0"/>
                    <w:spacing w:before="0" w:beforeAutospacing="0" w:after="0" w:afterAutospacing="0" w:line="360" w:lineRule="auto"/>
                    <w:ind w:left="0" w:right="0"/>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w:t>
                  </w:r>
                </w:p>
              </w:tc>
            </w:tr>
          </w:tbl>
          <w:p w14:paraId="02CA3C55">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（2）运营期</w:t>
            </w:r>
          </w:p>
          <w:p w14:paraId="4DF4A94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snapToGrid w:val="0"/>
                <w:color w:val="auto"/>
                <w:sz w:val="24"/>
              </w:rPr>
              <w:t>项目拟采用</w:t>
            </w:r>
            <w:r>
              <w:rPr>
                <w:rFonts w:hint="default" w:ascii="Times New Roman" w:hAnsi="Times New Roman" w:eastAsia="宋体" w:cs="Times New Roman"/>
                <w:color w:val="auto"/>
                <w:sz w:val="24"/>
              </w:rPr>
              <w:t>1台</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0</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t/h</w:t>
            </w:r>
            <w:r>
              <w:rPr>
                <w:rFonts w:hint="default" w:ascii="Times New Roman" w:hAnsi="Times New Roman" w:eastAsia="宋体" w:cs="Times New Roman"/>
                <w:color w:val="auto"/>
                <w:sz w:val="24"/>
                <w:lang w:val="en-US" w:eastAsia="zh-CN"/>
              </w:rPr>
              <w:t>生物质</w:t>
            </w:r>
            <w:r>
              <w:rPr>
                <w:rFonts w:hint="default" w:ascii="Times New Roman" w:hAnsi="Times New Roman" w:eastAsia="宋体" w:cs="Times New Roman"/>
                <w:color w:val="auto"/>
                <w:sz w:val="24"/>
              </w:rPr>
              <w:t>锅炉进行供热，</w:t>
            </w:r>
            <w:r>
              <w:rPr>
                <w:rFonts w:hint="default" w:ascii="Times New Roman" w:hAnsi="Times New Roman" w:eastAsia="宋体" w:cs="Times New Roman"/>
                <w:color w:val="auto"/>
                <w:sz w:val="24"/>
                <w:lang w:val="en-US" w:eastAsia="zh-CN"/>
              </w:rPr>
              <w:t>根据《关于促进生物质能供热发展的指导意见》（发改能源〔2017〕2123号）：四、加快发展生物质锅炉供热-（六）生物质锅炉污染物排放应满足国家或地方大气污染物排放标准，达到燃气锅炉排放水平。因此，</w:t>
            </w:r>
            <w:r>
              <w:rPr>
                <w:rFonts w:hint="default" w:ascii="Times New Roman" w:hAnsi="Times New Roman" w:eastAsia="宋体" w:cs="Times New Roman"/>
                <w:bCs/>
                <w:color w:val="auto"/>
                <w:sz w:val="24"/>
              </w:rPr>
              <w:t>本项目锅炉污染物排放执行《锅炉大气污染物排放标准》（GB13271-2014）表2中燃气锅炉的浓度限值要求，具体标准见表3</w:t>
            </w:r>
            <w:r>
              <w:rPr>
                <w:rFonts w:hint="default" w:ascii="Times New Roman" w:hAnsi="Times New Roman" w:eastAsia="宋体" w:cs="Times New Roman"/>
                <w:bCs/>
                <w:color w:val="auto"/>
                <w:sz w:val="24"/>
                <w:lang w:val="en-US" w:eastAsia="zh-CN"/>
              </w:rPr>
              <w:t>.7-2</w:t>
            </w:r>
            <w:r>
              <w:rPr>
                <w:rFonts w:hint="default" w:ascii="Times New Roman" w:hAnsi="Times New Roman" w:eastAsia="宋体" w:cs="Times New Roman"/>
                <w:bCs/>
                <w:color w:val="auto"/>
                <w:sz w:val="24"/>
              </w:rPr>
              <w:t>。</w:t>
            </w:r>
          </w:p>
          <w:p w14:paraId="350AECBC">
            <w:pPr>
              <w:keepNext w:val="0"/>
              <w:keepLines w:val="0"/>
              <w:suppressLineNumbers w:val="0"/>
              <w:spacing w:before="0" w:beforeAutospacing="0" w:after="0" w:afterAutospacing="0" w:line="360" w:lineRule="auto"/>
              <w:ind w:left="0" w:right="0" w:firstLine="48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表3</w:t>
            </w:r>
            <w:r>
              <w:rPr>
                <w:rFonts w:hint="default" w:ascii="Times New Roman" w:hAnsi="Times New Roman" w:eastAsia="宋体" w:cs="Times New Roman"/>
                <w:b/>
                <w:bCs/>
                <w:color w:val="auto"/>
                <w:sz w:val="24"/>
                <w:lang w:val="en-US" w:eastAsia="zh-CN"/>
              </w:rPr>
              <w:t>.7-2</w:t>
            </w:r>
            <w:r>
              <w:rPr>
                <w:rFonts w:hint="default" w:ascii="Times New Roman" w:hAnsi="Times New Roman" w:eastAsia="宋体" w:cs="Times New Roman"/>
                <w:b/>
                <w:bCs/>
                <w:color w:val="auto"/>
                <w:sz w:val="24"/>
              </w:rPr>
              <w:t xml:space="preserve">    锅炉大气污染物排放标准       单位：mg/m</w:t>
            </w:r>
            <w:r>
              <w:rPr>
                <w:rFonts w:hint="default" w:ascii="Times New Roman" w:hAnsi="Times New Roman" w:eastAsia="宋体" w:cs="Times New Roman"/>
                <w:b/>
                <w:bCs/>
                <w:color w:val="auto"/>
                <w:sz w:val="24"/>
                <w:vertAlign w:val="superscript"/>
              </w:rPr>
              <w:t>3</w:t>
            </w:r>
          </w:p>
          <w:tbl>
            <w:tblPr>
              <w:tblStyle w:val="3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29"/>
              <w:gridCol w:w="2018"/>
              <w:gridCol w:w="3014"/>
            </w:tblGrid>
            <w:tr w14:paraId="5C855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39" w:type="pct"/>
                  <w:noWrap w:val="0"/>
                  <w:vAlign w:val="center"/>
                </w:tcPr>
                <w:p w14:paraId="457562C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污染物项目</w:t>
                  </w:r>
                </w:p>
              </w:tc>
              <w:tc>
                <w:tcPr>
                  <w:tcW w:w="1267" w:type="pct"/>
                  <w:noWrap w:val="0"/>
                  <w:vAlign w:val="center"/>
                </w:tcPr>
                <w:p w14:paraId="0C0CE3E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燃气锅炉</w:t>
                  </w:r>
                </w:p>
              </w:tc>
              <w:tc>
                <w:tcPr>
                  <w:tcW w:w="1892" w:type="pct"/>
                  <w:noWrap w:val="0"/>
                  <w:vAlign w:val="center"/>
                </w:tcPr>
                <w:p w14:paraId="7784F4D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污染物排放监控位置</w:t>
                  </w:r>
                </w:p>
              </w:tc>
            </w:tr>
            <w:tr w14:paraId="02BB6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39" w:type="pct"/>
                  <w:noWrap w:val="0"/>
                  <w:vAlign w:val="center"/>
                </w:tcPr>
                <w:p w14:paraId="7491BF7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颗粒物</w:t>
                  </w:r>
                </w:p>
              </w:tc>
              <w:tc>
                <w:tcPr>
                  <w:tcW w:w="1267" w:type="pct"/>
                  <w:noWrap w:val="0"/>
                  <w:vAlign w:val="center"/>
                </w:tcPr>
                <w:p w14:paraId="2DCA0E6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20</w:t>
                  </w:r>
                </w:p>
              </w:tc>
              <w:tc>
                <w:tcPr>
                  <w:tcW w:w="1892" w:type="pct"/>
                  <w:vMerge w:val="restart"/>
                  <w:noWrap w:val="0"/>
                  <w:vAlign w:val="center"/>
                </w:tcPr>
                <w:p w14:paraId="531D895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烟囱或烟道</w:t>
                  </w:r>
                </w:p>
              </w:tc>
            </w:tr>
            <w:tr w14:paraId="3C369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39" w:type="pct"/>
                  <w:noWrap w:val="0"/>
                  <w:vAlign w:val="center"/>
                </w:tcPr>
                <w:p w14:paraId="52770B3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二氧化硫</w:t>
                  </w:r>
                </w:p>
              </w:tc>
              <w:tc>
                <w:tcPr>
                  <w:tcW w:w="1267" w:type="pct"/>
                  <w:noWrap w:val="0"/>
                  <w:vAlign w:val="center"/>
                </w:tcPr>
                <w:p w14:paraId="75061C4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50</w:t>
                  </w:r>
                </w:p>
              </w:tc>
              <w:tc>
                <w:tcPr>
                  <w:tcW w:w="1892" w:type="pct"/>
                  <w:vMerge w:val="continue"/>
                  <w:noWrap w:val="0"/>
                  <w:vAlign w:val="center"/>
                </w:tcPr>
                <w:p w14:paraId="075BC23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p>
              </w:tc>
            </w:tr>
            <w:tr w14:paraId="5800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839" w:type="pct"/>
                  <w:noWrap w:val="0"/>
                  <w:vAlign w:val="center"/>
                </w:tcPr>
                <w:p w14:paraId="6A5D9D5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氮氧化物</w:t>
                  </w:r>
                </w:p>
              </w:tc>
              <w:tc>
                <w:tcPr>
                  <w:tcW w:w="1267" w:type="pct"/>
                  <w:noWrap w:val="0"/>
                  <w:vAlign w:val="center"/>
                </w:tcPr>
                <w:p w14:paraId="27C0E3C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200</w:t>
                  </w:r>
                </w:p>
              </w:tc>
              <w:tc>
                <w:tcPr>
                  <w:tcW w:w="1892" w:type="pct"/>
                  <w:vMerge w:val="continue"/>
                  <w:noWrap w:val="0"/>
                  <w:vAlign w:val="center"/>
                </w:tcPr>
                <w:p w14:paraId="125477D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p>
              </w:tc>
            </w:tr>
            <w:tr w14:paraId="487E3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839" w:type="pct"/>
                  <w:noWrap w:val="0"/>
                  <w:vAlign w:val="center"/>
                </w:tcPr>
                <w:p w14:paraId="1A86ED6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烟气黑度（林格曼黑度，级）</w:t>
                  </w:r>
                </w:p>
              </w:tc>
              <w:tc>
                <w:tcPr>
                  <w:tcW w:w="1267" w:type="pct"/>
                  <w:noWrap w:val="0"/>
                  <w:vAlign w:val="center"/>
                </w:tcPr>
                <w:p w14:paraId="073E3FB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w:t>
                  </w:r>
                </w:p>
              </w:tc>
              <w:tc>
                <w:tcPr>
                  <w:tcW w:w="1892" w:type="pct"/>
                  <w:noWrap w:val="0"/>
                  <w:vAlign w:val="center"/>
                </w:tcPr>
                <w:p w14:paraId="3C3F230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烟囱排放口</w:t>
                  </w:r>
                </w:p>
              </w:tc>
            </w:tr>
          </w:tbl>
          <w:p w14:paraId="3EF5D36D">
            <w:pPr>
              <w:pStyle w:val="113"/>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b/>
                <w:color w:val="auto"/>
                <w:sz w:val="21"/>
                <w:szCs w:val="21"/>
              </w:rPr>
            </w:pPr>
          </w:p>
          <w:p w14:paraId="75B08F1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8、废水</w:t>
            </w:r>
          </w:p>
          <w:p w14:paraId="351501A2">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根据原有验收和批复文件，废水经</w:t>
            </w:r>
            <w:r>
              <w:rPr>
                <w:rFonts w:hint="default" w:ascii="Times New Roman" w:hAnsi="Times New Roman" w:eastAsia="宋体" w:cs="Times New Roman"/>
                <w:color w:val="auto"/>
                <w:sz w:val="24"/>
              </w:rPr>
              <w:t>综合污水处理站处理</w:t>
            </w:r>
            <w:r>
              <w:rPr>
                <w:rFonts w:hint="default" w:ascii="Times New Roman" w:hAnsi="Times New Roman" w:eastAsia="宋体" w:cs="Times New Roman"/>
                <w:color w:val="auto"/>
                <w:sz w:val="24"/>
                <w:lang w:val="en-US" w:eastAsia="zh-CN"/>
              </w:rPr>
              <w:t>达《城镇污水处理厂污染物排放标准》（GB18918-2002）一级A标准后通过总排口排入南盘江；后因入河排污口未能审批，废水经处理达标后不予外排，企业回用生产，废水不外排。</w:t>
            </w:r>
          </w:p>
          <w:p w14:paraId="37F46FAC">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9、噪声</w:t>
            </w:r>
          </w:p>
          <w:p w14:paraId="69830A71">
            <w:pPr>
              <w:keepNext w:val="0"/>
              <w:keepLines w:val="0"/>
              <w:suppressLineNumbers w:val="0"/>
              <w:spacing w:before="0" w:beforeAutospacing="0" w:after="0" w:afterAutospacing="0" w:line="360" w:lineRule="auto"/>
              <w:ind w:left="0" w:right="0" w:firstLine="48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施工期噪声执行</w:t>
            </w:r>
            <w:r>
              <w:rPr>
                <w:rFonts w:hint="default" w:ascii="Times New Roman" w:hAnsi="Times New Roman" w:eastAsia="宋体" w:cs="Times New Roman"/>
                <w:color w:val="auto"/>
                <w:sz w:val="24"/>
                <w:lang w:eastAsia="zh-CN"/>
              </w:rPr>
              <w:t>《建筑施工噪声排放标准》（GB 12523-2025）</w:t>
            </w:r>
            <w:r>
              <w:rPr>
                <w:rFonts w:hint="default" w:ascii="Times New Roman" w:hAnsi="Times New Roman" w:eastAsia="宋体" w:cs="Times New Roman"/>
                <w:color w:val="auto"/>
                <w:sz w:val="24"/>
              </w:rPr>
              <w:t>，具体标准值见表3</w:t>
            </w:r>
            <w:r>
              <w:rPr>
                <w:rFonts w:hint="default" w:ascii="Times New Roman" w:hAnsi="Times New Roman" w:eastAsia="宋体" w:cs="Times New Roman"/>
                <w:color w:val="auto"/>
                <w:sz w:val="24"/>
                <w:lang w:val="en-US" w:eastAsia="zh-CN"/>
              </w:rPr>
              <w:t>.9-1</w:t>
            </w:r>
            <w:r>
              <w:rPr>
                <w:rFonts w:hint="default" w:ascii="Times New Roman" w:hAnsi="Times New Roman" w:eastAsia="宋体" w:cs="Times New Roman"/>
                <w:color w:val="auto"/>
                <w:sz w:val="24"/>
              </w:rPr>
              <w:t>。</w:t>
            </w:r>
          </w:p>
          <w:p w14:paraId="5FD05D70">
            <w:pPr>
              <w:keepNext w:val="0"/>
              <w:keepLines w:val="0"/>
              <w:suppressLineNumbers w:val="0"/>
              <w:spacing w:before="0" w:beforeAutospacing="0" w:after="0" w:afterAutospacing="0" w:line="360" w:lineRule="auto"/>
              <w:ind w:left="0" w:right="0" w:firstLine="422"/>
              <w:jc w:val="center"/>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szCs w:val="21"/>
              </w:rPr>
              <w:t>表3</w:t>
            </w:r>
            <w:r>
              <w:rPr>
                <w:rFonts w:hint="default" w:ascii="Times New Roman" w:hAnsi="Times New Roman" w:eastAsia="宋体" w:cs="Times New Roman"/>
                <w:b/>
                <w:color w:val="auto"/>
                <w:sz w:val="24"/>
                <w:szCs w:val="21"/>
                <w:lang w:val="en-US" w:eastAsia="zh-CN"/>
              </w:rPr>
              <w:t>.9-1</w:t>
            </w:r>
            <w:r>
              <w:rPr>
                <w:rFonts w:hint="default" w:ascii="Times New Roman" w:hAnsi="Times New Roman" w:eastAsia="宋体" w:cs="Times New Roman"/>
                <w:b/>
                <w:color w:val="auto"/>
                <w:sz w:val="24"/>
                <w:szCs w:val="21"/>
              </w:rPr>
              <w:t xml:space="preserve">  建筑施工场界环境噪声排放限值  单位：dB（A）</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9A0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261" w:type="dxa"/>
                  <w:noWrap w:val="0"/>
                  <w:vAlign w:val="center"/>
                </w:tcPr>
                <w:p w14:paraId="17311224">
                  <w:pPr>
                    <w:keepNext w:val="0"/>
                    <w:keepLines w:val="0"/>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昼间</w:t>
                  </w:r>
                </w:p>
              </w:tc>
              <w:tc>
                <w:tcPr>
                  <w:tcW w:w="4261" w:type="dxa"/>
                  <w:noWrap w:val="0"/>
                  <w:vAlign w:val="center"/>
                </w:tcPr>
                <w:p w14:paraId="30AB5A8C">
                  <w:pPr>
                    <w:keepNext w:val="0"/>
                    <w:keepLines w:val="0"/>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夜间</w:t>
                  </w:r>
                </w:p>
              </w:tc>
            </w:tr>
            <w:tr w14:paraId="229A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261" w:type="dxa"/>
                  <w:noWrap w:val="0"/>
                  <w:vAlign w:val="center"/>
                </w:tcPr>
                <w:p w14:paraId="6E853B35">
                  <w:pPr>
                    <w:keepNext w:val="0"/>
                    <w:keepLines w:val="0"/>
                    <w:suppressLineNumbers w:val="0"/>
                    <w:spacing w:before="0" w:beforeAutospacing="0" w:after="0" w:afterAutospacing="0" w:line="360" w:lineRule="auto"/>
                    <w:ind w:left="0" w:right="0" w:firstLine="42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70</w:t>
                  </w:r>
                </w:p>
              </w:tc>
              <w:tc>
                <w:tcPr>
                  <w:tcW w:w="4261" w:type="dxa"/>
                  <w:noWrap w:val="0"/>
                  <w:vAlign w:val="center"/>
                </w:tcPr>
                <w:p w14:paraId="3093351D">
                  <w:pPr>
                    <w:keepNext w:val="0"/>
                    <w:keepLines w:val="0"/>
                    <w:suppressLineNumbers w:val="0"/>
                    <w:spacing w:before="0" w:beforeAutospacing="0" w:after="0" w:afterAutospacing="0" w:line="360" w:lineRule="auto"/>
                    <w:ind w:left="0" w:right="0" w:firstLine="42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55</w:t>
                  </w:r>
                </w:p>
              </w:tc>
            </w:tr>
          </w:tbl>
          <w:p w14:paraId="70B8782C">
            <w:pPr>
              <w:pStyle w:val="95"/>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项目厂界运营期噪声排放标准执行《工业企业厂界噪声排放标准》（GB12348-2008）2类标准。</w:t>
            </w:r>
          </w:p>
          <w:p w14:paraId="332EFE3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表3.9-</w:t>
            </w:r>
            <w:r>
              <w:rPr>
                <w:rFonts w:hint="default" w:ascii="Times New Roman" w:hAnsi="Times New Roman" w:eastAsia="宋体" w:cs="Times New Roman"/>
                <w:b/>
                <w:bCs/>
                <w:color w:val="auto"/>
                <w:szCs w:val="21"/>
                <w:lang w:val="en-US" w:eastAsia="zh-CN"/>
              </w:rPr>
              <w:t>2</w:t>
            </w:r>
            <w:r>
              <w:rPr>
                <w:rFonts w:hint="default" w:ascii="Times New Roman" w:hAnsi="Times New Roman" w:eastAsia="宋体" w:cs="Times New Roman"/>
                <w:b/>
                <w:bCs/>
                <w:color w:val="auto"/>
                <w:szCs w:val="21"/>
              </w:rPr>
              <w:t xml:space="preserve">   工业企业厂界噪声排放标准限值   单位：dB(A)</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682"/>
              <w:gridCol w:w="2730"/>
            </w:tblGrid>
            <w:tr w14:paraId="03DD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pct"/>
                  <w:vMerge w:val="restart"/>
                  <w:noWrap w:val="0"/>
                  <w:vAlign w:val="center"/>
                </w:tcPr>
                <w:p w14:paraId="59E60A4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类别</w:t>
                  </w:r>
                </w:p>
              </w:tc>
              <w:tc>
                <w:tcPr>
                  <w:tcW w:w="3397" w:type="pct"/>
                  <w:gridSpan w:val="2"/>
                  <w:noWrap w:val="0"/>
                  <w:vAlign w:val="center"/>
                </w:tcPr>
                <w:p w14:paraId="779B2DE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等效声级Leq</w:t>
                  </w:r>
                </w:p>
              </w:tc>
            </w:tr>
            <w:tr w14:paraId="2765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pct"/>
                  <w:vMerge w:val="continue"/>
                  <w:noWrap w:val="0"/>
                  <w:vAlign w:val="center"/>
                </w:tcPr>
                <w:p w14:paraId="20CB88E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p>
              </w:tc>
              <w:tc>
                <w:tcPr>
                  <w:tcW w:w="1683" w:type="pct"/>
                  <w:noWrap w:val="0"/>
                  <w:vAlign w:val="center"/>
                </w:tcPr>
                <w:p w14:paraId="6601F17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昼间</w:t>
                  </w:r>
                </w:p>
              </w:tc>
              <w:tc>
                <w:tcPr>
                  <w:tcW w:w="1713" w:type="pct"/>
                  <w:noWrap w:val="0"/>
                  <w:vAlign w:val="center"/>
                </w:tcPr>
                <w:p w14:paraId="1FF5E3B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夜间</w:t>
                  </w:r>
                </w:p>
              </w:tc>
            </w:tr>
            <w:tr w14:paraId="145D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pct"/>
                  <w:noWrap w:val="0"/>
                  <w:vAlign w:val="center"/>
                </w:tcPr>
                <w:p w14:paraId="7ABEF01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2类</w:t>
                  </w:r>
                </w:p>
              </w:tc>
              <w:tc>
                <w:tcPr>
                  <w:tcW w:w="1683" w:type="pct"/>
                  <w:noWrap w:val="0"/>
                  <w:vAlign w:val="center"/>
                </w:tcPr>
                <w:p w14:paraId="395AEE9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60</w:t>
                  </w:r>
                </w:p>
              </w:tc>
              <w:tc>
                <w:tcPr>
                  <w:tcW w:w="1713" w:type="pct"/>
                  <w:noWrap w:val="0"/>
                  <w:vAlign w:val="center"/>
                </w:tcPr>
                <w:p w14:paraId="20A37373">
                  <w:pPr>
                    <w:keepNext w:val="0"/>
                    <w:keepLines w:val="0"/>
                    <w:suppressLineNumbers w:val="0"/>
                    <w:spacing w:before="0" w:beforeAutospacing="0" w:after="0" w:afterAutospacing="0"/>
                    <w:ind w:left="13"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w:t>
                  </w:r>
                </w:p>
              </w:tc>
            </w:tr>
          </w:tbl>
          <w:p w14:paraId="0BBFE3F0">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10、固废</w:t>
            </w:r>
          </w:p>
          <w:p w14:paraId="70D5C24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一般固废执行《一般工业固体废物贮存和填埋污染控制标准》（GB18599-2020）。</w:t>
            </w:r>
          </w:p>
          <w:p w14:paraId="1D6228DB">
            <w:pPr>
              <w:pStyle w:val="65"/>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r>
      <w:tr w14:paraId="2415B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14:paraId="313D756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总量</w:t>
            </w:r>
          </w:p>
          <w:p w14:paraId="4A55C2E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控制</w:t>
            </w:r>
          </w:p>
          <w:p w14:paraId="1EC8221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指标</w:t>
            </w:r>
          </w:p>
        </w:tc>
        <w:tc>
          <w:tcPr>
            <w:tcW w:w="8190" w:type="dxa"/>
            <w:noWrap w:val="0"/>
            <w:vAlign w:val="center"/>
          </w:tcPr>
          <w:p w14:paraId="2A77355B">
            <w:pPr>
              <w:pStyle w:val="95"/>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11、“十四五”期间国家实施排放总量控制的主要污染物为：化学需氧量、氨氮、氮氧化物、VOC</w:t>
            </w:r>
            <w:r>
              <w:rPr>
                <w:rFonts w:hint="default" w:ascii="Times New Roman" w:hAnsi="Times New Roman" w:eastAsia="宋体" w:cs="Times New Roman"/>
                <w:b/>
                <w:bCs/>
                <w:color w:val="auto"/>
                <w:sz w:val="24"/>
                <w:szCs w:val="24"/>
                <w:vertAlign w:val="subscript"/>
                <w:lang w:val="en-US" w:eastAsia="zh-CN"/>
              </w:rPr>
              <w:t>s</w:t>
            </w:r>
            <w:r>
              <w:rPr>
                <w:rFonts w:hint="default" w:ascii="Times New Roman" w:hAnsi="Times New Roman" w:eastAsia="宋体" w:cs="Times New Roman"/>
                <w:b/>
                <w:bCs/>
                <w:color w:val="auto"/>
                <w:sz w:val="24"/>
                <w:szCs w:val="24"/>
              </w:rPr>
              <w:t>，根据本项目的排污特征，结合国家污染物排放总量控制原则，列出本项目建议执行的总量控制指标。</w:t>
            </w:r>
          </w:p>
          <w:p w14:paraId="22A1DB60">
            <w:pPr>
              <w:pStyle w:val="95"/>
              <w:keepNext w:val="0"/>
              <w:keepLines w:val="0"/>
              <w:pageBreakBefore w:val="0"/>
              <w:suppressLineNumbers w:val="0"/>
              <w:kinsoku/>
              <w:wordWrap/>
              <w:overflowPunct/>
              <w:topLinePunct w:val="0"/>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废气</w:t>
            </w:r>
          </w:p>
          <w:p w14:paraId="60B621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4"/>
                <w:vertAlign w:val="baseline"/>
                <w:lang w:val="en-US" w:eastAsia="zh-CN"/>
              </w:rPr>
            </w:pPr>
            <w:r>
              <w:rPr>
                <w:rFonts w:hint="default" w:ascii="Times New Roman" w:hAnsi="Times New Roman" w:eastAsia="宋体" w:cs="Times New Roman"/>
                <w:color w:val="auto"/>
                <w:sz w:val="24"/>
                <w:szCs w:val="24"/>
                <w:lang w:val="en-US" w:eastAsia="zh-CN"/>
              </w:rPr>
              <w:t>本</w:t>
            </w:r>
            <w:r>
              <w:rPr>
                <w:rFonts w:hint="default" w:ascii="Times New Roman" w:hAnsi="Times New Roman" w:eastAsia="宋体" w:cs="Times New Roman"/>
                <w:color w:val="auto"/>
                <w:sz w:val="24"/>
                <w:szCs w:val="24"/>
              </w:rPr>
              <w:t>项目锅炉废气排放量为</w:t>
            </w:r>
            <w:r>
              <w:rPr>
                <w:rFonts w:hint="default" w:ascii="Times New Roman" w:hAnsi="Times New Roman" w:eastAsia="宋体" w:cs="Times New Roman"/>
                <w:color w:val="auto"/>
                <w:sz w:val="24"/>
                <w:szCs w:val="24"/>
                <w:lang w:val="en-US" w:eastAsia="zh-CN"/>
              </w:rPr>
              <w:t>9094</w:t>
            </w:r>
            <w:r>
              <w:rPr>
                <w:rFonts w:hint="default" w:ascii="Times New Roman" w:hAnsi="Times New Roman" w:eastAsia="宋体" w:cs="Times New Roman"/>
                <w:color w:val="auto"/>
                <w:sz w:val="24"/>
                <w:szCs w:val="24"/>
              </w:rPr>
              <w:t>万m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/a，其中烟尘：</w:t>
            </w:r>
            <w:r>
              <w:rPr>
                <w:rFonts w:hint="default" w:ascii="Times New Roman" w:hAnsi="Times New Roman" w:eastAsia="宋体" w:cs="Times New Roman"/>
                <w:color w:val="auto"/>
                <w:sz w:val="24"/>
                <w:szCs w:val="24"/>
                <w:lang w:val="en-US" w:eastAsia="zh-CN"/>
              </w:rPr>
              <w:t>0.98</w:t>
            </w:r>
            <w:r>
              <w:rPr>
                <w:rFonts w:hint="default" w:ascii="Times New Roman" w:hAnsi="Times New Roman" w:eastAsia="宋体" w:cs="Times New Roman"/>
                <w:color w:val="auto"/>
                <w:sz w:val="24"/>
                <w:szCs w:val="24"/>
              </w:rPr>
              <w:t>t/a；SO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2.29</w:t>
            </w:r>
            <w:r>
              <w:rPr>
                <w:rFonts w:hint="default" w:ascii="Times New Roman" w:hAnsi="Times New Roman" w:eastAsia="宋体" w:cs="Times New Roman"/>
                <w:color w:val="auto"/>
                <w:sz w:val="24"/>
                <w:szCs w:val="24"/>
              </w:rPr>
              <w:t>t/a；NO</w:t>
            </w:r>
            <w:r>
              <w:rPr>
                <w:rFonts w:hint="default" w:ascii="Times New Roman" w:hAnsi="Times New Roman" w:eastAsia="宋体" w:cs="Times New Roman"/>
                <w:color w:val="auto"/>
                <w:sz w:val="24"/>
                <w:szCs w:val="24"/>
                <w:vertAlign w:val="subscript"/>
              </w:rPr>
              <w:t>X</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14.87</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bidi="ar"/>
              </w:rPr>
              <w:t>。</w:t>
            </w:r>
            <w:r>
              <w:rPr>
                <w:rFonts w:hint="default" w:ascii="Times New Roman" w:hAnsi="Times New Roman" w:eastAsia="宋体" w:cs="Times New Roman"/>
                <w:b w:val="0"/>
                <w:bCs w:val="0"/>
                <w:color w:val="auto"/>
                <w:sz w:val="24"/>
                <w:lang w:val="en-US" w:eastAsia="zh-CN"/>
              </w:rPr>
              <w:t>未超过排污许可证控制的总量：颗粒物3.248t/a，SO</w:t>
            </w:r>
            <w:r>
              <w:rPr>
                <w:rFonts w:hint="default" w:ascii="Times New Roman" w:hAnsi="Times New Roman" w:eastAsia="宋体" w:cs="Times New Roman"/>
                <w:b w:val="0"/>
                <w:bCs w:val="0"/>
                <w:color w:val="auto"/>
                <w:sz w:val="24"/>
                <w:vertAlign w:val="subscript"/>
                <w:lang w:val="en-US" w:eastAsia="zh-CN"/>
              </w:rPr>
              <w:t>2</w:t>
            </w:r>
            <w:r>
              <w:rPr>
                <w:rFonts w:hint="default" w:ascii="Times New Roman" w:hAnsi="Times New Roman" w:eastAsia="宋体" w:cs="Times New Roman"/>
                <w:b w:val="0"/>
                <w:bCs w:val="0"/>
                <w:color w:val="auto"/>
                <w:sz w:val="24"/>
                <w:vertAlign w:val="baseline"/>
                <w:lang w:val="en-US" w:eastAsia="zh-CN"/>
              </w:rPr>
              <w:t xml:space="preserve"> 16.24t/a NO</w:t>
            </w:r>
            <w:r>
              <w:rPr>
                <w:rFonts w:hint="default" w:ascii="Times New Roman" w:hAnsi="Times New Roman" w:eastAsia="宋体" w:cs="Times New Roman"/>
                <w:b w:val="0"/>
                <w:bCs w:val="0"/>
                <w:color w:val="auto"/>
                <w:sz w:val="24"/>
                <w:vertAlign w:val="subscript"/>
                <w:lang w:val="en-US" w:eastAsia="zh-CN"/>
              </w:rPr>
              <w:t xml:space="preserve">x </w:t>
            </w:r>
            <w:r>
              <w:rPr>
                <w:rFonts w:hint="default" w:ascii="Times New Roman" w:hAnsi="Times New Roman" w:eastAsia="宋体" w:cs="Times New Roman"/>
                <w:b w:val="0"/>
                <w:bCs w:val="0"/>
                <w:color w:val="auto"/>
                <w:sz w:val="24"/>
                <w:vertAlign w:val="baseline"/>
                <w:lang w:val="en-US" w:eastAsia="zh-CN"/>
              </w:rPr>
              <w:t>16.24t/a。同时也未超过</w:t>
            </w:r>
            <w:r>
              <w:rPr>
                <w:rFonts w:hint="default" w:ascii="Times New Roman" w:hAnsi="Times New Roman" w:eastAsia="宋体" w:cs="Times New Roman"/>
                <w:color w:val="auto"/>
                <w:sz w:val="24"/>
                <w:lang w:val="en-US" w:eastAsia="zh-CN"/>
              </w:rPr>
              <w:t>环评批复（宜生环[2023]111号）总量控制指标（烟尘：5.984t/a；SO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：22.129t/a；NO</w:t>
            </w:r>
            <w:r>
              <w:rPr>
                <w:rFonts w:hint="default" w:ascii="Times New Roman" w:hAnsi="Times New Roman" w:eastAsia="宋体" w:cs="Times New Roman"/>
                <w:color w:val="auto"/>
                <w:sz w:val="24"/>
                <w:vertAlign w:val="subscript"/>
                <w:lang w:val="en-US" w:eastAsia="zh-CN"/>
              </w:rPr>
              <w:t>x</w:t>
            </w:r>
            <w:r>
              <w:rPr>
                <w:rFonts w:hint="default" w:ascii="Times New Roman" w:hAnsi="Times New Roman" w:eastAsia="宋体" w:cs="Times New Roman"/>
                <w:color w:val="auto"/>
                <w:sz w:val="24"/>
                <w:lang w:val="en-US" w:eastAsia="zh-CN"/>
              </w:rPr>
              <w:t>：15.435t/a；汞及其化合物：0.0014t/a）。</w:t>
            </w:r>
          </w:p>
          <w:p w14:paraId="2C76C9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4"/>
                <w:vertAlign w:val="baseline"/>
                <w:lang w:val="en-US" w:eastAsia="zh-CN"/>
              </w:rPr>
            </w:pPr>
            <w:r>
              <w:rPr>
                <w:rFonts w:hint="default" w:ascii="Times New Roman" w:hAnsi="Times New Roman" w:eastAsia="宋体" w:cs="Times New Roman"/>
                <w:b w:val="0"/>
                <w:bCs w:val="0"/>
                <w:color w:val="auto"/>
                <w:sz w:val="24"/>
                <w:vertAlign w:val="baseline"/>
                <w:lang w:val="en-US" w:eastAsia="zh-CN"/>
              </w:rPr>
              <w:t>由于项目是采用10.5t生物质锅炉进行过渡，后期生意好转后新建20t燃煤锅炉，该生物质锅炉仅作为备用。因此本次环评建议废气污染物总量控制指标仍按</w:t>
            </w:r>
            <w:r>
              <w:rPr>
                <w:rFonts w:hint="default" w:ascii="Times New Roman" w:hAnsi="Times New Roman" w:eastAsia="宋体" w:cs="Times New Roman"/>
                <w:color w:val="auto"/>
                <w:sz w:val="24"/>
                <w:lang w:val="en-US" w:eastAsia="zh-CN"/>
              </w:rPr>
              <w:t>环评批复（宜生环[2023]111号）总量控制，</w:t>
            </w:r>
            <w:r>
              <w:rPr>
                <w:rFonts w:hint="default" w:ascii="Times New Roman" w:hAnsi="Times New Roman" w:eastAsia="宋体" w:cs="Times New Roman"/>
                <w:b w:val="0"/>
                <w:bCs w:val="0"/>
                <w:color w:val="auto"/>
                <w:sz w:val="24"/>
                <w:vertAlign w:val="baseline"/>
                <w:lang w:val="en-US" w:eastAsia="zh-CN"/>
              </w:rPr>
              <w:t>不改变企业现有的污染物总量。</w:t>
            </w:r>
          </w:p>
          <w:p w14:paraId="290ED752">
            <w:pPr>
              <w:pStyle w:val="95"/>
              <w:keepNext w:val="0"/>
              <w:keepLines w:val="0"/>
              <w:pageBreakBefore w:val="0"/>
              <w:suppressLineNumbers w:val="0"/>
              <w:kinsoku/>
              <w:wordWrap/>
              <w:overflowPunct/>
              <w:topLinePunct w:val="0"/>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废水</w:t>
            </w:r>
          </w:p>
          <w:p w14:paraId="649C4DA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项目运营期主要包括锅炉清净水、</w:t>
            </w:r>
            <w:r>
              <w:rPr>
                <w:rFonts w:hint="default" w:ascii="Times New Roman" w:hAnsi="Times New Roman" w:eastAsia="宋体" w:cs="Times New Roman"/>
                <w:color w:val="auto"/>
                <w:sz w:val="24"/>
                <w:lang w:val="en-US" w:eastAsia="zh-CN"/>
              </w:rPr>
              <w:t>软水站废水</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软水站废水和</w:t>
            </w:r>
            <w:r>
              <w:rPr>
                <w:rFonts w:hint="default" w:ascii="Times New Roman" w:hAnsi="Times New Roman" w:eastAsia="宋体" w:cs="Times New Roman"/>
                <w:color w:val="auto"/>
                <w:sz w:val="24"/>
              </w:rPr>
              <w:t>锅炉清净下水进入厂区综合污水处理站处理后</w:t>
            </w:r>
            <w:r>
              <w:rPr>
                <w:rFonts w:hint="default" w:ascii="Times New Roman" w:hAnsi="Times New Roman" w:eastAsia="宋体" w:cs="Times New Roman"/>
                <w:color w:val="auto"/>
                <w:sz w:val="24"/>
                <w:lang w:val="en-US" w:eastAsia="zh-CN"/>
              </w:rPr>
              <w:t>回用生产，废水不外排</w:t>
            </w:r>
            <w:r>
              <w:rPr>
                <w:rFonts w:hint="default" w:ascii="Times New Roman" w:hAnsi="Times New Roman" w:eastAsia="宋体" w:cs="Times New Roman"/>
                <w:color w:val="auto"/>
                <w:sz w:val="24"/>
              </w:rPr>
              <w:t>。</w:t>
            </w:r>
          </w:p>
          <w:p w14:paraId="7B354ED6">
            <w:pPr>
              <w:pStyle w:val="95"/>
              <w:keepNext w:val="0"/>
              <w:keepLines w:val="0"/>
              <w:pageBreakBefore w:val="0"/>
              <w:suppressLineNumbers w:val="0"/>
              <w:kinsoku/>
              <w:wordWrap/>
              <w:overflowPunct/>
              <w:topLinePunct w:val="0"/>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固废</w:t>
            </w:r>
          </w:p>
          <w:p w14:paraId="2D61F022">
            <w:pPr>
              <w:keepNext w:val="0"/>
              <w:keepLines w:val="0"/>
              <w:suppressLineNumbers w:val="0"/>
              <w:spacing w:before="0" w:beforeAutospacing="0" w:after="0" w:afterAutospacing="0" w:line="360" w:lineRule="auto"/>
              <w:ind w:left="0" w:right="0" w:firstLine="480" w:firstLineChars="200"/>
              <w:jc w:val="left"/>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固体废弃物处置率达100%。</w:t>
            </w:r>
          </w:p>
          <w:p w14:paraId="267849C0">
            <w:pPr>
              <w:keepNext w:val="0"/>
              <w:keepLines w:val="0"/>
              <w:suppressLineNumbers w:val="0"/>
              <w:spacing w:before="0" w:beforeAutospacing="0" w:after="0" w:afterAutospacing="0" w:line="360" w:lineRule="auto"/>
              <w:ind w:left="0" w:right="0"/>
              <w:jc w:val="left"/>
              <w:textAlignment w:val="baseline"/>
              <w:rPr>
                <w:rFonts w:hint="default" w:ascii="Times New Roman" w:hAnsi="Times New Roman" w:eastAsia="宋体" w:cs="Times New Roman"/>
                <w:color w:val="auto"/>
                <w:sz w:val="24"/>
              </w:rPr>
            </w:pPr>
          </w:p>
          <w:p w14:paraId="64106967">
            <w:pPr>
              <w:keepNext w:val="0"/>
              <w:keepLines w:val="0"/>
              <w:suppressLineNumbers w:val="0"/>
              <w:spacing w:before="0" w:beforeAutospacing="0" w:after="0" w:afterAutospacing="0" w:line="360" w:lineRule="auto"/>
              <w:ind w:left="0" w:right="0"/>
              <w:jc w:val="left"/>
              <w:textAlignment w:val="baseline"/>
              <w:rPr>
                <w:rFonts w:hint="default" w:ascii="Times New Roman" w:hAnsi="Times New Roman" w:eastAsia="宋体" w:cs="Times New Roman"/>
                <w:color w:val="auto"/>
                <w:sz w:val="24"/>
              </w:rPr>
            </w:pPr>
          </w:p>
          <w:p w14:paraId="781D5B5E">
            <w:pPr>
              <w:keepNext w:val="0"/>
              <w:keepLines w:val="0"/>
              <w:suppressLineNumbers w:val="0"/>
              <w:spacing w:before="0" w:beforeAutospacing="0" w:after="0" w:afterAutospacing="0" w:line="360" w:lineRule="auto"/>
              <w:ind w:left="0" w:right="0"/>
              <w:jc w:val="left"/>
              <w:textAlignment w:val="baseline"/>
              <w:rPr>
                <w:rFonts w:hint="default" w:ascii="Times New Roman" w:hAnsi="Times New Roman" w:eastAsia="宋体" w:cs="Times New Roman"/>
                <w:color w:val="auto"/>
                <w:sz w:val="24"/>
              </w:rPr>
            </w:pPr>
          </w:p>
          <w:p w14:paraId="43BCA77F">
            <w:pPr>
              <w:pStyle w:val="13"/>
              <w:keepNext w:val="0"/>
              <w:keepLines w:val="0"/>
              <w:suppressLineNumbers w:val="0"/>
              <w:spacing w:beforeAutospacing="0" w:afterAutospacing="0"/>
              <w:ind w:left="0" w:right="0" w:firstLine="0"/>
              <w:rPr>
                <w:rFonts w:hint="default" w:ascii="Times New Roman" w:hAnsi="Times New Roman" w:eastAsia="宋体" w:cs="Times New Roman"/>
                <w:color w:val="auto"/>
              </w:rPr>
            </w:pPr>
          </w:p>
        </w:tc>
      </w:tr>
    </w:tbl>
    <w:p w14:paraId="7E0DF6CE">
      <w:pPr>
        <w:pStyle w:val="33"/>
        <w:adjustRightInd w:val="0"/>
        <w:snapToGrid w:val="0"/>
        <w:spacing w:before="0" w:beforeAutospacing="0" w:after="0" w:afterAutospacing="0"/>
        <w:jc w:val="center"/>
        <w:outlineLvl w:val="0"/>
        <w:rPr>
          <w:rFonts w:hint="default" w:ascii="Times New Roman" w:hAnsi="Times New Roman" w:eastAsia="宋体" w:cs="Times New Roman"/>
          <w:b/>
          <w:bCs/>
          <w:snapToGrid w:val="0"/>
          <w:color w:val="auto"/>
          <w:sz w:val="21"/>
          <w:szCs w:val="21"/>
        </w:rPr>
      </w:pPr>
      <w:r>
        <w:rPr>
          <w:rFonts w:hint="default" w:ascii="Times New Roman" w:hAnsi="Times New Roman" w:eastAsia="宋体" w:cs="Times New Roman"/>
          <w:snapToGrid w:val="0"/>
          <w:color w:val="auto"/>
          <w:sz w:val="21"/>
          <w:szCs w:val="21"/>
        </w:rPr>
        <w:br w:type="page"/>
      </w:r>
      <w:bookmarkStart w:id="12" w:name="_Toc69726040"/>
      <w:bookmarkStart w:id="13" w:name="_Toc7767"/>
      <w:r>
        <w:rPr>
          <w:rFonts w:hint="default" w:ascii="Times New Roman" w:hAnsi="Times New Roman" w:eastAsia="宋体" w:cs="Times New Roman"/>
          <w:b/>
          <w:bCs/>
          <w:snapToGrid w:val="0"/>
          <w:color w:val="auto"/>
          <w:sz w:val="30"/>
          <w:szCs w:val="30"/>
        </w:rPr>
        <w:t>四、主要环境影响和保护措施</w:t>
      </w:r>
      <w:bookmarkEnd w:id="12"/>
      <w:bookmarkEnd w:id="13"/>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8497"/>
      </w:tblGrid>
      <w:tr w14:paraId="0ED49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356" w:type="pct"/>
            <w:noWrap w:val="0"/>
            <w:tcMar>
              <w:left w:w="28" w:type="dxa"/>
              <w:right w:w="28" w:type="dxa"/>
            </w:tcMar>
            <w:vAlign w:val="center"/>
          </w:tcPr>
          <w:p w14:paraId="4C12EC0C">
            <w:pPr>
              <w:pStyle w:val="3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施工</w:t>
            </w:r>
          </w:p>
          <w:p w14:paraId="03F986AD">
            <w:pPr>
              <w:pStyle w:val="3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期环</w:t>
            </w:r>
          </w:p>
          <w:p w14:paraId="16FB4F15">
            <w:pPr>
              <w:pStyle w:val="3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境保</w:t>
            </w:r>
          </w:p>
          <w:p w14:paraId="221A1E55">
            <w:pPr>
              <w:pStyle w:val="3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护措</w:t>
            </w:r>
          </w:p>
          <w:p w14:paraId="7B414244">
            <w:pPr>
              <w:pStyle w:val="3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color w:val="auto"/>
                <w:kern w:val="2"/>
                <w:sz w:val="21"/>
                <w:szCs w:val="21"/>
              </w:rPr>
              <w:t>施</w:t>
            </w:r>
          </w:p>
        </w:tc>
        <w:tc>
          <w:tcPr>
            <w:tcW w:w="4644" w:type="pct"/>
            <w:noWrap w:val="0"/>
            <w:vAlign w:val="center"/>
          </w:tcPr>
          <w:p w14:paraId="58FAC75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一、施工期环境保护措施</w:t>
            </w:r>
          </w:p>
          <w:p w14:paraId="7780E2DD">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1.1、废水环境保护措施</w:t>
            </w:r>
          </w:p>
          <w:p w14:paraId="3FB05FF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施工期的废水主要是施工人员的生活污水。施工人员为附近村民，均不在厂区食宿，生活污水主要为施工人员洗手废水，施工期生活污水处理依托现有的厂区综合污水处理站处理</w:t>
            </w:r>
            <w:r>
              <w:rPr>
                <w:rFonts w:hint="default" w:ascii="Times New Roman" w:hAnsi="Times New Roman" w:eastAsia="宋体" w:cs="Times New Roman"/>
                <w:color w:val="auto"/>
                <w:sz w:val="24"/>
                <w:lang w:val="en-US" w:eastAsia="zh-CN"/>
              </w:rPr>
              <w:t>达标后回用生产，废水不外排</w:t>
            </w:r>
            <w:r>
              <w:rPr>
                <w:rFonts w:hint="default" w:ascii="Times New Roman" w:hAnsi="Times New Roman" w:eastAsia="宋体" w:cs="Times New Roman"/>
                <w:color w:val="auto"/>
                <w:sz w:val="24"/>
              </w:rPr>
              <w:t>。</w:t>
            </w:r>
          </w:p>
          <w:p w14:paraId="4E33B94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1.2、废气</w:t>
            </w:r>
            <w:r>
              <w:rPr>
                <w:rFonts w:hint="default" w:ascii="Times New Roman" w:hAnsi="Times New Roman" w:eastAsia="宋体" w:cs="Times New Roman"/>
                <w:b/>
                <w:color w:val="auto"/>
                <w:sz w:val="24"/>
              </w:rPr>
              <w:t>环境保护措施</w:t>
            </w:r>
          </w:p>
          <w:p w14:paraId="2DB306D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施工期对环境空气影响的主要污染物为施工扬尘。施工期扬尘按起尘的原因可分为风力起尘和动力起尘，其中风力起尘主要是由于地表开挖、平整产生风力扬尘；而动力起尘，主要是在车辆运输、机械开挖等过程中，由于外力而产生的尘粒再悬浮而造成；项目原址改建，不新增用地，改建面积不大，施工扬尘采用厂区定期洒水措施；由于项目改建处地面道路均做过硬化，不会产生太大的粉尘，车辆运输扬尘通过绿化吸收后环境影响较小。因此项目施工期的废气对环境造成的影响较小，可以接受。</w:t>
            </w:r>
          </w:p>
          <w:p w14:paraId="4BB8DC2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1.3、噪声</w:t>
            </w:r>
            <w:r>
              <w:rPr>
                <w:rFonts w:hint="default" w:ascii="Times New Roman" w:hAnsi="Times New Roman" w:eastAsia="宋体" w:cs="Times New Roman"/>
                <w:b/>
                <w:color w:val="auto"/>
                <w:sz w:val="24"/>
              </w:rPr>
              <w:t>环境保护措施</w:t>
            </w:r>
          </w:p>
          <w:p w14:paraId="6A4BE88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施工期噪声主要是现场施工的机械噪声，施工期的机械噪声采用距离衰减、地面吸收、空气吸收；通过合理安排施工时间等措施来减缓施工期机械对环境局造成的影响，施工期噪声会随着施工期结束而结束，不会改变当地声环境质量，对环境造成的影响较小。</w:t>
            </w:r>
          </w:p>
          <w:p w14:paraId="75954E5C">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1.4、固体废物</w:t>
            </w:r>
            <w:r>
              <w:rPr>
                <w:rFonts w:hint="default" w:ascii="Times New Roman" w:hAnsi="Times New Roman" w:eastAsia="宋体" w:cs="Times New Roman"/>
                <w:b/>
                <w:color w:val="auto"/>
                <w:sz w:val="24"/>
              </w:rPr>
              <w:t>环境保护措施</w:t>
            </w:r>
          </w:p>
          <w:p w14:paraId="06A4B82D">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①施工过程产生的建筑固废主要废渣土、拆除的锅炉以及</w:t>
            </w:r>
            <w:r>
              <w:rPr>
                <w:rStyle w:val="47"/>
                <w:rFonts w:hint="default" w:ascii="Times New Roman" w:hAnsi="Times New Roman" w:eastAsia="宋体" w:cs="Times New Roman"/>
                <w:color w:val="auto"/>
                <w:kern w:val="0"/>
                <w:sz w:val="24"/>
              </w:rPr>
              <w:t>其他建筑废料</w:t>
            </w:r>
            <w:r>
              <w:rPr>
                <w:rFonts w:hint="default" w:ascii="Times New Roman" w:hAnsi="Times New Roman" w:eastAsia="宋体" w:cs="Times New Roman"/>
                <w:color w:val="auto"/>
                <w:sz w:val="24"/>
              </w:rPr>
              <w:t>等，建筑固废中可再生利用部分回收利用或出售给收购商送交收购站，剩余部分按管理部门要求运往指定地点处置。</w:t>
            </w:r>
          </w:p>
          <w:p w14:paraId="117CCC9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②生活垃圾统一收集后，依托现有垃圾收集桶，委托当地环卫部门清运处理</w:t>
            </w:r>
            <w:r>
              <w:rPr>
                <w:rFonts w:hint="default" w:ascii="Times New Roman" w:hAnsi="Times New Roman" w:eastAsia="宋体" w:cs="Times New Roman"/>
                <w:bCs/>
                <w:color w:val="auto"/>
                <w:sz w:val="24"/>
              </w:rPr>
              <w:t>，日产日清。</w:t>
            </w:r>
          </w:p>
          <w:p w14:paraId="3989BBA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bCs/>
                <w:color w:val="auto"/>
                <w:szCs w:val="21"/>
              </w:rPr>
            </w:pPr>
          </w:p>
        </w:tc>
      </w:tr>
      <w:tr w14:paraId="6D6C1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356" w:type="pct"/>
            <w:noWrap w:val="0"/>
            <w:tcMar>
              <w:left w:w="28" w:type="dxa"/>
              <w:right w:w="28" w:type="dxa"/>
            </w:tcMar>
            <w:vAlign w:val="center"/>
          </w:tcPr>
          <w:p w14:paraId="5473E0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运营</w:t>
            </w:r>
          </w:p>
          <w:p w14:paraId="7505E14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期环</w:t>
            </w:r>
          </w:p>
          <w:p w14:paraId="624481F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境影</w:t>
            </w:r>
          </w:p>
          <w:p w14:paraId="219BFD9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响和</w:t>
            </w:r>
          </w:p>
          <w:p w14:paraId="7C4416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保护</w:t>
            </w:r>
          </w:p>
          <w:p w14:paraId="53133F6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措施</w:t>
            </w:r>
          </w:p>
        </w:tc>
        <w:tc>
          <w:tcPr>
            <w:tcW w:w="4644" w:type="pct"/>
            <w:noWrap w:val="0"/>
            <w:vAlign w:val="center"/>
          </w:tcPr>
          <w:p w14:paraId="653A4AFB">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二、废气产排情况</w:t>
            </w:r>
          </w:p>
          <w:p w14:paraId="4FB993DC">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2.1有组织污染物产排情况如下</w:t>
            </w:r>
          </w:p>
          <w:p w14:paraId="33D7AF77">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表4.2-1   有组织污染物产排情况表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46"/>
              <w:gridCol w:w="31"/>
              <w:gridCol w:w="1617"/>
              <w:gridCol w:w="1257"/>
              <w:gridCol w:w="1157"/>
              <w:gridCol w:w="1140"/>
              <w:gridCol w:w="2585"/>
            </w:tblGrid>
            <w:tr w14:paraId="0105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gridSpan w:val="4"/>
                  <w:noWrap w:val="0"/>
                  <w:vAlign w:val="center"/>
                </w:tcPr>
                <w:p w14:paraId="0D9C350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产污环节</w:t>
                  </w:r>
                </w:p>
              </w:tc>
              <w:tc>
                <w:tcPr>
                  <w:tcW w:w="3710" w:type="pct"/>
                  <w:gridSpan w:val="4"/>
                  <w:noWrap w:val="0"/>
                  <w:vAlign w:val="center"/>
                </w:tcPr>
                <w:p w14:paraId="6EF8AE2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szCs w:val="21"/>
                      <w:lang w:val="en-US" w:eastAsia="zh-CN"/>
                    </w:rPr>
                    <w:t>10.5t生物质</w:t>
                  </w:r>
                  <w:r>
                    <w:rPr>
                      <w:rFonts w:hint="default" w:ascii="Times New Roman" w:hAnsi="Times New Roman" w:eastAsia="宋体" w:cs="Times New Roman"/>
                      <w:b/>
                      <w:bCs/>
                      <w:color w:val="auto"/>
                      <w:szCs w:val="21"/>
                    </w:rPr>
                    <w:t>锅炉废气</w:t>
                  </w:r>
                </w:p>
              </w:tc>
            </w:tr>
            <w:tr w14:paraId="6874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89" w:type="pct"/>
                  <w:gridSpan w:val="4"/>
                  <w:noWrap w:val="0"/>
                  <w:vAlign w:val="center"/>
                </w:tcPr>
                <w:p w14:paraId="5F12E48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污染物种类</w:t>
                  </w:r>
                </w:p>
              </w:tc>
              <w:tc>
                <w:tcPr>
                  <w:tcW w:w="760" w:type="pct"/>
                  <w:noWrap w:val="0"/>
                  <w:vAlign w:val="center"/>
                </w:tcPr>
                <w:p w14:paraId="601D38A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szCs w:val="21"/>
                    </w:rPr>
                    <w:t>烟尘</w:t>
                  </w:r>
                </w:p>
              </w:tc>
              <w:tc>
                <w:tcPr>
                  <w:tcW w:w="699" w:type="pct"/>
                  <w:noWrap w:val="0"/>
                  <w:vAlign w:val="center"/>
                </w:tcPr>
                <w:p w14:paraId="5CED1481">
                  <w:pPr>
                    <w:pStyle w:val="18"/>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SO</w:t>
                  </w:r>
                  <w:r>
                    <w:rPr>
                      <w:rFonts w:hint="default" w:ascii="Times New Roman" w:hAnsi="Times New Roman" w:eastAsia="宋体" w:cs="Times New Roman"/>
                      <w:b/>
                      <w:bCs/>
                      <w:color w:val="auto"/>
                      <w:sz w:val="21"/>
                      <w:szCs w:val="21"/>
                      <w:vertAlign w:val="subscript"/>
                    </w:rPr>
                    <w:t>2</w:t>
                  </w:r>
                </w:p>
              </w:tc>
              <w:tc>
                <w:tcPr>
                  <w:tcW w:w="2251" w:type="pct"/>
                  <w:gridSpan w:val="2"/>
                  <w:noWrap w:val="0"/>
                  <w:vAlign w:val="center"/>
                </w:tcPr>
                <w:p w14:paraId="29A7693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szCs w:val="21"/>
                    </w:rPr>
                    <w:t>NO</w:t>
                  </w:r>
                  <w:r>
                    <w:rPr>
                      <w:rFonts w:hint="default" w:ascii="Times New Roman" w:hAnsi="Times New Roman" w:eastAsia="宋体" w:cs="Times New Roman"/>
                      <w:b/>
                      <w:bCs/>
                      <w:color w:val="auto"/>
                      <w:szCs w:val="21"/>
                      <w:vertAlign w:val="subscript"/>
                    </w:rPr>
                    <w:t>X</w:t>
                  </w:r>
                </w:p>
              </w:tc>
            </w:tr>
            <w:tr w14:paraId="56EF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gridSpan w:val="4"/>
                  <w:noWrap w:val="0"/>
                  <w:vAlign w:val="center"/>
                </w:tcPr>
                <w:p w14:paraId="6836354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污染物产生量（t/a）</w:t>
                  </w:r>
                </w:p>
              </w:tc>
              <w:tc>
                <w:tcPr>
                  <w:tcW w:w="760" w:type="pct"/>
                  <w:noWrap w:val="0"/>
                  <w:vAlign w:val="center"/>
                </w:tcPr>
                <w:p w14:paraId="24B7873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326.7</w:t>
                  </w:r>
                </w:p>
              </w:tc>
              <w:tc>
                <w:tcPr>
                  <w:tcW w:w="699" w:type="pct"/>
                  <w:noWrap w:val="0"/>
                  <w:vAlign w:val="center"/>
                </w:tcPr>
                <w:p w14:paraId="13B9705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2.29</w:t>
                  </w:r>
                </w:p>
              </w:tc>
              <w:tc>
                <w:tcPr>
                  <w:tcW w:w="2251" w:type="pct"/>
                  <w:gridSpan w:val="2"/>
                  <w:noWrap w:val="0"/>
                  <w:vAlign w:val="center"/>
                </w:tcPr>
                <w:p w14:paraId="0CCE276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14.87</w:t>
                  </w:r>
                </w:p>
              </w:tc>
            </w:tr>
            <w:tr w14:paraId="4880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gridSpan w:val="4"/>
                  <w:noWrap w:val="0"/>
                  <w:vAlign w:val="center"/>
                </w:tcPr>
                <w:p w14:paraId="5DE8F87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产生速率（kg/h）</w:t>
                  </w:r>
                </w:p>
              </w:tc>
              <w:tc>
                <w:tcPr>
                  <w:tcW w:w="760" w:type="pct"/>
                  <w:noWrap w:val="0"/>
                  <w:vAlign w:val="center"/>
                </w:tcPr>
                <w:p w14:paraId="33CE6B9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45.37</w:t>
                  </w:r>
                </w:p>
              </w:tc>
              <w:tc>
                <w:tcPr>
                  <w:tcW w:w="699" w:type="pct"/>
                  <w:noWrap w:val="0"/>
                  <w:vAlign w:val="center"/>
                </w:tcPr>
                <w:p w14:paraId="27DA011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0.318</w:t>
                  </w:r>
                </w:p>
              </w:tc>
              <w:tc>
                <w:tcPr>
                  <w:tcW w:w="2251" w:type="pct"/>
                  <w:gridSpan w:val="2"/>
                  <w:noWrap w:val="0"/>
                  <w:vAlign w:val="center"/>
                </w:tcPr>
                <w:p w14:paraId="626FD7F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2.07</w:t>
                  </w:r>
                </w:p>
              </w:tc>
            </w:tr>
            <w:tr w14:paraId="70D0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gridSpan w:val="4"/>
                  <w:noWrap w:val="0"/>
                  <w:vAlign w:val="center"/>
                </w:tcPr>
                <w:p w14:paraId="7BF94DB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污染物产生浓度（mg/m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w:t>
                  </w:r>
                </w:p>
              </w:tc>
              <w:tc>
                <w:tcPr>
                  <w:tcW w:w="760" w:type="pct"/>
                  <w:noWrap w:val="0"/>
                  <w:vAlign w:val="center"/>
                </w:tcPr>
                <w:p w14:paraId="68F4547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3592.1</w:t>
                  </w:r>
                </w:p>
              </w:tc>
              <w:tc>
                <w:tcPr>
                  <w:tcW w:w="699" w:type="pct"/>
                  <w:noWrap w:val="0"/>
                  <w:vAlign w:val="center"/>
                </w:tcPr>
                <w:p w14:paraId="4A51FFA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25.18</w:t>
                  </w:r>
                </w:p>
              </w:tc>
              <w:tc>
                <w:tcPr>
                  <w:tcW w:w="2251" w:type="pct"/>
                  <w:gridSpan w:val="2"/>
                  <w:noWrap w:val="0"/>
                  <w:vAlign w:val="center"/>
                </w:tcPr>
                <w:p w14:paraId="0794ABB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163.89</w:t>
                  </w:r>
                </w:p>
              </w:tc>
            </w:tr>
            <w:tr w14:paraId="1908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gridSpan w:val="4"/>
                  <w:noWrap w:val="0"/>
                  <w:vAlign w:val="center"/>
                </w:tcPr>
                <w:p w14:paraId="51F19FC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排放形式</w:t>
                  </w:r>
                </w:p>
              </w:tc>
              <w:tc>
                <w:tcPr>
                  <w:tcW w:w="3710" w:type="pct"/>
                  <w:gridSpan w:val="4"/>
                  <w:noWrap w:val="0"/>
                  <w:vAlign w:val="center"/>
                </w:tcPr>
                <w:p w14:paraId="4C41A68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有组织</w:t>
                  </w:r>
                </w:p>
              </w:tc>
            </w:tr>
            <w:tr w14:paraId="2CE3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restart"/>
                  <w:noWrap w:val="0"/>
                  <w:vAlign w:val="center"/>
                </w:tcPr>
                <w:p w14:paraId="5BEE2F5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治</w:t>
                  </w:r>
                </w:p>
                <w:p w14:paraId="33C45D7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理</w:t>
                  </w:r>
                </w:p>
                <w:p w14:paraId="3E22DBE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设</w:t>
                  </w:r>
                </w:p>
                <w:p w14:paraId="394FF31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施</w:t>
                  </w:r>
                </w:p>
              </w:tc>
              <w:tc>
                <w:tcPr>
                  <w:tcW w:w="1024" w:type="pct"/>
                  <w:gridSpan w:val="3"/>
                  <w:noWrap w:val="0"/>
                  <w:vAlign w:val="center"/>
                </w:tcPr>
                <w:p w14:paraId="23E8F3C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设施</w:t>
                  </w:r>
                </w:p>
              </w:tc>
              <w:tc>
                <w:tcPr>
                  <w:tcW w:w="3710" w:type="pct"/>
                  <w:gridSpan w:val="4"/>
                  <w:noWrap w:val="0"/>
                  <w:vAlign w:val="center"/>
                </w:tcPr>
                <w:p w14:paraId="6187725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布袋除尘器</w:t>
                  </w:r>
                </w:p>
              </w:tc>
            </w:tr>
            <w:tr w14:paraId="7D04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1CA7686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1024" w:type="pct"/>
                  <w:gridSpan w:val="3"/>
                  <w:noWrap w:val="0"/>
                  <w:vAlign w:val="center"/>
                </w:tcPr>
                <w:p w14:paraId="494F552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处理能力</w:t>
                  </w:r>
                </w:p>
              </w:tc>
              <w:tc>
                <w:tcPr>
                  <w:tcW w:w="3710" w:type="pct"/>
                  <w:gridSpan w:val="4"/>
                  <w:noWrap w:val="0"/>
                  <w:vAlign w:val="center"/>
                </w:tcPr>
                <w:p w14:paraId="76291E9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lang w:val="en-US" w:eastAsia="zh-CN"/>
                    </w:rPr>
                    <w:t>12630.6</w:t>
                  </w:r>
                  <w:r>
                    <w:rPr>
                      <w:rFonts w:hint="default" w:ascii="Times New Roman" w:hAnsi="Times New Roman" w:eastAsia="宋体" w:cs="Times New Roman"/>
                      <w:color w:val="auto"/>
                      <w:szCs w:val="21"/>
                    </w:rPr>
                    <w:t>m³/h</w:t>
                  </w:r>
                </w:p>
              </w:tc>
            </w:tr>
            <w:tr w14:paraId="26EF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007C746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1024" w:type="pct"/>
                  <w:gridSpan w:val="3"/>
                  <w:noWrap w:val="0"/>
                  <w:vAlign w:val="center"/>
                </w:tcPr>
                <w:p w14:paraId="1330239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收集效率</w:t>
                  </w:r>
                </w:p>
              </w:tc>
              <w:tc>
                <w:tcPr>
                  <w:tcW w:w="760" w:type="pct"/>
                  <w:noWrap w:val="0"/>
                  <w:vAlign w:val="center"/>
                </w:tcPr>
                <w:p w14:paraId="13CF786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p>
              </w:tc>
              <w:tc>
                <w:tcPr>
                  <w:tcW w:w="699" w:type="pct"/>
                  <w:noWrap w:val="0"/>
                  <w:vAlign w:val="center"/>
                </w:tcPr>
                <w:p w14:paraId="0B0F417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p>
              </w:tc>
              <w:tc>
                <w:tcPr>
                  <w:tcW w:w="2251" w:type="pct"/>
                  <w:gridSpan w:val="2"/>
                  <w:noWrap w:val="0"/>
                  <w:vAlign w:val="center"/>
                </w:tcPr>
                <w:p w14:paraId="1D5BD5F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p>
                <w:p w14:paraId="781AC6D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p>
              </w:tc>
            </w:tr>
            <w:tr w14:paraId="1715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068B059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1024" w:type="pct"/>
                  <w:gridSpan w:val="3"/>
                  <w:noWrap w:val="0"/>
                  <w:vAlign w:val="center"/>
                </w:tcPr>
                <w:p w14:paraId="0938522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治理工艺去除率</w:t>
                  </w:r>
                </w:p>
              </w:tc>
              <w:tc>
                <w:tcPr>
                  <w:tcW w:w="3710" w:type="pct"/>
                  <w:gridSpan w:val="4"/>
                  <w:noWrap w:val="0"/>
                  <w:vAlign w:val="center"/>
                </w:tcPr>
                <w:p w14:paraId="5906F8A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szCs w:val="21"/>
                    </w:rPr>
                    <w:t>除尘效率为</w:t>
                  </w:r>
                  <w:r>
                    <w:rPr>
                      <w:rFonts w:hint="default" w:ascii="Times New Roman" w:hAnsi="Times New Roman" w:eastAsia="宋体" w:cs="Times New Roman"/>
                      <w:color w:val="auto"/>
                      <w:szCs w:val="21"/>
                      <w:lang w:val="en-US" w:eastAsia="zh-CN"/>
                    </w:rPr>
                    <w:t>99.7</w:t>
                  </w:r>
                  <w:r>
                    <w:rPr>
                      <w:rFonts w:hint="default" w:ascii="Times New Roman" w:hAnsi="Times New Roman" w:eastAsia="宋体" w:cs="Times New Roman"/>
                      <w:color w:val="auto"/>
                      <w:szCs w:val="21"/>
                    </w:rPr>
                    <w:t>%</w:t>
                  </w:r>
                </w:p>
              </w:tc>
            </w:tr>
            <w:tr w14:paraId="7FD6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vMerge w:val="continue"/>
                  <w:noWrap w:val="0"/>
                  <w:vAlign w:val="center"/>
                </w:tcPr>
                <w:p w14:paraId="31FE992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1024" w:type="pct"/>
                  <w:gridSpan w:val="3"/>
                  <w:noWrap w:val="0"/>
                  <w:vAlign w:val="center"/>
                </w:tcPr>
                <w:p w14:paraId="4D247DA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是否为可行技术</w:t>
                  </w:r>
                </w:p>
              </w:tc>
              <w:tc>
                <w:tcPr>
                  <w:tcW w:w="760" w:type="pct"/>
                  <w:noWrap w:val="0"/>
                  <w:vAlign w:val="center"/>
                </w:tcPr>
                <w:p w14:paraId="2E818A8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是</w:t>
                  </w:r>
                </w:p>
              </w:tc>
              <w:tc>
                <w:tcPr>
                  <w:tcW w:w="699" w:type="pct"/>
                  <w:noWrap w:val="0"/>
                  <w:vAlign w:val="center"/>
                </w:tcPr>
                <w:p w14:paraId="3C8CC9C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w:t>
                  </w:r>
                </w:p>
              </w:tc>
              <w:tc>
                <w:tcPr>
                  <w:tcW w:w="2251" w:type="pct"/>
                  <w:gridSpan w:val="2"/>
                  <w:noWrap w:val="0"/>
                  <w:vAlign w:val="center"/>
                </w:tcPr>
                <w:p w14:paraId="69732AA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eastAsia="zh-CN"/>
                    </w:rPr>
                  </w:pPr>
                  <w:r>
                    <w:rPr>
                      <w:rFonts w:hint="eastAsia" w:cs="Times New Roman"/>
                      <w:color w:val="auto"/>
                      <w:kern w:val="0"/>
                      <w:szCs w:val="21"/>
                      <w:lang w:val="en-US" w:eastAsia="zh-CN"/>
                    </w:rPr>
                    <w:t>/</w:t>
                  </w:r>
                </w:p>
              </w:tc>
            </w:tr>
            <w:tr w14:paraId="29BF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gridSpan w:val="4"/>
                  <w:noWrap w:val="0"/>
                  <w:vAlign w:val="center"/>
                </w:tcPr>
                <w:p w14:paraId="084E83B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污染物排放量（t/a）</w:t>
                  </w:r>
                </w:p>
              </w:tc>
              <w:tc>
                <w:tcPr>
                  <w:tcW w:w="760" w:type="pct"/>
                  <w:noWrap w:val="0"/>
                  <w:vAlign w:val="center"/>
                </w:tcPr>
                <w:p w14:paraId="1174E1F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0.98</w:t>
                  </w:r>
                </w:p>
              </w:tc>
              <w:tc>
                <w:tcPr>
                  <w:tcW w:w="1157" w:type="dxa"/>
                  <w:noWrap w:val="0"/>
                  <w:vAlign w:val="center"/>
                </w:tcPr>
                <w:p w14:paraId="2264DA0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2.29</w:t>
                  </w:r>
                </w:p>
              </w:tc>
              <w:tc>
                <w:tcPr>
                  <w:tcW w:w="3725" w:type="dxa"/>
                  <w:gridSpan w:val="2"/>
                  <w:noWrap w:val="0"/>
                  <w:vAlign w:val="center"/>
                </w:tcPr>
                <w:p w14:paraId="525B568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14.87</w:t>
                  </w:r>
                </w:p>
              </w:tc>
            </w:tr>
            <w:tr w14:paraId="1A45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gridSpan w:val="4"/>
                  <w:noWrap w:val="0"/>
                  <w:vAlign w:val="center"/>
                </w:tcPr>
                <w:p w14:paraId="1FC92D2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污染物排放速率（kg/h）</w:t>
                  </w:r>
                </w:p>
              </w:tc>
              <w:tc>
                <w:tcPr>
                  <w:tcW w:w="760" w:type="pct"/>
                  <w:noWrap w:val="0"/>
                  <w:vAlign w:val="center"/>
                </w:tcPr>
                <w:p w14:paraId="37AEA3E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0.14</w:t>
                  </w:r>
                </w:p>
              </w:tc>
              <w:tc>
                <w:tcPr>
                  <w:tcW w:w="1157" w:type="dxa"/>
                  <w:noWrap w:val="0"/>
                  <w:vAlign w:val="center"/>
                </w:tcPr>
                <w:p w14:paraId="0E7F945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0.318</w:t>
                  </w:r>
                </w:p>
              </w:tc>
              <w:tc>
                <w:tcPr>
                  <w:tcW w:w="3725" w:type="dxa"/>
                  <w:gridSpan w:val="2"/>
                  <w:noWrap w:val="0"/>
                  <w:vAlign w:val="center"/>
                </w:tcPr>
                <w:p w14:paraId="40C401B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2.07</w:t>
                  </w:r>
                </w:p>
              </w:tc>
            </w:tr>
            <w:tr w14:paraId="4087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gridSpan w:val="4"/>
                  <w:noWrap w:val="0"/>
                  <w:vAlign w:val="center"/>
                </w:tcPr>
                <w:p w14:paraId="5A8B44D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污染物排放浓度（mg/m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w:t>
                  </w:r>
                </w:p>
              </w:tc>
              <w:tc>
                <w:tcPr>
                  <w:tcW w:w="760" w:type="pct"/>
                  <w:noWrap w:val="0"/>
                  <w:vAlign w:val="center"/>
                </w:tcPr>
                <w:p w14:paraId="32C6C22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11.08</w:t>
                  </w:r>
                </w:p>
              </w:tc>
              <w:tc>
                <w:tcPr>
                  <w:tcW w:w="1157" w:type="dxa"/>
                  <w:noWrap w:val="0"/>
                  <w:vAlign w:val="center"/>
                </w:tcPr>
                <w:p w14:paraId="1EBA240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25.18</w:t>
                  </w:r>
                </w:p>
              </w:tc>
              <w:tc>
                <w:tcPr>
                  <w:tcW w:w="3725" w:type="dxa"/>
                  <w:gridSpan w:val="2"/>
                  <w:noWrap w:val="0"/>
                  <w:vAlign w:val="center"/>
                </w:tcPr>
                <w:p w14:paraId="05E0FF1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163.89</w:t>
                  </w:r>
                </w:p>
              </w:tc>
            </w:tr>
            <w:tr w14:paraId="4754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gridSpan w:val="2"/>
                  <w:vMerge w:val="restart"/>
                  <w:noWrap w:val="0"/>
                  <w:vAlign w:val="center"/>
                </w:tcPr>
                <w:p w14:paraId="14A9F7B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排放口基本情况</w:t>
                  </w:r>
                </w:p>
              </w:tc>
              <w:tc>
                <w:tcPr>
                  <w:tcW w:w="995" w:type="pct"/>
                  <w:gridSpan w:val="2"/>
                  <w:noWrap w:val="0"/>
                  <w:vAlign w:val="center"/>
                </w:tcPr>
                <w:p w14:paraId="7FFD04C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高度（m）</w:t>
                  </w:r>
                </w:p>
              </w:tc>
              <w:tc>
                <w:tcPr>
                  <w:tcW w:w="3710" w:type="pct"/>
                  <w:gridSpan w:val="4"/>
                  <w:noWrap w:val="0"/>
                  <w:vAlign w:val="center"/>
                </w:tcPr>
                <w:p w14:paraId="177B926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rPr>
                    <w:t>4</w:t>
                  </w:r>
                  <w:r>
                    <w:rPr>
                      <w:rFonts w:hint="default" w:ascii="Times New Roman" w:hAnsi="Times New Roman" w:eastAsia="宋体" w:cs="Times New Roman"/>
                      <w:color w:val="auto"/>
                      <w:kern w:val="0"/>
                      <w:szCs w:val="21"/>
                      <w:lang w:val="en-US" w:eastAsia="zh-CN"/>
                    </w:rPr>
                    <w:t>0</w:t>
                  </w:r>
                </w:p>
              </w:tc>
            </w:tr>
            <w:tr w14:paraId="739A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gridSpan w:val="2"/>
                  <w:vMerge w:val="continue"/>
                  <w:noWrap w:val="0"/>
                  <w:vAlign w:val="center"/>
                </w:tcPr>
                <w:p w14:paraId="7F193DE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995" w:type="pct"/>
                  <w:gridSpan w:val="2"/>
                  <w:noWrap w:val="0"/>
                  <w:vAlign w:val="center"/>
                </w:tcPr>
                <w:p w14:paraId="317F54C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排气筒内径（m）</w:t>
                  </w:r>
                </w:p>
              </w:tc>
              <w:tc>
                <w:tcPr>
                  <w:tcW w:w="3710" w:type="pct"/>
                  <w:gridSpan w:val="4"/>
                  <w:noWrap w:val="0"/>
                  <w:vAlign w:val="center"/>
                </w:tcPr>
                <w:p w14:paraId="4169BD9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0.78</w:t>
                  </w:r>
                </w:p>
              </w:tc>
            </w:tr>
            <w:tr w14:paraId="7D60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gridSpan w:val="2"/>
                  <w:vMerge w:val="continue"/>
                  <w:noWrap w:val="0"/>
                  <w:vAlign w:val="center"/>
                </w:tcPr>
                <w:p w14:paraId="163D3BB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995" w:type="pct"/>
                  <w:gridSpan w:val="2"/>
                  <w:noWrap w:val="0"/>
                  <w:vAlign w:val="center"/>
                </w:tcPr>
                <w:p w14:paraId="7A3C180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温度（℃）</w:t>
                  </w:r>
                </w:p>
              </w:tc>
              <w:tc>
                <w:tcPr>
                  <w:tcW w:w="3710" w:type="pct"/>
                  <w:gridSpan w:val="4"/>
                  <w:noWrap w:val="0"/>
                  <w:vAlign w:val="center"/>
                </w:tcPr>
                <w:p w14:paraId="4D12AA3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80</w:t>
                  </w:r>
                </w:p>
              </w:tc>
            </w:tr>
            <w:tr w14:paraId="2C01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gridSpan w:val="2"/>
                  <w:vMerge w:val="continue"/>
                  <w:noWrap w:val="0"/>
                  <w:vAlign w:val="center"/>
                </w:tcPr>
                <w:p w14:paraId="32EF351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995" w:type="pct"/>
                  <w:gridSpan w:val="2"/>
                  <w:noWrap w:val="0"/>
                  <w:vAlign w:val="center"/>
                </w:tcPr>
                <w:p w14:paraId="12D7A52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编号及名称</w:t>
                  </w:r>
                </w:p>
              </w:tc>
              <w:tc>
                <w:tcPr>
                  <w:tcW w:w="3710" w:type="pct"/>
                  <w:gridSpan w:val="4"/>
                  <w:noWrap w:val="0"/>
                  <w:vAlign w:val="center"/>
                </w:tcPr>
                <w:p w14:paraId="702054D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DA001</w:t>
                  </w:r>
                </w:p>
              </w:tc>
            </w:tr>
            <w:tr w14:paraId="5518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gridSpan w:val="2"/>
                  <w:vMerge w:val="continue"/>
                  <w:noWrap w:val="0"/>
                  <w:vAlign w:val="center"/>
                </w:tcPr>
                <w:p w14:paraId="79BA72E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995" w:type="pct"/>
                  <w:gridSpan w:val="2"/>
                  <w:noWrap w:val="0"/>
                  <w:vAlign w:val="center"/>
                </w:tcPr>
                <w:p w14:paraId="5E69EFC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类型</w:t>
                  </w:r>
                </w:p>
              </w:tc>
              <w:tc>
                <w:tcPr>
                  <w:tcW w:w="3710" w:type="pct"/>
                  <w:gridSpan w:val="4"/>
                  <w:noWrap w:val="0"/>
                  <w:vAlign w:val="center"/>
                </w:tcPr>
                <w:p w14:paraId="3D70C13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主要排放口</w:t>
                  </w:r>
                </w:p>
              </w:tc>
            </w:tr>
            <w:tr w14:paraId="2B7D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gridSpan w:val="2"/>
                  <w:vMerge w:val="continue"/>
                  <w:noWrap w:val="0"/>
                  <w:vAlign w:val="center"/>
                </w:tcPr>
                <w:p w14:paraId="16D734C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995" w:type="pct"/>
                  <w:gridSpan w:val="2"/>
                  <w:noWrap w:val="0"/>
                  <w:vAlign w:val="center"/>
                </w:tcPr>
                <w:p w14:paraId="4F38785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地理坐标</w:t>
                  </w:r>
                </w:p>
              </w:tc>
              <w:tc>
                <w:tcPr>
                  <w:tcW w:w="3710" w:type="pct"/>
                  <w:gridSpan w:val="4"/>
                  <w:noWrap w:val="0"/>
                  <w:vAlign w:val="center"/>
                </w:tcPr>
                <w:p w14:paraId="37FBC0D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东经103°08'13.571"</w:t>
                  </w:r>
                </w:p>
                <w:p w14:paraId="72D4944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北纬24°47'47.784"</w:t>
                  </w:r>
                </w:p>
              </w:tc>
            </w:tr>
            <w:tr w14:paraId="2E5C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gridSpan w:val="4"/>
                  <w:noWrap w:val="0"/>
                  <w:vAlign w:val="center"/>
                </w:tcPr>
                <w:p w14:paraId="358382C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排放标准</w:t>
                  </w:r>
                </w:p>
              </w:tc>
              <w:tc>
                <w:tcPr>
                  <w:tcW w:w="3710" w:type="pct"/>
                  <w:gridSpan w:val="4"/>
                  <w:noWrap w:val="0"/>
                  <w:vAlign w:val="center"/>
                </w:tcPr>
                <w:p w14:paraId="596F9DF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rPr>
                    <w:t>《锅炉大气污染物排放标准》（GB 13271-2014）</w:t>
                  </w:r>
                  <w:r>
                    <w:rPr>
                      <w:rFonts w:hint="default" w:ascii="Times New Roman" w:hAnsi="Times New Roman" w:eastAsia="宋体" w:cs="Times New Roman"/>
                      <w:color w:val="auto"/>
                      <w:kern w:val="0"/>
                      <w:szCs w:val="21"/>
                      <w:lang w:val="en-US" w:eastAsia="zh-CN"/>
                    </w:rPr>
                    <w:t>表2燃气标准，即SO</w:t>
                  </w:r>
                  <w:r>
                    <w:rPr>
                      <w:rFonts w:hint="default" w:ascii="Times New Roman" w:hAnsi="Times New Roman" w:eastAsia="宋体" w:cs="Times New Roman"/>
                      <w:color w:val="auto"/>
                      <w:kern w:val="0"/>
                      <w:szCs w:val="21"/>
                      <w:vertAlign w:val="subscript"/>
                      <w:lang w:val="en-US" w:eastAsia="zh-CN"/>
                    </w:rPr>
                    <w:t>2</w:t>
                  </w:r>
                  <w:r>
                    <w:rPr>
                      <w:rFonts w:hint="default" w:ascii="Times New Roman" w:hAnsi="Times New Roman" w:eastAsia="宋体" w:cs="Times New Roman"/>
                      <w:color w:val="auto"/>
                      <w:kern w:val="0"/>
                      <w:szCs w:val="21"/>
                      <w:vertAlign w:val="baseline"/>
                      <w:lang w:val="en-US" w:eastAsia="zh-CN"/>
                    </w:rPr>
                    <w:t>≤50mg/m</w:t>
                  </w:r>
                  <w:r>
                    <w:rPr>
                      <w:rFonts w:hint="default" w:ascii="Times New Roman" w:hAnsi="Times New Roman" w:eastAsia="宋体" w:cs="Times New Roman"/>
                      <w:color w:val="auto"/>
                      <w:kern w:val="0"/>
                      <w:szCs w:val="21"/>
                      <w:vertAlign w:val="superscript"/>
                      <w:lang w:val="en-US" w:eastAsia="zh-CN"/>
                    </w:rPr>
                    <w:t>3</w:t>
                  </w:r>
                  <w:r>
                    <w:rPr>
                      <w:rFonts w:hint="default" w:ascii="Times New Roman" w:hAnsi="Times New Roman" w:eastAsia="宋体" w:cs="Times New Roman"/>
                      <w:color w:val="auto"/>
                      <w:kern w:val="0"/>
                      <w:szCs w:val="21"/>
                      <w:vertAlign w:val="baseline"/>
                      <w:lang w:val="en-US" w:eastAsia="zh-CN"/>
                    </w:rPr>
                    <w:t>，NO</w:t>
                  </w:r>
                  <w:r>
                    <w:rPr>
                      <w:rFonts w:hint="default" w:ascii="Times New Roman" w:hAnsi="Times New Roman" w:eastAsia="宋体" w:cs="Times New Roman"/>
                      <w:color w:val="auto"/>
                      <w:kern w:val="0"/>
                      <w:szCs w:val="21"/>
                      <w:vertAlign w:val="subscript"/>
                      <w:lang w:val="en-US" w:eastAsia="zh-CN"/>
                    </w:rPr>
                    <w:t>x</w:t>
                  </w:r>
                  <w:r>
                    <w:rPr>
                      <w:rFonts w:hint="default" w:ascii="Times New Roman" w:hAnsi="Times New Roman" w:eastAsia="宋体" w:cs="Times New Roman"/>
                      <w:color w:val="auto"/>
                      <w:kern w:val="0"/>
                      <w:szCs w:val="21"/>
                      <w:vertAlign w:val="baseline"/>
                      <w:lang w:val="en-US" w:eastAsia="zh-CN"/>
                    </w:rPr>
                    <w:t>≤200mg/m</w:t>
                  </w:r>
                  <w:r>
                    <w:rPr>
                      <w:rFonts w:hint="default" w:ascii="Times New Roman" w:hAnsi="Times New Roman" w:eastAsia="宋体" w:cs="Times New Roman"/>
                      <w:color w:val="auto"/>
                      <w:kern w:val="0"/>
                      <w:szCs w:val="21"/>
                      <w:vertAlign w:val="superscript"/>
                      <w:lang w:val="en-US" w:eastAsia="zh-CN"/>
                    </w:rPr>
                    <w:t>3</w:t>
                  </w:r>
                  <w:r>
                    <w:rPr>
                      <w:rFonts w:hint="default" w:ascii="Times New Roman" w:hAnsi="Times New Roman" w:eastAsia="宋体" w:cs="Times New Roman"/>
                      <w:color w:val="auto"/>
                      <w:kern w:val="0"/>
                      <w:szCs w:val="21"/>
                      <w:vertAlign w:val="baseline"/>
                      <w:lang w:val="en-US" w:eastAsia="zh-CN"/>
                    </w:rPr>
                    <w:t>，颗粒物≤20mg/m</w:t>
                  </w:r>
                  <w:r>
                    <w:rPr>
                      <w:rFonts w:hint="default" w:ascii="Times New Roman" w:hAnsi="Times New Roman" w:eastAsia="宋体" w:cs="Times New Roman"/>
                      <w:color w:val="auto"/>
                      <w:kern w:val="0"/>
                      <w:szCs w:val="21"/>
                      <w:vertAlign w:val="superscript"/>
                      <w:lang w:val="en-US" w:eastAsia="zh-CN"/>
                    </w:rPr>
                    <w:t>3</w:t>
                  </w:r>
                  <w:r>
                    <w:rPr>
                      <w:rFonts w:hint="default" w:ascii="Times New Roman" w:hAnsi="Times New Roman" w:eastAsia="宋体" w:cs="Times New Roman"/>
                      <w:color w:val="auto"/>
                      <w:kern w:val="0"/>
                      <w:szCs w:val="21"/>
                      <w:vertAlign w:val="baseline"/>
                      <w:lang w:val="en-US" w:eastAsia="zh-CN"/>
                    </w:rPr>
                    <w:t>，</w:t>
                  </w:r>
                  <w:r>
                    <w:rPr>
                      <w:rFonts w:hint="default" w:ascii="Times New Roman" w:hAnsi="Times New Roman" w:eastAsia="宋体" w:cs="Times New Roman"/>
                      <w:color w:val="auto"/>
                      <w:kern w:val="0"/>
                      <w:szCs w:val="21"/>
                      <w:lang w:val="en-US" w:eastAsia="zh-CN"/>
                    </w:rPr>
                    <w:t>烟气黑度≤1级</w:t>
                  </w:r>
                </w:p>
              </w:tc>
            </w:tr>
            <w:tr w14:paraId="6D5F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gridSpan w:val="3"/>
                  <w:vMerge w:val="restart"/>
                  <w:noWrap w:val="0"/>
                  <w:vAlign w:val="center"/>
                </w:tcPr>
                <w:p w14:paraId="6FCA49C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监测要求</w:t>
                  </w:r>
                </w:p>
              </w:tc>
              <w:tc>
                <w:tcPr>
                  <w:tcW w:w="977" w:type="pct"/>
                  <w:noWrap w:val="0"/>
                  <w:vAlign w:val="center"/>
                </w:tcPr>
                <w:p w14:paraId="3EAC6EB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监测点位</w:t>
                  </w:r>
                </w:p>
              </w:tc>
              <w:tc>
                <w:tcPr>
                  <w:tcW w:w="3710" w:type="pct"/>
                  <w:gridSpan w:val="4"/>
                  <w:noWrap w:val="0"/>
                  <w:vAlign w:val="center"/>
                </w:tcPr>
                <w:p w14:paraId="61CC4DA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DA001</w:t>
                  </w:r>
                </w:p>
              </w:tc>
            </w:tr>
            <w:tr w14:paraId="7A55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gridSpan w:val="3"/>
                  <w:vMerge w:val="continue"/>
                  <w:noWrap w:val="0"/>
                  <w:vAlign w:val="center"/>
                </w:tcPr>
                <w:p w14:paraId="2FB57A9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977" w:type="pct"/>
                  <w:noWrap w:val="0"/>
                  <w:vAlign w:val="center"/>
                </w:tcPr>
                <w:p w14:paraId="104DE08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监测因子</w:t>
                  </w:r>
                </w:p>
              </w:tc>
              <w:tc>
                <w:tcPr>
                  <w:tcW w:w="760" w:type="pct"/>
                  <w:noWrap w:val="0"/>
                  <w:vAlign w:val="center"/>
                </w:tcPr>
                <w:p w14:paraId="62D17DF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烟尘</w:t>
                  </w:r>
                </w:p>
              </w:tc>
              <w:tc>
                <w:tcPr>
                  <w:tcW w:w="699" w:type="pct"/>
                  <w:noWrap w:val="0"/>
                  <w:vAlign w:val="center"/>
                </w:tcPr>
                <w:p w14:paraId="4CF84DD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SO</w:t>
                  </w:r>
                  <w:r>
                    <w:rPr>
                      <w:rFonts w:hint="default" w:ascii="Times New Roman" w:hAnsi="Times New Roman" w:eastAsia="宋体" w:cs="Times New Roman"/>
                      <w:color w:val="auto"/>
                      <w:szCs w:val="21"/>
                      <w:vertAlign w:val="subscript"/>
                    </w:rPr>
                    <w:t>2</w:t>
                  </w:r>
                </w:p>
              </w:tc>
              <w:tc>
                <w:tcPr>
                  <w:tcW w:w="689" w:type="pct"/>
                  <w:noWrap w:val="0"/>
                  <w:vAlign w:val="center"/>
                </w:tcPr>
                <w:p w14:paraId="54BDCF9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NO</w:t>
                  </w:r>
                  <w:r>
                    <w:rPr>
                      <w:rFonts w:hint="default" w:ascii="Times New Roman" w:hAnsi="Times New Roman" w:eastAsia="宋体" w:cs="Times New Roman"/>
                      <w:color w:val="auto"/>
                      <w:szCs w:val="21"/>
                      <w:vertAlign w:val="subscript"/>
                    </w:rPr>
                    <w:t>X</w:t>
                  </w:r>
                </w:p>
              </w:tc>
              <w:tc>
                <w:tcPr>
                  <w:tcW w:w="1562" w:type="pct"/>
                  <w:noWrap w:val="0"/>
                  <w:vAlign w:val="center"/>
                </w:tcPr>
                <w:p w14:paraId="4ABADC2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烟气黑度</w:t>
                  </w:r>
                </w:p>
              </w:tc>
            </w:tr>
            <w:tr w14:paraId="725B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gridSpan w:val="3"/>
                  <w:vMerge w:val="continue"/>
                  <w:noWrap w:val="0"/>
                  <w:vAlign w:val="center"/>
                </w:tcPr>
                <w:p w14:paraId="63EFE9F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977" w:type="pct"/>
                  <w:noWrap w:val="0"/>
                  <w:vAlign w:val="center"/>
                </w:tcPr>
                <w:p w14:paraId="46C320A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监测频次</w:t>
                  </w:r>
                </w:p>
              </w:tc>
              <w:tc>
                <w:tcPr>
                  <w:tcW w:w="3710" w:type="pct"/>
                  <w:gridSpan w:val="4"/>
                  <w:noWrap w:val="0"/>
                  <w:vAlign w:val="center"/>
                </w:tcPr>
                <w:p w14:paraId="64ED3EB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szCs w:val="21"/>
                    </w:rPr>
                    <w:t>1次/</w:t>
                  </w:r>
                  <w:r>
                    <w:rPr>
                      <w:rFonts w:hint="default" w:ascii="Times New Roman" w:hAnsi="Times New Roman" w:eastAsia="宋体" w:cs="Times New Roman"/>
                      <w:color w:val="auto"/>
                      <w:szCs w:val="21"/>
                      <w:lang w:val="en-US" w:eastAsia="zh-CN"/>
                    </w:rPr>
                    <w:t>月</w:t>
                  </w:r>
                </w:p>
              </w:tc>
            </w:tr>
          </w:tbl>
          <w:p w14:paraId="42C8F99B">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2.</w:t>
            </w:r>
            <w:r>
              <w:rPr>
                <w:rFonts w:hint="default" w:ascii="Times New Roman" w:hAnsi="Times New Roman" w:eastAsia="宋体" w:cs="Times New Roman"/>
                <w:b/>
                <w:bCs/>
                <w:color w:val="auto"/>
                <w:kern w:val="0"/>
                <w:sz w:val="24"/>
                <w:lang w:val="en-US" w:eastAsia="zh-CN"/>
              </w:rPr>
              <w:t>2</w:t>
            </w:r>
            <w:r>
              <w:rPr>
                <w:rFonts w:hint="default" w:ascii="Times New Roman" w:hAnsi="Times New Roman" w:eastAsia="宋体" w:cs="Times New Roman"/>
                <w:b/>
                <w:bCs/>
                <w:color w:val="auto"/>
                <w:kern w:val="0"/>
                <w:sz w:val="24"/>
              </w:rPr>
              <w:t>、废气污染物核算</w:t>
            </w:r>
          </w:p>
          <w:p w14:paraId="3CD74C84">
            <w:pPr>
              <w:pStyle w:val="146"/>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rPr>
              <w:t>锅炉</w:t>
            </w:r>
            <w:r>
              <w:rPr>
                <w:rFonts w:hint="default" w:ascii="Times New Roman" w:hAnsi="Times New Roman" w:eastAsia="宋体" w:cs="Times New Roman"/>
                <w:b/>
                <w:bCs/>
                <w:color w:val="auto"/>
                <w:sz w:val="24"/>
                <w:lang w:val="en-US" w:eastAsia="zh-CN"/>
              </w:rPr>
              <w:t>废气</w:t>
            </w:r>
          </w:p>
          <w:p w14:paraId="284698E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本项目主要设置1台燃生物质锅炉，锅炉额定出力为</w:t>
            </w:r>
            <w:r>
              <w:rPr>
                <w:rFonts w:hint="default" w:ascii="Times New Roman" w:hAnsi="Times New Roman" w:eastAsia="宋体" w:cs="Times New Roman"/>
                <w:color w:val="auto"/>
                <w:sz w:val="24"/>
                <w:lang w:val="en-US" w:eastAsia="zh-CN"/>
              </w:rPr>
              <w:t>10.5</w:t>
            </w:r>
            <w:r>
              <w:rPr>
                <w:rFonts w:hint="default" w:ascii="Times New Roman" w:hAnsi="Times New Roman" w:eastAsia="宋体" w:cs="Times New Roman"/>
                <w:color w:val="auto"/>
                <w:sz w:val="24"/>
              </w:rPr>
              <w:t>t/h，每天运行</w:t>
            </w:r>
            <w:r>
              <w:rPr>
                <w:rFonts w:hint="default" w:ascii="Times New Roman" w:hAnsi="Times New Roman" w:eastAsia="宋体" w:cs="Times New Roman"/>
                <w:color w:val="auto"/>
                <w:sz w:val="24"/>
                <w:lang w:val="en-US" w:eastAsia="zh-CN"/>
              </w:rPr>
              <w:t>24</w:t>
            </w:r>
            <w:r>
              <w:rPr>
                <w:rFonts w:hint="default" w:ascii="Times New Roman" w:hAnsi="Times New Roman" w:eastAsia="宋体" w:cs="Times New Roman"/>
                <w:color w:val="auto"/>
                <w:sz w:val="24"/>
              </w:rPr>
              <w:t>h，每年运行</w:t>
            </w:r>
            <w:r>
              <w:rPr>
                <w:rFonts w:hint="default" w:ascii="Times New Roman" w:hAnsi="Times New Roman" w:eastAsia="宋体" w:cs="Times New Roman"/>
                <w:color w:val="auto"/>
                <w:sz w:val="24"/>
                <w:lang w:val="en-US" w:eastAsia="zh-CN"/>
              </w:rPr>
              <w:t>300</w:t>
            </w:r>
            <w:r>
              <w:rPr>
                <w:rFonts w:hint="default" w:ascii="Times New Roman" w:hAnsi="Times New Roman" w:eastAsia="宋体" w:cs="Times New Roman"/>
                <w:color w:val="auto"/>
                <w:sz w:val="24"/>
              </w:rPr>
              <w:t>天，年运行时间为</w:t>
            </w:r>
            <w:r>
              <w:rPr>
                <w:rFonts w:hint="default" w:ascii="Times New Roman" w:hAnsi="Times New Roman" w:eastAsia="宋体" w:cs="Times New Roman"/>
                <w:color w:val="auto"/>
                <w:sz w:val="24"/>
                <w:lang w:val="en-US" w:eastAsia="zh-CN"/>
              </w:rPr>
              <w:t>7200</w:t>
            </w:r>
            <w:r>
              <w:rPr>
                <w:rFonts w:hint="default" w:ascii="Times New Roman" w:hAnsi="Times New Roman" w:eastAsia="宋体" w:cs="Times New Roman"/>
                <w:color w:val="auto"/>
                <w:sz w:val="24"/>
              </w:rPr>
              <w:t>h，</w:t>
            </w:r>
            <w:r>
              <w:rPr>
                <w:rFonts w:hint="default" w:ascii="Times New Roman" w:hAnsi="Times New Roman" w:eastAsia="宋体" w:cs="Times New Roman"/>
                <w:bCs/>
                <w:color w:val="auto"/>
                <w:sz w:val="24"/>
              </w:rPr>
              <w:t>生物质燃料消耗量为</w:t>
            </w:r>
            <w:r>
              <w:rPr>
                <w:rFonts w:hint="default" w:ascii="Times New Roman" w:hAnsi="Times New Roman" w:eastAsia="宋体" w:cs="Times New Roman"/>
                <w:bCs/>
                <w:color w:val="auto"/>
                <w:sz w:val="24"/>
                <w:lang w:val="en-US" w:eastAsia="zh-CN"/>
              </w:rPr>
              <w:t>14573.74</w:t>
            </w:r>
            <w:r>
              <w:rPr>
                <w:rFonts w:hint="default" w:ascii="Times New Roman" w:hAnsi="Times New Roman" w:eastAsia="宋体" w:cs="Times New Roman"/>
                <w:bCs/>
                <w:color w:val="auto"/>
                <w:sz w:val="24"/>
              </w:rPr>
              <w:t>t/a。</w:t>
            </w:r>
            <w:r>
              <w:rPr>
                <w:rFonts w:hint="default" w:ascii="Times New Roman" w:hAnsi="Times New Roman" w:eastAsia="宋体" w:cs="Times New Roman"/>
                <w:color w:val="auto"/>
                <w:sz w:val="24"/>
              </w:rPr>
              <w:t>项目锅炉废气主要污染物为烟尘、二氧化硫、氮氧化物。</w:t>
            </w:r>
          </w:p>
          <w:p w14:paraId="38C2394D">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生物质锅炉废气量</w:t>
            </w:r>
          </w:p>
          <w:p w14:paraId="068E1870">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szCs w:val="24"/>
              </w:rPr>
              <w:t>根据《排放源统计调查产排污核算方法和系数手册》（环境部公告2021年第24号）“工业源产排污核算方法和系数手册”中“4430锅炉产排污量核算系数手册”的产污系数：</w:t>
            </w:r>
            <w:r>
              <w:rPr>
                <w:rFonts w:hint="default" w:ascii="Times New Roman" w:hAnsi="Times New Roman" w:eastAsia="宋体" w:cs="Times New Roman"/>
                <w:color w:val="auto"/>
                <w:sz w:val="24"/>
                <w:szCs w:val="24"/>
              </w:rPr>
              <w:t>工业废气量产污系数为6240</w:t>
            </w:r>
            <w:r>
              <w:rPr>
                <w:rFonts w:hint="default" w:ascii="Times New Roman" w:hAnsi="Times New Roman" w:eastAsia="宋体" w:cs="Times New Roman"/>
                <w:bCs/>
                <w:color w:val="auto"/>
                <w:sz w:val="24"/>
                <w:szCs w:val="24"/>
              </w:rPr>
              <w:t>Nm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rPr>
              <w:t>/t</w:t>
            </w:r>
            <w:r>
              <w:rPr>
                <w:rFonts w:hint="default" w:ascii="Times New Roman" w:hAnsi="Times New Roman" w:eastAsia="宋体" w:cs="Times New Roman"/>
                <w:color w:val="auto"/>
                <w:sz w:val="24"/>
                <w:szCs w:val="24"/>
              </w:rPr>
              <w:t>-原料</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rPr>
              <w:t>本项目</w:t>
            </w:r>
            <w:r>
              <w:rPr>
                <w:rFonts w:hint="default" w:ascii="Times New Roman" w:hAnsi="Times New Roman" w:eastAsia="宋体" w:cs="Times New Roman"/>
                <w:color w:val="auto"/>
                <w:sz w:val="24"/>
                <w:lang w:val="en-US" w:eastAsia="zh-CN"/>
              </w:rPr>
              <w:t>10.5</w:t>
            </w:r>
            <w:r>
              <w:rPr>
                <w:rFonts w:hint="default" w:ascii="Times New Roman" w:hAnsi="Times New Roman" w:eastAsia="宋体" w:cs="Times New Roman"/>
                <w:color w:val="auto"/>
                <w:sz w:val="24"/>
              </w:rPr>
              <w:t>t</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h生物质锅炉年生物质消耗量约为</w:t>
            </w:r>
            <w:r>
              <w:rPr>
                <w:rFonts w:hint="default" w:ascii="Times New Roman" w:hAnsi="Times New Roman" w:eastAsia="宋体" w:cs="Times New Roman"/>
                <w:color w:val="auto"/>
                <w:sz w:val="24"/>
                <w:lang w:val="en-US" w:eastAsia="zh-CN"/>
              </w:rPr>
              <w:t>2024.13</w:t>
            </w:r>
            <w:r>
              <w:rPr>
                <w:rFonts w:hint="default" w:ascii="Times New Roman" w:hAnsi="Times New Roman" w:eastAsia="宋体" w:cs="Times New Roman"/>
                <w:color w:val="auto"/>
                <w:sz w:val="24"/>
              </w:rPr>
              <w:t>kg</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h，</w:t>
            </w:r>
            <w:r>
              <w:rPr>
                <w:rFonts w:hint="default" w:ascii="Times New Roman" w:hAnsi="Times New Roman" w:eastAsia="宋体" w:cs="Times New Roman"/>
                <w:color w:val="auto"/>
                <w:sz w:val="24"/>
                <w:lang w:val="en-US" w:eastAsia="zh-CN"/>
              </w:rPr>
              <w:t>14573.74</w:t>
            </w:r>
            <w:r>
              <w:rPr>
                <w:rFonts w:hint="default" w:ascii="Times New Roman" w:hAnsi="Times New Roman" w:eastAsia="宋体" w:cs="Times New Roman"/>
                <w:color w:val="auto"/>
                <w:sz w:val="24"/>
              </w:rPr>
              <w:t>t</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a</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烟气产生量约为</w:t>
            </w:r>
            <w:r>
              <w:rPr>
                <w:rFonts w:hint="default" w:ascii="Times New Roman" w:hAnsi="Times New Roman" w:eastAsia="宋体" w:cs="Times New Roman"/>
                <w:color w:val="auto"/>
                <w:sz w:val="24"/>
                <w:lang w:val="en-US" w:eastAsia="zh-CN"/>
              </w:rPr>
              <w:t>9094万m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vertAlign w:val="baseline"/>
                <w:lang w:val="en-US" w:eastAsia="zh-CN"/>
              </w:rPr>
              <w:t>/a，12630.6m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vertAlign w:val="baseline"/>
                <w:lang w:val="en-US" w:eastAsia="zh-CN"/>
              </w:rPr>
              <w:t>/h</w:t>
            </w:r>
            <w:r>
              <w:rPr>
                <w:rFonts w:hint="default" w:ascii="Times New Roman" w:hAnsi="Times New Roman" w:eastAsia="宋体" w:cs="Times New Roman"/>
                <w:color w:val="auto"/>
                <w:sz w:val="24"/>
              </w:rPr>
              <w:t>。</w:t>
            </w:r>
          </w:p>
          <w:p w14:paraId="5CF59427">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生物质锅炉二氧化硫排放量</w:t>
            </w:r>
          </w:p>
          <w:p w14:paraId="76FD4C5C">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根据《排污许可证申请与核发技术规范锅炉》</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HJ953-2018</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第9.1中“锅炉排污单位的废气污染物在核算时段内非正常情况下的实际排放量首先采用实测法核算，无法采用实测法核算的，采用物科衡算法核算二氧化硫排放量、产污系数法核算其他污染物排放量，且均按直接排放进行核算”。固体/液体燃料采用物料衡算法核算二氧化硫排放量,根据燃料消耗量、硫含量进行核算，按直排进行核算，核算方法如下:</w:t>
            </w:r>
          </w:p>
          <w:p w14:paraId="7ADD5D3B">
            <w:pPr>
              <w:keepNext w:val="0"/>
              <w:keepLines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position w:val="-24"/>
                <w:sz w:val="24"/>
                <w:lang w:eastAsia="zh-CN"/>
              </w:rPr>
              <w:object>
                <v:shape id="_x0000_i1028" o:spt="75" type="#_x0000_t75" style="height:31pt;width:153pt;" o:ole="t" filled="f" o:preferrelative="t" stroked="f" coordsize="21600,21600">
                  <v:path/>
                  <v:fill on="f" focussize="0,0"/>
                  <v:stroke on="f"/>
                  <v:imagedata r:id="rId19" o:title=""/>
                  <o:lock v:ext="edit" aspectratio="t"/>
                  <w10:wrap type="none"/>
                  <w10:anchorlock/>
                </v:shape>
                <o:OLEObject Type="Embed" ProgID="Equation.KSEE3" ShapeID="_x0000_i1028" DrawAspect="Content" ObjectID="_1468075728" r:id="rId18">
                  <o:LockedField>false</o:LockedField>
                </o:OLEObject>
              </w:object>
            </w:r>
          </w:p>
          <w:p w14:paraId="68C5EB9F">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E</w:t>
            </w:r>
            <w:r>
              <w:rPr>
                <w:rFonts w:hint="default" w:ascii="Times New Roman" w:hAnsi="Times New Roman" w:eastAsia="宋体" w:cs="Times New Roman"/>
                <w:color w:val="auto"/>
                <w:sz w:val="24"/>
                <w:vertAlign w:val="subscript"/>
                <w:lang w:val="en-US" w:eastAsia="zh-CN"/>
              </w:rPr>
              <w:t>SO2</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核算时段内二氧化硫的实际排放量，</w:t>
            </w:r>
            <w:r>
              <w:rPr>
                <w:rFonts w:hint="default" w:ascii="Times New Roman" w:hAnsi="Times New Roman" w:eastAsia="宋体" w:cs="Times New Roman"/>
                <w:color w:val="auto"/>
                <w:sz w:val="24"/>
                <w:lang w:val="en-US" w:eastAsia="zh-CN"/>
              </w:rPr>
              <w:t>单位：t；</w:t>
            </w:r>
          </w:p>
          <w:p w14:paraId="07265A22">
            <w:pPr>
              <w:keepNext w:val="0"/>
              <w:keepLines w:val="0"/>
              <w:suppressLineNumbers w:val="0"/>
              <w:autoSpaceDE w:val="0"/>
              <w:autoSpaceDN w:val="0"/>
              <w:spacing w:before="0" w:beforeAutospacing="0" w:after="0" w:afterAutospacing="0" w:line="360" w:lineRule="auto"/>
              <w:ind w:left="0" w:right="0" w:firstLine="960" w:firstLineChars="4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R</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核算时段内锅炉燃料消耗量，</w:t>
            </w:r>
            <w:r>
              <w:rPr>
                <w:rFonts w:hint="default" w:ascii="Times New Roman" w:hAnsi="Times New Roman" w:eastAsia="宋体" w:cs="Times New Roman"/>
                <w:color w:val="auto"/>
                <w:sz w:val="24"/>
                <w:lang w:val="en-US" w:eastAsia="zh-CN"/>
              </w:rPr>
              <w:t>单位：t；</w:t>
            </w:r>
          </w:p>
          <w:p w14:paraId="54FB279D">
            <w:pPr>
              <w:keepNext w:val="0"/>
              <w:keepLines w:val="0"/>
              <w:suppressLineNumbers w:val="0"/>
              <w:autoSpaceDE w:val="0"/>
              <w:autoSpaceDN w:val="0"/>
              <w:spacing w:before="0" w:beforeAutospacing="0" w:after="0" w:afterAutospacing="0" w:line="360" w:lineRule="auto"/>
              <w:ind w:left="0" w:right="0" w:firstLine="960" w:firstLineChars="4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S</w:t>
            </w:r>
            <w:r>
              <w:rPr>
                <w:rFonts w:hint="default" w:ascii="Times New Roman" w:hAnsi="Times New Roman" w:eastAsia="宋体" w:cs="Times New Roman"/>
                <w:color w:val="auto"/>
                <w:sz w:val="24"/>
                <w:vertAlign w:val="subscript"/>
                <w:lang w:val="en-US" w:eastAsia="zh-CN"/>
              </w:rPr>
              <w:t>ar</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燃料收到基</w:t>
            </w:r>
            <w:r>
              <w:rPr>
                <w:rFonts w:hint="default" w:ascii="Times New Roman" w:hAnsi="Times New Roman" w:eastAsia="宋体" w:cs="Times New Roman"/>
                <w:color w:val="auto"/>
                <w:sz w:val="24"/>
                <w:lang w:val="en-US" w:eastAsia="zh-CN"/>
              </w:rPr>
              <w:t>硫</w:t>
            </w:r>
            <w:r>
              <w:rPr>
                <w:rFonts w:hint="default" w:ascii="Times New Roman" w:hAnsi="Times New Roman" w:eastAsia="宋体" w:cs="Times New Roman"/>
                <w:color w:val="auto"/>
                <w:sz w:val="24"/>
              </w:rPr>
              <w:t>含量，</w:t>
            </w:r>
            <w:r>
              <w:rPr>
                <w:rFonts w:hint="default" w:ascii="Times New Roman" w:hAnsi="Times New Roman" w:eastAsia="宋体" w:cs="Times New Roman"/>
                <w:color w:val="auto"/>
                <w:sz w:val="24"/>
                <w:lang w:val="en-US" w:eastAsia="zh-CN"/>
              </w:rPr>
              <w:t>单位：%；</w:t>
            </w:r>
          </w:p>
          <w:p w14:paraId="45AA7410">
            <w:pPr>
              <w:keepNext w:val="0"/>
              <w:keepLines w:val="0"/>
              <w:suppressLineNumbers w:val="0"/>
              <w:autoSpaceDE w:val="0"/>
              <w:autoSpaceDN w:val="0"/>
              <w:spacing w:before="0" w:beforeAutospacing="0" w:after="0" w:afterAutospacing="0" w:line="360" w:lineRule="auto"/>
              <w:ind w:left="0" w:right="0" w:firstLine="960" w:firstLineChars="4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q</w:t>
            </w:r>
            <w:r>
              <w:rPr>
                <w:rFonts w:hint="default" w:ascii="Times New Roman" w:hAnsi="Times New Roman" w:eastAsia="宋体" w:cs="Times New Roman"/>
                <w:color w:val="auto"/>
                <w:sz w:val="24"/>
                <w:vertAlign w:val="subscript"/>
                <w:lang w:val="en-US" w:eastAsia="zh-CN"/>
              </w:rPr>
              <w:t>4</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锅炉机械不完全燃烧热损失，</w:t>
            </w:r>
            <w:r>
              <w:rPr>
                <w:rFonts w:hint="default" w:ascii="Times New Roman" w:hAnsi="Times New Roman" w:eastAsia="宋体" w:cs="Times New Roman"/>
                <w:color w:val="auto"/>
                <w:sz w:val="24"/>
                <w:lang w:val="en-US" w:eastAsia="zh-CN"/>
              </w:rPr>
              <w:t>单位：%；</w:t>
            </w:r>
          </w:p>
          <w:p w14:paraId="6FA24393">
            <w:pPr>
              <w:keepNext w:val="0"/>
              <w:keepLines w:val="0"/>
              <w:suppressLineNumbers w:val="0"/>
              <w:autoSpaceDE w:val="0"/>
              <w:autoSpaceDN w:val="0"/>
              <w:spacing w:before="0" w:beforeAutospacing="0" w:after="0" w:afterAutospacing="0" w:line="360" w:lineRule="auto"/>
              <w:ind w:left="0" w:right="0" w:firstLine="960" w:firstLineChars="4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K一燃料中的硫燃烧后氧化成二氧化硫的份额，无量纲。</w:t>
            </w:r>
          </w:p>
          <w:p w14:paraId="6755EFCD">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本项目</w:t>
            </w:r>
            <w:r>
              <w:rPr>
                <w:rFonts w:hint="default" w:ascii="Times New Roman" w:hAnsi="Times New Roman" w:eastAsia="宋体" w:cs="Times New Roman"/>
                <w:color w:val="auto"/>
                <w:sz w:val="24"/>
                <w:lang w:val="en-US" w:eastAsia="zh-CN"/>
              </w:rPr>
              <w:t>10.5t/h</w:t>
            </w:r>
            <w:r>
              <w:rPr>
                <w:rFonts w:hint="default" w:ascii="Times New Roman" w:hAnsi="Times New Roman" w:eastAsia="宋体" w:cs="Times New Roman"/>
                <w:color w:val="auto"/>
                <w:sz w:val="24"/>
              </w:rPr>
              <w:t>生物质锅炉年燃料消耗量</w:t>
            </w:r>
            <w:r>
              <w:rPr>
                <w:rFonts w:hint="default" w:ascii="Times New Roman" w:hAnsi="Times New Roman" w:eastAsia="宋体" w:cs="Times New Roman"/>
                <w:color w:val="auto"/>
                <w:sz w:val="24"/>
                <w:lang w:val="en-US" w:eastAsia="zh-CN"/>
              </w:rPr>
              <w:t>14573.74</w:t>
            </w:r>
            <w:r>
              <w:rPr>
                <w:rFonts w:hint="default" w:ascii="Times New Roman" w:hAnsi="Times New Roman" w:eastAsia="宋体" w:cs="Times New Roman"/>
                <w:color w:val="auto"/>
                <w:sz w:val="24"/>
              </w:rPr>
              <w:t>t，燃料收到基含硫量0.0</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根据《排污许可证申请与核发技术规范锅炉</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H953-2018</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第9.2.1.2表11、表12中数据知</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14MW或20</w:t>
            </w:r>
            <w:r>
              <w:rPr>
                <w:rFonts w:hint="default" w:ascii="Times New Roman" w:hAnsi="Times New Roman" w:eastAsia="宋体" w:cs="Times New Roman"/>
                <w:color w:val="auto"/>
                <w:sz w:val="24"/>
                <w:lang w:val="en-US" w:eastAsia="zh-CN"/>
              </w:rPr>
              <w:t>t/h</w:t>
            </w:r>
            <w:r>
              <w:rPr>
                <w:rFonts w:hint="default" w:ascii="Times New Roman" w:hAnsi="Times New Roman" w:eastAsia="宋体" w:cs="Times New Roman"/>
                <w:color w:val="auto"/>
                <w:sz w:val="24"/>
              </w:rPr>
              <w:t>以下生物质锅炉机械不完全燃烧热损失</w:t>
            </w:r>
            <w:r>
              <w:rPr>
                <w:rFonts w:hint="default" w:ascii="Times New Roman" w:hAnsi="Times New Roman" w:eastAsia="宋体" w:cs="Times New Roman"/>
                <w:color w:val="auto"/>
                <w:sz w:val="24"/>
                <w:lang w:val="en-US" w:eastAsia="zh-CN"/>
              </w:rPr>
              <w:t>q</w:t>
            </w:r>
            <w:r>
              <w:rPr>
                <w:rFonts w:hint="default" w:ascii="Times New Roman" w:hAnsi="Times New Roman" w:eastAsia="宋体" w:cs="Times New Roman"/>
                <w:color w:val="auto"/>
                <w:sz w:val="24"/>
                <w:vertAlign w:val="subscript"/>
                <w:lang w:val="en-US" w:eastAsia="zh-CN"/>
              </w:rPr>
              <w:t>4</w:t>
            </w:r>
            <w:r>
              <w:rPr>
                <w:rFonts w:hint="default" w:ascii="Times New Roman" w:hAnsi="Times New Roman" w:eastAsia="宋体" w:cs="Times New Roman"/>
                <w:color w:val="auto"/>
                <w:sz w:val="24"/>
              </w:rPr>
              <w:t>为2%，14MWV或20th以下燃生物质锅炉燃料中的硫燃烧后生成二氧化硫的份额K为0.4</w:t>
            </w:r>
            <w:r>
              <w:rPr>
                <w:rFonts w:hint="default" w:ascii="Times New Roman" w:hAnsi="Times New Roman" w:eastAsia="宋体" w:cs="Times New Roman"/>
                <w:color w:val="auto"/>
                <w:sz w:val="24"/>
                <w:lang w:eastAsia="zh-CN"/>
              </w:rPr>
              <w:t>。</w:t>
            </w:r>
          </w:p>
          <w:p w14:paraId="1755799C">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则</w:t>
            </w:r>
            <w:r>
              <w:rPr>
                <w:rFonts w:hint="default" w:ascii="Times New Roman" w:hAnsi="Times New Roman" w:eastAsia="宋体" w:cs="Times New Roman"/>
                <w:color w:val="auto"/>
                <w:sz w:val="24"/>
                <w:lang w:val="en-US" w:eastAsia="zh-CN"/>
              </w:rPr>
              <w:t>E</w:t>
            </w:r>
            <w:r>
              <w:rPr>
                <w:rFonts w:hint="default" w:ascii="Times New Roman" w:hAnsi="Times New Roman" w:eastAsia="宋体" w:cs="Times New Roman"/>
                <w:color w:val="auto"/>
                <w:sz w:val="24"/>
                <w:vertAlign w:val="subscript"/>
                <w:lang w:val="en-US" w:eastAsia="zh-CN"/>
              </w:rPr>
              <w:t>SO2</w:t>
            </w:r>
            <w:r>
              <w:rPr>
                <w:rFonts w:hint="default" w:ascii="Times New Roman" w:hAnsi="Times New Roman" w:eastAsia="宋体" w:cs="Times New Roman"/>
                <w:color w:val="auto"/>
                <w:sz w:val="24"/>
                <w:lang w:val="en-US" w:eastAsia="zh-CN"/>
              </w:rPr>
              <w:t>=2×14573.74×（0.02/100）×（1-2/100）×0.4=2.29t/a，产生及排放速率0.318kg/h</w:t>
            </w:r>
            <w:r>
              <w:rPr>
                <w:rFonts w:hint="default" w:ascii="Times New Roman" w:hAnsi="Times New Roman" w:eastAsia="宋体" w:cs="Times New Roman"/>
                <w:color w:val="auto"/>
                <w:sz w:val="24"/>
              </w:rPr>
              <w:t>，产生</w:t>
            </w:r>
            <w:r>
              <w:rPr>
                <w:rFonts w:hint="default" w:ascii="Times New Roman" w:hAnsi="Times New Roman" w:eastAsia="宋体" w:cs="Times New Roman"/>
                <w:color w:val="auto"/>
                <w:sz w:val="24"/>
                <w:lang w:val="en-US" w:eastAsia="zh-CN"/>
              </w:rPr>
              <w:t>及排放</w:t>
            </w:r>
            <w:r>
              <w:rPr>
                <w:rFonts w:hint="default" w:ascii="Times New Roman" w:hAnsi="Times New Roman" w:eastAsia="宋体" w:cs="Times New Roman"/>
                <w:color w:val="auto"/>
                <w:sz w:val="24"/>
              </w:rPr>
              <w:t>浓度为</w:t>
            </w:r>
            <w:r>
              <w:rPr>
                <w:rFonts w:hint="default" w:ascii="Times New Roman" w:hAnsi="Times New Roman" w:eastAsia="宋体" w:cs="Times New Roman"/>
                <w:color w:val="auto"/>
                <w:sz w:val="24"/>
                <w:lang w:val="en-US" w:eastAsia="zh-CN"/>
              </w:rPr>
              <w:t>25.18mg/m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rPr>
              <w:t>。</w:t>
            </w:r>
          </w:p>
          <w:p w14:paraId="5C82B213">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生物质锅炉氮氧化物排放量</w:t>
            </w:r>
          </w:p>
          <w:p w14:paraId="1ECC2881">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vertAlign w:val="baseline"/>
                <w:lang w:val="en-US" w:eastAsia="zh-CN"/>
              </w:rPr>
            </w:pPr>
            <w:r>
              <w:rPr>
                <w:rFonts w:hint="default" w:ascii="Times New Roman" w:hAnsi="Times New Roman" w:eastAsia="宋体" w:cs="Times New Roman"/>
                <w:color w:val="auto"/>
                <w:sz w:val="24"/>
              </w:rPr>
              <w:t>根据项目区提供资料，该生物质锅炉为层燃炉，根据《排污许可证申请与核发技术规范锅炉》</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H953-2018</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附表F4，无低氮燃烧生物质锅炉氮氧化物产污系数为1.02kg/t-原料，直排排污系数为1.02。本项目</w:t>
            </w:r>
            <w:r>
              <w:rPr>
                <w:rFonts w:hint="default" w:ascii="Times New Roman" w:hAnsi="Times New Roman" w:eastAsia="宋体" w:cs="Times New Roman"/>
                <w:color w:val="auto"/>
                <w:sz w:val="24"/>
                <w:lang w:val="en-US" w:eastAsia="zh-CN"/>
              </w:rPr>
              <w:t>10.5</w:t>
            </w:r>
            <w:r>
              <w:rPr>
                <w:rFonts w:hint="default" w:ascii="Times New Roman" w:hAnsi="Times New Roman" w:eastAsia="宋体" w:cs="Times New Roman"/>
                <w:color w:val="auto"/>
                <w:sz w:val="24"/>
              </w:rPr>
              <w:t>t</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h生物质锅炉年生物质消耗量约为</w:t>
            </w:r>
            <w:r>
              <w:rPr>
                <w:rFonts w:hint="default" w:ascii="Times New Roman" w:hAnsi="Times New Roman" w:eastAsia="宋体" w:cs="Times New Roman"/>
                <w:color w:val="auto"/>
                <w:sz w:val="24"/>
                <w:lang w:val="en-US" w:eastAsia="zh-CN"/>
              </w:rPr>
              <w:t>2024.13</w:t>
            </w:r>
            <w:r>
              <w:rPr>
                <w:rFonts w:hint="default" w:ascii="Times New Roman" w:hAnsi="Times New Roman" w:eastAsia="宋体" w:cs="Times New Roman"/>
                <w:color w:val="auto"/>
                <w:sz w:val="24"/>
              </w:rPr>
              <w:t>kg</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h，</w:t>
            </w:r>
            <w:r>
              <w:rPr>
                <w:rFonts w:hint="default" w:ascii="Times New Roman" w:hAnsi="Times New Roman" w:eastAsia="宋体" w:cs="Times New Roman"/>
                <w:color w:val="auto"/>
                <w:sz w:val="24"/>
                <w:lang w:val="en-US" w:eastAsia="zh-CN"/>
              </w:rPr>
              <w:t>14573.74</w:t>
            </w:r>
            <w:r>
              <w:rPr>
                <w:rFonts w:hint="default" w:ascii="Times New Roman" w:hAnsi="Times New Roman" w:eastAsia="宋体" w:cs="Times New Roman"/>
                <w:color w:val="auto"/>
                <w:sz w:val="24"/>
              </w:rPr>
              <w:t>t</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a</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则氮氧化物产生量为</w:t>
            </w:r>
            <w:r>
              <w:rPr>
                <w:rFonts w:hint="default" w:ascii="Times New Roman" w:hAnsi="Times New Roman" w:eastAsia="宋体" w:cs="Times New Roman"/>
                <w:color w:val="auto"/>
                <w:sz w:val="24"/>
                <w:lang w:val="en-US" w:eastAsia="zh-CN"/>
              </w:rPr>
              <w:t>14.87t/a，产生</w:t>
            </w:r>
            <w:r>
              <w:rPr>
                <w:rFonts w:hint="eastAsia" w:cs="Times New Roman"/>
                <w:color w:val="auto"/>
                <w:sz w:val="24"/>
                <w:lang w:val="en-US" w:eastAsia="zh-CN"/>
              </w:rPr>
              <w:t>和排放</w:t>
            </w:r>
            <w:r>
              <w:rPr>
                <w:rFonts w:hint="default" w:ascii="Times New Roman" w:hAnsi="Times New Roman" w:eastAsia="宋体" w:cs="Times New Roman"/>
                <w:color w:val="auto"/>
                <w:sz w:val="24"/>
                <w:lang w:val="en-US" w:eastAsia="zh-CN"/>
              </w:rPr>
              <w:t>速率为2.07kg/h，</w:t>
            </w:r>
            <w:r>
              <w:rPr>
                <w:rFonts w:hint="default" w:ascii="Times New Roman" w:hAnsi="Times New Roman" w:eastAsia="宋体" w:cs="Times New Roman"/>
                <w:color w:val="auto"/>
                <w:sz w:val="24"/>
              </w:rPr>
              <w:t>产生</w:t>
            </w:r>
            <w:r>
              <w:rPr>
                <w:rFonts w:hint="eastAsia" w:cs="Times New Roman"/>
                <w:color w:val="auto"/>
                <w:sz w:val="24"/>
                <w:lang w:val="en-US" w:eastAsia="zh-CN"/>
              </w:rPr>
              <w:t>和排放</w:t>
            </w:r>
            <w:r>
              <w:rPr>
                <w:rFonts w:hint="default" w:ascii="Times New Roman" w:hAnsi="Times New Roman" w:eastAsia="宋体" w:cs="Times New Roman"/>
                <w:color w:val="auto"/>
                <w:sz w:val="24"/>
              </w:rPr>
              <w:t>浓度为</w:t>
            </w:r>
            <w:r>
              <w:rPr>
                <w:rFonts w:hint="default" w:ascii="Times New Roman" w:hAnsi="Times New Roman" w:eastAsia="宋体" w:cs="Times New Roman"/>
                <w:color w:val="auto"/>
                <w:sz w:val="24"/>
                <w:lang w:val="en-US" w:eastAsia="zh-CN"/>
              </w:rPr>
              <w:t>163.89</w:t>
            </w:r>
            <w:r>
              <w:rPr>
                <w:rFonts w:hint="default" w:ascii="Times New Roman" w:hAnsi="Times New Roman" w:eastAsia="宋体" w:cs="Times New Roman"/>
                <w:color w:val="auto"/>
                <w:sz w:val="24"/>
              </w:rPr>
              <w:t>mg/m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vertAlign w:val="baseline"/>
                <w:lang w:val="en-US" w:eastAsia="zh-CN"/>
              </w:rPr>
              <w:t>。</w:t>
            </w:r>
          </w:p>
          <w:p w14:paraId="28E1F71F">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生物质锅炉颗粒物排放量</w:t>
            </w:r>
          </w:p>
          <w:p w14:paraId="6C2643D5">
            <w:pPr>
              <w:pStyle w:val="146"/>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根据《</w:t>
            </w:r>
            <w:r>
              <w:rPr>
                <w:rFonts w:hint="default" w:ascii="Times New Roman" w:hAnsi="Times New Roman" w:eastAsia="宋体" w:cs="Times New Roman"/>
                <w:bCs/>
                <w:color w:val="auto"/>
                <w:sz w:val="24"/>
              </w:rPr>
              <w:t>污染源源强核算技术指南 锅炉</w:t>
            </w:r>
            <w:r>
              <w:rPr>
                <w:rFonts w:hint="default"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rPr>
              <w:fldChar w:fldCharType="begin"/>
            </w:r>
            <w:r>
              <w:rPr>
                <w:rFonts w:hint="default" w:ascii="Times New Roman" w:hAnsi="Times New Roman" w:eastAsia="宋体" w:cs="Times New Roman"/>
                <w:bCs/>
                <w:color w:val="auto"/>
                <w:sz w:val="24"/>
              </w:rPr>
              <w:instrText xml:space="preserve"> HYPERLINK "https://www.mee.gov.cn/ywgz/fgbz/bz/bzwb/wrfzjszc/201901/W020190111333910366938.pdf" </w:instrText>
            </w:r>
            <w:r>
              <w:rPr>
                <w:rFonts w:hint="default" w:ascii="Times New Roman" w:hAnsi="Times New Roman" w:eastAsia="宋体" w:cs="Times New Roman"/>
                <w:bCs/>
                <w:color w:val="auto"/>
                <w:sz w:val="24"/>
              </w:rPr>
              <w:fldChar w:fldCharType="separate"/>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HJ 991—2018</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fldChar w:fldCharType="end"/>
            </w:r>
            <w:r>
              <w:rPr>
                <w:rFonts w:hint="default" w:ascii="Times New Roman" w:hAnsi="Times New Roman" w:eastAsia="宋体" w:cs="Times New Roman"/>
                <w:bCs/>
                <w:color w:val="auto"/>
                <w:sz w:val="24"/>
                <w:lang w:val="en-US" w:eastAsia="zh-CN"/>
              </w:rPr>
              <w:t>生物质锅炉颗粒物（烟尘）排放量按下式计算：</w:t>
            </w:r>
          </w:p>
          <w:p w14:paraId="4566FCBE">
            <w:pPr>
              <w:pStyle w:val="146"/>
              <w:keepNext w:val="0"/>
              <w:keepLines w:val="0"/>
              <w:suppressLineNumbers w:val="0"/>
              <w:spacing w:before="0" w:beforeAutospacing="0" w:after="0" w:afterAutospacing="0" w:line="360" w:lineRule="auto"/>
              <w:ind w:left="0" w:right="0" w:firstLine="480"/>
              <w:jc w:val="center"/>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1771650" cy="733425"/>
                  <wp:effectExtent l="0" t="0" r="0" b="952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20"/>
                          <a:stretch>
                            <a:fillRect/>
                          </a:stretch>
                        </pic:blipFill>
                        <pic:spPr>
                          <a:xfrm>
                            <a:off x="0" y="0"/>
                            <a:ext cx="1771650" cy="733425"/>
                          </a:xfrm>
                          <a:prstGeom prst="rect">
                            <a:avLst/>
                          </a:prstGeom>
                          <a:noFill/>
                          <a:ln>
                            <a:noFill/>
                          </a:ln>
                        </pic:spPr>
                      </pic:pic>
                    </a:graphicData>
                  </a:graphic>
                </wp:inline>
              </w:drawing>
            </w:r>
          </w:p>
          <w:p w14:paraId="6E1E16D9">
            <w:pPr>
              <w:pStyle w:val="146"/>
              <w:keepNext w:val="0"/>
              <w:keepLines w:val="0"/>
              <w:suppressLineNumbers w:val="0"/>
              <w:spacing w:before="0" w:beforeAutospacing="0" w:after="0" w:afterAutospacing="0" w:line="360" w:lineRule="auto"/>
              <w:ind w:left="0" w:right="0" w:firstLine="48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式中：E</w:t>
            </w:r>
            <w:r>
              <w:rPr>
                <w:rFonts w:hint="default" w:ascii="Times New Roman" w:hAnsi="Times New Roman" w:eastAsia="宋体" w:cs="Times New Roman"/>
                <w:color w:val="auto"/>
                <w:kern w:val="2"/>
                <w:sz w:val="24"/>
                <w:szCs w:val="24"/>
                <w:vertAlign w:val="subscript"/>
                <w:lang w:val="en-US" w:eastAsia="zh-CN" w:bidi="ar-SA"/>
              </w:rPr>
              <w:t>A</w:t>
            </w:r>
            <w:r>
              <w:rPr>
                <w:rFonts w:hint="default" w:ascii="Times New Roman" w:hAnsi="Times New Roman" w:eastAsia="宋体" w:cs="Times New Roman"/>
                <w:color w:val="auto"/>
                <w:kern w:val="2"/>
                <w:sz w:val="24"/>
                <w:szCs w:val="24"/>
                <w:vertAlign w:val="baseline"/>
                <w:lang w:val="en-US" w:eastAsia="zh-CN" w:bidi="ar-SA"/>
              </w:rPr>
              <w:t>-</w:t>
            </w:r>
            <w:r>
              <w:rPr>
                <w:rFonts w:hint="default" w:ascii="Times New Roman" w:hAnsi="Times New Roman" w:eastAsia="宋体" w:cs="Times New Roman"/>
                <w:color w:val="auto"/>
                <w:kern w:val="2"/>
                <w:sz w:val="24"/>
                <w:szCs w:val="24"/>
                <w:lang w:val="en-US" w:eastAsia="zh-CN" w:bidi="ar-SA"/>
              </w:rPr>
              <w:t>核算时段内颗粒物（烟尘）排放量，t；</w:t>
            </w:r>
          </w:p>
          <w:p w14:paraId="2554D438">
            <w:pPr>
              <w:pStyle w:val="146"/>
              <w:keepNext w:val="0"/>
              <w:keepLines w:val="0"/>
              <w:suppressLineNumbers w:val="0"/>
              <w:spacing w:before="0" w:beforeAutospacing="0" w:after="0" w:afterAutospacing="0" w:line="360" w:lineRule="auto"/>
              <w:ind w:left="0" w:right="0" w:firstLine="48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R-核算时段内锅炉燃料耗量，14573.74t；</w:t>
            </w:r>
          </w:p>
          <w:p w14:paraId="5BCFD575">
            <w:pPr>
              <w:pStyle w:val="146"/>
              <w:keepNext w:val="0"/>
              <w:keepLines w:val="0"/>
              <w:suppressLineNumbers w:val="0"/>
              <w:spacing w:before="0" w:beforeAutospacing="0" w:after="0" w:afterAutospacing="0" w:line="360" w:lineRule="auto"/>
              <w:ind w:left="0" w:right="0" w:firstLine="48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A</w:t>
            </w:r>
            <w:r>
              <w:rPr>
                <w:rFonts w:hint="default" w:ascii="Times New Roman" w:hAnsi="Times New Roman" w:eastAsia="宋体" w:cs="Times New Roman"/>
                <w:color w:val="auto"/>
                <w:kern w:val="2"/>
                <w:sz w:val="24"/>
                <w:szCs w:val="24"/>
                <w:vertAlign w:val="subscript"/>
                <w:lang w:val="en-US" w:eastAsia="zh-CN" w:bidi="ar-SA"/>
              </w:rPr>
              <w:t>ar</w:t>
            </w:r>
            <w:r>
              <w:rPr>
                <w:rFonts w:hint="default" w:ascii="Times New Roman" w:hAnsi="Times New Roman" w:eastAsia="宋体" w:cs="Times New Roman"/>
                <w:color w:val="auto"/>
                <w:kern w:val="2"/>
                <w:sz w:val="24"/>
                <w:szCs w:val="24"/>
                <w:lang w:val="en-US" w:eastAsia="zh-CN" w:bidi="ar-SA"/>
              </w:rPr>
              <w:t>-收到基灰分的质量分数，根据生物质检测报告4.56%；</w:t>
            </w:r>
          </w:p>
          <w:p w14:paraId="34AC9F05">
            <w:pPr>
              <w:pStyle w:val="146"/>
              <w:keepNext w:val="0"/>
              <w:keepLines w:val="0"/>
              <w:suppressLineNumbers w:val="0"/>
              <w:spacing w:before="0" w:beforeAutospacing="0" w:after="0" w:afterAutospacing="0" w:line="360" w:lineRule="auto"/>
              <w:ind w:left="0" w:right="0" w:firstLine="48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d</w:t>
            </w:r>
            <w:r>
              <w:rPr>
                <w:rFonts w:hint="default" w:ascii="Times New Roman" w:hAnsi="Times New Roman" w:eastAsia="宋体" w:cs="Times New Roman"/>
                <w:color w:val="auto"/>
                <w:kern w:val="2"/>
                <w:sz w:val="24"/>
                <w:szCs w:val="24"/>
                <w:vertAlign w:val="subscript"/>
                <w:lang w:val="en-US" w:eastAsia="zh-CN" w:bidi="ar-SA"/>
              </w:rPr>
              <w:t>fh</w:t>
            </w:r>
            <w:r>
              <w:rPr>
                <w:rFonts w:hint="default" w:ascii="Times New Roman" w:hAnsi="Times New Roman" w:eastAsia="宋体" w:cs="Times New Roman"/>
                <w:color w:val="auto"/>
                <w:kern w:val="2"/>
                <w:sz w:val="24"/>
                <w:szCs w:val="24"/>
                <w:vertAlign w:val="baseline"/>
                <w:lang w:val="en-US" w:eastAsia="zh-CN" w:bidi="ar-SA"/>
              </w:rPr>
              <w:t>-</w:t>
            </w:r>
            <w:r>
              <w:rPr>
                <w:rFonts w:hint="default" w:ascii="Times New Roman" w:hAnsi="Times New Roman" w:eastAsia="宋体" w:cs="Times New Roman"/>
                <w:color w:val="auto"/>
                <w:kern w:val="2"/>
                <w:sz w:val="24"/>
                <w:szCs w:val="24"/>
                <w:lang w:val="en-US" w:eastAsia="zh-CN" w:bidi="ar-SA"/>
              </w:rPr>
              <w:t>锅炉烟气带出的飞灰份额，根据</w:t>
            </w:r>
            <w:r>
              <w:rPr>
                <w:rFonts w:hint="default" w:ascii="Times New Roman" w:hAnsi="Times New Roman" w:eastAsia="宋体" w:cs="Times New Roman"/>
                <w:bCs/>
                <w:color w:val="auto"/>
                <w:sz w:val="24"/>
                <w:lang w:val="en-US" w:eastAsia="zh-CN"/>
              </w:rPr>
              <w:t>根据《</w:t>
            </w:r>
            <w:r>
              <w:rPr>
                <w:rFonts w:hint="default" w:ascii="Times New Roman" w:hAnsi="Times New Roman" w:eastAsia="宋体" w:cs="Times New Roman"/>
                <w:bCs/>
                <w:color w:val="auto"/>
                <w:sz w:val="24"/>
              </w:rPr>
              <w:t>污染源源强核算技术指南 锅炉</w:t>
            </w:r>
            <w:r>
              <w:rPr>
                <w:rFonts w:hint="default"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rPr>
              <w:fldChar w:fldCharType="begin"/>
            </w:r>
            <w:r>
              <w:rPr>
                <w:rFonts w:hint="default" w:ascii="Times New Roman" w:hAnsi="Times New Roman" w:eastAsia="宋体" w:cs="Times New Roman"/>
                <w:bCs/>
                <w:color w:val="auto"/>
                <w:sz w:val="24"/>
              </w:rPr>
              <w:instrText xml:space="preserve"> HYPERLINK "https://www.mee.gov.cn/ywgz/fgbz/bz/bzwb/wrfzjszc/201901/W020190111333910366938.pdf" </w:instrText>
            </w:r>
            <w:r>
              <w:rPr>
                <w:rFonts w:hint="default" w:ascii="Times New Roman" w:hAnsi="Times New Roman" w:eastAsia="宋体" w:cs="Times New Roman"/>
                <w:bCs/>
                <w:color w:val="auto"/>
                <w:sz w:val="24"/>
              </w:rPr>
              <w:fldChar w:fldCharType="separate"/>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HJ 991—2018</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表B.2</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fldChar w:fldCharType="end"/>
            </w:r>
            <w:r>
              <w:rPr>
                <w:rFonts w:hint="default" w:ascii="Times New Roman" w:hAnsi="Times New Roman" w:eastAsia="宋体" w:cs="Times New Roman"/>
                <w:bCs/>
                <w:color w:val="auto"/>
                <w:sz w:val="24"/>
                <w:lang w:val="en-US" w:eastAsia="zh-CN"/>
              </w:rPr>
              <w:t>生物质+30%，链条炉5~15%，本次环评按最大值选取，因此15%+30%=</w:t>
            </w:r>
            <w:r>
              <w:rPr>
                <w:rFonts w:hint="default" w:ascii="Times New Roman" w:hAnsi="Times New Roman" w:eastAsia="宋体" w:cs="Times New Roman"/>
                <w:color w:val="auto"/>
                <w:kern w:val="2"/>
                <w:sz w:val="24"/>
                <w:szCs w:val="24"/>
                <w:lang w:val="en-US" w:eastAsia="zh-CN" w:bidi="ar-SA"/>
              </w:rPr>
              <w:t>45%；</w:t>
            </w:r>
          </w:p>
          <w:p w14:paraId="78715EE8">
            <w:pPr>
              <w:pStyle w:val="146"/>
              <w:keepNext w:val="0"/>
              <w:keepLines w:val="0"/>
              <w:suppressLineNumbers w:val="0"/>
              <w:spacing w:before="0" w:beforeAutospacing="0" w:after="0" w:afterAutospacing="0" w:line="360" w:lineRule="auto"/>
              <w:ind w:left="0" w:right="0" w:firstLine="48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lang w:val="en-US" w:eastAsia="zh-CN"/>
              </w:rPr>
              <w:t>η</w:t>
            </w:r>
            <w:r>
              <w:rPr>
                <w:rFonts w:hint="default" w:ascii="Times New Roman" w:hAnsi="Times New Roman" w:eastAsia="宋体" w:cs="Times New Roman"/>
                <w:color w:val="auto"/>
                <w:sz w:val="24"/>
                <w:vertAlign w:val="subscript"/>
                <w:lang w:val="en-US" w:eastAsia="zh-CN"/>
              </w:rPr>
              <w:t>c</w:t>
            </w:r>
            <w:r>
              <w:rPr>
                <w:rFonts w:hint="default" w:ascii="Times New Roman" w:hAnsi="Times New Roman" w:eastAsia="宋体" w:cs="Times New Roman"/>
                <w:color w:val="auto"/>
                <w:kern w:val="2"/>
                <w:sz w:val="24"/>
                <w:szCs w:val="24"/>
                <w:lang w:val="en-US" w:eastAsia="zh-CN" w:bidi="ar-SA"/>
              </w:rPr>
              <w:t>-综合除尘效率，布袋除尘器取值99.7%；</w:t>
            </w:r>
          </w:p>
          <w:p w14:paraId="4DBBDE7A">
            <w:pPr>
              <w:pStyle w:val="146"/>
              <w:keepNext w:val="0"/>
              <w:keepLines w:val="0"/>
              <w:suppressLineNumbers w:val="0"/>
              <w:spacing w:before="0" w:beforeAutospacing="0" w:after="0" w:afterAutospacing="0" w:line="360" w:lineRule="auto"/>
              <w:ind w:left="0" w:right="0" w:firstLine="48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C</w:t>
            </w:r>
            <w:r>
              <w:rPr>
                <w:rFonts w:hint="default" w:ascii="Times New Roman" w:hAnsi="Times New Roman" w:eastAsia="宋体" w:cs="Times New Roman"/>
                <w:color w:val="auto"/>
                <w:kern w:val="2"/>
                <w:sz w:val="24"/>
                <w:szCs w:val="24"/>
                <w:vertAlign w:val="subscript"/>
                <w:lang w:val="en-US" w:eastAsia="zh-CN" w:bidi="ar-SA"/>
              </w:rPr>
              <w:t>fh</w:t>
            </w:r>
            <w:r>
              <w:rPr>
                <w:rFonts w:hint="default" w:ascii="Times New Roman" w:hAnsi="Times New Roman" w:eastAsia="宋体" w:cs="Times New Roman"/>
                <w:color w:val="auto"/>
                <w:kern w:val="2"/>
                <w:sz w:val="24"/>
                <w:szCs w:val="24"/>
                <w:lang w:val="en-US" w:eastAsia="zh-CN" w:bidi="ar-SA"/>
              </w:rPr>
              <w:t>-飞灰中的可燃物含量，根据生物质测试锅炉约在8%。</w:t>
            </w:r>
          </w:p>
          <w:p w14:paraId="59375757">
            <w:pPr>
              <w:pStyle w:val="146"/>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Cs/>
                <w:color w:val="auto"/>
                <w:sz w:val="24"/>
                <w:szCs w:val="24"/>
                <w:vertAlign w:val="baseline"/>
                <w:lang w:val="en-US" w:eastAsia="zh-CN"/>
              </w:rPr>
            </w:pPr>
            <w:r>
              <w:rPr>
                <w:rFonts w:hint="default" w:ascii="Times New Roman" w:hAnsi="Times New Roman" w:eastAsia="宋体" w:cs="Times New Roman"/>
                <w:bCs/>
                <w:color w:val="auto"/>
                <w:sz w:val="24"/>
                <w:szCs w:val="24"/>
                <w:lang w:val="en-US" w:eastAsia="zh-CN"/>
              </w:rPr>
              <w:t>综上所述，本项目的E</w:t>
            </w:r>
            <w:r>
              <w:rPr>
                <w:rFonts w:hint="default" w:ascii="Times New Roman" w:hAnsi="Times New Roman" w:eastAsia="宋体" w:cs="Times New Roman"/>
                <w:bCs/>
                <w:color w:val="auto"/>
                <w:sz w:val="24"/>
                <w:szCs w:val="24"/>
                <w:vertAlign w:val="subscript"/>
                <w:lang w:val="en-US" w:eastAsia="zh-CN"/>
              </w:rPr>
              <w:t>A</w:t>
            </w:r>
            <w:r>
              <w:rPr>
                <w:rFonts w:hint="default" w:ascii="Times New Roman" w:hAnsi="Times New Roman" w:eastAsia="宋体" w:cs="Times New Roman"/>
                <w:bCs/>
                <w:color w:val="auto"/>
                <w:sz w:val="24"/>
                <w:szCs w:val="24"/>
                <w:vertAlign w:val="baseline"/>
                <w:lang w:val="en-US" w:eastAsia="zh-CN"/>
              </w:rPr>
              <w:t>=（14573.74×4.56/100×45/100×（1-99.7/100））/（1-8/100）=0.98t</w:t>
            </w:r>
          </w:p>
          <w:p w14:paraId="099A3DC6">
            <w:pPr>
              <w:pStyle w:val="146"/>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Cs/>
                <w:color w:val="auto"/>
                <w:sz w:val="24"/>
                <w:vertAlign w:val="baseline"/>
                <w:lang w:val="en-US" w:eastAsia="zh-CN"/>
              </w:rPr>
            </w:pPr>
            <w:r>
              <w:rPr>
                <w:rFonts w:hint="default" w:ascii="Times New Roman" w:hAnsi="Times New Roman" w:eastAsia="宋体" w:cs="Times New Roman"/>
                <w:bCs/>
                <w:color w:val="auto"/>
                <w:sz w:val="24"/>
                <w:lang w:val="en-US" w:eastAsia="zh-CN"/>
              </w:rPr>
              <w:t>锅炉年运行300天，每天24小时，风量为</w:t>
            </w:r>
            <w:r>
              <w:rPr>
                <w:rFonts w:hint="default" w:ascii="Times New Roman" w:hAnsi="Times New Roman" w:eastAsia="宋体" w:cs="Times New Roman"/>
                <w:color w:val="auto"/>
                <w:sz w:val="24"/>
                <w:vertAlign w:val="baseline"/>
                <w:lang w:val="en-US" w:eastAsia="zh-CN"/>
              </w:rPr>
              <w:t>12630.6m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vertAlign w:val="baseline"/>
                <w:lang w:val="en-US" w:eastAsia="zh-CN"/>
              </w:rPr>
              <w:t>/h，则颗粒物经布袋除尘器处理后排放量为0.98t/a，排放速率为0.14kg/h，排放浓度为11.08mg/m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vertAlign w:val="baseline"/>
                <w:lang w:val="en-US" w:eastAsia="zh-CN"/>
              </w:rPr>
              <w:t>。</w:t>
            </w:r>
          </w:p>
          <w:p w14:paraId="077CA258">
            <w:pPr>
              <w:pStyle w:val="146"/>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则本项目锅炉废气的产排污情况见下表。</w:t>
            </w:r>
          </w:p>
          <w:p w14:paraId="58E6017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表4</w:t>
            </w:r>
            <w:r>
              <w:rPr>
                <w:rFonts w:hint="default" w:ascii="Times New Roman" w:hAnsi="Times New Roman" w:eastAsia="宋体" w:cs="Times New Roman"/>
                <w:b/>
                <w:color w:val="auto"/>
                <w:sz w:val="24"/>
                <w:lang w:val="en-US" w:eastAsia="zh-CN"/>
              </w:rPr>
              <w:t>.2-2</w:t>
            </w:r>
            <w:r>
              <w:rPr>
                <w:rFonts w:hint="default" w:ascii="Times New Roman" w:hAnsi="Times New Roman" w:eastAsia="宋体" w:cs="Times New Roman"/>
                <w:b/>
                <w:color w:val="auto"/>
                <w:sz w:val="24"/>
              </w:rPr>
              <w:t xml:space="preserve">  锅炉废气污染源源强核算结果及相关参数一览表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699"/>
              <w:gridCol w:w="798"/>
              <w:gridCol w:w="689"/>
              <w:gridCol w:w="689"/>
              <w:gridCol w:w="892"/>
              <w:gridCol w:w="599"/>
              <w:gridCol w:w="798"/>
              <w:gridCol w:w="763"/>
              <w:gridCol w:w="689"/>
            </w:tblGrid>
            <w:tr w14:paraId="376E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00" w:type="pct"/>
                  <w:vMerge w:val="restart"/>
                  <w:noWrap w:val="0"/>
                  <w:vAlign w:val="center"/>
                </w:tcPr>
                <w:p w14:paraId="7FD85C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污染源</w:t>
                  </w:r>
                </w:p>
              </w:tc>
              <w:tc>
                <w:tcPr>
                  <w:tcW w:w="436" w:type="pct"/>
                  <w:vMerge w:val="restart"/>
                  <w:noWrap w:val="0"/>
                  <w:vAlign w:val="center"/>
                </w:tcPr>
                <w:p w14:paraId="2108BB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污染物</w:t>
                  </w:r>
                </w:p>
              </w:tc>
              <w:tc>
                <w:tcPr>
                  <w:tcW w:w="1290" w:type="pct"/>
                  <w:gridSpan w:val="3"/>
                  <w:noWrap w:val="0"/>
                  <w:vAlign w:val="center"/>
                </w:tcPr>
                <w:p w14:paraId="54558D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污染物产生</w:t>
                  </w:r>
                </w:p>
              </w:tc>
              <w:tc>
                <w:tcPr>
                  <w:tcW w:w="928" w:type="pct"/>
                  <w:gridSpan w:val="2"/>
                  <w:noWrap w:val="0"/>
                  <w:vAlign w:val="center"/>
                </w:tcPr>
                <w:p w14:paraId="7EC3A7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治理措施</w:t>
                  </w:r>
                </w:p>
              </w:tc>
              <w:tc>
                <w:tcPr>
                  <w:tcW w:w="1343" w:type="pct"/>
                  <w:gridSpan w:val="3"/>
                  <w:noWrap w:val="0"/>
                  <w:vAlign w:val="center"/>
                </w:tcPr>
                <w:p w14:paraId="56DB0D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污染物排放</w:t>
                  </w:r>
                </w:p>
              </w:tc>
            </w:tr>
            <w:tr w14:paraId="1472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00" w:type="pct"/>
                  <w:vMerge w:val="continue"/>
                  <w:noWrap w:val="0"/>
                  <w:vAlign w:val="center"/>
                </w:tcPr>
                <w:p w14:paraId="65718A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p>
              </w:tc>
              <w:tc>
                <w:tcPr>
                  <w:tcW w:w="436" w:type="pct"/>
                  <w:vMerge w:val="continue"/>
                  <w:noWrap w:val="0"/>
                  <w:vAlign w:val="center"/>
                </w:tcPr>
                <w:p w14:paraId="646756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p>
              </w:tc>
              <w:tc>
                <w:tcPr>
                  <w:tcW w:w="482" w:type="pct"/>
                  <w:noWrap w:val="0"/>
                  <w:vAlign w:val="center"/>
                </w:tcPr>
                <w:p w14:paraId="0C31A9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产生浓度mg/m</w:t>
                  </w:r>
                  <w:r>
                    <w:rPr>
                      <w:rFonts w:hint="default" w:ascii="Times New Roman" w:hAnsi="Times New Roman" w:eastAsia="宋体" w:cs="Times New Roman"/>
                      <w:b/>
                      <w:bCs/>
                      <w:color w:val="auto"/>
                      <w:szCs w:val="21"/>
                      <w:vertAlign w:val="superscript"/>
                    </w:rPr>
                    <w:t>3</w:t>
                  </w:r>
                </w:p>
              </w:tc>
              <w:tc>
                <w:tcPr>
                  <w:tcW w:w="414" w:type="pct"/>
                  <w:noWrap w:val="0"/>
                  <w:vAlign w:val="center"/>
                </w:tcPr>
                <w:p w14:paraId="3B3B37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产生速率kg/h</w:t>
                  </w:r>
                </w:p>
              </w:tc>
              <w:tc>
                <w:tcPr>
                  <w:tcW w:w="393" w:type="pct"/>
                  <w:noWrap w:val="0"/>
                  <w:vAlign w:val="center"/>
                </w:tcPr>
                <w:p w14:paraId="7AF286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产生量t/a</w:t>
                  </w:r>
                </w:p>
              </w:tc>
              <w:tc>
                <w:tcPr>
                  <w:tcW w:w="553" w:type="pct"/>
                  <w:noWrap w:val="0"/>
                  <w:vAlign w:val="center"/>
                </w:tcPr>
                <w:p w14:paraId="24E225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工艺</w:t>
                  </w:r>
                </w:p>
              </w:tc>
              <w:tc>
                <w:tcPr>
                  <w:tcW w:w="374" w:type="pct"/>
                  <w:noWrap w:val="0"/>
                  <w:vAlign w:val="center"/>
                </w:tcPr>
                <w:p w14:paraId="59A507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效率/%</w:t>
                  </w:r>
                </w:p>
              </w:tc>
              <w:tc>
                <w:tcPr>
                  <w:tcW w:w="482" w:type="pct"/>
                  <w:noWrap w:val="0"/>
                  <w:vAlign w:val="center"/>
                </w:tcPr>
                <w:p w14:paraId="64CC98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排放浓度mg/m</w:t>
                  </w:r>
                  <w:r>
                    <w:rPr>
                      <w:rFonts w:hint="default" w:ascii="Times New Roman" w:hAnsi="Times New Roman" w:eastAsia="宋体" w:cs="Times New Roman"/>
                      <w:b/>
                      <w:bCs/>
                      <w:color w:val="auto"/>
                      <w:szCs w:val="21"/>
                      <w:vertAlign w:val="superscript"/>
                    </w:rPr>
                    <w:t>3</w:t>
                  </w:r>
                </w:p>
              </w:tc>
              <w:tc>
                <w:tcPr>
                  <w:tcW w:w="474" w:type="pct"/>
                  <w:noWrap w:val="0"/>
                  <w:vAlign w:val="center"/>
                </w:tcPr>
                <w:p w14:paraId="1CA48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排放速率kg/h</w:t>
                  </w:r>
                </w:p>
              </w:tc>
              <w:tc>
                <w:tcPr>
                  <w:tcW w:w="386" w:type="pct"/>
                  <w:noWrap w:val="0"/>
                  <w:vAlign w:val="center"/>
                </w:tcPr>
                <w:p w14:paraId="47E1C3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排放量t/a</w:t>
                  </w:r>
                </w:p>
              </w:tc>
            </w:tr>
            <w:tr w14:paraId="7325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Merge w:val="restart"/>
                  <w:noWrap w:val="0"/>
                  <w:vAlign w:val="center"/>
                </w:tcPr>
                <w:p w14:paraId="4FC0AC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锅炉烟气（烟气量：</w:t>
                  </w:r>
                  <w:r>
                    <w:rPr>
                      <w:rFonts w:hint="default" w:ascii="Times New Roman" w:hAnsi="Times New Roman" w:eastAsia="宋体" w:cs="Times New Roman"/>
                      <w:bCs/>
                      <w:color w:val="auto"/>
                      <w:szCs w:val="21"/>
                      <w:lang w:val="en-US" w:eastAsia="zh-CN"/>
                    </w:rPr>
                    <w:t>9094</w:t>
                  </w:r>
                  <w:r>
                    <w:rPr>
                      <w:rFonts w:hint="default" w:ascii="Times New Roman" w:hAnsi="Times New Roman" w:eastAsia="宋体" w:cs="Times New Roman"/>
                      <w:bCs/>
                      <w:color w:val="auto"/>
                      <w:szCs w:val="21"/>
                    </w:rPr>
                    <w:t>万Nm</w:t>
                  </w:r>
                  <w:r>
                    <w:rPr>
                      <w:rFonts w:hint="default" w:ascii="Times New Roman" w:hAnsi="Times New Roman" w:eastAsia="宋体" w:cs="Times New Roman"/>
                      <w:bCs/>
                      <w:color w:val="auto"/>
                      <w:szCs w:val="21"/>
                      <w:vertAlign w:val="superscript"/>
                    </w:rPr>
                    <w:t>3</w:t>
                  </w:r>
                  <w:r>
                    <w:rPr>
                      <w:rFonts w:hint="default" w:ascii="Times New Roman" w:hAnsi="Times New Roman" w:eastAsia="宋体" w:cs="Times New Roman"/>
                      <w:bCs/>
                      <w:color w:val="auto"/>
                      <w:szCs w:val="21"/>
                    </w:rPr>
                    <w:t>/a，</w:t>
                  </w:r>
                  <w:r>
                    <w:rPr>
                      <w:rFonts w:hint="default" w:ascii="Times New Roman" w:hAnsi="Times New Roman" w:eastAsia="宋体" w:cs="Times New Roman"/>
                      <w:bCs/>
                      <w:color w:val="auto"/>
                      <w:szCs w:val="21"/>
                      <w:lang w:val="en-US" w:eastAsia="zh-CN"/>
                    </w:rPr>
                    <w:t>12630.6</w:t>
                  </w:r>
                  <w:r>
                    <w:rPr>
                      <w:rFonts w:hint="default" w:ascii="Times New Roman" w:hAnsi="Times New Roman" w:eastAsia="宋体" w:cs="Times New Roman"/>
                      <w:bCs/>
                      <w:color w:val="auto"/>
                      <w:szCs w:val="21"/>
                    </w:rPr>
                    <w:t>Nm</w:t>
                  </w:r>
                  <w:r>
                    <w:rPr>
                      <w:rFonts w:hint="default" w:ascii="Times New Roman" w:hAnsi="Times New Roman" w:eastAsia="宋体" w:cs="Times New Roman"/>
                      <w:bCs/>
                      <w:color w:val="auto"/>
                      <w:szCs w:val="21"/>
                      <w:vertAlign w:val="superscript"/>
                    </w:rPr>
                    <w:t>3</w:t>
                  </w:r>
                  <w:r>
                    <w:rPr>
                      <w:rFonts w:hint="default" w:ascii="Times New Roman" w:hAnsi="Times New Roman" w:eastAsia="宋体" w:cs="Times New Roman"/>
                      <w:bCs/>
                      <w:color w:val="auto"/>
                      <w:szCs w:val="21"/>
                    </w:rPr>
                    <w:t>/h）</w:t>
                  </w:r>
                </w:p>
              </w:tc>
              <w:tc>
                <w:tcPr>
                  <w:tcW w:w="436" w:type="pct"/>
                  <w:noWrap w:val="0"/>
                  <w:vAlign w:val="center"/>
                </w:tcPr>
                <w:p w14:paraId="36DF08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SO</w:t>
                  </w:r>
                  <w:r>
                    <w:rPr>
                      <w:rFonts w:hint="default" w:ascii="Times New Roman" w:hAnsi="Times New Roman" w:eastAsia="宋体" w:cs="Times New Roman"/>
                      <w:color w:val="auto"/>
                      <w:szCs w:val="21"/>
                      <w:vertAlign w:val="subscript"/>
                    </w:rPr>
                    <w:t>2</w:t>
                  </w:r>
                </w:p>
              </w:tc>
              <w:tc>
                <w:tcPr>
                  <w:tcW w:w="798" w:type="dxa"/>
                  <w:noWrap w:val="0"/>
                  <w:vAlign w:val="center"/>
                </w:tcPr>
                <w:p w14:paraId="4E84D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25.18</w:t>
                  </w:r>
                </w:p>
              </w:tc>
              <w:tc>
                <w:tcPr>
                  <w:tcW w:w="685" w:type="dxa"/>
                  <w:noWrap w:val="0"/>
                  <w:vAlign w:val="center"/>
                </w:tcPr>
                <w:p w14:paraId="2CC30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0.318</w:t>
                  </w:r>
                </w:p>
              </w:tc>
              <w:tc>
                <w:tcPr>
                  <w:tcW w:w="652" w:type="dxa"/>
                  <w:noWrap w:val="0"/>
                  <w:vAlign w:val="center"/>
                </w:tcPr>
                <w:p w14:paraId="3A10C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2.29</w:t>
                  </w:r>
                </w:p>
              </w:tc>
              <w:tc>
                <w:tcPr>
                  <w:tcW w:w="553" w:type="pct"/>
                  <w:noWrap w:val="0"/>
                  <w:vAlign w:val="center"/>
                </w:tcPr>
                <w:p w14:paraId="1990AF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374" w:type="pct"/>
                  <w:noWrap w:val="0"/>
                  <w:vAlign w:val="center"/>
                </w:tcPr>
                <w:p w14:paraId="66D653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482" w:type="pct"/>
                  <w:noWrap w:val="0"/>
                  <w:vAlign w:val="center"/>
                </w:tcPr>
                <w:p w14:paraId="415A3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25.18</w:t>
                  </w:r>
                </w:p>
              </w:tc>
              <w:tc>
                <w:tcPr>
                  <w:tcW w:w="474" w:type="pct"/>
                  <w:noWrap w:val="0"/>
                  <w:vAlign w:val="center"/>
                </w:tcPr>
                <w:p w14:paraId="0C5EB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0.318</w:t>
                  </w:r>
                </w:p>
              </w:tc>
              <w:tc>
                <w:tcPr>
                  <w:tcW w:w="386" w:type="pct"/>
                  <w:noWrap w:val="0"/>
                  <w:vAlign w:val="center"/>
                </w:tcPr>
                <w:p w14:paraId="25984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2.29</w:t>
                  </w:r>
                </w:p>
              </w:tc>
            </w:tr>
            <w:tr w14:paraId="0DA1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Merge w:val="continue"/>
                  <w:noWrap w:val="0"/>
                  <w:vAlign w:val="center"/>
                </w:tcPr>
                <w:p w14:paraId="0A2B44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c>
                <w:tcPr>
                  <w:tcW w:w="436" w:type="pct"/>
                  <w:noWrap w:val="0"/>
                  <w:vAlign w:val="center"/>
                </w:tcPr>
                <w:p w14:paraId="642D3C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NOx</w:t>
                  </w:r>
                </w:p>
              </w:tc>
              <w:tc>
                <w:tcPr>
                  <w:tcW w:w="798" w:type="dxa"/>
                  <w:noWrap w:val="0"/>
                  <w:vAlign w:val="center"/>
                </w:tcPr>
                <w:p w14:paraId="323FF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163.89</w:t>
                  </w:r>
                </w:p>
              </w:tc>
              <w:tc>
                <w:tcPr>
                  <w:tcW w:w="689" w:type="dxa"/>
                  <w:noWrap w:val="0"/>
                  <w:vAlign w:val="center"/>
                </w:tcPr>
                <w:p w14:paraId="224B1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2.07</w:t>
                  </w:r>
                </w:p>
              </w:tc>
              <w:tc>
                <w:tcPr>
                  <w:tcW w:w="643" w:type="dxa"/>
                  <w:noWrap w:val="0"/>
                  <w:vAlign w:val="center"/>
                </w:tcPr>
                <w:p w14:paraId="6C5AE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14.87</w:t>
                  </w:r>
                </w:p>
              </w:tc>
              <w:tc>
                <w:tcPr>
                  <w:tcW w:w="553" w:type="pct"/>
                  <w:noWrap w:val="0"/>
                  <w:vAlign w:val="center"/>
                </w:tcPr>
                <w:p w14:paraId="62ED24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374" w:type="pct"/>
                  <w:noWrap w:val="0"/>
                  <w:vAlign w:val="center"/>
                </w:tcPr>
                <w:p w14:paraId="58AA1C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798" w:type="dxa"/>
                  <w:noWrap w:val="0"/>
                  <w:vAlign w:val="center"/>
                </w:tcPr>
                <w:p w14:paraId="5A11B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163.89</w:t>
                  </w:r>
                </w:p>
              </w:tc>
              <w:tc>
                <w:tcPr>
                  <w:tcW w:w="777" w:type="dxa"/>
                  <w:noWrap w:val="0"/>
                  <w:vAlign w:val="center"/>
                </w:tcPr>
                <w:p w14:paraId="10E39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2.07</w:t>
                  </w:r>
                </w:p>
              </w:tc>
              <w:tc>
                <w:tcPr>
                  <w:tcW w:w="633" w:type="dxa"/>
                  <w:noWrap w:val="0"/>
                  <w:vAlign w:val="center"/>
                </w:tcPr>
                <w:p w14:paraId="1FF42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14.87</w:t>
                  </w:r>
                </w:p>
              </w:tc>
            </w:tr>
            <w:tr w14:paraId="26CA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000" w:type="pct"/>
                  <w:vMerge w:val="continue"/>
                  <w:noWrap w:val="0"/>
                  <w:vAlign w:val="center"/>
                </w:tcPr>
                <w:p w14:paraId="26EFF0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c>
                <w:tcPr>
                  <w:tcW w:w="436" w:type="pct"/>
                  <w:noWrap w:val="0"/>
                  <w:vAlign w:val="center"/>
                </w:tcPr>
                <w:p w14:paraId="6FDDDA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w:t>
                  </w:r>
                </w:p>
              </w:tc>
              <w:tc>
                <w:tcPr>
                  <w:tcW w:w="482" w:type="pct"/>
                  <w:noWrap w:val="0"/>
                  <w:vAlign w:val="center"/>
                </w:tcPr>
                <w:p w14:paraId="22D3F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3592.1</w:t>
                  </w:r>
                </w:p>
              </w:tc>
              <w:tc>
                <w:tcPr>
                  <w:tcW w:w="414" w:type="pct"/>
                  <w:noWrap w:val="0"/>
                  <w:vAlign w:val="center"/>
                </w:tcPr>
                <w:p w14:paraId="14BD5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45.37</w:t>
                  </w:r>
                </w:p>
              </w:tc>
              <w:tc>
                <w:tcPr>
                  <w:tcW w:w="393" w:type="pct"/>
                  <w:noWrap w:val="0"/>
                  <w:vAlign w:val="center"/>
                </w:tcPr>
                <w:p w14:paraId="2D107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326.7</w:t>
                  </w:r>
                </w:p>
              </w:tc>
              <w:tc>
                <w:tcPr>
                  <w:tcW w:w="553" w:type="pct"/>
                  <w:noWrap w:val="0"/>
                  <w:vAlign w:val="center"/>
                </w:tcPr>
                <w:p w14:paraId="216152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布袋除尘</w:t>
                  </w:r>
                </w:p>
              </w:tc>
              <w:tc>
                <w:tcPr>
                  <w:tcW w:w="374" w:type="pct"/>
                  <w:noWrap w:val="0"/>
                  <w:vAlign w:val="center"/>
                </w:tcPr>
                <w:p w14:paraId="645890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99.7</w:t>
                  </w:r>
                </w:p>
              </w:tc>
              <w:tc>
                <w:tcPr>
                  <w:tcW w:w="482" w:type="pct"/>
                  <w:noWrap w:val="0"/>
                  <w:vAlign w:val="center"/>
                </w:tcPr>
                <w:p w14:paraId="7FACF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11.08</w:t>
                  </w:r>
                </w:p>
              </w:tc>
              <w:tc>
                <w:tcPr>
                  <w:tcW w:w="474" w:type="pct"/>
                  <w:noWrap w:val="0"/>
                  <w:vAlign w:val="center"/>
                </w:tcPr>
                <w:p w14:paraId="4DE55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0.14</w:t>
                  </w:r>
                </w:p>
              </w:tc>
              <w:tc>
                <w:tcPr>
                  <w:tcW w:w="386" w:type="pct"/>
                  <w:noWrap w:val="0"/>
                  <w:vAlign w:val="center"/>
                </w:tcPr>
                <w:p w14:paraId="6AA59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0.98</w:t>
                  </w:r>
                </w:p>
              </w:tc>
            </w:tr>
          </w:tbl>
          <w:p w14:paraId="085D885F">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w:t>
            </w:r>
            <w:r>
              <w:rPr>
                <w:rFonts w:hint="default" w:ascii="Times New Roman" w:hAnsi="Times New Roman" w:eastAsia="宋体" w:cs="Times New Roman"/>
                <w:b/>
                <w:bCs/>
                <w:color w:val="auto"/>
                <w:sz w:val="24"/>
                <w:lang w:val="en-US" w:eastAsia="zh-CN"/>
              </w:rPr>
              <w:t>2</w:t>
            </w:r>
            <w:r>
              <w:rPr>
                <w:rFonts w:hint="default" w:ascii="Times New Roman" w:hAnsi="Times New Roman" w:eastAsia="宋体" w:cs="Times New Roman"/>
                <w:b/>
                <w:bCs/>
                <w:color w:val="auto"/>
                <w:sz w:val="24"/>
              </w:rPr>
              <w:t>）非正常工况</w:t>
            </w:r>
          </w:p>
          <w:p w14:paraId="2A57592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项目锅炉废气治理措施</w:t>
            </w:r>
            <w:r>
              <w:rPr>
                <w:rFonts w:hint="default" w:ascii="Times New Roman" w:hAnsi="Times New Roman" w:eastAsia="宋体" w:cs="Times New Roman"/>
                <w:color w:val="auto"/>
                <w:sz w:val="24"/>
                <w:lang w:val="en-US" w:eastAsia="zh-CN"/>
              </w:rPr>
              <w:t>装置（布袋除尘器）</w:t>
            </w:r>
            <w:r>
              <w:rPr>
                <w:rFonts w:hint="default" w:ascii="Times New Roman" w:hAnsi="Times New Roman" w:eastAsia="宋体" w:cs="Times New Roman"/>
                <w:color w:val="auto"/>
                <w:sz w:val="24"/>
              </w:rPr>
              <w:t>发生故障</w:t>
            </w:r>
            <w:r>
              <w:rPr>
                <w:rFonts w:hint="default" w:ascii="Times New Roman" w:hAnsi="Times New Roman" w:eastAsia="宋体" w:cs="Times New Roman"/>
                <w:color w:val="auto"/>
                <w:sz w:val="24"/>
                <w:lang w:val="en-US" w:eastAsia="zh-CN"/>
              </w:rPr>
              <w:t>或长时间未更换</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导致</w:t>
            </w:r>
            <w:r>
              <w:rPr>
                <w:rFonts w:hint="default" w:ascii="Times New Roman" w:hAnsi="Times New Roman" w:eastAsia="宋体" w:cs="Times New Roman"/>
                <w:color w:val="auto"/>
                <w:sz w:val="24"/>
              </w:rPr>
              <w:t>颗粒物去除效率降为</w:t>
            </w:r>
            <w:r>
              <w:rPr>
                <w:rFonts w:hint="default" w:ascii="Times New Roman" w:hAnsi="Times New Roman" w:eastAsia="宋体" w:cs="Times New Roman"/>
                <w:color w:val="auto"/>
                <w:sz w:val="24"/>
                <w:lang w:val="en-US" w:eastAsia="zh-CN"/>
              </w:rPr>
              <w:t>8</w:t>
            </w:r>
            <w:r>
              <w:rPr>
                <w:rFonts w:hint="default" w:ascii="Times New Roman" w:hAnsi="Times New Roman" w:eastAsia="宋体" w:cs="Times New Roman"/>
                <w:color w:val="auto"/>
                <w:sz w:val="24"/>
              </w:rPr>
              <w:t>0%，非正常排放情况见表4</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-3。</w:t>
            </w:r>
          </w:p>
          <w:p w14:paraId="197D836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表4</w:t>
            </w:r>
            <w:r>
              <w:rPr>
                <w:rFonts w:hint="default" w:ascii="Times New Roman" w:hAnsi="Times New Roman" w:eastAsia="宋体" w:cs="Times New Roman"/>
                <w:b/>
                <w:color w:val="auto"/>
                <w:sz w:val="24"/>
                <w:lang w:val="en-US" w:eastAsia="zh-CN"/>
              </w:rPr>
              <w:t>.2</w:t>
            </w:r>
            <w:r>
              <w:rPr>
                <w:rFonts w:hint="default" w:ascii="Times New Roman" w:hAnsi="Times New Roman" w:eastAsia="宋体" w:cs="Times New Roman"/>
                <w:b/>
                <w:color w:val="auto"/>
                <w:sz w:val="24"/>
              </w:rPr>
              <w:t>-3 项目非正常排放量核算表</w:t>
            </w:r>
          </w:p>
          <w:tbl>
            <w:tblPr>
              <w:tblStyle w:val="3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58"/>
              <w:gridCol w:w="930"/>
              <w:gridCol w:w="1219"/>
              <w:gridCol w:w="1144"/>
              <w:gridCol w:w="834"/>
              <w:gridCol w:w="717"/>
              <w:gridCol w:w="1253"/>
            </w:tblGrid>
            <w:tr w14:paraId="5AB4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noWrap w:val="0"/>
                  <w:vAlign w:val="center"/>
                </w:tcPr>
                <w:p w14:paraId="23F94A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污染源</w:t>
                  </w:r>
                </w:p>
              </w:tc>
              <w:tc>
                <w:tcPr>
                  <w:tcW w:w="882" w:type="pct"/>
                  <w:noWrap w:val="0"/>
                  <w:vAlign w:val="center"/>
                </w:tcPr>
                <w:p w14:paraId="3FD5E2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非正常排放原因</w:t>
                  </w:r>
                </w:p>
              </w:tc>
              <w:tc>
                <w:tcPr>
                  <w:tcW w:w="563" w:type="pct"/>
                  <w:noWrap w:val="0"/>
                  <w:vAlign w:val="center"/>
                </w:tcPr>
                <w:p w14:paraId="67905C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污染物</w:t>
                  </w:r>
                </w:p>
              </w:tc>
              <w:tc>
                <w:tcPr>
                  <w:tcW w:w="732" w:type="pct"/>
                  <w:noWrap w:val="0"/>
                  <w:vAlign w:val="center"/>
                </w:tcPr>
                <w:p w14:paraId="75C7CD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非正常排放浓度/（mg/m</w:t>
                  </w:r>
                  <w:r>
                    <w:rPr>
                      <w:rFonts w:hint="default" w:ascii="Times New Roman" w:hAnsi="Times New Roman" w:eastAsia="宋体" w:cs="Times New Roman"/>
                      <w:b/>
                      <w:bCs/>
                      <w:color w:val="auto"/>
                      <w:szCs w:val="21"/>
                      <w:vertAlign w:val="superscript"/>
                    </w:rPr>
                    <w:t>3</w:t>
                  </w:r>
                  <w:r>
                    <w:rPr>
                      <w:rFonts w:hint="default" w:ascii="Times New Roman" w:hAnsi="Times New Roman" w:eastAsia="宋体" w:cs="Times New Roman"/>
                      <w:b/>
                      <w:bCs/>
                      <w:color w:val="auto"/>
                      <w:szCs w:val="21"/>
                    </w:rPr>
                    <w:t>）</w:t>
                  </w:r>
                </w:p>
              </w:tc>
              <w:tc>
                <w:tcPr>
                  <w:tcW w:w="692" w:type="pct"/>
                  <w:noWrap w:val="0"/>
                  <w:vAlign w:val="center"/>
                </w:tcPr>
                <w:p w14:paraId="22E195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非正常排放排放速率/（kg/h）</w:t>
                  </w:r>
                </w:p>
              </w:tc>
              <w:tc>
                <w:tcPr>
                  <w:tcW w:w="505" w:type="pct"/>
                  <w:noWrap w:val="0"/>
                  <w:vAlign w:val="center"/>
                </w:tcPr>
                <w:p w14:paraId="3FB610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单次持续时间/h</w:t>
                  </w:r>
                </w:p>
              </w:tc>
              <w:tc>
                <w:tcPr>
                  <w:tcW w:w="434" w:type="pct"/>
                  <w:noWrap w:val="0"/>
                  <w:vAlign w:val="center"/>
                </w:tcPr>
                <w:p w14:paraId="1BEDD8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年发生频次/次</w:t>
                  </w:r>
                </w:p>
              </w:tc>
              <w:tc>
                <w:tcPr>
                  <w:tcW w:w="758" w:type="pct"/>
                  <w:noWrap w:val="0"/>
                  <w:vAlign w:val="center"/>
                </w:tcPr>
                <w:p w14:paraId="611C95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应对措施</w:t>
                  </w:r>
                </w:p>
              </w:tc>
            </w:tr>
            <w:tr w14:paraId="7F3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0" w:type="pct"/>
                  <w:vMerge w:val="restart"/>
                  <w:noWrap w:val="0"/>
                  <w:vAlign w:val="center"/>
                </w:tcPr>
                <w:p w14:paraId="1C5295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锅炉烟气</w:t>
                  </w:r>
                </w:p>
              </w:tc>
              <w:tc>
                <w:tcPr>
                  <w:tcW w:w="882" w:type="pct"/>
                  <w:vMerge w:val="restart"/>
                  <w:noWrap w:val="0"/>
                  <w:vAlign w:val="center"/>
                </w:tcPr>
                <w:p w14:paraId="0E8083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布袋除尘器</w:t>
                  </w:r>
                  <w:r>
                    <w:rPr>
                      <w:rFonts w:hint="default" w:ascii="Times New Roman" w:hAnsi="Times New Roman" w:eastAsia="宋体" w:cs="Times New Roman"/>
                      <w:color w:val="auto"/>
                      <w:szCs w:val="21"/>
                    </w:rPr>
                    <w:t>发生故障，除尘效率降为</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0%</w:t>
                  </w:r>
                  <w:r>
                    <w:rPr>
                      <w:rFonts w:hint="default" w:ascii="Times New Roman" w:hAnsi="Times New Roman" w:eastAsia="宋体" w:cs="Times New Roman"/>
                      <w:color w:val="auto"/>
                      <w:szCs w:val="21"/>
                      <w:lang w:val="en-US" w:eastAsia="zh-CN"/>
                    </w:rPr>
                    <w:t>时</w:t>
                  </w:r>
                </w:p>
              </w:tc>
              <w:tc>
                <w:tcPr>
                  <w:tcW w:w="956" w:type="dxa"/>
                  <w:noWrap w:val="0"/>
                  <w:vAlign w:val="center"/>
                </w:tcPr>
                <w:p w14:paraId="7F24C2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SO</w:t>
                  </w:r>
                  <w:r>
                    <w:rPr>
                      <w:rFonts w:hint="default" w:ascii="Times New Roman" w:hAnsi="Times New Roman" w:eastAsia="宋体" w:cs="Times New Roman"/>
                      <w:color w:val="auto"/>
                      <w:szCs w:val="21"/>
                      <w:vertAlign w:val="subscript"/>
                    </w:rPr>
                    <w:t>2</w:t>
                  </w:r>
                </w:p>
              </w:tc>
              <w:tc>
                <w:tcPr>
                  <w:tcW w:w="1243" w:type="dxa"/>
                  <w:noWrap w:val="0"/>
                  <w:vAlign w:val="center"/>
                </w:tcPr>
                <w:p w14:paraId="60D60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25.18</w:t>
                  </w:r>
                </w:p>
              </w:tc>
              <w:tc>
                <w:tcPr>
                  <w:tcW w:w="1175" w:type="dxa"/>
                  <w:noWrap w:val="0"/>
                  <w:vAlign w:val="center"/>
                </w:tcPr>
                <w:p w14:paraId="0A289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0.318</w:t>
                  </w:r>
                </w:p>
              </w:tc>
              <w:tc>
                <w:tcPr>
                  <w:tcW w:w="505" w:type="pct"/>
                  <w:vMerge w:val="restart"/>
                  <w:noWrap w:val="0"/>
                  <w:vAlign w:val="center"/>
                </w:tcPr>
                <w:p w14:paraId="1208B0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434" w:type="pct"/>
                  <w:vMerge w:val="restart"/>
                  <w:noWrap w:val="0"/>
                  <w:vAlign w:val="center"/>
                </w:tcPr>
                <w:p w14:paraId="1E896C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758" w:type="pct"/>
                  <w:vMerge w:val="restart"/>
                  <w:noWrap w:val="0"/>
                  <w:vAlign w:val="center"/>
                </w:tcPr>
                <w:p w14:paraId="503828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定期进行维护和管理。若发生非正常排放，应立即停止运行。</w:t>
                  </w:r>
                </w:p>
              </w:tc>
            </w:tr>
            <w:tr w14:paraId="6558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30" w:type="pct"/>
                  <w:vMerge w:val="continue"/>
                  <w:noWrap w:val="0"/>
                  <w:vAlign w:val="center"/>
                </w:tcPr>
                <w:p w14:paraId="297A54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c>
                <w:tcPr>
                  <w:tcW w:w="882" w:type="pct"/>
                  <w:vMerge w:val="continue"/>
                  <w:noWrap w:val="0"/>
                  <w:vAlign w:val="center"/>
                </w:tcPr>
                <w:p w14:paraId="32000A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c>
                <w:tcPr>
                  <w:tcW w:w="956" w:type="dxa"/>
                  <w:noWrap w:val="0"/>
                  <w:vAlign w:val="center"/>
                </w:tcPr>
                <w:p w14:paraId="22BA4D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NOx</w:t>
                  </w:r>
                </w:p>
              </w:tc>
              <w:tc>
                <w:tcPr>
                  <w:tcW w:w="1243" w:type="dxa"/>
                  <w:noWrap w:val="0"/>
                  <w:vAlign w:val="center"/>
                </w:tcPr>
                <w:p w14:paraId="0BFB3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163.89</w:t>
                  </w:r>
                </w:p>
              </w:tc>
              <w:tc>
                <w:tcPr>
                  <w:tcW w:w="1175" w:type="dxa"/>
                  <w:noWrap w:val="0"/>
                  <w:vAlign w:val="center"/>
                </w:tcPr>
                <w:p w14:paraId="36B1A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2.07</w:t>
                  </w:r>
                </w:p>
              </w:tc>
              <w:tc>
                <w:tcPr>
                  <w:tcW w:w="505" w:type="pct"/>
                  <w:vMerge w:val="continue"/>
                  <w:noWrap w:val="0"/>
                  <w:vAlign w:val="center"/>
                </w:tcPr>
                <w:p w14:paraId="2F2EEF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c>
                <w:tcPr>
                  <w:tcW w:w="434" w:type="pct"/>
                  <w:vMerge w:val="continue"/>
                  <w:noWrap w:val="0"/>
                  <w:vAlign w:val="center"/>
                </w:tcPr>
                <w:p w14:paraId="58E373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c>
                <w:tcPr>
                  <w:tcW w:w="758" w:type="pct"/>
                  <w:vMerge w:val="continue"/>
                  <w:noWrap w:val="0"/>
                  <w:vAlign w:val="center"/>
                </w:tcPr>
                <w:p w14:paraId="333B64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r>
            <w:tr w14:paraId="710F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30" w:type="pct"/>
                  <w:vMerge w:val="continue"/>
                  <w:noWrap w:val="0"/>
                  <w:vAlign w:val="center"/>
                </w:tcPr>
                <w:p w14:paraId="044AEE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c>
                <w:tcPr>
                  <w:tcW w:w="882" w:type="pct"/>
                  <w:vMerge w:val="continue"/>
                  <w:noWrap w:val="0"/>
                  <w:vAlign w:val="center"/>
                </w:tcPr>
                <w:p w14:paraId="5AF221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c>
                <w:tcPr>
                  <w:tcW w:w="956" w:type="dxa"/>
                  <w:noWrap w:val="0"/>
                  <w:vAlign w:val="center"/>
                </w:tcPr>
                <w:p w14:paraId="4DD616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w:t>
                  </w:r>
                </w:p>
              </w:tc>
              <w:tc>
                <w:tcPr>
                  <w:tcW w:w="1243" w:type="dxa"/>
                  <w:noWrap w:val="0"/>
                  <w:vAlign w:val="center"/>
                </w:tcPr>
                <w:p w14:paraId="6B125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718.5</w:t>
                  </w:r>
                </w:p>
              </w:tc>
              <w:tc>
                <w:tcPr>
                  <w:tcW w:w="1175" w:type="dxa"/>
                  <w:noWrap w:val="0"/>
                  <w:vAlign w:val="center"/>
                </w:tcPr>
                <w:p w14:paraId="4E11E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9.075</w:t>
                  </w:r>
                </w:p>
              </w:tc>
              <w:tc>
                <w:tcPr>
                  <w:tcW w:w="505" w:type="pct"/>
                  <w:vMerge w:val="continue"/>
                  <w:noWrap w:val="0"/>
                  <w:vAlign w:val="center"/>
                </w:tcPr>
                <w:p w14:paraId="20605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c>
                <w:tcPr>
                  <w:tcW w:w="434" w:type="pct"/>
                  <w:vMerge w:val="continue"/>
                  <w:noWrap w:val="0"/>
                  <w:vAlign w:val="center"/>
                </w:tcPr>
                <w:p w14:paraId="0910BE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c>
                <w:tcPr>
                  <w:tcW w:w="758" w:type="pct"/>
                  <w:vMerge w:val="continue"/>
                  <w:noWrap w:val="0"/>
                  <w:vAlign w:val="center"/>
                </w:tcPr>
                <w:p w14:paraId="45CB98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Cs w:val="21"/>
                    </w:rPr>
                  </w:pPr>
                </w:p>
              </w:tc>
            </w:tr>
          </w:tbl>
          <w:p w14:paraId="0CEC6C62">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由上可知，锅炉排气筒非正常排放情况下，除尘效率降为</w:t>
            </w:r>
            <w:r>
              <w:rPr>
                <w:rFonts w:hint="default" w:ascii="Times New Roman" w:hAnsi="Times New Roman" w:eastAsia="宋体" w:cs="Times New Roman"/>
                <w:color w:val="auto"/>
                <w:sz w:val="24"/>
                <w:lang w:val="en-US" w:eastAsia="zh-CN"/>
              </w:rPr>
              <w:t>8</w:t>
            </w:r>
            <w:r>
              <w:rPr>
                <w:rFonts w:hint="default" w:ascii="Times New Roman" w:hAnsi="Times New Roman" w:eastAsia="宋体" w:cs="Times New Roman"/>
                <w:color w:val="auto"/>
                <w:sz w:val="24"/>
              </w:rPr>
              <w:t>0%时，颗粒物排放浓度超过《锅炉大气污染物排放标准》（GB13271-2014）燃气锅炉标准，即颗粒物浓度≤20mg/m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。非正常排放对区域环境及敏感目标会产生一定影响，为避免废气污染对厂内员工、周围环境造成影响，建设单位日常运行期间应对</w:t>
            </w:r>
            <w:r>
              <w:rPr>
                <w:rFonts w:hint="default" w:ascii="Times New Roman" w:hAnsi="Times New Roman" w:eastAsia="宋体" w:cs="Times New Roman"/>
                <w:bCs/>
                <w:color w:val="auto"/>
                <w:sz w:val="24"/>
                <w:lang w:val="en-US" w:eastAsia="zh-CN"/>
              </w:rPr>
              <w:t>布袋除尘器</w:t>
            </w:r>
            <w:r>
              <w:rPr>
                <w:rFonts w:hint="default" w:ascii="Times New Roman" w:hAnsi="Times New Roman" w:eastAsia="宋体" w:cs="Times New Roman"/>
                <w:color w:val="auto"/>
                <w:sz w:val="24"/>
              </w:rPr>
              <w:t>进行维护和管理，杜绝非正常排放。若发生非正常排放，立即停止运行，找出非正常排放的来源。</w:t>
            </w:r>
          </w:p>
          <w:p w14:paraId="7A5E535D">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2.</w:t>
            </w:r>
            <w:r>
              <w:rPr>
                <w:rFonts w:hint="default" w:ascii="Times New Roman" w:hAnsi="Times New Roman" w:eastAsia="宋体" w:cs="Times New Roman"/>
                <w:b/>
                <w:bCs/>
                <w:color w:val="auto"/>
                <w:kern w:val="0"/>
                <w:sz w:val="24"/>
                <w:lang w:val="en-US" w:eastAsia="zh-CN"/>
              </w:rPr>
              <w:t>3</w:t>
            </w:r>
            <w:r>
              <w:rPr>
                <w:rFonts w:hint="default" w:ascii="Times New Roman" w:hAnsi="Times New Roman" w:eastAsia="宋体" w:cs="Times New Roman"/>
                <w:b/>
                <w:bCs/>
                <w:color w:val="auto"/>
                <w:kern w:val="0"/>
                <w:sz w:val="24"/>
              </w:rPr>
              <w:t>废气环境影响情况分析</w:t>
            </w:r>
          </w:p>
          <w:p w14:paraId="42D38C1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w:t>
            </w:r>
            <w:r>
              <w:rPr>
                <w:rFonts w:hint="default" w:ascii="Times New Roman" w:hAnsi="Times New Roman" w:eastAsia="宋体" w:cs="Times New Roman"/>
                <w:b/>
                <w:bCs/>
                <w:color w:val="auto"/>
                <w:sz w:val="24"/>
                <w:lang w:val="en-US" w:eastAsia="zh-CN"/>
              </w:rPr>
              <w:t>3</w:t>
            </w:r>
            <w:r>
              <w:rPr>
                <w:rFonts w:hint="default" w:ascii="Times New Roman" w:hAnsi="Times New Roman" w:eastAsia="宋体" w:cs="Times New Roman"/>
                <w:b/>
                <w:bCs/>
                <w:color w:val="auto"/>
                <w:sz w:val="24"/>
              </w:rPr>
              <w:t>.1废气主要环境影响因素</w:t>
            </w:r>
          </w:p>
          <w:p w14:paraId="2F7BBE50">
            <w:pPr>
              <w:pStyle w:val="17"/>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根据昆明市生态环境局</w:t>
            </w:r>
            <w:r>
              <w:rPr>
                <w:rFonts w:hint="default" w:ascii="Times New Roman" w:hAnsi="Times New Roman" w:eastAsia="宋体" w:cs="Times New Roman"/>
                <w:color w:val="auto"/>
                <w:sz w:val="24"/>
                <w:lang w:val="en-US" w:eastAsia="zh-CN"/>
              </w:rPr>
              <w:t>发布的</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eastAsia="zh-CN"/>
              </w:rPr>
              <w:t>2024年度昆明市生态环境状况公报</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color w:val="auto"/>
                <w:sz w:val="24"/>
              </w:rPr>
              <w:t>，判定本项目所在区域属于环境空气质量达标区。</w:t>
            </w:r>
          </w:p>
          <w:p w14:paraId="55EE7C04">
            <w:pPr>
              <w:pStyle w:val="17"/>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本项目建成后，污染物主要为锅炉废气（颗粒物、SO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、NO</w:t>
            </w:r>
            <w:r>
              <w:rPr>
                <w:rFonts w:hint="default" w:ascii="Times New Roman" w:hAnsi="Times New Roman" w:eastAsia="宋体" w:cs="Times New Roman"/>
                <w:color w:val="auto"/>
                <w:sz w:val="24"/>
                <w:vertAlign w:val="subscript"/>
              </w:rPr>
              <w:t>X</w:t>
            </w:r>
            <w:r>
              <w:rPr>
                <w:rFonts w:hint="default" w:ascii="Times New Roman" w:hAnsi="Times New Roman" w:eastAsia="宋体" w:cs="Times New Roman"/>
                <w:color w:val="auto"/>
                <w:sz w:val="24"/>
              </w:rPr>
              <w:t>），经</w:t>
            </w:r>
            <w:r>
              <w:rPr>
                <w:rFonts w:hint="default" w:ascii="Times New Roman" w:hAnsi="Times New Roman" w:eastAsia="宋体" w:cs="Times New Roman"/>
                <w:bCs/>
                <w:color w:val="auto"/>
                <w:sz w:val="24"/>
                <w:lang w:val="en-US" w:eastAsia="zh-CN"/>
              </w:rPr>
              <w:t>布袋除尘器处理</w:t>
            </w:r>
            <w:r>
              <w:rPr>
                <w:rFonts w:hint="default" w:ascii="Times New Roman" w:hAnsi="Times New Roman" w:eastAsia="宋体" w:cs="Times New Roman"/>
                <w:color w:val="auto"/>
                <w:sz w:val="24"/>
              </w:rPr>
              <w:t>后由1个</w:t>
            </w:r>
            <w:r>
              <w:rPr>
                <w:rFonts w:hint="default" w:ascii="Times New Roman" w:hAnsi="Times New Roman" w:eastAsia="宋体" w:cs="Times New Roman"/>
                <w:color w:val="auto"/>
                <w:sz w:val="24"/>
                <w:lang w:val="en-US" w:eastAsia="zh-CN"/>
              </w:rPr>
              <w:t>40m高</w:t>
            </w:r>
            <w:r>
              <w:rPr>
                <w:rFonts w:hint="default" w:ascii="Times New Roman" w:hAnsi="Times New Roman" w:eastAsia="宋体" w:cs="Times New Roman"/>
                <w:color w:val="auto"/>
                <w:sz w:val="24"/>
              </w:rPr>
              <w:t>排气筒排放。根据计算，锅炉有组织颗粒物、SO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、NO</w:t>
            </w:r>
            <w:r>
              <w:rPr>
                <w:rFonts w:hint="default" w:ascii="Times New Roman" w:hAnsi="Times New Roman" w:eastAsia="宋体" w:cs="Times New Roman"/>
                <w:color w:val="auto"/>
                <w:sz w:val="24"/>
                <w:vertAlign w:val="subscript"/>
              </w:rPr>
              <w:t>x</w:t>
            </w:r>
            <w:r>
              <w:rPr>
                <w:rFonts w:hint="default" w:ascii="Times New Roman" w:hAnsi="Times New Roman" w:eastAsia="宋体" w:cs="Times New Roman"/>
                <w:color w:val="auto"/>
                <w:sz w:val="24"/>
              </w:rPr>
              <w:t>排放浓度分别为</w:t>
            </w:r>
            <w:r>
              <w:rPr>
                <w:rFonts w:hint="default" w:ascii="Times New Roman" w:hAnsi="Times New Roman" w:eastAsia="宋体" w:cs="Times New Roman"/>
                <w:color w:val="auto"/>
                <w:sz w:val="24"/>
                <w:lang w:val="en-US" w:eastAsia="zh-CN"/>
              </w:rPr>
              <w:t>11.08</w:t>
            </w:r>
            <w:r>
              <w:rPr>
                <w:rFonts w:hint="default" w:ascii="Times New Roman" w:hAnsi="Times New Roman" w:eastAsia="宋体" w:cs="Times New Roman"/>
                <w:color w:val="auto"/>
                <w:sz w:val="24"/>
              </w:rPr>
              <w:t>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25.18</w:t>
            </w:r>
            <w:r>
              <w:rPr>
                <w:rFonts w:hint="default" w:ascii="Times New Roman" w:hAnsi="Times New Roman" w:eastAsia="宋体" w:cs="Times New Roman"/>
                <w:color w:val="auto"/>
                <w:sz w:val="24"/>
              </w:rPr>
              <w:t>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w:t>
            </w:r>
            <w:r>
              <w:rPr>
                <w:rFonts w:hint="eastAsia" w:cs="Times New Roman"/>
                <w:color w:val="auto"/>
                <w:sz w:val="24"/>
                <w:lang w:val="en-US" w:eastAsia="zh-CN"/>
              </w:rPr>
              <w:t>163.89</w:t>
            </w:r>
            <w:r>
              <w:rPr>
                <w:rFonts w:hint="default" w:ascii="Times New Roman" w:hAnsi="Times New Roman" w:eastAsia="宋体" w:cs="Times New Roman"/>
                <w:color w:val="auto"/>
                <w:sz w:val="24"/>
              </w:rPr>
              <w:t>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，能达到《锅炉大气污染物排放标准》（GB13271-2014）表2中的燃气锅炉浓度限值要求，即颗粒物浓度≤20mg/m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浓度≤50mg/m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、NOx浓度≤200mg/m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。项目有组织排放废气达标排放，对外环境影响较小。</w:t>
            </w:r>
          </w:p>
          <w:p w14:paraId="11B989B1">
            <w:pPr>
              <w:pStyle w:val="17"/>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本项目使用燃生物质颗粒的锅炉，废气污染防治技术对照《排污许可证申请与核发技术规范  锅炉》（HJ953-2018）中表7污染防治可行技术，本项目锅炉采取的</w:t>
            </w:r>
            <w:r>
              <w:rPr>
                <w:rFonts w:hint="default" w:ascii="Times New Roman" w:hAnsi="Times New Roman" w:eastAsia="宋体" w:cs="Times New Roman"/>
                <w:bCs/>
                <w:color w:val="auto"/>
                <w:sz w:val="24"/>
                <w:lang w:val="en-US" w:eastAsia="zh-CN"/>
              </w:rPr>
              <w:t>袋式除尘</w:t>
            </w:r>
            <w:r>
              <w:rPr>
                <w:rFonts w:hint="default" w:ascii="Times New Roman" w:hAnsi="Times New Roman" w:eastAsia="宋体" w:cs="Times New Roman"/>
                <w:bCs/>
                <w:color w:val="auto"/>
                <w:sz w:val="24"/>
              </w:rPr>
              <w:t>属于其中推荐的可行性技术</w:t>
            </w:r>
            <w:r>
              <w:rPr>
                <w:rFonts w:hint="default" w:ascii="Times New Roman" w:hAnsi="Times New Roman" w:eastAsia="宋体" w:cs="Times New Roman"/>
                <w:color w:val="auto"/>
                <w:sz w:val="24"/>
              </w:rPr>
              <w:t>。根据《排放源统计调查产排污核算方法和系数手册 4430工业锅炉（热力生产和供应行业）产污系数表-生物质工业锅炉》，</w:t>
            </w:r>
            <w:r>
              <w:rPr>
                <w:rFonts w:hint="default" w:ascii="Times New Roman" w:hAnsi="Times New Roman" w:eastAsia="宋体" w:cs="Times New Roman"/>
                <w:color w:val="auto"/>
                <w:sz w:val="24"/>
                <w:lang w:val="en-US" w:eastAsia="zh-CN"/>
              </w:rPr>
              <w:t>袋式</w:t>
            </w:r>
            <w:r>
              <w:rPr>
                <w:rFonts w:hint="default" w:ascii="Times New Roman" w:hAnsi="Times New Roman" w:eastAsia="宋体" w:cs="Times New Roman"/>
                <w:color w:val="auto"/>
                <w:sz w:val="24"/>
              </w:rPr>
              <w:t>除尘效率</w:t>
            </w:r>
            <w:r>
              <w:rPr>
                <w:rFonts w:hint="default" w:ascii="Times New Roman" w:hAnsi="Times New Roman" w:eastAsia="宋体" w:cs="Times New Roman"/>
                <w:color w:val="auto"/>
                <w:sz w:val="24"/>
                <w:lang w:val="en-US" w:eastAsia="zh-CN"/>
              </w:rPr>
              <w:t>99.7</w:t>
            </w:r>
            <w:r>
              <w:rPr>
                <w:rFonts w:hint="default" w:ascii="Times New Roman" w:hAnsi="Times New Roman" w:eastAsia="宋体" w:cs="Times New Roman"/>
                <w:color w:val="auto"/>
                <w:sz w:val="24"/>
              </w:rPr>
              <w:t>%</w:t>
            </w:r>
            <w:r>
              <w:rPr>
                <w:rFonts w:hint="default" w:ascii="Times New Roman" w:hAnsi="Times New Roman" w:eastAsia="宋体" w:cs="Times New Roman"/>
                <w:bCs/>
                <w:color w:val="auto"/>
                <w:sz w:val="24"/>
              </w:rPr>
              <w:t>；</w:t>
            </w:r>
            <w:r>
              <w:rPr>
                <w:rFonts w:hint="default" w:ascii="Times New Roman" w:hAnsi="Times New Roman" w:eastAsia="宋体" w:cs="Times New Roman"/>
                <w:color w:val="auto"/>
                <w:sz w:val="24"/>
              </w:rPr>
              <w:t>本项目采用</w:t>
            </w:r>
            <w:r>
              <w:rPr>
                <w:rFonts w:hint="default" w:ascii="Times New Roman" w:hAnsi="Times New Roman" w:eastAsia="宋体" w:cs="Times New Roman"/>
                <w:bCs/>
                <w:color w:val="auto"/>
                <w:sz w:val="24"/>
                <w:lang w:val="en-US" w:eastAsia="zh-CN"/>
              </w:rPr>
              <w:t>布袋除尘器</w:t>
            </w:r>
            <w:r>
              <w:rPr>
                <w:rFonts w:hint="default" w:ascii="Times New Roman" w:hAnsi="Times New Roman" w:eastAsia="宋体" w:cs="Times New Roman"/>
                <w:color w:val="auto"/>
                <w:sz w:val="24"/>
              </w:rPr>
              <w:t>进行处理，</w:t>
            </w:r>
            <w:r>
              <w:rPr>
                <w:rFonts w:hint="default" w:ascii="Times New Roman" w:hAnsi="Times New Roman" w:eastAsia="宋体" w:cs="Times New Roman"/>
                <w:bCs/>
                <w:color w:val="auto"/>
                <w:sz w:val="24"/>
              </w:rPr>
              <w:t>处理后的废气可以达到</w:t>
            </w:r>
            <w:r>
              <w:rPr>
                <w:rFonts w:hint="default" w:ascii="Times New Roman" w:hAnsi="Times New Roman" w:eastAsia="宋体" w:cs="Times New Roman"/>
                <w:color w:val="auto"/>
                <w:sz w:val="24"/>
              </w:rPr>
              <w:t>《锅炉大气污染物排放标准》（GB13271-2014）中规定的标准要求，废气达标外排，处理措施可行。</w:t>
            </w:r>
          </w:p>
          <w:p w14:paraId="01F6A33D">
            <w:pPr>
              <w:pStyle w:val="17"/>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锅炉排气筒非正常排放情况下，除尘效率降为</w:t>
            </w:r>
            <w:r>
              <w:rPr>
                <w:rFonts w:hint="default" w:ascii="Times New Roman" w:hAnsi="Times New Roman" w:eastAsia="宋体" w:cs="Times New Roman"/>
                <w:color w:val="auto"/>
                <w:sz w:val="24"/>
                <w:lang w:val="en-US" w:eastAsia="zh-CN"/>
              </w:rPr>
              <w:t>8</w:t>
            </w:r>
            <w:r>
              <w:rPr>
                <w:rFonts w:hint="default" w:ascii="Times New Roman" w:hAnsi="Times New Roman" w:eastAsia="宋体" w:cs="Times New Roman"/>
                <w:color w:val="auto"/>
                <w:sz w:val="24"/>
              </w:rPr>
              <w:t>0%时，颗粒物排放浓度超过《锅炉大气污染物排放标准》（GB13271-2014）燃气锅炉标准，即颗粒物浓度≤20mg/m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。非正常排放对区域环境及敏感目标会产生一定影响，为避免废气污染对厂内员工、周围环境造成影响，建设单位日常运行期间应对</w:t>
            </w:r>
            <w:r>
              <w:rPr>
                <w:rFonts w:hint="default" w:ascii="Times New Roman" w:hAnsi="Times New Roman" w:eastAsia="宋体" w:cs="Times New Roman"/>
                <w:bCs/>
                <w:color w:val="auto"/>
                <w:sz w:val="24"/>
                <w:lang w:val="en-US" w:eastAsia="zh-CN"/>
              </w:rPr>
              <w:t>布袋除尘器</w:t>
            </w:r>
            <w:r>
              <w:rPr>
                <w:rFonts w:hint="default" w:ascii="Times New Roman" w:hAnsi="Times New Roman" w:eastAsia="宋体" w:cs="Times New Roman"/>
                <w:color w:val="auto"/>
                <w:sz w:val="24"/>
              </w:rPr>
              <w:t>进行维护和管理，杜绝非正常排放。若发生非正常排放，立即停止运行，找出非正常排放的来源。</w:t>
            </w:r>
          </w:p>
          <w:p w14:paraId="61E45369">
            <w:pPr>
              <w:pStyle w:val="17"/>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通过上述分析，项目在采取适当的废气治理措施后，评价认为项目运营期对当地大气环境质量影响是轻微的，对项目周边环境影响不大，项目废气均能达标排放，项目对环境空气的影响可接受。</w:t>
            </w:r>
          </w:p>
          <w:p w14:paraId="47A36FFB">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2.</w:t>
            </w:r>
            <w:r>
              <w:rPr>
                <w:rFonts w:hint="default" w:ascii="Times New Roman" w:hAnsi="Times New Roman" w:eastAsia="宋体" w:cs="Times New Roman"/>
                <w:b/>
                <w:bCs/>
                <w:color w:val="auto"/>
                <w:sz w:val="24"/>
                <w:lang w:val="en-US" w:eastAsia="zh-CN"/>
              </w:rPr>
              <w:t>3</w:t>
            </w:r>
            <w:r>
              <w:rPr>
                <w:rFonts w:hint="default" w:ascii="Times New Roman" w:hAnsi="Times New Roman" w:eastAsia="宋体" w:cs="Times New Roman"/>
                <w:b/>
                <w:bCs/>
                <w:color w:val="auto"/>
                <w:sz w:val="24"/>
              </w:rPr>
              <w:t>.4</w:t>
            </w:r>
            <w:r>
              <w:rPr>
                <w:rFonts w:hint="default" w:ascii="Times New Roman" w:hAnsi="Times New Roman" w:eastAsia="宋体" w:cs="Times New Roman"/>
                <w:b/>
                <w:bCs/>
                <w:color w:val="auto"/>
                <w:kern w:val="0"/>
                <w:sz w:val="24"/>
              </w:rPr>
              <w:t>排气筒高度设置合理性分析</w:t>
            </w:r>
          </w:p>
          <w:p w14:paraId="01FDD02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根据现场勘查，项目厂址周边200m范围内已建成企业主要为:南面农业公司（停产）、休闲娱乐场所，北面的苗圃基地。项目厂址周边200m范围最高建筑为项目办公楼和厂房，最高为10m，本项目排气简高度设置为4</w:t>
            </w:r>
            <w:r>
              <w:rPr>
                <w:rFonts w:hint="default" w:ascii="Times New Roman" w:hAnsi="Times New Roman" w:eastAsia="宋体" w:cs="Times New Roman"/>
                <w:color w:val="auto"/>
                <w:sz w:val="24"/>
                <w:lang w:val="en-US" w:eastAsia="zh-CN"/>
              </w:rPr>
              <w:t>0</w:t>
            </w:r>
            <w:r>
              <w:rPr>
                <w:rFonts w:hint="default" w:ascii="Times New Roman" w:hAnsi="Times New Roman" w:eastAsia="宋体" w:cs="Times New Roman"/>
                <w:color w:val="auto"/>
                <w:sz w:val="24"/>
              </w:rPr>
              <w:t>m，满足《锅炉大气污染物排放标准》（GB 13271-2014）中“4.5 新建锅炉房的烟囱周围半径200m距离内有建筑物时，其烟囱应高出最高建筑物3m以上”以及表4燃煤锅炉房烟囱最低允许高度中</w:t>
            </w:r>
            <w:r>
              <w:rPr>
                <w:rFonts w:hint="default" w:ascii="Times New Roman" w:hAnsi="Times New Roman" w:eastAsia="宋体" w:cs="Times New Roman"/>
                <w:color w:val="auto"/>
                <w:sz w:val="24"/>
                <w:lang w:val="en-US" w:eastAsia="zh-CN"/>
              </w:rPr>
              <w:t>10t/h~</w:t>
            </w:r>
            <w:r>
              <w:rPr>
                <w:rFonts w:hint="default" w:ascii="Times New Roman" w:hAnsi="Times New Roman" w:eastAsia="宋体" w:cs="Times New Roman"/>
                <w:color w:val="auto"/>
                <w:sz w:val="24"/>
              </w:rPr>
              <w:t>20t/h锅炉烟囱最低允许高度为4</w:t>
            </w:r>
            <w:r>
              <w:rPr>
                <w:rFonts w:hint="default" w:ascii="Times New Roman" w:hAnsi="Times New Roman" w:eastAsia="宋体" w:cs="Times New Roman"/>
                <w:color w:val="auto"/>
                <w:sz w:val="24"/>
                <w:lang w:val="en-US" w:eastAsia="zh-CN"/>
              </w:rPr>
              <w:t>0</w:t>
            </w:r>
            <w:r>
              <w:rPr>
                <w:rFonts w:hint="default" w:ascii="Times New Roman" w:hAnsi="Times New Roman" w:eastAsia="宋体" w:cs="Times New Roman"/>
                <w:color w:val="auto"/>
                <w:sz w:val="24"/>
              </w:rPr>
              <w:t>m的要求。因此，项目</w:t>
            </w:r>
            <w:r>
              <w:rPr>
                <w:rFonts w:hint="default" w:ascii="Times New Roman" w:hAnsi="Times New Roman" w:eastAsia="宋体" w:cs="Times New Roman"/>
                <w:color w:val="auto"/>
                <w:sz w:val="24"/>
                <w:lang w:val="en-US" w:eastAsia="zh-CN"/>
              </w:rPr>
              <w:t>依托现有</w:t>
            </w:r>
            <w:r>
              <w:rPr>
                <w:rFonts w:hint="default" w:ascii="Times New Roman" w:hAnsi="Times New Roman" w:eastAsia="宋体" w:cs="Times New Roman"/>
                <w:color w:val="auto"/>
                <w:sz w:val="24"/>
              </w:rPr>
              <w:t>4</w:t>
            </w:r>
            <w:r>
              <w:rPr>
                <w:rFonts w:hint="default" w:ascii="Times New Roman" w:hAnsi="Times New Roman" w:eastAsia="宋体" w:cs="Times New Roman"/>
                <w:color w:val="auto"/>
                <w:sz w:val="24"/>
                <w:lang w:val="en-US" w:eastAsia="zh-CN"/>
              </w:rPr>
              <w:t>0</w:t>
            </w:r>
            <w:r>
              <w:rPr>
                <w:rFonts w:hint="default" w:ascii="Times New Roman" w:hAnsi="Times New Roman" w:eastAsia="宋体" w:cs="Times New Roman"/>
                <w:color w:val="auto"/>
                <w:sz w:val="24"/>
              </w:rPr>
              <w:t>m排气筒高度合理。</w:t>
            </w:r>
          </w:p>
          <w:p w14:paraId="110719B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后期安装20t/h燃煤锅炉后排气筒高度须根据</w:t>
            </w:r>
            <w:r>
              <w:rPr>
                <w:rFonts w:hint="default" w:ascii="Times New Roman" w:hAnsi="Times New Roman" w:eastAsia="宋体" w:cs="Times New Roman"/>
                <w:color w:val="auto"/>
                <w:sz w:val="24"/>
              </w:rPr>
              <w:t>《锅炉大气污染物排放标准》（GB 13271-2014）</w:t>
            </w:r>
            <w:r>
              <w:rPr>
                <w:rFonts w:hint="default" w:ascii="Times New Roman" w:hAnsi="Times New Roman" w:eastAsia="宋体" w:cs="Times New Roman"/>
                <w:color w:val="auto"/>
                <w:sz w:val="24"/>
                <w:lang w:val="en-US" w:eastAsia="zh-CN"/>
              </w:rPr>
              <w:t>及原有环评和批复要求，20t/h燃煤锅炉须经45m高排气筒排放，该生物质锅炉仅作为备用锅炉使用。</w:t>
            </w:r>
          </w:p>
          <w:p w14:paraId="5ACB0C5F">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lang w:eastAsia="zh-CN"/>
              </w:rPr>
            </w:pPr>
            <w:r>
              <w:rPr>
                <w:rFonts w:hint="default" w:ascii="Times New Roman" w:hAnsi="Times New Roman" w:eastAsia="宋体" w:cs="Times New Roman"/>
                <w:b/>
                <w:bCs/>
                <w:color w:val="auto"/>
                <w:sz w:val="24"/>
              </w:rPr>
              <w:t>2.</w:t>
            </w:r>
            <w:r>
              <w:rPr>
                <w:rFonts w:hint="default" w:ascii="Times New Roman" w:hAnsi="Times New Roman" w:eastAsia="宋体" w:cs="Times New Roman"/>
                <w:b/>
                <w:bCs/>
                <w:color w:val="auto"/>
                <w:sz w:val="24"/>
                <w:lang w:val="en-US" w:eastAsia="zh-CN"/>
              </w:rPr>
              <w:t>3</w:t>
            </w:r>
            <w:r>
              <w:rPr>
                <w:rFonts w:hint="default" w:ascii="Times New Roman" w:hAnsi="Times New Roman" w:eastAsia="宋体" w:cs="Times New Roman"/>
                <w:b/>
                <w:bCs/>
                <w:color w:val="auto"/>
                <w:sz w:val="24"/>
              </w:rPr>
              <w:t>.</w:t>
            </w:r>
            <w:r>
              <w:rPr>
                <w:rFonts w:hint="default" w:ascii="Times New Roman" w:hAnsi="Times New Roman" w:eastAsia="宋体" w:cs="Times New Roman"/>
                <w:b/>
                <w:bCs/>
                <w:color w:val="auto"/>
                <w:sz w:val="24"/>
                <w:lang w:val="en-US" w:eastAsia="zh-CN"/>
              </w:rPr>
              <w:t>5</w:t>
            </w:r>
            <w:r>
              <w:rPr>
                <w:rFonts w:hint="default" w:ascii="Times New Roman" w:hAnsi="Times New Roman" w:eastAsia="宋体" w:cs="Times New Roman"/>
                <w:b/>
                <w:bCs/>
                <w:color w:val="auto"/>
                <w:kern w:val="0"/>
                <w:sz w:val="24"/>
                <w:lang w:val="en-US" w:eastAsia="zh-CN"/>
              </w:rPr>
              <w:t>监测计划</w:t>
            </w:r>
          </w:p>
          <w:p w14:paraId="77576220">
            <w:pPr>
              <w:keepNext w:val="0"/>
              <w:keepLines w:val="0"/>
              <w:suppressLineNumbers w:val="0"/>
              <w:spacing w:before="0" w:beforeAutospacing="0" w:after="0" w:afterAutospacing="0" w:line="360" w:lineRule="auto"/>
              <w:ind w:left="0" w:right="0" w:firstLine="48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根据《排污单位自行监测技术指南 火力发电及锅炉》（HJ820-2017）、《排污单位自行监测技术指南 总则》（HJ819-2017），结合项目实际，列出项目运营期具体监测计划如下：</w:t>
            </w:r>
          </w:p>
          <w:p w14:paraId="6BC66DF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表</w:t>
            </w:r>
            <w:r>
              <w:rPr>
                <w:rFonts w:hint="default" w:ascii="Times New Roman" w:hAnsi="Times New Roman" w:eastAsia="宋体" w:cs="Times New Roman"/>
                <w:b/>
                <w:color w:val="auto"/>
                <w:sz w:val="24"/>
                <w:lang w:val="en-US" w:eastAsia="zh-CN"/>
              </w:rPr>
              <w:t>4.2-4</w:t>
            </w:r>
            <w:r>
              <w:rPr>
                <w:rFonts w:hint="default" w:ascii="Times New Roman" w:hAnsi="Times New Roman" w:eastAsia="宋体" w:cs="Times New Roman"/>
                <w:b/>
                <w:color w:val="auto"/>
                <w:sz w:val="24"/>
              </w:rPr>
              <w:t xml:space="preserve"> 项目运营期自行监测计划</w:t>
            </w:r>
          </w:p>
          <w:tbl>
            <w:tblPr>
              <w:tblStyle w:val="3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774"/>
              <w:gridCol w:w="1606"/>
              <w:gridCol w:w="1289"/>
              <w:gridCol w:w="1087"/>
              <w:gridCol w:w="3512"/>
            </w:tblGrid>
            <w:tr w14:paraId="4022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tblHeader/>
                <w:jc w:val="center"/>
              </w:trPr>
              <w:tc>
                <w:tcPr>
                  <w:tcW w:w="468" w:type="pct"/>
                  <w:noWrap w:val="0"/>
                  <w:vAlign w:val="center"/>
                </w:tcPr>
                <w:p w14:paraId="09943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分项</w:t>
                  </w:r>
                </w:p>
              </w:tc>
              <w:tc>
                <w:tcPr>
                  <w:tcW w:w="971" w:type="pct"/>
                  <w:noWrap w:val="0"/>
                  <w:vAlign w:val="center"/>
                </w:tcPr>
                <w:p w14:paraId="0CCF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监测因子</w:t>
                  </w:r>
                </w:p>
              </w:tc>
              <w:tc>
                <w:tcPr>
                  <w:tcW w:w="779" w:type="pct"/>
                  <w:noWrap w:val="0"/>
                  <w:vAlign w:val="center"/>
                </w:tcPr>
                <w:p w14:paraId="08403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监测点位</w:t>
                  </w:r>
                </w:p>
              </w:tc>
              <w:tc>
                <w:tcPr>
                  <w:tcW w:w="657" w:type="pct"/>
                  <w:tcBorders>
                    <w:right w:val="single" w:color="auto" w:sz="4" w:space="0"/>
                  </w:tcBorders>
                  <w:noWrap w:val="0"/>
                  <w:vAlign w:val="center"/>
                </w:tcPr>
                <w:p w14:paraId="17F63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监测频率</w:t>
                  </w:r>
                </w:p>
              </w:tc>
              <w:tc>
                <w:tcPr>
                  <w:tcW w:w="2123" w:type="pct"/>
                  <w:tcBorders>
                    <w:left w:val="single" w:color="auto" w:sz="4" w:space="0"/>
                  </w:tcBorders>
                  <w:noWrap w:val="0"/>
                  <w:vAlign w:val="center"/>
                </w:tcPr>
                <w:p w14:paraId="322B9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执行标准</w:t>
                  </w:r>
                </w:p>
              </w:tc>
            </w:tr>
            <w:tr w14:paraId="03BA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2" w:hRule="atLeast"/>
                <w:jc w:val="center"/>
              </w:trPr>
              <w:tc>
                <w:tcPr>
                  <w:tcW w:w="468" w:type="pct"/>
                  <w:noWrap w:val="0"/>
                  <w:vAlign w:val="center"/>
                </w:tcPr>
                <w:p w14:paraId="4292A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w:t>
                  </w:r>
                </w:p>
              </w:tc>
              <w:tc>
                <w:tcPr>
                  <w:tcW w:w="971" w:type="pct"/>
                  <w:noWrap w:val="0"/>
                  <w:vAlign w:val="center"/>
                </w:tcPr>
                <w:p w14:paraId="1AF598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颗粒物、SO</w:t>
                  </w:r>
                  <w:r>
                    <w:rPr>
                      <w:rFonts w:hint="default" w:ascii="Times New Roman" w:hAnsi="Times New Roman" w:eastAsia="宋体" w:cs="Times New Roman"/>
                      <w:color w:val="auto"/>
                      <w:szCs w:val="21"/>
                      <w:vertAlign w:val="subscript"/>
                    </w:rPr>
                    <w:t>2</w:t>
                  </w:r>
                  <w:r>
                    <w:rPr>
                      <w:rFonts w:hint="default" w:ascii="Times New Roman" w:hAnsi="Times New Roman" w:eastAsia="宋体" w:cs="Times New Roman"/>
                      <w:color w:val="auto"/>
                      <w:szCs w:val="21"/>
                    </w:rPr>
                    <w:t>、NOx、</w:t>
                  </w:r>
                  <w:r>
                    <w:rPr>
                      <w:rFonts w:hint="default" w:ascii="Times New Roman" w:hAnsi="Times New Roman" w:eastAsia="宋体" w:cs="Times New Roman"/>
                      <w:bCs/>
                      <w:color w:val="auto"/>
                      <w:szCs w:val="21"/>
                    </w:rPr>
                    <w:t>林格曼黑度</w:t>
                  </w:r>
                </w:p>
              </w:tc>
              <w:tc>
                <w:tcPr>
                  <w:tcW w:w="779" w:type="pct"/>
                  <w:noWrap w:val="0"/>
                  <w:vAlign w:val="center"/>
                </w:tcPr>
                <w:p w14:paraId="164E6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锅炉烟囱DA001</w:t>
                  </w:r>
                </w:p>
              </w:tc>
              <w:tc>
                <w:tcPr>
                  <w:tcW w:w="657" w:type="pct"/>
                  <w:tcBorders>
                    <w:right w:val="single" w:color="auto" w:sz="4" w:space="0"/>
                  </w:tcBorders>
                  <w:noWrap w:val="0"/>
                  <w:vAlign w:val="center"/>
                </w:tcPr>
                <w:p w14:paraId="1106C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1次/月</w:t>
                  </w:r>
                </w:p>
              </w:tc>
              <w:tc>
                <w:tcPr>
                  <w:tcW w:w="2123" w:type="pct"/>
                  <w:tcBorders>
                    <w:left w:val="single" w:color="auto" w:sz="4" w:space="0"/>
                  </w:tcBorders>
                  <w:noWrap w:val="0"/>
                  <w:vAlign w:val="center"/>
                </w:tcPr>
                <w:p w14:paraId="5EFAF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《锅炉大气污染物排放标准》（GB13271-2014）表2中的燃气锅炉浓度限值要求</w:t>
                  </w:r>
                </w:p>
              </w:tc>
            </w:tr>
          </w:tbl>
          <w:p w14:paraId="1B576BAD">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kern w:val="0"/>
                <w:sz w:val="24"/>
                <w:lang w:val="en-US" w:eastAsia="zh-CN"/>
              </w:rPr>
            </w:pPr>
            <w:r>
              <w:rPr>
                <w:rFonts w:hint="default" w:ascii="Times New Roman" w:hAnsi="Times New Roman" w:eastAsia="宋体" w:cs="Times New Roman"/>
                <w:b/>
                <w:bCs/>
                <w:color w:val="auto"/>
                <w:kern w:val="0"/>
                <w:sz w:val="24"/>
              </w:rPr>
              <w:t>三、废水</w:t>
            </w:r>
            <w:r>
              <w:rPr>
                <w:rFonts w:hint="default" w:ascii="Times New Roman" w:hAnsi="Times New Roman" w:eastAsia="宋体" w:cs="Times New Roman"/>
                <w:b/>
                <w:bCs/>
                <w:color w:val="auto"/>
                <w:kern w:val="0"/>
                <w:sz w:val="24"/>
                <w:lang w:val="en-US" w:eastAsia="zh-CN"/>
              </w:rPr>
              <w:t>影响分析</w:t>
            </w:r>
          </w:p>
          <w:p w14:paraId="11E314DF">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3.1废水主要环境影响因素</w:t>
            </w:r>
          </w:p>
          <w:p w14:paraId="78E40E1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根据工程分析中水平衡计算，</w:t>
            </w:r>
            <w:r>
              <w:rPr>
                <w:rFonts w:hint="default" w:ascii="Times New Roman" w:hAnsi="Times New Roman" w:eastAsia="宋体" w:cs="Times New Roman"/>
                <w:color w:val="auto"/>
                <w:sz w:val="24"/>
              </w:rPr>
              <w:t>项目废水排水量为</w:t>
            </w:r>
            <w:r>
              <w:rPr>
                <w:rFonts w:hint="eastAsia" w:cs="Times New Roman"/>
                <w:color w:val="auto"/>
                <w:sz w:val="24"/>
                <w:lang w:val="en-US" w:eastAsia="zh-CN"/>
              </w:rPr>
              <w:t>17.29</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d，</w:t>
            </w:r>
            <w:r>
              <w:rPr>
                <w:rFonts w:hint="eastAsia" w:cs="Times New Roman"/>
                <w:color w:val="auto"/>
                <w:sz w:val="24"/>
                <w:lang w:val="en-US" w:eastAsia="zh-CN"/>
              </w:rPr>
              <w:t>5187</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vertAlign w:val="baseline"/>
                <w:lang w:val="en-US" w:eastAsia="zh-CN"/>
              </w:rPr>
              <w:t>/a</w:t>
            </w:r>
            <w:r>
              <w:rPr>
                <w:rFonts w:hint="default" w:ascii="Times New Roman" w:hAnsi="Times New Roman" w:eastAsia="宋体" w:cs="Times New Roman"/>
                <w:color w:val="auto"/>
                <w:sz w:val="24"/>
              </w:rPr>
              <w:t>。锅炉废水水质参考《环境影响评价工程师职业资格登记培训系列教材一----社会区域类环境影响评价》(中国环境科学出版社)中数据，即BOD</w:t>
            </w:r>
            <w:r>
              <w:rPr>
                <w:rFonts w:hint="default" w:ascii="Times New Roman" w:hAnsi="Times New Roman" w:eastAsia="宋体" w:cs="Times New Roman"/>
                <w:color w:val="auto"/>
                <w:sz w:val="24"/>
                <w:vertAlign w:val="subscript"/>
              </w:rPr>
              <w:t>5</w:t>
            </w:r>
            <w:r>
              <w:rPr>
                <w:rFonts w:hint="default" w:ascii="Times New Roman" w:hAnsi="Times New Roman" w:eastAsia="宋体" w:cs="Times New Roman"/>
                <w:color w:val="auto"/>
                <w:sz w:val="24"/>
              </w:rPr>
              <w:t>: 30mg/L、SS:100mg/L、NH</w:t>
            </w:r>
            <w:r>
              <w:rPr>
                <w:rFonts w:hint="default" w:ascii="Times New Roman" w:hAnsi="Times New Roman" w:eastAsia="宋体" w:cs="Times New Roman"/>
                <w:color w:val="auto"/>
                <w:sz w:val="24"/>
                <w:vertAlign w:val="subscript"/>
              </w:rPr>
              <w:t>3</w:t>
            </w:r>
            <w:r>
              <w:rPr>
                <w:rFonts w:hint="default" w:ascii="Times New Roman" w:hAnsi="Times New Roman" w:eastAsia="宋体" w:cs="Times New Roman"/>
                <w:color w:val="auto"/>
                <w:sz w:val="24"/>
              </w:rPr>
              <w:t>-N: 10mg/L、TP:8mg/L</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COD按照排污系数进行核算，COD浓度为84.3mg/L。</w:t>
            </w:r>
            <w:r>
              <w:rPr>
                <w:rFonts w:hint="default" w:ascii="Times New Roman" w:hAnsi="Times New Roman" w:eastAsia="宋体" w:cs="Times New Roman"/>
                <w:color w:val="auto"/>
                <w:sz w:val="24"/>
              </w:rPr>
              <w:t>项目污水处理产生的污染因子及浓度的计算如下。</w:t>
            </w:r>
          </w:p>
          <w:p w14:paraId="1FBC040F">
            <w:pPr>
              <w:keepNext w:val="0"/>
              <w:keepLines w:val="0"/>
              <w:suppressLineNumbers w:val="0"/>
              <w:spacing w:before="0" w:beforeAutospacing="0" w:after="0" w:afterAutospacing="0"/>
              <w:ind w:left="0" w:right="0" w:firstLine="422" w:firstLineChars="20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4</w:t>
            </w: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lang w:val="en-US" w:eastAsia="zh-CN"/>
              </w:rPr>
              <w:t>3-1</w:t>
            </w:r>
            <w:r>
              <w:rPr>
                <w:rFonts w:hint="default" w:ascii="Times New Roman" w:hAnsi="Times New Roman" w:eastAsia="宋体" w:cs="Times New Roman"/>
                <w:b/>
                <w:bCs/>
                <w:color w:val="auto"/>
              </w:rPr>
              <w:t xml:space="preserve">    项目污水产生及排放一览表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33"/>
              <w:gridCol w:w="1429"/>
              <w:gridCol w:w="1462"/>
              <w:gridCol w:w="1725"/>
              <w:gridCol w:w="1857"/>
            </w:tblGrid>
            <w:tr w14:paraId="4082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vMerge w:val="restart"/>
                  <w:tcBorders>
                    <w:top w:val="single" w:color="auto" w:sz="4" w:space="0"/>
                    <w:left w:val="single" w:color="auto" w:sz="4" w:space="0"/>
                    <w:bottom w:val="single" w:color="auto" w:sz="4" w:space="0"/>
                    <w:right w:val="single" w:color="auto" w:sz="4" w:space="0"/>
                  </w:tcBorders>
                  <w:noWrap w:val="0"/>
                  <w:vAlign w:val="center"/>
                </w:tcPr>
                <w:p w14:paraId="18EBE66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排放源</w:t>
                  </w:r>
                </w:p>
              </w:tc>
              <w:tc>
                <w:tcPr>
                  <w:tcW w:w="685" w:type="pct"/>
                  <w:vMerge w:val="restart"/>
                  <w:tcBorders>
                    <w:top w:val="single" w:color="auto" w:sz="4" w:space="0"/>
                    <w:left w:val="nil"/>
                    <w:bottom w:val="single" w:color="auto" w:sz="4" w:space="0"/>
                    <w:right w:val="single" w:color="auto" w:sz="4" w:space="0"/>
                  </w:tcBorders>
                  <w:noWrap w:val="0"/>
                  <w:vAlign w:val="center"/>
                </w:tcPr>
                <w:p w14:paraId="151E29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污染物</w:t>
                  </w:r>
                </w:p>
                <w:p w14:paraId="0752BCC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名称</w:t>
                  </w:r>
                </w:p>
              </w:tc>
              <w:tc>
                <w:tcPr>
                  <w:tcW w:w="1748" w:type="pct"/>
                  <w:gridSpan w:val="2"/>
                  <w:tcBorders>
                    <w:top w:val="single" w:color="auto" w:sz="4" w:space="0"/>
                    <w:left w:val="nil"/>
                    <w:bottom w:val="single" w:color="auto" w:sz="4" w:space="0"/>
                    <w:right w:val="single" w:color="auto" w:sz="4" w:space="0"/>
                  </w:tcBorders>
                  <w:noWrap w:val="0"/>
                  <w:vAlign w:val="center"/>
                </w:tcPr>
                <w:p w14:paraId="33196FB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处理前</w:t>
                  </w:r>
                </w:p>
              </w:tc>
              <w:tc>
                <w:tcPr>
                  <w:tcW w:w="2165" w:type="pct"/>
                  <w:gridSpan w:val="2"/>
                  <w:tcBorders>
                    <w:top w:val="single" w:color="auto" w:sz="4" w:space="0"/>
                    <w:left w:val="nil"/>
                    <w:bottom w:val="single" w:color="auto" w:sz="4" w:space="0"/>
                    <w:right w:val="single" w:color="auto" w:sz="4" w:space="0"/>
                  </w:tcBorders>
                  <w:noWrap w:val="0"/>
                  <w:vAlign w:val="center"/>
                </w:tcPr>
                <w:p w14:paraId="7EDDE60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处理后</w:t>
                  </w:r>
                </w:p>
              </w:tc>
            </w:tr>
            <w:tr w14:paraId="0039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Merge w:val="continue"/>
                  <w:tcBorders>
                    <w:top w:val="single" w:color="auto" w:sz="4" w:space="0"/>
                    <w:left w:val="single" w:color="auto" w:sz="4" w:space="0"/>
                    <w:bottom w:val="single" w:color="auto" w:sz="4" w:space="0"/>
                    <w:right w:val="single" w:color="auto" w:sz="4" w:space="0"/>
                  </w:tcBorders>
                  <w:noWrap w:val="0"/>
                  <w:vAlign w:val="center"/>
                </w:tcPr>
                <w:p w14:paraId="7F6F0424">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color w:val="auto"/>
                      <w:szCs w:val="21"/>
                    </w:rPr>
                  </w:pPr>
                </w:p>
              </w:tc>
              <w:tc>
                <w:tcPr>
                  <w:tcW w:w="685" w:type="pct"/>
                  <w:vMerge w:val="continue"/>
                  <w:tcBorders>
                    <w:top w:val="single" w:color="auto" w:sz="4" w:space="0"/>
                    <w:left w:val="nil"/>
                    <w:bottom w:val="single" w:color="auto" w:sz="4" w:space="0"/>
                    <w:right w:val="single" w:color="auto" w:sz="4" w:space="0"/>
                  </w:tcBorders>
                  <w:noWrap w:val="0"/>
                  <w:vAlign w:val="center"/>
                </w:tcPr>
                <w:p w14:paraId="6CFFDF02">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color w:val="auto"/>
                      <w:szCs w:val="21"/>
                    </w:rPr>
                  </w:pPr>
                </w:p>
              </w:tc>
              <w:tc>
                <w:tcPr>
                  <w:tcW w:w="864" w:type="pct"/>
                  <w:tcBorders>
                    <w:top w:val="single" w:color="auto" w:sz="4" w:space="0"/>
                    <w:left w:val="nil"/>
                    <w:bottom w:val="single" w:color="auto" w:sz="4" w:space="0"/>
                    <w:right w:val="single" w:color="auto" w:sz="4" w:space="0"/>
                  </w:tcBorders>
                  <w:noWrap w:val="0"/>
                  <w:vAlign w:val="center"/>
                </w:tcPr>
                <w:p w14:paraId="07EB71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产生浓度（mg/L）</w:t>
                  </w:r>
                </w:p>
              </w:tc>
              <w:tc>
                <w:tcPr>
                  <w:tcW w:w="884" w:type="pct"/>
                  <w:tcBorders>
                    <w:top w:val="single" w:color="auto" w:sz="4" w:space="0"/>
                    <w:left w:val="nil"/>
                    <w:bottom w:val="single" w:color="auto" w:sz="4" w:space="0"/>
                    <w:right w:val="single" w:color="auto" w:sz="4" w:space="0"/>
                  </w:tcBorders>
                  <w:noWrap w:val="0"/>
                  <w:vAlign w:val="center"/>
                </w:tcPr>
                <w:p w14:paraId="3971BB1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产生量（t/a）</w:t>
                  </w:r>
                </w:p>
              </w:tc>
              <w:tc>
                <w:tcPr>
                  <w:tcW w:w="1043" w:type="pct"/>
                  <w:tcBorders>
                    <w:top w:val="single" w:color="auto" w:sz="4" w:space="0"/>
                    <w:left w:val="nil"/>
                    <w:bottom w:val="single" w:color="auto" w:sz="4" w:space="0"/>
                    <w:right w:val="single" w:color="auto" w:sz="4" w:space="0"/>
                  </w:tcBorders>
                  <w:noWrap w:val="0"/>
                  <w:vAlign w:val="center"/>
                </w:tcPr>
                <w:p w14:paraId="4C462F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排放浓度（mg/L）</w:t>
                  </w:r>
                </w:p>
              </w:tc>
              <w:tc>
                <w:tcPr>
                  <w:tcW w:w="1122" w:type="pct"/>
                  <w:tcBorders>
                    <w:top w:val="single" w:color="auto" w:sz="4" w:space="0"/>
                    <w:left w:val="nil"/>
                    <w:bottom w:val="single" w:color="auto" w:sz="4" w:space="0"/>
                    <w:right w:val="single" w:color="auto" w:sz="4" w:space="0"/>
                  </w:tcBorders>
                  <w:noWrap w:val="0"/>
                  <w:vAlign w:val="center"/>
                </w:tcPr>
                <w:p w14:paraId="7C4F16F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排放量（t/a）</w:t>
                  </w:r>
                </w:p>
              </w:tc>
            </w:tr>
            <w:tr w14:paraId="6921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Merge w:val="restart"/>
                  <w:tcBorders>
                    <w:top w:val="nil"/>
                    <w:left w:val="single" w:color="auto" w:sz="4" w:space="0"/>
                    <w:bottom w:val="single" w:color="auto" w:sz="4" w:space="0"/>
                    <w:right w:val="single" w:color="auto" w:sz="4" w:space="0"/>
                  </w:tcBorders>
                  <w:noWrap w:val="0"/>
                  <w:vAlign w:val="center"/>
                </w:tcPr>
                <w:p w14:paraId="20018EA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rPr>
                    <w:t>综合污水</w:t>
                  </w:r>
                </w:p>
              </w:tc>
              <w:tc>
                <w:tcPr>
                  <w:tcW w:w="685" w:type="pct"/>
                  <w:tcBorders>
                    <w:top w:val="single" w:color="auto" w:sz="4" w:space="0"/>
                    <w:left w:val="nil"/>
                    <w:bottom w:val="single" w:color="auto" w:sz="4" w:space="0"/>
                    <w:right w:val="single" w:color="auto" w:sz="4" w:space="0"/>
                  </w:tcBorders>
                  <w:noWrap w:val="0"/>
                  <w:vAlign w:val="center"/>
                </w:tcPr>
                <w:p w14:paraId="26DFD75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废水量</w:t>
                  </w:r>
                </w:p>
                <w:p w14:paraId="78DA136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/a）</w:t>
                  </w:r>
                </w:p>
              </w:tc>
              <w:tc>
                <w:tcPr>
                  <w:tcW w:w="1748" w:type="pct"/>
                  <w:gridSpan w:val="2"/>
                  <w:tcBorders>
                    <w:top w:val="single" w:color="auto" w:sz="4" w:space="0"/>
                    <w:left w:val="nil"/>
                    <w:bottom w:val="single" w:color="auto" w:sz="4" w:space="0"/>
                    <w:right w:val="single" w:color="auto" w:sz="4" w:space="0"/>
                  </w:tcBorders>
                  <w:noWrap w:val="0"/>
                  <w:vAlign w:val="center"/>
                </w:tcPr>
                <w:p w14:paraId="23EA150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cs="Times New Roman"/>
                      <w:color w:val="auto"/>
                      <w:szCs w:val="21"/>
                      <w:lang w:val="en-US" w:eastAsia="zh-CN"/>
                    </w:rPr>
                    <w:t>187</w:t>
                  </w:r>
                </w:p>
              </w:tc>
              <w:tc>
                <w:tcPr>
                  <w:tcW w:w="2165" w:type="pct"/>
                  <w:gridSpan w:val="2"/>
                  <w:tcBorders>
                    <w:top w:val="nil"/>
                    <w:left w:val="nil"/>
                    <w:bottom w:val="single" w:color="auto" w:sz="4" w:space="0"/>
                    <w:right w:val="single" w:color="auto" w:sz="4" w:space="0"/>
                  </w:tcBorders>
                  <w:noWrap w:val="0"/>
                  <w:vAlign w:val="center"/>
                </w:tcPr>
                <w:p w14:paraId="0F2460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cs="Times New Roman"/>
                      <w:color w:val="auto"/>
                      <w:szCs w:val="21"/>
                      <w:lang w:val="en-US" w:eastAsia="zh-CN"/>
                    </w:rPr>
                    <w:t>187</w:t>
                  </w:r>
                </w:p>
              </w:tc>
            </w:tr>
            <w:tr w14:paraId="72A1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Merge w:val="continue"/>
                  <w:tcBorders>
                    <w:top w:val="nil"/>
                    <w:left w:val="single" w:color="auto" w:sz="4" w:space="0"/>
                    <w:bottom w:val="single" w:color="auto" w:sz="4" w:space="0"/>
                    <w:right w:val="single" w:color="auto" w:sz="4" w:space="0"/>
                  </w:tcBorders>
                  <w:noWrap w:val="0"/>
                  <w:vAlign w:val="center"/>
                </w:tcPr>
                <w:p w14:paraId="7904B5A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rPr>
                  </w:pPr>
                </w:p>
              </w:tc>
              <w:tc>
                <w:tcPr>
                  <w:tcW w:w="685" w:type="pct"/>
                  <w:tcBorders>
                    <w:top w:val="single" w:color="auto" w:sz="4" w:space="0"/>
                    <w:left w:val="nil"/>
                    <w:bottom w:val="single" w:color="auto" w:sz="4" w:space="0"/>
                    <w:right w:val="single" w:color="auto" w:sz="4" w:space="0"/>
                  </w:tcBorders>
                  <w:noWrap w:val="0"/>
                  <w:vAlign w:val="center"/>
                </w:tcPr>
                <w:p w14:paraId="6583F60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NH</w:t>
                  </w:r>
                  <w:r>
                    <w:rPr>
                      <w:rFonts w:hint="default" w:ascii="Times New Roman" w:hAnsi="Times New Roman" w:eastAsia="宋体" w:cs="Times New Roman"/>
                      <w:color w:val="auto"/>
                      <w:vertAlign w:val="subscript"/>
                    </w:rPr>
                    <w:t>3</w:t>
                  </w:r>
                  <w:r>
                    <w:rPr>
                      <w:rFonts w:hint="default" w:ascii="Times New Roman" w:hAnsi="Times New Roman" w:eastAsia="宋体" w:cs="Times New Roman"/>
                      <w:color w:val="auto"/>
                    </w:rPr>
                    <w:t>-N</w:t>
                  </w:r>
                </w:p>
              </w:tc>
              <w:tc>
                <w:tcPr>
                  <w:tcW w:w="864" w:type="pct"/>
                  <w:tcBorders>
                    <w:top w:val="single" w:color="auto" w:sz="4" w:space="0"/>
                    <w:left w:val="nil"/>
                    <w:bottom w:val="single" w:color="auto" w:sz="4" w:space="0"/>
                    <w:right w:val="single" w:color="auto" w:sz="4" w:space="0"/>
                  </w:tcBorders>
                  <w:noWrap w:val="0"/>
                  <w:vAlign w:val="center"/>
                </w:tcPr>
                <w:p w14:paraId="56D44ED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10</w:t>
                  </w:r>
                </w:p>
              </w:tc>
              <w:tc>
                <w:tcPr>
                  <w:tcW w:w="884" w:type="pct"/>
                  <w:tcBorders>
                    <w:top w:val="single" w:color="auto" w:sz="4" w:space="0"/>
                    <w:left w:val="nil"/>
                    <w:bottom w:val="single" w:color="auto" w:sz="4" w:space="0"/>
                    <w:right w:val="single" w:color="auto" w:sz="4" w:space="0"/>
                  </w:tcBorders>
                  <w:noWrap w:val="0"/>
                  <w:vAlign w:val="center"/>
                </w:tcPr>
                <w:p w14:paraId="17C48F7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0.052</w:t>
                  </w:r>
                </w:p>
              </w:tc>
              <w:tc>
                <w:tcPr>
                  <w:tcW w:w="1043" w:type="pct"/>
                  <w:tcBorders>
                    <w:top w:val="single" w:color="auto" w:sz="4" w:space="0"/>
                    <w:left w:val="nil"/>
                    <w:bottom w:val="single" w:color="auto" w:sz="4" w:space="0"/>
                    <w:right w:val="single" w:color="auto" w:sz="4" w:space="0"/>
                  </w:tcBorders>
                  <w:noWrap w:val="0"/>
                  <w:vAlign w:val="center"/>
                </w:tcPr>
                <w:p w14:paraId="056C7D8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1122" w:type="pct"/>
                  <w:tcBorders>
                    <w:top w:val="single" w:color="auto" w:sz="4" w:space="0"/>
                    <w:left w:val="nil"/>
                    <w:bottom w:val="single" w:color="auto" w:sz="4" w:space="0"/>
                    <w:right w:val="single" w:color="auto" w:sz="4" w:space="0"/>
                  </w:tcBorders>
                  <w:noWrap w:val="0"/>
                  <w:vAlign w:val="center"/>
                </w:tcPr>
                <w:p w14:paraId="04E5BA5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0.0078</w:t>
                  </w:r>
                </w:p>
              </w:tc>
            </w:tr>
            <w:tr w14:paraId="7A1E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Merge w:val="continue"/>
                  <w:tcBorders>
                    <w:top w:val="nil"/>
                    <w:left w:val="single" w:color="auto" w:sz="4" w:space="0"/>
                    <w:bottom w:val="single" w:color="auto" w:sz="4" w:space="0"/>
                    <w:right w:val="single" w:color="auto" w:sz="4" w:space="0"/>
                  </w:tcBorders>
                  <w:noWrap w:val="0"/>
                  <w:vAlign w:val="center"/>
                </w:tcPr>
                <w:p w14:paraId="2AE8EA9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rPr>
                  </w:pPr>
                </w:p>
              </w:tc>
              <w:tc>
                <w:tcPr>
                  <w:tcW w:w="685" w:type="pct"/>
                  <w:tcBorders>
                    <w:top w:val="single" w:color="auto" w:sz="4" w:space="0"/>
                    <w:left w:val="nil"/>
                    <w:bottom w:val="single" w:color="auto" w:sz="4" w:space="0"/>
                    <w:right w:val="single" w:color="auto" w:sz="4" w:space="0"/>
                  </w:tcBorders>
                  <w:noWrap w:val="0"/>
                  <w:vAlign w:val="center"/>
                </w:tcPr>
                <w:p w14:paraId="64711E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TP</w:t>
                  </w:r>
                </w:p>
              </w:tc>
              <w:tc>
                <w:tcPr>
                  <w:tcW w:w="864" w:type="pct"/>
                  <w:tcBorders>
                    <w:top w:val="single" w:color="auto" w:sz="4" w:space="0"/>
                    <w:left w:val="nil"/>
                    <w:bottom w:val="single" w:color="auto" w:sz="4" w:space="0"/>
                    <w:right w:val="single" w:color="auto" w:sz="4" w:space="0"/>
                  </w:tcBorders>
                  <w:noWrap w:val="0"/>
                  <w:vAlign w:val="center"/>
                </w:tcPr>
                <w:p w14:paraId="2509CE5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8</w:t>
                  </w:r>
                </w:p>
              </w:tc>
              <w:tc>
                <w:tcPr>
                  <w:tcW w:w="884" w:type="pct"/>
                  <w:tcBorders>
                    <w:top w:val="single" w:color="auto" w:sz="4" w:space="0"/>
                    <w:left w:val="nil"/>
                    <w:bottom w:val="single" w:color="auto" w:sz="4" w:space="0"/>
                    <w:right w:val="single" w:color="auto" w:sz="4" w:space="0"/>
                  </w:tcBorders>
                  <w:noWrap w:val="0"/>
                  <w:vAlign w:val="center"/>
                </w:tcPr>
                <w:p w14:paraId="2C596B9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0.041</w:t>
                  </w:r>
                </w:p>
              </w:tc>
              <w:tc>
                <w:tcPr>
                  <w:tcW w:w="1043" w:type="pct"/>
                  <w:tcBorders>
                    <w:top w:val="single" w:color="auto" w:sz="4" w:space="0"/>
                    <w:left w:val="nil"/>
                    <w:bottom w:val="single" w:color="auto" w:sz="4" w:space="0"/>
                    <w:right w:val="single" w:color="auto" w:sz="4" w:space="0"/>
                  </w:tcBorders>
                  <w:noWrap w:val="0"/>
                  <w:vAlign w:val="center"/>
                </w:tcPr>
                <w:p w14:paraId="083A67A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0.4</w:t>
                  </w:r>
                </w:p>
              </w:tc>
              <w:tc>
                <w:tcPr>
                  <w:tcW w:w="1122" w:type="pct"/>
                  <w:tcBorders>
                    <w:top w:val="single" w:color="auto" w:sz="4" w:space="0"/>
                    <w:left w:val="nil"/>
                    <w:bottom w:val="single" w:color="auto" w:sz="4" w:space="0"/>
                    <w:right w:val="single" w:color="auto" w:sz="4" w:space="0"/>
                  </w:tcBorders>
                  <w:noWrap w:val="0"/>
                  <w:vAlign w:val="center"/>
                </w:tcPr>
                <w:p w14:paraId="38D75EA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0.0021</w:t>
                  </w:r>
                </w:p>
              </w:tc>
            </w:tr>
            <w:tr w14:paraId="6891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Merge w:val="continue"/>
                  <w:tcBorders>
                    <w:top w:val="nil"/>
                    <w:left w:val="single" w:color="auto" w:sz="4" w:space="0"/>
                    <w:bottom w:val="single" w:color="auto" w:sz="4" w:space="0"/>
                    <w:right w:val="single" w:color="auto" w:sz="4" w:space="0"/>
                  </w:tcBorders>
                  <w:noWrap w:val="0"/>
                  <w:vAlign w:val="center"/>
                </w:tcPr>
                <w:p w14:paraId="117B978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rPr>
                  </w:pPr>
                </w:p>
              </w:tc>
              <w:tc>
                <w:tcPr>
                  <w:tcW w:w="685" w:type="pct"/>
                  <w:tcBorders>
                    <w:top w:val="single" w:color="auto" w:sz="4" w:space="0"/>
                    <w:left w:val="nil"/>
                    <w:bottom w:val="single" w:color="auto" w:sz="4" w:space="0"/>
                    <w:right w:val="single" w:color="auto" w:sz="4" w:space="0"/>
                  </w:tcBorders>
                  <w:noWrap w:val="0"/>
                  <w:vAlign w:val="center"/>
                </w:tcPr>
                <w:p w14:paraId="7C4B3D7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COD</w:t>
                  </w:r>
                </w:p>
              </w:tc>
              <w:tc>
                <w:tcPr>
                  <w:tcW w:w="864" w:type="pct"/>
                  <w:tcBorders>
                    <w:top w:val="single" w:color="auto" w:sz="4" w:space="0"/>
                    <w:left w:val="nil"/>
                    <w:bottom w:val="single" w:color="auto" w:sz="4" w:space="0"/>
                    <w:right w:val="single" w:color="auto" w:sz="4" w:space="0"/>
                  </w:tcBorders>
                  <w:noWrap w:val="0"/>
                  <w:vAlign w:val="center"/>
                </w:tcPr>
                <w:p w14:paraId="4D95062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84.3</w:t>
                  </w:r>
                </w:p>
              </w:tc>
              <w:tc>
                <w:tcPr>
                  <w:tcW w:w="884" w:type="pct"/>
                  <w:tcBorders>
                    <w:top w:val="single" w:color="auto" w:sz="4" w:space="0"/>
                    <w:left w:val="nil"/>
                    <w:bottom w:val="single" w:color="auto" w:sz="4" w:space="0"/>
                    <w:right w:val="single" w:color="auto" w:sz="4" w:space="0"/>
                  </w:tcBorders>
                  <w:noWrap w:val="0"/>
                  <w:vAlign w:val="center"/>
                </w:tcPr>
                <w:p w14:paraId="42B945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0.44</w:t>
                  </w:r>
                </w:p>
              </w:tc>
              <w:tc>
                <w:tcPr>
                  <w:tcW w:w="1043" w:type="pct"/>
                  <w:tcBorders>
                    <w:top w:val="single" w:color="auto" w:sz="4" w:space="0"/>
                    <w:left w:val="nil"/>
                    <w:bottom w:val="single" w:color="auto" w:sz="4" w:space="0"/>
                    <w:right w:val="single" w:color="auto" w:sz="4" w:space="0"/>
                  </w:tcBorders>
                  <w:noWrap w:val="0"/>
                  <w:vAlign w:val="center"/>
                </w:tcPr>
                <w:p w14:paraId="4272608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25</w:t>
                  </w:r>
                </w:p>
              </w:tc>
              <w:tc>
                <w:tcPr>
                  <w:tcW w:w="1122" w:type="pct"/>
                  <w:tcBorders>
                    <w:top w:val="single" w:color="auto" w:sz="4" w:space="0"/>
                    <w:left w:val="nil"/>
                    <w:bottom w:val="single" w:color="auto" w:sz="4" w:space="0"/>
                    <w:right w:val="single" w:color="auto" w:sz="4" w:space="0"/>
                  </w:tcBorders>
                  <w:noWrap w:val="0"/>
                  <w:vAlign w:val="center"/>
                </w:tcPr>
                <w:p w14:paraId="0A642F8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0.13</w:t>
                  </w:r>
                </w:p>
              </w:tc>
            </w:tr>
            <w:tr w14:paraId="6F65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vMerge w:val="continue"/>
                  <w:tcBorders>
                    <w:top w:val="nil"/>
                    <w:left w:val="single" w:color="auto" w:sz="4" w:space="0"/>
                    <w:bottom w:val="single" w:color="auto" w:sz="4" w:space="0"/>
                    <w:right w:val="single" w:color="auto" w:sz="4" w:space="0"/>
                  </w:tcBorders>
                  <w:noWrap w:val="0"/>
                  <w:vAlign w:val="center"/>
                </w:tcPr>
                <w:p w14:paraId="7CFAA1E4">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rPr>
                  </w:pPr>
                </w:p>
              </w:tc>
              <w:tc>
                <w:tcPr>
                  <w:tcW w:w="685" w:type="pct"/>
                  <w:tcBorders>
                    <w:top w:val="single" w:color="auto" w:sz="4" w:space="0"/>
                    <w:left w:val="nil"/>
                    <w:bottom w:val="single" w:color="auto" w:sz="4" w:space="0"/>
                    <w:right w:val="single" w:color="auto" w:sz="4" w:space="0"/>
                  </w:tcBorders>
                  <w:noWrap w:val="0"/>
                  <w:vAlign w:val="center"/>
                </w:tcPr>
                <w:p w14:paraId="43D6726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SS</w:t>
                  </w:r>
                </w:p>
              </w:tc>
              <w:tc>
                <w:tcPr>
                  <w:tcW w:w="864" w:type="pct"/>
                  <w:tcBorders>
                    <w:top w:val="single" w:color="auto" w:sz="4" w:space="0"/>
                    <w:left w:val="nil"/>
                    <w:bottom w:val="single" w:color="auto" w:sz="4" w:space="0"/>
                    <w:right w:val="single" w:color="auto" w:sz="4" w:space="0"/>
                  </w:tcBorders>
                  <w:noWrap w:val="0"/>
                  <w:vAlign w:val="center"/>
                </w:tcPr>
                <w:p w14:paraId="0F436CF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100</w:t>
                  </w:r>
                </w:p>
              </w:tc>
              <w:tc>
                <w:tcPr>
                  <w:tcW w:w="884" w:type="pct"/>
                  <w:tcBorders>
                    <w:top w:val="single" w:color="auto" w:sz="4" w:space="0"/>
                    <w:left w:val="nil"/>
                    <w:bottom w:val="single" w:color="auto" w:sz="4" w:space="0"/>
                    <w:right w:val="single" w:color="auto" w:sz="4" w:space="0"/>
                  </w:tcBorders>
                  <w:noWrap w:val="0"/>
                  <w:vAlign w:val="center"/>
                </w:tcPr>
                <w:p w14:paraId="767C8E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0.52</w:t>
                  </w:r>
                </w:p>
              </w:tc>
              <w:tc>
                <w:tcPr>
                  <w:tcW w:w="1043" w:type="pct"/>
                  <w:tcBorders>
                    <w:top w:val="single" w:color="auto" w:sz="4" w:space="0"/>
                    <w:left w:val="nil"/>
                    <w:bottom w:val="single" w:color="auto" w:sz="4" w:space="0"/>
                    <w:right w:val="single" w:color="auto" w:sz="4" w:space="0"/>
                  </w:tcBorders>
                  <w:noWrap w:val="0"/>
                  <w:vAlign w:val="center"/>
                </w:tcPr>
                <w:p w14:paraId="6ABFCA5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w:t>
                  </w:r>
                </w:p>
              </w:tc>
              <w:tc>
                <w:tcPr>
                  <w:tcW w:w="1122" w:type="pct"/>
                  <w:tcBorders>
                    <w:top w:val="single" w:color="auto" w:sz="4" w:space="0"/>
                    <w:left w:val="nil"/>
                    <w:bottom w:val="single" w:color="auto" w:sz="4" w:space="0"/>
                    <w:right w:val="single" w:color="auto" w:sz="4" w:space="0"/>
                  </w:tcBorders>
                  <w:noWrap w:val="0"/>
                  <w:vAlign w:val="center"/>
                </w:tcPr>
                <w:p w14:paraId="1409E35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0.016</w:t>
                  </w:r>
                </w:p>
              </w:tc>
            </w:tr>
            <w:tr w14:paraId="32F7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25E79F0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备注</w:t>
                  </w:r>
                </w:p>
              </w:tc>
              <w:tc>
                <w:tcPr>
                  <w:tcW w:w="4599" w:type="pct"/>
                  <w:gridSpan w:val="5"/>
                  <w:tcBorders>
                    <w:top w:val="single" w:color="auto" w:sz="4" w:space="0"/>
                    <w:left w:val="nil"/>
                    <w:bottom w:val="single" w:color="auto" w:sz="4" w:space="0"/>
                    <w:right w:val="single" w:color="auto" w:sz="4" w:space="0"/>
                  </w:tcBorders>
                  <w:noWrap w:val="0"/>
                  <w:vAlign w:val="center"/>
                </w:tcPr>
                <w:p w14:paraId="2E78B682">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rPr>
                  </w:pPr>
                  <w:r>
                    <w:rPr>
                      <w:rFonts w:hint="default" w:ascii="Times New Roman" w:hAnsi="Times New Roman" w:eastAsia="宋体" w:cs="Times New Roman"/>
                      <w:color w:val="auto"/>
                    </w:rPr>
                    <w:t>排放浓度根据业主提供的厂区综合污水处理站自动监测结果进行核算。</w:t>
                  </w:r>
                </w:p>
              </w:tc>
            </w:tr>
          </w:tbl>
          <w:p w14:paraId="5CFD876F">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rPr>
              <w:t>项目运营期主要包括锅炉清净水、</w:t>
            </w:r>
            <w:r>
              <w:rPr>
                <w:rFonts w:hint="default" w:ascii="Times New Roman" w:hAnsi="Times New Roman" w:eastAsia="宋体" w:cs="Times New Roman"/>
                <w:color w:val="auto"/>
                <w:sz w:val="24"/>
                <w:lang w:val="en-US" w:eastAsia="zh-CN"/>
              </w:rPr>
              <w:t>软水站废水</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软水站废水和</w:t>
            </w:r>
            <w:r>
              <w:rPr>
                <w:rFonts w:hint="default" w:ascii="Times New Roman" w:hAnsi="Times New Roman" w:eastAsia="宋体" w:cs="Times New Roman"/>
                <w:color w:val="auto"/>
                <w:sz w:val="24"/>
              </w:rPr>
              <w:t>锅炉清净下水进入厂区综合污水处理站处理后</w:t>
            </w:r>
            <w:r>
              <w:rPr>
                <w:rFonts w:hint="default" w:ascii="Times New Roman" w:hAnsi="Times New Roman" w:eastAsia="宋体" w:cs="Times New Roman"/>
                <w:color w:val="auto"/>
                <w:sz w:val="24"/>
                <w:lang w:val="en-US" w:eastAsia="zh-CN"/>
              </w:rPr>
              <w:t>回用生产，废水不外排</w:t>
            </w:r>
            <w:r>
              <w:rPr>
                <w:rFonts w:hint="default" w:ascii="Times New Roman" w:hAnsi="Times New Roman" w:eastAsia="宋体" w:cs="Times New Roman"/>
                <w:color w:val="auto"/>
                <w:sz w:val="24"/>
              </w:rPr>
              <w:t>。</w:t>
            </w:r>
          </w:p>
          <w:p w14:paraId="34AEA15D">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kern w:val="0"/>
                <w:sz w:val="24"/>
              </w:rPr>
            </w:pPr>
            <w:r>
              <w:rPr>
                <w:rFonts w:hint="default" w:ascii="Times New Roman" w:hAnsi="Times New Roman" w:eastAsia="宋体" w:cs="Times New Roman"/>
                <w:b/>
                <w:bCs/>
                <w:color w:val="auto"/>
                <w:sz w:val="24"/>
              </w:rPr>
              <w:t>3.2</w:t>
            </w:r>
            <w:r>
              <w:rPr>
                <w:rFonts w:hint="default" w:ascii="Times New Roman" w:hAnsi="Times New Roman" w:eastAsia="宋体" w:cs="Times New Roman"/>
                <w:b/>
                <w:bCs/>
                <w:color w:val="auto"/>
                <w:kern w:val="0"/>
                <w:sz w:val="24"/>
              </w:rPr>
              <w:t>措施处理可行性分析</w:t>
            </w:r>
          </w:p>
          <w:p w14:paraId="13886E2F">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根据《排污许可申请与核发技术规范 锅炉》（HJ953—2018）中表4废水可行技术参考表，针对全厂综合生产废水的可行性技术包括预处理（沉淀、除油、混凝、中和、其他）+生物法+深度治理（反渗透、离子交换设施等）；项目采用混凝沉淀+</w:t>
            </w:r>
            <w:r>
              <w:rPr>
                <w:rFonts w:hint="default" w:ascii="Times New Roman" w:hAnsi="Times New Roman" w:eastAsia="宋体" w:cs="Times New Roman"/>
                <w:color w:val="auto"/>
                <w:sz w:val="24"/>
              </w:rPr>
              <w:t>CQJ超效浅层气浮工艺</w:t>
            </w:r>
            <w:r>
              <w:rPr>
                <w:rFonts w:hint="default" w:ascii="Times New Roman" w:hAnsi="Times New Roman" w:eastAsia="宋体" w:cs="Times New Roman"/>
                <w:color w:val="auto"/>
                <w:kern w:val="0"/>
                <w:sz w:val="24"/>
              </w:rPr>
              <w:t>处理厂区污水，因此，拟建项目废水污染防治措施为可行性技术。</w:t>
            </w:r>
          </w:p>
          <w:p w14:paraId="07A4CB23">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本次改建内容为</w:t>
            </w:r>
            <w:r>
              <w:rPr>
                <w:rFonts w:hint="default" w:ascii="Times New Roman" w:hAnsi="Times New Roman" w:eastAsia="宋体" w:cs="Times New Roman"/>
                <w:color w:val="auto"/>
                <w:sz w:val="24"/>
              </w:rPr>
              <w:t>拟将现有1台10</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t/h燃煤蒸汽锅炉改为1台</w:t>
            </w:r>
            <w:r>
              <w:rPr>
                <w:rFonts w:hint="default" w:ascii="Times New Roman" w:hAnsi="Times New Roman" w:eastAsia="宋体" w:cs="Times New Roman"/>
                <w:color w:val="auto"/>
                <w:sz w:val="24"/>
                <w:lang w:val="en-US" w:eastAsia="zh-CN"/>
              </w:rPr>
              <w:t>10.5</w:t>
            </w:r>
            <w:r>
              <w:rPr>
                <w:rFonts w:hint="default" w:ascii="Times New Roman" w:hAnsi="Times New Roman" w:eastAsia="宋体" w:cs="Times New Roman"/>
                <w:color w:val="auto"/>
                <w:sz w:val="24"/>
              </w:rPr>
              <w:t>t/h</w:t>
            </w:r>
            <w:r>
              <w:rPr>
                <w:rFonts w:hint="default" w:ascii="Times New Roman" w:hAnsi="Times New Roman" w:eastAsia="宋体" w:cs="Times New Roman"/>
                <w:color w:val="auto"/>
                <w:sz w:val="24"/>
                <w:lang w:val="en-US" w:eastAsia="zh-CN"/>
              </w:rPr>
              <w:t>生物质</w:t>
            </w:r>
            <w:r>
              <w:rPr>
                <w:rFonts w:hint="default" w:ascii="Times New Roman" w:hAnsi="Times New Roman" w:eastAsia="宋体" w:cs="Times New Roman"/>
                <w:color w:val="auto"/>
                <w:sz w:val="24"/>
              </w:rPr>
              <w:t>锅炉进行供热</w:t>
            </w:r>
            <w:r>
              <w:rPr>
                <w:rFonts w:hint="default" w:ascii="Times New Roman" w:hAnsi="Times New Roman" w:eastAsia="宋体" w:cs="Times New Roman"/>
                <w:color w:val="auto"/>
                <w:kern w:val="0"/>
                <w:sz w:val="24"/>
              </w:rPr>
              <w:t>。改建后锅炉产生的污水种类不变，锅炉产生污水还是锅炉清净下水、</w:t>
            </w:r>
            <w:r>
              <w:rPr>
                <w:rFonts w:hint="default" w:ascii="Times New Roman" w:hAnsi="Times New Roman" w:eastAsia="宋体" w:cs="Times New Roman"/>
                <w:color w:val="auto"/>
                <w:kern w:val="0"/>
                <w:sz w:val="24"/>
                <w:lang w:val="en-US" w:eastAsia="zh-CN"/>
              </w:rPr>
              <w:t>软水站</w:t>
            </w:r>
            <w:r>
              <w:rPr>
                <w:rFonts w:hint="default" w:ascii="Times New Roman" w:hAnsi="Times New Roman" w:eastAsia="宋体" w:cs="Times New Roman"/>
                <w:color w:val="auto"/>
                <w:kern w:val="0"/>
                <w:sz w:val="24"/>
              </w:rPr>
              <w:t>废水，改建后锅炉污水种类与现有锅炉污水种类一致。厂区综合污水处理站处理规模为4800m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/d，本次锅炉改建污水进入厂区综合污水处理站处理量为</w:t>
            </w:r>
            <w:r>
              <w:rPr>
                <w:rFonts w:hint="eastAsia" w:cs="Times New Roman"/>
                <w:color w:val="auto"/>
                <w:kern w:val="0"/>
                <w:sz w:val="24"/>
                <w:lang w:val="en-US" w:eastAsia="zh-CN"/>
              </w:rPr>
              <w:t>17.29</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w:t>
            </w:r>
            <w:r>
              <w:rPr>
                <w:rFonts w:hint="default" w:ascii="Times New Roman" w:hAnsi="Times New Roman" w:eastAsia="宋体" w:cs="Times New Roman"/>
                <w:color w:val="auto"/>
                <w:kern w:val="0"/>
                <w:sz w:val="24"/>
                <w:lang w:val="en-US" w:eastAsia="zh-CN"/>
              </w:rPr>
              <w:t>对比原有锅炉废水（</w:t>
            </w:r>
            <w:r>
              <w:rPr>
                <w:rFonts w:hint="default" w:ascii="Times New Roman" w:hAnsi="Times New Roman" w:eastAsia="宋体" w:cs="Times New Roman"/>
                <w:b w:val="0"/>
                <w:bCs w:val="0"/>
                <w:color w:val="auto"/>
                <w:sz w:val="24"/>
                <w:szCs w:val="24"/>
                <w:lang w:val="en-US" w:eastAsia="zh-CN"/>
              </w:rPr>
              <w:t>8.7</w:t>
            </w:r>
            <w:r>
              <w:rPr>
                <w:rFonts w:hint="default" w:ascii="Times New Roman" w:hAnsi="Times New Roman" w:eastAsia="宋体" w:cs="Times New Roman"/>
                <w:b w:val="0"/>
                <w:bCs w:val="0"/>
                <w:color w:val="auto"/>
                <w:sz w:val="24"/>
                <w:szCs w:val="24"/>
              </w:rPr>
              <w:t>m</w:t>
            </w:r>
            <w:r>
              <w:rPr>
                <w:rFonts w:hint="default" w:ascii="Times New Roman" w:hAnsi="Times New Roman" w:eastAsia="宋体" w:cs="Times New Roman"/>
                <w:b w:val="0"/>
                <w:bCs w:val="0"/>
                <w:color w:val="auto"/>
                <w:sz w:val="24"/>
                <w:szCs w:val="24"/>
                <w:vertAlign w:val="superscript"/>
              </w:rPr>
              <w:t>3</w:t>
            </w:r>
            <w:r>
              <w:rPr>
                <w:rFonts w:hint="default" w:ascii="Times New Roman" w:hAnsi="Times New Roman" w:eastAsia="宋体" w:cs="Times New Roman"/>
                <w:b w:val="0"/>
                <w:bCs w:val="0"/>
                <w:color w:val="auto"/>
                <w:sz w:val="24"/>
                <w:szCs w:val="24"/>
              </w:rPr>
              <w:t>/d，</w:t>
            </w:r>
            <w:r>
              <w:rPr>
                <w:rFonts w:hint="default" w:ascii="Times New Roman" w:hAnsi="Times New Roman" w:eastAsia="宋体" w:cs="Times New Roman"/>
                <w:b w:val="0"/>
                <w:bCs w:val="0"/>
                <w:color w:val="auto"/>
                <w:sz w:val="24"/>
                <w:szCs w:val="24"/>
                <w:lang w:val="en-US" w:eastAsia="zh-CN"/>
              </w:rPr>
              <w:t>2610</w:t>
            </w:r>
            <w:r>
              <w:rPr>
                <w:rFonts w:hint="default" w:ascii="Times New Roman" w:hAnsi="Times New Roman" w:eastAsia="宋体" w:cs="Times New Roman"/>
                <w:b w:val="0"/>
                <w:bCs w:val="0"/>
                <w:color w:val="auto"/>
                <w:sz w:val="24"/>
                <w:szCs w:val="24"/>
              </w:rPr>
              <w:t>m</w:t>
            </w:r>
            <w:r>
              <w:rPr>
                <w:rFonts w:hint="default" w:ascii="Times New Roman" w:hAnsi="Times New Roman" w:eastAsia="宋体" w:cs="Times New Roman"/>
                <w:b w:val="0"/>
                <w:bCs w:val="0"/>
                <w:color w:val="auto"/>
                <w:sz w:val="24"/>
                <w:szCs w:val="24"/>
                <w:vertAlign w:val="superscript"/>
              </w:rPr>
              <w:t>3</w:t>
            </w:r>
            <w:r>
              <w:rPr>
                <w:rFonts w:hint="default" w:ascii="Times New Roman" w:hAnsi="Times New Roman" w:eastAsia="宋体" w:cs="Times New Roman"/>
                <w:b w:val="0"/>
                <w:bCs w:val="0"/>
                <w:color w:val="auto"/>
                <w:sz w:val="24"/>
                <w:szCs w:val="24"/>
              </w:rPr>
              <w:t>/a</w:t>
            </w:r>
            <w:r>
              <w:rPr>
                <w:rFonts w:hint="default" w:ascii="Times New Roman" w:hAnsi="Times New Roman" w:eastAsia="宋体" w:cs="Times New Roman"/>
                <w:color w:val="auto"/>
                <w:kern w:val="0"/>
                <w:sz w:val="24"/>
                <w:lang w:val="en-US" w:eastAsia="zh-CN"/>
              </w:rPr>
              <w:t>）排放情况，新增废水量为</w:t>
            </w:r>
            <w:r>
              <w:rPr>
                <w:rFonts w:hint="eastAsia" w:cs="Times New Roman"/>
                <w:color w:val="auto"/>
                <w:kern w:val="0"/>
                <w:sz w:val="24"/>
                <w:lang w:val="en-US" w:eastAsia="zh-CN"/>
              </w:rPr>
              <w:t>8.59</w:t>
            </w:r>
            <w:r>
              <w:rPr>
                <w:rFonts w:hint="default" w:ascii="Times New Roman" w:hAnsi="Times New Roman" w:eastAsia="宋体" w:cs="Times New Roman"/>
                <w:color w:val="auto"/>
                <w:kern w:val="0"/>
                <w:sz w:val="24"/>
                <w:lang w:val="en-US" w:eastAsia="zh-CN"/>
              </w:rPr>
              <w:t>m</w:t>
            </w:r>
            <w:r>
              <w:rPr>
                <w:rFonts w:hint="default" w:ascii="Times New Roman" w:hAnsi="Times New Roman" w:eastAsia="宋体" w:cs="Times New Roman"/>
                <w:color w:val="auto"/>
                <w:kern w:val="0"/>
                <w:sz w:val="24"/>
                <w:vertAlign w:val="superscript"/>
                <w:lang w:val="en-US" w:eastAsia="zh-CN"/>
              </w:rPr>
              <w:t>3</w:t>
            </w:r>
            <w:r>
              <w:rPr>
                <w:rFonts w:hint="default" w:ascii="Times New Roman" w:hAnsi="Times New Roman" w:eastAsia="宋体" w:cs="Times New Roman"/>
                <w:color w:val="auto"/>
                <w:kern w:val="0"/>
                <w:sz w:val="24"/>
                <w:vertAlign w:val="baseline"/>
                <w:lang w:val="en-US" w:eastAsia="zh-CN"/>
              </w:rPr>
              <w:t>/d，</w:t>
            </w:r>
            <w:r>
              <w:rPr>
                <w:rFonts w:hint="default" w:ascii="Times New Roman" w:hAnsi="Times New Roman" w:eastAsia="宋体" w:cs="Times New Roman"/>
                <w:color w:val="auto"/>
                <w:kern w:val="0"/>
                <w:sz w:val="24"/>
              </w:rPr>
              <w:t>根据</w:t>
            </w:r>
            <w:r>
              <w:rPr>
                <w:rFonts w:hint="default" w:ascii="Times New Roman" w:hAnsi="Times New Roman" w:eastAsia="宋体" w:cs="Times New Roman"/>
                <w:color w:val="auto"/>
                <w:kern w:val="0"/>
                <w:sz w:val="24"/>
                <w:lang w:val="en-US" w:eastAsia="zh-CN"/>
              </w:rPr>
              <w:t>现有项目实际运营情况</w:t>
            </w:r>
            <w:r>
              <w:rPr>
                <w:rFonts w:hint="default" w:ascii="Times New Roman" w:hAnsi="Times New Roman" w:eastAsia="宋体" w:cs="Times New Roman"/>
                <w:color w:val="auto"/>
                <w:kern w:val="0"/>
                <w:sz w:val="24"/>
              </w:rPr>
              <w:t>进入厂区综合污水处理站处理量</w:t>
            </w:r>
            <w:r>
              <w:rPr>
                <w:rFonts w:hint="default" w:ascii="Times New Roman" w:hAnsi="Times New Roman" w:eastAsia="宋体" w:cs="Times New Roman"/>
                <w:color w:val="auto"/>
                <w:sz w:val="24"/>
              </w:rPr>
              <w:t>为2</w:t>
            </w:r>
            <w:r>
              <w:rPr>
                <w:rFonts w:hint="default" w:ascii="Times New Roman" w:hAnsi="Times New Roman" w:eastAsia="宋体" w:cs="Times New Roman"/>
                <w:color w:val="auto"/>
                <w:sz w:val="24"/>
                <w:lang w:val="en-US" w:eastAsia="zh-CN"/>
              </w:rPr>
              <w:t>500</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/d，因此污水进入厂区综合污水处理站后总处理量为</w:t>
            </w:r>
            <w:r>
              <w:rPr>
                <w:rFonts w:hint="default" w:ascii="Times New Roman" w:hAnsi="Times New Roman" w:eastAsia="宋体" w:cs="Times New Roman"/>
                <w:color w:val="auto"/>
                <w:kern w:val="0"/>
                <w:sz w:val="24"/>
                <w:lang w:val="en-US" w:eastAsia="zh-CN"/>
              </w:rPr>
              <w:t>25</w:t>
            </w:r>
            <w:r>
              <w:rPr>
                <w:rFonts w:hint="eastAsia" w:cs="Times New Roman"/>
                <w:color w:val="auto"/>
                <w:kern w:val="0"/>
                <w:sz w:val="24"/>
                <w:lang w:val="en-US" w:eastAsia="zh-CN"/>
              </w:rPr>
              <w:t>08.59</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/d，厂区综合污水处理站处理规模满足生产需求。因此污水处理沿用现有污水处理站可行。</w:t>
            </w:r>
          </w:p>
          <w:p w14:paraId="2CE3FD59">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color w:val="auto"/>
                <w:kern w:val="0"/>
                <w:sz w:val="24"/>
              </w:rPr>
            </w:pPr>
            <w:r>
              <w:rPr>
                <w:rFonts w:hint="default" w:ascii="Times New Roman" w:hAnsi="Times New Roman" w:eastAsia="宋体" w:cs="Times New Roman"/>
                <w:b/>
                <w:bCs/>
                <w:color w:val="auto"/>
                <w:kern w:val="0"/>
                <w:sz w:val="24"/>
              </w:rPr>
              <w:t>3.3污水处理可行性分析</w:t>
            </w:r>
          </w:p>
          <w:p w14:paraId="695EA5DE">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厂区综合污水处理站处理规模为4800m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/d，本次锅炉改建</w:t>
            </w:r>
            <w:r>
              <w:rPr>
                <w:rFonts w:hint="default" w:ascii="Times New Roman" w:hAnsi="Times New Roman" w:eastAsia="宋体" w:cs="Times New Roman"/>
                <w:color w:val="auto"/>
                <w:kern w:val="0"/>
                <w:sz w:val="24"/>
                <w:lang w:val="en-US" w:eastAsia="zh-CN"/>
              </w:rPr>
              <w:t>新增</w:t>
            </w:r>
            <w:r>
              <w:rPr>
                <w:rFonts w:hint="default" w:ascii="Times New Roman" w:hAnsi="Times New Roman" w:eastAsia="宋体" w:cs="Times New Roman"/>
                <w:color w:val="auto"/>
                <w:kern w:val="0"/>
                <w:sz w:val="24"/>
              </w:rPr>
              <w:t>污水进入厂区综合污水处理站处理量为</w:t>
            </w:r>
            <w:r>
              <w:rPr>
                <w:rFonts w:hint="eastAsia" w:cs="Times New Roman"/>
                <w:color w:val="auto"/>
                <w:kern w:val="0"/>
                <w:sz w:val="24"/>
                <w:lang w:val="en-US" w:eastAsia="zh-CN"/>
              </w:rPr>
              <w:t>8.59</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/d，改建后锅炉排放的污水种类不变，锅炉排放污水还是锅炉清净下水、</w:t>
            </w:r>
            <w:r>
              <w:rPr>
                <w:rFonts w:hint="default" w:ascii="Times New Roman" w:hAnsi="Times New Roman" w:eastAsia="宋体" w:cs="Times New Roman"/>
                <w:color w:val="auto"/>
                <w:kern w:val="0"/>
                <w:sz w:val="24"/>
                <w:lang w:val="en-US" w:eastAsia="zh-CN"/>
              </w:rPr>
              <w:t>软水站</w:t>
            </w:r>
            <w:r>
              <w:rPr>
                <w:rFonts w:hint="default" w:ascii="Times New Roman" w:hAnsi="Times New Roman" w:eastAsia="宋体" w:cs="Times New Roman"/>
                <w:color w:val="auto"/>
                <w:kern w:val="0"/>
                <w:sz w:val="24"/>
              </w:rPr>
              <w:t>废水，改建后锅炉污水种类与现有锅炉污水种类一致。现有锅炉废水排放量</w:t>
            </w:r>
            <w:r>
              <w:rPr>
                <w:rFonts w:hint="default" w:ascii="Times New Roman" w:hAnsi="Times New Roman" w:eastAsia="宋体" w:cs="Times New Roman"/>
                <w:color w:val="auto"/>
                <w:kern w:val="0"/>
                <w:sz w:val="24"/>
                <w:lang w:val="en-US" w:eastAsia="zh-CN"/>
              </w:rPr>
              <w:t>与本项目基本相同</w:t>
            </w:r>
            <w:r>
              <w:rPr>
                <w:rFonts w:hint="default" w:ascii="Times New Roman" w:hAnsi="Times New Roman" w:eastAsia="宋体" w:cs="Times New Roman"/>
                <w:color w:val="auto"/>
                <w:kern w:val="0"/>
                <w:sz w:val="24"/>
              </w:rPr>
              <w:t>，改建后锅炉废水排放量</w:t>
            </w:r>
            <w:r>
              <w:rPr>
                <w:rFonts w:hint="default" w:ascii="Times New Roman" w:hAnsi="Times New Roman" w:eastAsia="宋体" w:cs="Times New Roman"/>
                <w:color w:val="auto"/>
                <w:kern w:val="0"/>
                <w:sz w:val="24"/>
                <w:lang w:val="en-US" w:eastAsia="zh-CN"/>
              </w:rPr>
              <w:t>几乎不变</w:t>
            </w:r>
            <w:r>
              <w:rPr>
                <w:rFonts w:hint="default" w:ascii="Times New Roman" w:hAnsi="Times New Roman" w:eastAsia="宋体" w:cs="Times New Roman"/>
                <w:color w:val="auto"/>
                <w:kern w:val="0"/>
                <w:sz w:val="24"/>
              </w:rPr>
              <w:t>。厂区综合污水处理站处理规模满足生产需求。因此，厂区综合污水处理站污水处理的方式满足要求，污水处理设施设置合理可行。</w:t>
            </w:r>
          </w:p>
          <w:p w14:paraId="003DE0D8">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四、噪声</w:t>
            </w:r>
          </w:p>
          <w:p w14:paraId="4B71FBD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4.1、噪声源强</w:t>
            </w:r>
          </w:p>
          <w:p w14:paraId="0535F2E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项目主要噪声源为风机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水泵、生物质锅炉</w:t>
            </w:r>
            <w:r>
              <w:rPr>
                <w:rFonts w:hint="default" w:ascii="Times New Roman" w:hAnsi="Times New Roman" w:eastAsia="宋体" w:cs="Times New Roman"/>
                <w:color w:val="auto"/>
                <w:sz w:val="24"/>
              </w:rPr>
              <w:t>运转噪声，项目设备均为室内设备。噪声源强为7</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-8</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dB（A）。噪声源强表如下：</w:t>
            </w:r>
          </w:p>
          <w:p w14:paraId="2CF5EB1D">
            <w:pPr>
              <w:pStyle w:val="21"/>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表4.</w:t>
            </w:r>
            <w:r>
              <w:rPr>
                <w:rFonts w:hint="default" w:ascii="Times New Roman" w:hAnsi="Times New Roman" w:eastAsia="宋体" w:cs="Times New Roman"/>
                <w:b/>
                <w:bCs/>
                <w:color w:val="auto"/>
                <w:szCs w:val="21"/>
                <w:lang w:val="en-US" w:eastAsia="zh-CN"/>
              </w:rPr>
              <w:t>4-1</w:t>
            </w:r>
            <w:r>
              <w:rPr>
                <w:rFonts w:hint="default" w:ascii="Times New Roman" w:hAnsi="Times New Roman" w:eastAsia="宋体" w:cs="Times New Roman"/>
                <w:b/>
                <w:bCs/>
                <w:color w:val="auto"/>
                <w:szCs w:val="21"/>
              </w:rPr>
              <w:t xml:space="preserve">   项目机械设备噪声声源一览表   单位：dB（A）</w:t>
            </w:r>
          </w:p>
          <w:tbl>
            <w:tblPr>
              <w:tblStyle w:val="3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760"/>
              <w:gridCol w:w="573"/>
              <w:gridCol w:w="792"/>
              <w:gridCol w:w="749"/>
              <w:gridCol w:w="618"/>
              <w:gridCol w:w="717"/>
              <w:gridCol w:w="869"/>
              <w:gridCol w:w="884"/>
              <w:gridCol w:w="805"/>
              <w:gridCol w:w="909"/>
            </w:tblGrid>
            <w:tr w14:paraId="500D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restart"/>
                  <w:tcBorders>
                    <w:tl2br w:val="nil"/>
                    <w:tr2bl w:val="nil"/>
                  </w:tcBorders>
                  <w:noWrap w:val="0"/>
                  <w:vAlign w:val="center"/>
                </w:tcPr>
                <w:p w14:paraId="43A669E9">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建筑物</w:t>
                  </w:r>
                </w:p>
              </w:tc>
              <w:tc>
                <w:tcPr>
                  <w:tcW w:w="460" w:type="pct"/>
                  <w:vMerge w:val="restart"/>
                  <w:tcBorders>
                    <w:tl2br w:val="nil"/>
                    <w:tr2bl w:val="nil"/>
                  </w:tcBorders>
                  <w:noWrap w:val="0"/>
                  <w:vAlign w:val="center"/>
                </w:tcPr>
                <w:p w14:paraId="55A1A265">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声源名称</w:t>
                  </w:r>
                </w:p>
              </w:tc>
              <w:tc>
                <w:tcPr>
                  <w:tcW w:w="347" w:type="pct"/>
                  <w:vMerge w:val="restart"/>
                  <w:tcBorders>
                    <w:tl2br w:val="nil"/>
                    <w:tr2bl w:val="nil"/>
                  </w:tcBorders>
                  <w:noWrap w:val="0"/>
                  <w:vAlign w:val="center"/>
                </w:tcPr>
                <w:p w14:paraId="66ACC914">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源强dB</w:t>
                  </w:r>
                </w:p>
                <w:p w14:paraId="3919A5A3">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(A)</w:t>
                  </w:r>
                </w:p>
              </w:tc>
              <w:tc>
                <w:tcPr>
                  <w:tcW w:w="1306" w:type="pct"/>
                  <w:gridSpan w:val="3"/>
                  <w:tcBorders>
                    <w:tl2br w:val="nil"/>
                    <w:tr2bl w:val="nil"/>
                  </w:tcBorders>
                  <w:noWrap w:val="0"/>
                  <w:vAlign w:val="center"/>
                </w:tcPr>
                <w:p w14:paraId="4A176463">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空间相对位置/m</w:t>
                  </w:r>
                </w:p>
              </w:tc>
              <w:tc>
                <w:tcPr>
                  <w:tcW w:w="434" w:type="pct"/>
                  <w:vMerge w:val="restart"/>
                  <w:tcBorders>
                    <w:tl2br w:val="nil"/>
                    <w:tr2bl w:val="nil"/>
                  </w:tcBorders>
                  <w:noWrap w:val="0"/>
                  <w:vAlign w:val="center"/>
                </w:tcPr>
                <w:p w14:paraId="5883FC47">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距项目边界m</w:t>
                  </w:r>
                </w:p>
              </w:tc>
              <w:tc>
                <w:tcPr>
                  <w:tcW w:w="526" w:type="pct"/>
                  <w:vMerge w:val="restart"/>
                  <w:tcBorders>
                    <w:tl2br w:val="nil"/>
                    <w:tr2bl w:val="nil"/>
                  </w:tcBorders>
                  <w:noWrap w:val="0"/>
                  <w:vAlign w:val="center"/>
                </w:tcPr>
                <w:p w14:paraId="7BEB68B2">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项目边界声级dB（A）</w:t>
                  </w:r>
                </w:p>
              </w:tc>
              <w:tc>
                <w:tcPr>
                  <w:tcW w:w="535" w:type="pct"/>
                  <w:vMerge w:val="restart"/>
                  <w:tcBorders>
                    <w:tl2br w:val="nil"/>
                    <w:tr2bl w:val="nil"/>
                  </w:tcBorders>
                  <w:noWrap w:val="0"/>
                  <w:vAlign w:val="center"/>
                </w:tcPr>
                <w:p w14:paraId="5EA6FE1A">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建筑物插入损失dB(A)</w:t>
                  </w:r>
                </w:p>
              </w:tc>
              <w:tc>
                <w:tcPr>
                  <w:tcW w:w="1036" w:type="pct"/>
                  <w:gridSpan w:val="2"/>
                  <w:tcBorders>
                    <w:tl2br w:val="nil"/>
                    <w:tr2bl w:val="nil"/>
                  </w:tcBorders>
                  <w:noWrap w:val="0"/>
                  <w:vAlign w:val="center"/>
                </w:tcPr>
                <w:p w14:paraId="056CD615">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建筑物外噪声</w:t>
                  </w:r>
                </w:p>
              </w:tc>
            </w:tr>
            <w:tr w14:paraId="56F8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continue"/>
                  <w:tcBorders>
                    <w:tl2br w:val="nil"/>
                    <w:tr2bl w:val="nil"/>
                  </w:tcBorders>
                  <w:noWrap w:val="0"/>
                  <w:vAlign w:val="center"/>
                </w:tcPr>
                <w:p w14:paraId="4EE638E0">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p>
              </w:tc>
              <w:tc>
                <w:tcPr>
                  <w:tcW w:w="460" w:type="pct"/>
                  <w:vMerge w:val="continue"/>
                  <w:tcBorders>
                    <w:tl2br w:val="nil"/>
                    <w:tr2bl w:val="nil"/>
                  </w:tcBorders>
                  <w:noWrap w:val="0"/>
                  <w:vAlign w:val="center"/>
                </w:tcPr>
                <w:p w14:paraId="1EAC4000">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p>
              </w:tc>
              <w:tc>
                <w:tcPr>
                  <w:tcW w:w="347" w:type="pct"/>
                  <w:vMerge w:val="continue"/>
                  <w:tcBorders>
                    <w:tl2br w:val="nil"/>
                    <w:tr2bl w:val="nil"/>
                  </w:tcBorders>
                  <w:noWrap w:val="0"/>
                  <w:vAlign w:val="center"/>
                </w:tcPr>
                <w:p w14:paraId="15B46798">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p>
              </w:tc>
              <w:tc>
                <w:tcPr>
                  <w:tcW w:w="479" w:type="pct"/>
                  <w:tcBorders>
                    <w:tl2br w:val="nil"/>
                    <w:tr2bl w:val="nil"/>
                  </w:tcBorders>
                  <w:noWrap w:val="0"/>
                  <w:vAlign w:val="center"/>
                </w:tcPr>
                <w:p w14:paraId="6EEA9028">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X</w:t>
                  </w:r>
                </w:p>
              </w:tc>
              <w:tc>
                <w:tcPr>
                  <w:tcW w:w="453" w:type="pct"/>
                  <w:tcBorders>
                    <w:tl2br w:val="nil"/>
                    <w:tr2bl w:val="nil"/>
                  </w:tcBorders>
                  <w:noWrap w:val="0"/>
                  <w:vAlign w:val="center"/>
                </w:tcPr>
                <w:p w14:paraId="57A814AB">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Y</w:t>
                  </w:r>
                </w:p>
              </w:tc>
              <w:tc>
                <w:tcPr>
                  <w:tcW w:w="373" w:type="pct"/>
                  <w:tcBorders>
                    <w:tl2br w:val="nil"/>
                    <w:tr2bl w:val="nil"/>
                  </w:tcBorders>
                  <w:noWrap w:val="0"/>
                  <w:vAlign w:val="center"/>
                </w:tcPr>
                <w:p w14:paraId="7B79852F">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Z</w:t>
                  </w:r>
                </w:p>
              </w:tc>
              <w:tc>
                <w:tcPr>
                  <w:tcW w:w="434" w:type="pct"/>
                  <w:vMerge w:val="continue"/>
                  <w:tcBorders>
                    <w:tl2br w:val="nil"/>
                    <w:tr2bl w:val="nil"/>
                  </w:tcBorders>
                  <w:noWrap w:val="0"/>
                  <w:vAlign w:val="center"/>
                </w:tcPr>
                <w:p w14:paraId="64E355EA">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p>
              </w:tc>
              <w:tc>
                <w:tcPr>
                  <w:tcW w:w="526" w:type="pct"/>
                  <w:vMerge w:val="continue"/>
                  <w:tcBorders>
                    <w:tl2br w:val="nil"/>
                    <w:tr2bl w:val="nil"/>
                  </w:tcBorders>
                  <w:noWrap w:val="0"/>
                  <w:vAlign w:val="center"/>
                </w:tcPr>
                <w:p w14:paraId="1B528FA4">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p>
              </w:tc>
              <w:tc>
                <w:tcPr>
                  <w:tcW w:w="535" w:type="pct"/>
                  <w:vMerge w:val="continue"/>
                  <w:tcBorders>
                    <w:tl2br w:val="nil"/>
                    <w:tr2bl w:val="nil"/>
                  </w:tcBorders>
                  <w:noWrap/>
                  <w:vAlign w:val="center"/>
                </w:tcPr>
                <w:p w14:paraId="5F76A28A">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p>
              </w:tc>
              <w:tc>
                <w:tcPr>
                  <w:tcW w:w="487" w:type="pct"/>
                  <w:tcBorders>
                    <w:tl2br w:val="nil"/>
                    <w:tr2bl w:val="nil"/>
                  </w:tcBorders>
                  <w:noWrap w:val="0"/>
                  <w:vAlign w:val="center"/>
                </w:tcPr>
                <w:p w14:paraId="50C59355">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声压级dB（A）</w:t>
                  </w:r>
                </w:p>
              </w:tc>
              <w:tc>
                <w:tcPr>
                  <w:tcW w:w="548" w:type="pct"/>
                  <w:tcBorders>
                    <w:tl2br w:val="nil"/>
                    <w:tr2bl w:val="nil"/>
                  </w:tcBorders>
                  <w:noWrap w:val="0"/>
                  <w:vAlign w:val="center"/>
                </w:tcPr>
                <w:p w14:paraId="58993258">
                  <w:pPr>
                    <w:pStyle w:val="1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建筑物外距离m</w:t>
                  </w:r>
                </w:p>
              </w:tc>
            </w:tr>
            <w:tr w14:paraId="150E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restart"/>
                  <w:tcBorders>
                    <w:tl2br w:val="nil"/>
                    <w:tr2bl w:val="nil"/>
                  </w:tcBorders>
                  <w:noWrap w:val="0"/>
                  <w:vAlign w:val="center"/>
                </w:tcPr>
                <w:p w14:paraId="0774D62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生产车间</w:t>
                  </w:r>
                </w:p>
              </w:tc>
              <w:tc>
                <w:tcPr>
                  <w:tcW w:w="460" w:type="pct"/>
                  <w:tcBorders>
                    <w:tl2br w:val="nil"/>
                    <w:tr2bl w:val="nil"/>
                  </w:tcBorders>
                  <w:noWrap w:val="0"/>
                  <w:vAlign w:val="center"/>
                </w:tcPr>
                <w:p w14:paraId="56F93DB9">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锅炉</w:t>
                  </w:r>
                </w:p>
              </w:tc>
              <w:tc>
                <w:tcPr>
                  <w:tcW w:w="347" w:type="pct"/>
                  <w:tcBorders>
                    <w:tl2br w:val="nil"/>
                    <w:tr2bl w:val="nil"/>
                  </w:tcBorders>
                  <w:noWrap w:val="0"/>
                  <w:vAlign w:val="center"/>
                </w:tcPr>
                <w:p w14:paraId="39DFBD7D">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85</w:t>
                  </w:r>
                </w:p>
              </w:tc>
              <w:tc>
                <w:tcPr>
                  <w:tcW w:w="479" w:type="pct"/>
                  <w:tcBorders>
                    <w:tl2br w:val="nil"/>
                    <w:tr2bl w:val="nil"/>
                  </w:tcBorders>
                  <w:noWrap w:val="0"/>
                  <w:vAlign w:val="center"/>
                </w:tcPr>
                <w:p w14:paraId="3C7B72F7">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14.36</w:t>
                  </w:r>
                </w:p>
              </w:tc>
              <w:tc>
                <w:tcPr>
                  <w:tcW w:w="453" w:type="pct"/>
                  <w:tcBorders>
                    <w:tl2br w:val="nil"/>
                    <w:tr2bl w:val="nil"/>
                  </w:tcBorders>
                  <w:noWrap w:val="0"/>
                  <w:vAlign w:val="center"/>
                </w:tcPr>
                <w:p w14:paraId="0BEBB6D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60.19</w:t>
                  </w:r>
                </w:p>
              </w:tc>
              <w:tc>
                <w:tcPr>
                  <w:tcW w:w="373" w:type="pct"/>
                  <w:tcBorders>
                    <w:tl2br w:val="nil"/>
                    <w:tr2bl w:val="nil"/>
                  </w:tcBorders>
                  <w:noWrap w:val="0"/>
                  <w:vAlign w:val="center"/>
                </w:tcPr>
                <w:p w14:paraId="64477096">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434" w:type="pct"/>
                  <w:tcBorders>
                    <w:tl2br w:val="nil"/>
                    <w:tr2bl w:val="nil"/>
                  </w:tcBorders>
                  <w:noWrap w:val="0"/>
                  <w:vAlign w:val="center"/>
                </w:tcPr>
                <w:p w14:paraId="222135FD">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15</w:t>
                  </w:r>
                </w:p>
              </w:tc>
              <w:tc>
                <w:tcPr>
                  <w:tcW w:w="526" w:type="pct"/>
                  <w:tcBorders>
                    <w:tl2br w:val="nil"/>
                    <w:tr2bl w:val="nil"/>
                  </w:tcBorders>
                  <w:noWrap w:val="0"/>
                  <w:vAlign w:val="center"/>
                </w:tcPr>
                <w:p w14:paraId="02A463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70</w:t>
                  </w:r>
                </w:p>
              </w:tc>
              <w:tc>
                <w:tcPr>
                  <w:tcW w:w="535" w:type="pct"/>
                  <w:tcBorders>
                    <w:tl2br w:val="nil"/>
                    <w:tr2bl w:val="nil"/>
                  </w:tcBorders>
                  <w:noWrap w:val="0"/>
                  <w:vAlign w:val="center"/>
                </w:tcPr>
                <w:p w14:paraId="5C25FBCB">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15</w:t>
                  </w:r>
                </w:p>
              </w:tc>
              <w:tc>
                <w:tcPr>
                  <w:tcW w:w="487" w:type="pct"/>
                  <w:tcBorders>
                    <w:tl2br w:val="nil"/>
                    <w:tr2bl w:val="nil"/>
                  </w:tcBorders>
                  <w:noWrap w:val="0"/>
                  <w:vAlign w:val="center"/>
                </w:tcPr>
                <w:p w14:paraId="6C84C4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55</w:t>
                  </w:r>
                </w:p>
              </w:tc>
              <w:tc>
                <w:tcPr>
                  <w:tcW w:w="548" w:type="pct"/>
                  <w:tcBorders>
                    <w:tl2br w:val="nil"/>
                    <w:tr2bl w:val="nil"/>
                  </w:tcBorders>
                  <w:noWrap w:val="0"/>
                  <w:vAlign w:val="center"/>
                </w:tcPr>
                <w:p w14:paraId="0098E068">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r>
            <w:tr w14:paraId="35A0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5" w:type="pct"/>
                  <w:vMerge w:val="continue"/>
                  <w:tcBorders>
                    <w:tl2br w:val="nil"/>
                    <w:tr2bl w:val="nil"/>
                  </w:tcBorders>
                  <w:noWrap w:val="0"/>
                  <w:vAlign w:val="center"/>
                </w:tcPr>
                <w:p w14:paraId="666D154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p>
              </w:tc>
              <w:tc>
                <w:tcPr>
                  <w:tcW w:w="460" w:type="pct"/>
                  <w:tcBorders>
                    <w:tl2br w:val="nil"/>
                    <w:tr2bl w:val="nil"/>
                  </w:tcBorders>
                  <w:noWrap w:val="0"/>
                  <w:vAlign w:val="center"/>
                </w:tcPr>
                <w:p w14:paraId="3DE5B626">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锅炉配套风机1#</w:t>
                  </w:r>
                </w:p>
              </w:tc>
              <w:tc>
                <w:tcPr>
                  <w:tcW w:w="347" w:type="pct"/>
                  <w:tcBorders>
                    <w:tl2br w:val="nil"/>
                    <w:tr2bl w:val="nil"/>
                  </w:tcBorders>
                  <w:noWrap w:val="0"/>
                  <w:vAlign w:val="center"/>
                </w:tcPr>
                <w:p w14:paraId="6B16BCBE">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80</w:t>
                  </w:r>
                </w:p>
              </w:tc>
              <w:tc>
                <w:tcPr>
                  <w:tcW w:w="479" w:type="pct"/>
                  <w:tcBorders>
                    <w:tl2br w:val="nil"/>
                    <w:tr2bl w:val="nil"/>
                  </w:tcBorders>
                  <w:noWrap w:val="0"/>
                  <w:vAlign w:val="center"/>
                </w:tcPr>
                <w:p w14:paraId="41305440">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23.67</w:t>
                  </w:r>
                </w:p>
              </w:tc>
              <w:tc>
                <w:tcPr>
                  <w:tcW w:w="453" w:type="pct"/>
                  <w:tcBorders>
                    <w:tl2br w:val="nil"/>
                    <w:tr2bl w:val="nil"/>
                  </w:tcBorders>
                  <w:noWrap w:val="0"/>
                  <w:vAlign w:val="center"/>
                </w:tcPr>
                <w:p w14:paraId="49826A64">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59.31</w:t>
                  </w:r>
                </w:p>
              </w:tc>
              <w:tc>
                <w:tcPr>
                  <w:tcW w:w="373" w:type="pct"/>
                  <w:tcBorders>
                    <w:tl2br w:val="nil"/>
                    <w:tr2bl w:val="nil"/>
                  </w:tcBorders>
                  <w:noWrap w:val="0"/>
                  <w:vAlign w:val="center"/>
                </w:tcPr>
                <w:p w14:paraId="29F3419C">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434" w:type="pct"/>
                  <w:tcBorders>
                    <w:tl2br w:val="nil"/>
                    <w:tr2bl w:val="nil"/>
                  </w:tcBorders>
                  <w:noWrap w:val="0"/>
                  <w:vAlign w:val="center"/>
                </w:tcPr>
                <w:p w14:paraId="72117F35">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18</w:t>
                  </w:r>
                </w:p>
              </w:tc>
              <w:tc>
                <w:tcPr>
                  <w:tcW w:w="526" w:type="pct"/>
                  <w:tcBorders>
                    <w:tl2br w:val="nil"/>
                    <w:tr2bl w:val="nil"/>
                  </w:tcBorders>
                  <w:noWrap w:val="0"/>
                  <w:vAlign w:val="center"/>
                </w:tcPr>
                <w:p w14:paraId="49911C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65</w:t>
                  </w:r>
                </w:p>
              </w:tc>
              <w:tc>
                <w:tcPr>
                  <w:tcW w:w="535" w:type="pct"/>
                  <w:tcBorders>
                    <w:tl2br w:val="nil"/>
                    <w:tr2bl w:val="nil"/>
                  </w:tcBorders>
                  <w:noWrap w:val="0"/>
                  <w:vAlign w:val="center"/>
                </w:tcPr>
                <w:p w14:paraId="3DF69C96">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15</w:t>
                  </w:r>
                </w:p>
              </w:tc>
              <w:tc>
                <w:tcPr>
                  <w:tcW w:w="487" w:type="pct"/>
                  <w:tcBorders>
                    <w:tl2br w:val="nil"/>
                    <w:tr2bl w:val="nil"/>
                  </w:tcBorders>
                  <w:noWrap w:val="0"/>
                  <w:vAlign w:val="center"/>
                </w:tcPr>
                <w:p w14:paraId="1FD164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50</w:t>
                  </w:r>
                </w:p>
              </w:tc>
              <w:tc>
                <w:tcPr>
                  <w:tcW w:w="548" w:type="pct"/>
                  <w:tcBorders>
                    <w:tl2br w:val="nil"/>
                    <w:tr2bl w:val="nil"/>
                  </w:tcBorders>
                  <w:noWrap w:val="0"/>
                  <w:vAlign w:val="center"/>
                </w:tcPr>
                <w:p w14:paraId="7020C686">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r>
            <w:tr w14:paraId="59D4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continue"/>
                  <w:tcBorders>
                    <w:tl2br w:val="nil"/>
                    <w:tr2bl w:val="nil"/>
                  </w:tcBorders>
                  <w:noWrap w:val="0"/>
                  <w:vAlign w:val="center"/>
                </w:tcPr>
                <w:p w14:paraId="3844BE9A">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p>
              </w:tc>
              <w:tc>
                <w:tcPr>
                  <w:tcW w:w="460" w:type="pct"/>
                  <w:tcBorders>
                    <w:tl2br w:val="nil"/>
                    <w:tr2bl w:val="nil"/>
                  </w:tcBorders>
                  <w:noWrap w:val="0"/>
                  <w:vAlign w:val="center"/>
                </w:tcPr>
                <w:p w14:paraId="1410AEEC">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锅炉配套风机2#</w:t>
                  </w:r>
                </w:p>
              </w:tc>
              <w:tc>
                <w:tcPr>
                  <w:tcW w:w="347" w:type="pct"/>
                  <w:tcBorders>
                    <w:tl2br w:val="nil"/>
                    <w:tr2bl w:val="nil"/>
                  </w:tcBorders>
                  <w:noWrap w:val="0"/>
                  <w:vAlign w:val="center"/>
                </w:tcPr>
                <w:p w14:paraId="3700911E">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80</w:t>
                  </w:r>
                </w:p>
              </w:tc>
              <w:tc>
                <w:tcPr>
                  <w:tcW w:w="479" w:type="pct"/>
                  <w:tcBorders>
                    <w:tl2br w:val="nil"/>
                    <w:tr2bl w:val="nil"/>
                  </w:tcBorders>
                  <w:noWrap w:val="0"/>
                  <w:vAlign w:val="center"/>
                </w:tcPr>
                <w:p w14:paraId="03404B03">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17.7</w:t>
                  </w:r>
                </w:p>
              </w:tc>
              <w:tc>
                <w:tcPr>
                  <w:tcW w:w="453" w:type="pct"/>
                  <w:tcBorders>
                    <w:tl2br w:val="nil"/>
                    <w:tr2bl w:val="nil"/>
                  </w:tcBorders>
                  <w:noWrap w:val="0"/>
                  <w:vAlign w:val="center"/>
                </w:tcPr>
                <w:p w14:paraId="2766A86A">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61.95</w:t>
                  </w:r>
                </w:p>
              </w:tc>
              <w:tc>
                <w:tcPr>
                  <w:tcW w:w="373" w:type="pct"/>
                  <w:tcBorders>
                    <w:tl2br w:val="nil"/>
                    <w:tr2bl w:val="nil"/>
                  </w:tcBorders>
                  <w:noWrap w:val="0"/>
                  <w:vAlign w:val="center"/>
                </w:tcPr>
                <w:p w14:paraId="48343F40">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434" w:type="pct"/>
                  <w:tcBorders>
                    <w:tl2br w:val="nil"/>
                    <w:tr2bl w:val="nil"/>
                  </w:tcBorders>
                  <w:noWrap w:val="0"/>
                  <w:vAlign w:val="center"/>
                </w:tcPr>
                <w:p w14:paraId="7D1F6FF8">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22</w:t>
                  </w:r>
                </w:p>
              </w:tc>
              <w:tc>
                <w:tcPr>
                  <w:tcW w:w="526" w:type="pct"/>
                  <w:tcBorders>
                    <w:tl2br w:val="nil"/>
                    <w:tr2bl w:val="nil"/>
                  </w:tcBorders>
                  <w:noWrap w:val="0"/>
                  <w:vAlign w:val="center"/>
                </w:tcPr>
                <w:p w14:paraId="4B12AF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65</w:t>
                  </w:r>
                </w:p>
              </w:tc>
              <w:tc>
                <w:tcPr>
                  <w:tcW w:w="535" w:type="pct"/>
                  <w:tcBorders>
                    <w:tl2br w:val="nil"/>
                    <w:tr2bl w:val="nil"/>
                  </w:tcBorders>
                  <w:noWrap w:val="0"/>
                  <w:vAlign w:val="center"/>
                </w:tcPr>
                <w:p w14:paraId="19C31858">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15</w:t>
                  </w:r>
                </w:p>
              </w:tc>
              <w:tc>
                <w:tcPr>
                  <w:tcW w:w="487" w:type="pct"/>
                  <w:tcBorders>
                    <w:tl2br w:val="nil"/>
                    <w:tr2bl w:val="nil"/>
                  </w:tcBorders>
                  <w:noWrap w:val="0"/>
                  <w:vAlign w:val="center"/>
                </w:tcPr>
                <w:p w14:paraId="2051B1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50</w:t>
                  </w:r>
                </w:p>
              </w:tc>
              <w:tc>
                <w:tcPr>
                  <w:tcW w:w="548" w:type="pct"/>
                  <w:tcBorders>
                    <w:tl2br w:val="nil"/>
                    <w:tr2bl w:val="nil"/>
                  </w:tcBorders>
                  <w:noWrap w:val="0"/>
                  <w:vAlign w:val="center"/>
                </w:tcPr>
                <w:p w14:paraId="36DD5F8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r>
            <w:tr w14:paraId="6E71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5" w:type="pct"/>
                  <w:vMerge w:val="continue"/>
                  <w:tcBorders>
                    <w:tl2br w:val="nil"/>
                    <w:tr2bl w:val="nil"/>
                  </w:tcBorders>
                  <w:noWrap w:val="0"/>
                  <w:vAlign w:val="center"/>
                </w:tcPr>
                <w:p w14:paraId="4E6FE3E8">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p>
              </w:tc>
              <w:tc>
                <w:tcPr>
                  <w:tcW w:w="460" w:type="pct"/>
                  <w:tcBorders>
                    <w:tl2br w:val="nil"/>
                    <w:tr2bl w:val="nil"/>
                  </w:tcBorders>
                  <w:noWrap w:val="0"/>
                  <w:vAlign w:val="center"/>
                </w:tcPr>
                <w:p w14:paraId="5E7CF7B4">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水泵1#</w:t>
                  </w:r>
                </w:p>
              </w:tc>
              <w:tc>
                <w:tcPr>
                  <w:tcW w:w="347" w:type="pct"/>
                  <w:tcBorders>
                    <w:tl2br w:val="nil"/>
                    <w:tr2bl w:val="nil"/>
                  </w:tcBorders>
                  <w:noWrap w:val="0"/>
                  <w:vAlign w:val="center"/>
                </w:tcPr>
                <w:p w14:paraId="26414EE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75</w:t>
                  </w:r>
                </w:p>
              </w:tc>
              <w:tc>
                <w:tcPr>
                  <w:tcW w:w="479" w:type="pct"/>
                  <w:tcBorders>
                    <w:tl2br w:val="nil"/>
                    <w:tr2bl w:val="nil"/>
                  </w:tcBorders>
                  <w:noWrap w:val="0"/>
                  <w:vAlign w:val="center"/>
                </w:tcPr>
                <w:p w14:paraId="1A6C060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6.81</w:t>
                  </w:r>
                </w:p>
              </w:tc>
              <w:tc>
                <w:tcPr>
                  <w:tcW w:w="453" w:type="pct"/>
                  <w:tcBorders>
                    <w:tl2br w:val="nil"/>
                    <w:tr2bl w:val="nil"/>
                  </w:tcBorders>
                  <w:noWrap w:val="0"/>
                  <w:vAlign w:val="center"/>
                </w:tcPr>
                <w:p w14:paraId="5251C873">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62.12</w:t>
                  </w:r>
                </w:p>
              </w:tc>
              <w:tc>
                <w:tcPr>
                  <w:tcW w:w="373" w:type="pct"/>
                  <w:tcBorders>
                    <w:tl2br w:val="nil"/>
                    <w:tr2bl w:val="nil"/>
                  </w:tcBorders>
                  <w:noWrap w:val="0"/>
                  <w:vAlign w:val="center"/>
                </w:tcPr>
                <w:p w14:paraId="0CABB55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434" w:type="pct"/>
                  <w:tcBorders>
                    <w:tl2br w:val="nil"/>
                    <w:tr2bl w:val="nil"/>
                  </w:tcBorders>
                  <w:noWrap w:val="0"/>
                  <w:vAlign w:val="center"/>
                </w:tcPr>
                <w:p w14:paraId="28506668">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w:t>
                  </w:r>
                </w:p>
              </w:tc>
              <w:tc>
                <w:tcPr>
                  <w:tcW w:w="526" w:type="pct"/>
                  <w:tcBorders>
                    <w:tl2br w:val="nil"/>
                    <w:tr2bl w:val="nil"/>
                  </w:tcBorders>
                  <w:noWrap w:val="0"/>
                  <w:vAlign w:val="center"/>
                </w:tcPr>
                <w:p w14:paraId="73BB36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60.4</w:t>
                  </w:r>
                </w:p>
              </w:tc>
              <w:tc>
                <w:tcPr>
                  <w:tcW w:w="535" w:type="pct"/>
                  <w:tcBorders>
                    <w:tl2br w:val="nil"/>
                    <w:tr2bl w:val="nil"/>
                  </w:tcBorders>
                  <w:noWrap w:val="0"/>
                  <w:vAlign w:val="center"/>
                </w:tcPr>
                <w:p w14:paraId="472416FA">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15</w:t>
                  </w:r>
                </w:p>
              </w:tc>
              <w:tc>
                <w:tcPr>
                  <w:tcW w:w="487" w:type="pct"/>
                  <w:tcBorders>
                    <w:tl2br w:val="nil"/>
                    <w:tr2bl w:val="nil"/>
                  </w:tcBorders>
                  <w:noWrap w:val="0"/>
                  <w:vAlign w:val="center"/>
                </w:tcPr>
                <w:p w14:paraId="77639A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45.4</w:t>
                  </w:r>
                </w:p>
              </w:tc>
              <w:tc>
                <w:tcPr>
                  <w:tcW w:w="548" w:type="pct"/>
                  <w:tcBorders>
                    <w:tl2br w:val="nil"/>
                    <w:tr2bl w:val="nil"/>
                  </w:tcBorders>
                  <w:noWrap w:val="0"/>
                  <w:vAlign w:val="center"/>
                </w:tcPr>
                <w:p w14:paraId="3C376A65">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r>
            <w:tr w14:paraId="75E2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5" w:type="pct"/>
                  <w:vMerge w:val="continue"/>
                  <w:tcBorders>
                    <w:tl2br w:val="nil"/>
                    <w:tr2bl w:val="nil"/>
                  </w:tcBorders>
                  <w:noWrap w:val="0"/>
                  <w:vAlign w:val="center"/>
                </w:tcPr>
                <w:p w14:paraId="705F63D9">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p>
              </w:tc>
              <w:tc>
                <w:tcPr>
                  <w:tcW w:w="460" w:type="pct"/>
                  <w:tcBorders>
                    <w:tl2br w:val="nil"/>
                    <w:tr2bl w:val="nil"/>
                  </w:tcBorders>
                  <w:noWrap w:val="0"/>
                  <w:vAlign w:val="center"/>
                </w:tcPr>
                <w:p w14:paraId="634C4409">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水泵2#</w:t>
                  </w:r>
                </w:p>
              </w:tc>
              <w:tc>
                <w:tcPr>
                  <w:tcW w:w="347" w:type="pct"/>
                  <w:tcBorders>
                    <w:tl2br w:val="nil"/>
                    <w:tr2bl w:val="nil"/>
                  </w:tcBorders>
                  <w:noWrap w:val="0"/>
                  <w:vAlign w:val="center"/>
                </w:tcPr>
                <w:p w14:paraId="0FE92C8E">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75</w:t>
                  </w:r>
                </w:p>
              </w:tc>
              <w:tc>
                <w:tcPr>
                  <w:tcW w:w="479" w:type="pct"/>
                  <w:tcBorders>
                    <w:tl2br w:val="nil"/>
                    <w:tr2bl w:val="nil"/>
                  </w:tcBorders>
                  <w:noWrap w:val="0"/>
                  <w:vAlign w:val="center"/>
                </w:tcPr>
                <w:p w14:paraId="4D9707FB">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13.13</w:t>
                  </w:r>
                </w:p>
              </w:tc>
              <w:tc>
                <w:tcPr>
                  <w:tcW w:w="453" w:type="pct"/>
                  <w:tcBorders>
                    <w:tl2br w:val="nil"/>
                    <w:tr2bl w:val="nil"/>
                  </w:tcBorders>
                  <w:noWrap w:val="0"/>
                  <w:vAlign w:val="center"/>
                </w:tcPr>
                <w:p w14:paraId="6CBED4EA">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64.23</w:t>
                  </w:r>
                </w:p>
              </w:tc>
              <w:tc>
                <w:tcPr>
                  <w:tcW w:w="373" w:type="pct"/>
                  <w:tcBorders>
                    <w:tl2br w:val="nil"/>
                    <w:tr2bl w:val="nil"/>
                  </w:tcBorders>
                  <w:noWrap w:val="0"/>
                  <w:vAlign w:val="center"/>
                </w:tcPr>
                <w:p w14:paraId="6C179DD7">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434" w:type="pct"/>
                  <w:tcBorders>
                    <w:tl2br w:val="nil"/>
                    <w:tr2bl w:val="nil"/>
                  </w:tcBorders>
                  <w:noWrap w:val="0"/>
                  <w:vAlign w:val="center"/>
                </w:tcPr>
                <w:p w14:paraId="503ED023">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w:t>
                  </w:r>
                </w:p>
              </w:tc>
              <w:tc>
                <w:tcPr>
                  <w:tcW w:w="526" w:type="pct"/>
                  <w:tcBorders>
                    <w:tl2br w:val="nil"/>
                    <w:tr2bl w:val="nil"/>
                  </w:tcBorders>
                  <w:noWrap w:val="0"/>
                  <w:vAlign w:val="center"/>
                </w:tcPr>
                <w:p w14:paraId="504CE0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61</w:t>
                  </w:r>
                </w:p>
              </w:tc>
              <w:tc>
                <w:tcPr>
                  <w:tcW w:w="535" w:type="pct"/>
                  <w:tcBorders>
                    <w:tl2br w:val="nil"/>
                    <w:tr2bl w:val="nil"/>
                  </w:tcBorders>
                  <w:noWrap w:val="0"/>
                  <w:vAlign w:val="center"/>
                </w:tcPr>
                <w:p w14:paraId="55D96206">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15</w:t>
                  </w:r>
                </w:p>
              </w:tc>
              <w:tc>
                <w:tcPr>
                  <w:tcW w:w="487" w:type="pct"/>
                  <w:tcBorders>
                    <w:tl2br w:val="nil"/>
                    <w:tr2bl w:val="nil"/>
                  </w:tcBorders>
                  <w:noWrap w:val="0"/>
                  <w:vAlign w:val="center"/>
                </w:tcPr>
                <w:p w14:paraId="6DDEFA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46.0</w:t>
                  </w:r>
                </w:p>
              </w:tc>
              <w:tc>
                <w:tcPr>
                  <w:tcW w:w="548" w:type="pct"/>
                  <w:tcBorders>
                    <w:tl2br w:val="nil"/>
                    <w:tr2bl w:val="nil"/>
                  </w:tcBorders>
                  <w:noWrap w:val="0"/>
                  <w:vAlign w:val="center"/>
                </w:tcPr>
                <w:p w14:paraId="175417D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r>
            <w:tr w14:paraId="7957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tcBorders>
                    <w:tl2br w:val="nil"/>
                    <w:tr2bl w:val="nil"/>
                  </w:tcBorders>
                  <w:noWrap w:val="0"/>
                  <w:vAlign w:val="center"/>
                </w:tcPr>
                <w:p w14:paraId="650A1A8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备注：厂界西南一角，原点坐标为103.13724539，24.79627888。</w:t>
                  </w:r>
                </w:p>
              </w:tc>
            </w:tr>
          </w:tbl>
          <w:p w14:paraId="5E063561">
            <w:pPr>
              <w:pStyle w:val="9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rPr>
            </w:pPr>
          </w:p>
          <w:p w14:paraId="7F63211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4.2、噪声预测</w:t>
            </w:r>
          </w:p>
          <w:p w14:paraId="43CC6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根据《环境影响评价技术导则声环境》（HJ2.4-2021），本项目评价采用下述噪声预测模式。设备噪声源主要为点声源，评价采用点声源模式预测噪声源对环境的影响。</w:t>
            </w:r>
          </w:p>
          <w:p w14:paraId="3F2BD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①无指向性点声源几何发散衰减公式</w:t>
            </w:r>
          </w:p>
          <w:p w14:paraId="18FD6C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drawing>
                <wp:inline distT="0" distB="0" distL="114300" distR="114300">
                  <wp:extent cx="2044700" cy="581025"/>
                  <wp:effectExtent l="0" t="0" r="12700" b="9525"/>
                  <wp:docPr id="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
                          <pic:cNvPicPr>
                            <a:picLocks noChangeAspect="1"/>
                          </pic:cNvPicPr>
                        </pic:nvPicPr>
                        <pic:blipFill>
                          <a:blip r:embed="rId21"/>
                          <a:stretch>
                            <a:fillRect/>
                          </a:stretch>
                        </pic:blipFill>
                        <pic:spPr>
                          <a:xfrm>
                            <a:off x="0" y="0"/>
                            <a:ext cx="2044700" cy="581025"/>
                          </a:xfrm>
                          <a:prstGeom prst="rect">
                            <a:avLst/>
                          </a:prstGeom>
                          <a:noFill/>
                          <a:ln>
                            <a:noFill/>
                          </a:ln>
                        </pic:spPr>
                      </pic:pic>
                    </a:graphicData>
                  </a:graphic>
                </wp:inline>
              </w:drawing>
            </w:r>
          </w:p>
          <w:p w14:paraId="0FA03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式中：</w:t>
            </w:r>
          </w:p>
          <w:p w14:paraId="38B44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Lp（r）——点声源在预测点处声压级；</w:t>
            </w:r>
          </w:p>
          <w:p w14:paraId="13B23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Lp（r0）——参考位置r0处的声压级；</w:t>
            </w:r>
          </w:p>
          <w:p w14:paraId="7AF09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r——预测点距声源的距离，m；</w:t>
            </w:r>
          </w:p>
          <w:p w14:paraId="15FD0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r0——参考位置距声源的距离，取值1m。</w:t>
            </w:r>
          </w:p>
          <w:p w14:paraId="64AF9F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②预测点的A声级叠加公式</w:t>
            </w:r>
          </w:p>
          <w:p w14:paraId="019E6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各受声点的声源叠加按下列公式计算：</w:t>
            </w:r>
          </w:p>
          <w:p w14:paraId="2EE0B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drawing>
                <wp:inline distT="0" distB="0" distL="114300" distR="114300">
                  <wp:extent cx="2154555" cy="466090"/>
                  <wp:effectExtent l="0" t="0" r="17145" b="10160"/>
                  <wp:docPr id="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3"/>
                          <pic:cNvPicPr>
                            <a:picLocks noChangeAspect="1"/>
                          </pic:cNvPicPr>
                        </pic:nvPicPr>
                        <pic:blipFill>
                          <a:blip r:embed="rId22"/>
                          <a:stretch>
                            <a:fillRect/>
                          </a:stretch>
                        </pic:blipFill>
                        <pic:spPr>
                          <a:xfrm>
                            <a:off x="0" y="0"/>
                            <a:ext cx="2154555" cy="466090"/>
                          </a:xfrm>
                          <a:prstGeom prst="rect">
                            <a:avLst/>
                          </a:prstGeom>
                          <a:noFill/>
                          <a:ln>
                            <a:noFill/>
                          </a:ln>
                        </pic:spPr>
                      </pic:pic>
                    </a:graphicData>
                  </a:graphic>
                </wp:inline>
              </w:drawing>
            </w:r>
          </w:p>
          <w:p w14:paraId="38FAE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式中：</w:t>
            </w:r>
          </w:p>
          <w:p w14:paraId="44359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Li——第i个声源声值；</w:t>
            </w:r>
          </w:p>
          <w:p w14:paraId="261C7B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LA——某点噪声总叠加值；</w:t>
            </w:r>
          </w:p>
          <w:p w14:paraId="45B08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n——声源个数。</w:t>
            </w:r>
          </w:p>
          <w:p w14:paraId="6DCC3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③预测软件及参数</w:t>
            </w:r>
          </w:p>
          <w:p w14:paraId="2D7ED68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lang w:val="en-US" w:eastAsia="zh-CN"/>
              </w:rPr>
              <w:t>本次环评采用北京尚云环境有限公司开发的软件EIAproN2021（V2.5.218）开展预测，该软件以新版《环境影响评价技术导则声环境》（HJ2.4-2021）的要求为编制依据。</w:t>
            </w:r>
          </w:p>
          <w:p w14:paraId="6706602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②预测结果及评价</w:t>
            </w:r>
          </w:p>
          <w:p w14:paraId="3EE18CA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表4.4</w:t>
            </w:r>
            <w:r>
              <w:rPr>
                <w:rFonts w:hint="default" w:ascii="Times New Roman" w:hAnsi="Times New Roman" w:eastAsia="宋体" w:cs="Times New Roman"/>
                <w:b/>
                <w:bCs/>
                <w:color w:val="auto"/>
                <w:szCs w:val="21"/>
                <w:lang w:val="en-US" w:eastAsia="zh-CN"/>
              </w:rPr>
              <w:t>-2</w:t>
            </w:r>
            <w:r>
              <w:rPr>
                <w:rFonts w:hint="default" w:ascii="Times New Roman" w:hAnsi="Times New Roman" w:eastAsia="宋体" w:cs="Times New Roman"/>
                <w:b/>
                <w:bCs/>
                <w:color w:val="auto"/>
                <w:szCs w:val="21"/>
              </w:rPr>
              <w:t xml:space="preserve">   厂界噪声贡献值预测结果 单位：dB（A）</w:t>
            </w:r>
          </w:p>
          <w:tbl>
            <w:tblPr>
              <w:tblStyle w:val="36"/>
              <w:tblW w:w="8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099"/>
              <w:gridCol w:w="759"/>
              <w:gridCol w:w="794"/>
              <w:gridCol w:w="636"/>
              <w:gridCol w:w="902"/>
              <w:gridCol w:w="689"/>
              <w:gridCol w:w="574"/>
              <w:gridCol w:w="491"/>
              <w:gridCol w:w="689"/>
              <w:gridCol w:w="689"/>
              <w:gridCol w:w="481"/>
            </w:tblGrid>
            <w:tr w14:paraId="621F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76" w:type="dxa"/>
                  <w:vMerge w:val="restart"/>
                  <w:noWrap w:val="0"/>
                  <w:vAlign w:val="center"/>
                </w:tcPr>
                <w:p w14:paraId="01E0FD6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序号</w:t>
                  </w:r>
                </w:p>
              </w:tc>
              <w:tc>
                <w:tcPr>
                  <w:tcW w:w="1221" w:type="dxa"/>
                  <w:vMerge w:val="restart"/>
                  <w:noWrap w:val="0"/>
                  <w:vAlign w:val="center"/>
                </w:tcPr>
                <w:p w14:paraId="02F51B08">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名称</w:t>
                  </w:r>
                </w:p>
              </w:tc>
              <w:tc>
                <w:tcPr>
                  <w:tcW w:w="759" w:type="dxa"/>
                  <w:vMerge w:val="restart"/>
                  <w:noWrap w:val="0"/>
                  <w:vAlign w:val="center"/>
                </w:tcPr>
                <w:p w14:paraId="421C8754">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X(m)</w:t>
                  </w:r>
                </w:p>
              </w:tc>
              <w:tc>
                <w:tcPr>
                  <w:tcW w:w="794" w:type="dxa"/>
                  <w:vMerge w:val="restart"/>
                  <w:noWrap w:val="0"/>
                  <w:vAlign w:val="center"/>
                </w:tcPr>
                <w:p w14:paraId="749F5CD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Y(m)</w:t>
                  </w:r>
                </w:p>
              </w:tc>
              <w:tc>
                <w:tcPr>
                  <w:tcW w:w="645" w:type="dxa"/>
                  <w:vMerge w:val="restart"/>
                  <w:noWrap w:val="0"/>
                  <w:vAlign w:val="center"/>
                </w:tcPr>
                <w:p w14:paraId="7BB975B6">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离地高度(m)</w:t>
                  </w:r>
                </w:p>
              </w:tc>
              <w:tc>
                <w:tcPr>
                  <w:tcW w:w="940" w:type="dxa"/>
                  <w:noWrap w:val="0"/>
                  <w:vAlign w:val="center"/>
                </w:tcPr>
                <w:p w14:paraId="488D3E26">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昼间</w:t>
                  </w:r>
                </w:p>
              </w:tc>
              <w:tc>
                <w:tcPr>
                  <w:tcW w:w="605" w:type="dxa"/>
                  <w:noWrap w:val="0"/>
                  <w:vAlign w:val="center"/>
                </w:tcPr>
                <w:p w14:paraId="38CC57B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夜间</w:t>
                  </w:r>
                </w:p>
              </w:tc>
              <w:tc>
                <w:tcPr>
                  <w:tcW w:w="1102" w:type="dxa"/>
                  <w:gridSpan w:val="2"/>
                  <w:noWrap w:val="0"/>
                  <w:vAlign w:val="center"/>
                </w:tcPr>
                <w:p w14:paraId="477C9A2E">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背景值</w:t>
                  </w:r>
                </w:p>
              </w:tc>
              <w:tc>
                <w:tcPr>
                  <w:tcW w:w="1238" w:type="dxa"/>
                  <w:gridSpan w:val="2"/>
                  <w:noWrap w:val="0"/>
                  <w:vAlign w:val="center"/>
                </w:tcPr>
                <w:p w14:paraId="0F258CE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叠加值</w:t>
                  </w:r>
                </w:p>
              </w:tc>
              <w:tc>
                <w:tcPr>
                  <w:tcW w:w="491" w:type="dxa"/>
                  <w:vMerge w:val="restart"/>
                  <w:noWrap w:val="0"/>
                  <w:vAlign w:val="center"/>
                </w:tcPr>
                <w:p w14:paraId="0E9E6BDC">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达标分析</w:t>
                  </w:r>
                </w:p>
              </w:tc>
            </w:tr>
            <w:tr w14:paraId="2095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76" w:type="dxa"/>
                  <w:vMerge w:val="continue"/>
                  <w:noWrap w:val="0"/>
                  <w:vAlign w:val="center"/>
                </w:tcPr>
                <w:p w14:paraId="6FEC8A7C">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p>
              </w:tc>
              <w:tc>
                <w:tcPr>
                  <w:tcW w:w="1221" w:type="dxa"/>
                  <w:vMerge w:val="continue"/>
                  <w:noWrap w:val="0"/>
                  <w:vAlign w:val="center"/>
                </w:tcPr>
                <w:p w14:paraId="2225DBA2">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p>
              </w:tc>
              <w:tc>
                <w:tcPr>
                  <w:tcW w:w="759" w:type="dxa"/>
                  <w:vMerge w:val="continue"/>
                  <w:noWrap w:val="0"/>
                  <w:vAlign w:val="center"/>
                </w:tcPr>
                <w:p w14:paraId="3952B782">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p>
              </w:tc>
              <w:tc>
                <w:tcPr>
                  <w:tcW w:w="794" w:type="dxa"/>
                  <w:vMerge w:val="continue"/>
                  <w:noWrap w:val="0"/>
                  <w:vAlign w:val="center"/>
                </w:tcPr>
                <w:p w14:paraId="030C64E9">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p>
              </w:tc>
              <w:tc>
                <w:tcPr>
                  <w:tcW w:w="645" w:type="dxa"/>
                  <w:vMerge w:val="continue"/>
                  <w:noWrap w:val="0"/>
                  <w:vAlign w:val="center"/>
                </w:tcPr>
                <w:p w14:paraId="722A5AA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p>
              </w:tc>
              <w:tc>
                <w:tcPr>
                  <w:tcW w:w="1545" w:type="dxa"/>
                  <w:gridSpan w:val="2"/>
                  <w:noWrap w:val="0"/>
                  <w:vAlign w:val="center"/>
                </w:tcPr>
                <w:p w14:paraId="65D2BB3B">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贡献值(dB)</w:t>
                  </w:r>
                </w:p>
              </w:tc>
              <w:tc>
                <w:tcPr>
                  <w:tcW w:w="600" w:type="dxa"/>
                  <w:noWrap w:val="0"/>
                  <w:vAlign w:val="center"/>
                </w:tcPr>
                <w:p w14:paraId="4433C0BA">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昼间</w:t>
                  </w:r>
                </w:p>
              </w:tc>
              <w:tc>
                <w:tcPr>
                  <w:tcW w:w="502" w:type="dxa"/>
                  <w:noWrap w:val="0"/>
                  <w:vAlign w:val="center"/>
                </w:tcPr>
                <w:p w14:paraId="0DCB302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夜间</w:t>
                  </w:r>
                </w:p>
              </w:tc>
              <w:tc>
                <w:tcPr>
                  <w:tcW w:w="638" w:type="dxa"/>
                  <w:noWrap w:val="0"/>
                  <w:vAlign w:val="center"/>
                </w:tcPr>
                <w:p w14:paraId="2C40157A">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昼间</w:t>
                  </w:r>
                </w:p>
              </w:tc>
              <w:tc>
                <w:tcPr>
                  <w:tcW w:w="600" w:type="dxa"/>
                  <w:noWrap w:val="0"/>
                  <w:vAlign w:val="center"/>
                </w:tcPr>
                <w:p w14:paraId="404465C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夜间</w:t>
                  </w:r>
                </w:p>
              </w:tc>
              <w:tc>
                <w:tcPr>
                  <w:tcW w:w="491" w:type="dxa"/>
                  <w:vMerge w:val="continue"/>
                  <w:noWrap w:val="0"/>
                  <w:vAlign w:val="center"/>
                </w:tcPr>
                <w:p w14:paraId="2AAE3F78">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p>
              </w:tc>
            </w:tr>
            <w:tr w14:paraId="7B5F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noWrap w:val="0"/>
                  <w:vAlign w:val="center"/>
                </w:tcPr>
                <w:p w14:paraId="2A67FDA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1221" w:type="dxa"/>
                  <w:noWrap w:val="0"/>
                  <w:vAlign w:val="center"/>
                </w:tcPr>
                <w:p w14:paraId="1E1A42B7">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西厂界</w:t>
                  </w:r>
                </w:p>
              </w:tc>
              <w:tc>
                <w:tcPr>
                  <w:tcW w:w="759" w:type="dxa"/>
                  <w:noWrap w:val="0"/>
                  <w:vAlign w:val="center"/>
                </w:tcPr>
                <w:p w14:paraId="40122162">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-91.66</w:t>
                  </w:r>
                </w:p>
              </w:tc>
              <w:tc>
                <w:tcPr>
                  <w:tcW w:w="794" w:type="dxa"/>
                  <w:noWrap w:val="0"/>
                  <w:vAlign w:val="center"/>
                </w:tcPr>
                <w:p w14:paraId="21FA1923">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45.44</w:t>
                  </w:r>
                </w:p>
              </w:tc>
              <w:tc>
                <w:tcPr>
                  <w:tcW w:w="645" w:type="dxa"/>
                  <w:noWrap w:val="0"/>
                  <w:vAlign w:val="center"/>
                </w:tcPr>
                <w:p w14:paraId="5F9D5A24">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1.20</w:t>
                  </w:r>
                </w:p>
              </w:tc>
              <w:tc>
                <w:tcPr>
                  <w:tcW w:w="940" w:type="dxa"/>
                  <w:noWrap w:val="0"/>
                  <w:vAlign w:val="center"/>
                </w:tcPr>
                <w:p w14:paraId="3F42BD83">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33.17</w:t>
                  </w:r>
                </w:p>
              </w:tc>
              <w:tc>
                <w:tcPr>
                  <w:tcW w:w="605" w:type="dxa"/>
                  <w:noWrap w:val="0"/>
                  <w:vAlign w:val="center"/>
                </w:tcPr>
                <w:p w14:paraId="12A8DDCE">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33.17</w:t>
                  </w:r>
                </w:p>
              </w:tc>
              <w:tc>
                <w:tcPr>
                  <w:tcW w:w="600" w:type="dxa"/>
                  <w:noWrap w:val="0"/>
                  <w:vAlign w:val="center"/>
                </w:tcPr>
                <w:p w14:paraId="33FAC093">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54</w:t>
                  </w:r>
                </w:p>
              </w:tc>
              <w:tc>
                <w:tcPr>
                  <w:tcW w:w="502" w:type="dxa"/>
                  <w:noWrap w:val="0"/>
                  <w:vAlign w:val="center"/>
                </w:tcPr>
                <w:p w14:paraId="3BC9F60E">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43</w:t>
                  </w:r>
                </w:p>
              </w:tc>
              <w:tc>
                <w:tcPr>
                  <w:tcW w:w="638" w:type="dxa"/>
                  <w:noWrap w:val="0"/>
                  <w:vAlign w:val="center"/>
                </w:tcPr>
                <w:p w14:paraId="41FDB848">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54.04</w:t>
                  </w:r>
                </w:p>
              </w:tc>
              <w:tc>
                <w:tcPr>
                  <w:tcW w:w="600" w:type="dxa"/>
                  <w:noWrap w:val="0"/>
                  <w:vAlign w:val="center"/>
                </w:tcPr>
                <w:p w14:paraId="7A7AA104">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43.5</w:t>
                  </w:r>
                </w:p>
              </w:tc>
              <w:tc>
                <w:tcPr>
                  <w:tcW w:w="491" w:type="dxa"/>
                  <w:noWrap w:val="0"/>
                  <w:vAlign w:val="center"/>
                </w:tcPr>
                <w:p w14:paraId="455BCDF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达标</w:t>
                  </w:r>
                </w:p>
              </w:tc>
            </w:tr>
            <w:tr w14:paraId="6EC6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noWrap w:val="0"/>
                  <w:vAlign w:val="center"/>
                </w:tcPr>
                <w:p w14:paraId="4F685D95">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w:t>
                  </w:r>
                </w:p>
              </w:tc>
              <w:tc>
                <w:tcPr>
                  <w:tcW w:w="1221" w:type="dxa"/>
                  <w:noWrap w:val="0"/>
                  <w:vAlign w:val="center"/>
                </w:tcPr>
                <w:p w14:paraId="7911550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北厂界</w:t>
                  </w:r>
                </w:p>
              </w:tc>
              <w:tc>
                <w:tcPr>
                  <w:tcW w:w="759" w:type="dxa"/>
                  <w:noWrap w:val="0"/>
                  <w:vAlign w:val="center"/>
                </w:tcPr>
                <w:p w14:paraId="10778960">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-22.64</w:t>
                  </w:r>
                </w:p>
              </w:tc>
              <w:tc>
                <w:tcPr>
                  <w:tcW w:w="794" w:type="dxa"/>
                  <w:noWrap w:val="0"/>
                  <w:vAlign w:val="center"/>
                </w:tcPr>
                <w:p w14:paraId="6863260D">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132.87</w:t>
                  </w:r>
                </w:p>
              </w:tc>
              <w:tc>
                <w:tcPr>
                  <w:tcW w:w="645" w:type="dxa"/>
                  <w:noWrap w:val="0"/>
                  <w:vAlign w:val="center"/>
                </w:tcPr>
                <w:p w14:paraId="020DFDBD">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1.20</w:t>
                  </w:r>
                </w:p>
              </w:tc>
              <w:tc>
                <w:tcPr>
                  <w:tcW w:w="940" w:type="dxa"/>
                  <w:noWrap w:val="0"/>
                  <w:vAlign w:val="center"/>
                </w:tcPr>
                <w:p w14:paraId="64B3D843">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35.94</w:t>
                  </w:r>
                </w:p>
              </w:tc>
              <w:tc>
                <w:tcPr>
                  <w:tcW w:w="605" w:type="dxa"/>
                  <w:noWrap w:val="0"/>
                  <w:vAlign w:val="center"/>
                </w:tcPr>
                <w:p w14:paraId="4F454207">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35.94</w:t>
                  </w:r>
                </w:p>
              </w:tc>
              <w:tc>
                <w:tcPr>
                  <w:tcW w:w="600" w:type="dxa"/>
                  <w:noWrap w:val="0"/>
                  <w:vAlign w:val="center"/>
                </w:tcPr>
                <w:p w14:paraId="4E3B6C45">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56</w:t>
                  </w:r>
                </w:p>
              </w:tc>
              <w:tc>
                <w:tcPr>
                  <w:tcW w:w="502" w:type="dxa"/>
                  <w:noWrap w:val="0"/>
                  <w:vAlign w:val="center"/>
                </w:tcPr>
                <w:p w14:paraId="096D780C">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45</w:t>
                  </w:r>
                </w:p>
              </w:tc>
              <w:tc>
                <w:tcPr>
                  <w:tcW w:w="638" w:type="dxa"/>
                  <w:noWrap w:val="0"/>
                  <w:vAlign w:val="center"/>
                </w:tcPr>
                <w:p w14:paraId="664E83F6">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56.04</w:t>
                  </w:r>
                </w:p>
              </w:tc>
              <w:tc>
                <w:tcPr>
                  <w:tcW w:w="600" w:type="dxa"/>
                  <w:noWrap w:val="0"/>
                  <w:vAlign w:val="center"/>
                </w:tcPr>
                <w:p w14:paraId="45FCD76C">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45.6</w:t>
                  </w:r>
                </w:p>
              </w:tc>
              <w:tc>
                <w:tcPr>
                  <w:tcW w:w="491" w:type="dxa"/>
                  <w:noWrap w:val="0"/>
                  <w:vAlign w:val="center"/>
                </w:tcPr>
                <w:p w14:paraId="0554B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达标</w:t>
                  </w:r>
                </w:p>
              </w:tc>
            </w:tr>
            <w:tr w14:paraId="52DC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noWrap w:val="0"/>
                  <w:vAlign w:val="center"/>
                </w:tcPr>
                <w:p w14:paraId="19C52A0E">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w:t>
                  </w:r>
                </w:p>
              </w:tc>
              <w:tc>
                <w:tcPr>
                  <w:tcW w:w="1221" w:type="dxa"/>
                  <w:noWrap w:val="0"/>
                  <w:vAlign w:val="center"/>
                </w:tcPr>
                <w:p w14:paraId="34D1EA73">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东厂界</w:t>
                  </w:r>
                </w:p>
              </w:tc>
              <w:tc>
                <w:tcPr>
                  <w:tcW w:w="759" w:type="dxa"/>
                  <w:noWrap w:val="0"/>
                  <w:vAlign w:val="center"/>
                </w:tcPr>
                <w:p w14:paraId="425DB8D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64.79</w:t>
                  </w:r>
                </w:p>
              </w:tc>
              <w:tc>
                <w:tcPr>
                  <w:tcW w:w="794" w:type="dxa"/>
                  <w:noWrap w:val="0"/>
                  <w:vAlign w:val="center"/>
                </w:tcPr>
                <w:p w14:paraId="51348A92">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75.35</w:t>
                  </w:r>
                </w:p>
              </w:tc>
              <w:tc>
                <w:tcPr>
                  <w:tcW w:w="645" w:type="dxa"/>
                  <w:noWrap w:val="0"/>
                  <w:vAlign w:val="center"/>
                </w:tcPr>
                <w:p w14:paraId="5868830D">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1.20</w:t>
                  </w:r>
                </w:p>
              </w:tc>
              <w:tc>
                <w:tcPr>
                  <w:tcW w:w="940" w:type="dxa"/>
                  <w:noWrap w:val="0"/>
                  <w:vAlign w:val="center"/>
                </w:tcPr>
                <w:p w14:paraId="3733C4F9">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45.22</w:t>
                  </w:r>
                </w:p>
              </w:tc>
              <w:tc>
                <w:tcPr>
                  <w:tcW w:w="605" w:type="dxa"/>
                  <w:noWrap w:val="0"/>
                  <w:vAlign w:val="center"/>
                </w:tcPr>
                <w:p w14:paraId="339B077C">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45.22</w:t>
                  </w:r>
                </w:p>
              </w:tc>
              <w:tc>
                <w:tcPr>
                  <w:tcW w:w="600" w:type="dxa"/>
                  <w:noWrap w:val="0"/>
                  <w:vAlign w:val="center"/>
                </w:tcPr>
                <w:p w14:paraId="5593FDD3">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57</w:t>
                  </w:r>
                </w:p>
              </w:tc>
              <w:tc>
                <w:tcPr>
                  <w:tcW w:w="502" w:type="dxa"/>
                  <w:noWrap w:val="0"/>
                  <w:vAlign w:val="center"/>
                </w:tcPr>
                <w:p w14:paraId="31D85648">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47</w:t>
                  </w:r>
                </w:p>
              </w:tc>
              <w:tc>
                <w:tcPr>
                  <w:tcW w:w="638" w:type="dxa"/>
                  <w:noWrap w:val="0"/>
                  <w:vAlign w:val="center"/>
                </w:tcPr>
                <w:p w14:paraId="38B7CF99">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57.28</w:t>
                  </w:r>
                </w:p>
              </w:tc>
              <w:tc>
                <w:tcPr>
                  <w:tcW w:w="600" w:type="dxa"/>
                  <w:noWrap w:val="0"/>
                  <w:vAlign w:val="center"/>
                </w:tcPr>
                <w:p w14:paraId="7F30AD84">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49.52</w:t>
                  </w:r>
                </w:p>
              </w:tc>
              <w:tc>
                <w:tcPr>
                  <w:tcW w:w="491" w:type="dxa"/>
                  <w:noWrap w:val="0"/>
                  <w:vAlign w:val="center"/>
                </w:tcPr>
                <w:p w14:paraId="1BAB67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达标</w:t>
                  </w:r>
                </w:p>
              </w:tc>
            </w:tr>
            <w:tr w14:paraId="6864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noWrap w:val="0"/>
                  <w:vAlign w:val="center"/>
                </w:tcPr>
                <w:p w14:paraId="0E0E9E4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w:t>
                  </w:r>
                </w:p>
              </w:tc>
              <w:tc>
                <w:tcPr>
                  <w:tcW w:w="1221" w:type="dxa"/>
                  <w:noWrap w:val="0"/>
                  <w:vAlign w:val="center"/>
                </w:tcPr>
                <w:p w14:paraId="487FE50B">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南厂界</w:t>
                  </w:r>
                </w:p>
              </w:tc>
              <w:tc>
                <w:tcPr>
                  <w:tcW w:w="759" w:type="dxa"/>
                  <w:noWrap w:val="0"/>
                  <w:vAlign w:val="center"/>
                </w:tcPr>
                <w:p w14:paraId="1A5A72CC">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20.93</w:t>
                  </w:r>
                </w:p>
              </w:tc>
              <w:tc>
                <w:tcPr>
                  <w:tcW w:w="794" w:type="dxa"/>
                  <w:noWrap w:val="0"/>
                  <w:vAlign w:val="center"/>
                </w:tcPr>
                <w:p w14:paraId="5426123C">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-0.15</w:t>
                  </w:r>
                </w:p>
              </w:tc>
              <w:tc>
                <w:tcPr>
                  <w:tcW w:w="645" w:type="dxa"/>
                  <w:noWrap w:val="0"/>
                  <w:vAlign w:val="center"/>
                </w:tcPr>
                <w:p w14:paraId="10AE134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1.20</w:t>
                  </w:r>
                </w:p>
              </w:tc>
              <w:tc>
                <w:tcPr>
                  <w:tcW w:w="940" w:type="dxa"/>
                  <w:noWrap w:val="0"/>
                  <w:vAlign w:val="center"/>
                </w:tcPr>
                <w:p w14:paraId="72266F02">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43.34</w:t>
                  </w:r>
                </w:p>
              </w:tc>
              <w:tc>
                <w:tcPr>
                  <w:tcW w:w="605" w:type="dxa"/>
                  <w:noWrap w:val="0"/>
                  <w:vAlign w:val="center"/>
                </w:tcPr>
                <w:p w14:paraId="300E6E77">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43.34</w:t>
                  </w:r>
                </w:p>
              </w:tc>
              <w:tc>
                <w:tcPr>
                  <w:tcW w:w="600" w:type="dxa"/>
                  <w:noWrap w:val="0"/>
                  <w:vAlign w:val="center"/>
                </w:tcPr>
                <w:p w14:paraId="6B9E15DA">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55</w:t>
                  </w:r>
                </w:p>
              </w:tc>
              <w:tc>
                <w:tcPr>
                  <w:tcW w:w="502" w:type="dxa"/>
                  <w:noWrap w:val="0"/>
                  <w:vAlign w:val="center"/>
                </w:tcPr>
                <w:p w14:paraId="2CD26E67">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45</w:t>
                  </w:r>
                </w:p>
              </w:tc>
              <w:tc>
                <w:tcPr>
                  <w:tcW w:w="638" w:type="dxa"/>
                  <w:noWrap w:val="0"/>
                  <w:vAlign w:val="center"/>
                </w:tcPr>
                <w:p w14:paraId="3B06D298">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55.29</w:t>
                  </w:r>
                </w:p>
              </w:tc>
              <w:tc>
                <w:tcPr>
                  <w:tcW w:w="600" w:type="dxa"/>
                  <w:noWrap w:val="0"/>
                  <w:vAlign w:val="center"/>
                </w:tcPr>
                <w:p w14:paraId="7329599B">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47.57</w:t>
                  </w:r>
                </w:p>
              </w:tc>
              <w:tc>
                <w:tcPr>
                  <w:tcW w:w="491" w:type="dxa"/>
                  <w:noWrap w:val="0"/>
                  <w:vAlign w:val="center"/>
                </w:tcPr>
                <w:p w14:paraId="41417A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达标</w:t>
                  </w:r>
                </w:p>
              </w:tc>
            </w:tr>
            <w:tr w14:paraId="11C5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1" w:type="dxa"/>
                  <w:gridSpan w:val="12"/>
                  <w:noWrap w:val="0"/>
                  <w:vAlign w:val="center"/>
                </w:tcPr>
                <w:p w14:paraId="79F545DF">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rPr>
                      <w:rFonts w:hint="eastAsia"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备注：</w:t>
                  </w:r>
                  <w:r>
                    <w:rPr>
                      <w:rFonts w:hint="eastAsia" w:cs="Times New Roman"/>
                      <w:b w:val="0"/>
                      <w:bCs w:val="0"/>
                      <w:color w:val="auto"/>
                      <w:kern w:val="2"/>
                      <w:sz w:val="21"/>
                      <w:szCs w:val="21"/>
                      <w:lang w:val="en-US" w:eastAsia="zh-CN"/>
                    </w:rPr>
                    <w:t>①</w:t>
                  </w:r>
                  <w:r>
                    <w:rPr>
                      <w:rFonts w:hint="default" w:ascii="Times New Roman" w:hAnsi="Times New Roman" w:eastAsia="宋体" w:cs="Times New Roman"/>
                      <w:b w:val="0"/>
                      <w:bCs w:val="0"/>
                      <w:color w:val="auto"/>
                      <w:kern w:val="2"/>
                      <w:sz w:val="21"/>
                      <w:szCs w:val="21"/>
                      <w:lang w:val="en-US" w:eastAsia="zh-CN"/>
                    </w:rPr>
                    <w:t>《工业企业厂界环境噪声排放标准》（GB12348-2008）2类标准，即昼间≤60dB（A），夜间≤50dB（A）</w:t>
                  </w:r>
                  <w:r>
                    <w:rPr>
                      <w:rFonts w:hint="eastAsia" w:cs="Times New Roman"/>
                      <w:b w:val="0"/>
                      <w:bCs w:val="0"/>
                      <w:color w:val="auto"/>
                      <w:kern w:val="2"/>
                      <w:sz w:val="21"/>
                      <w:szCs w:val="21"/>
                      <w:lang w:val="en-US" w:eastAsia="zh-CN"/>
                    </w:rPr>
                    <w:t>；</w:t>
                  </w:r>
                </w:p>
                <w:p w14:paraId="160C2491">
                  <w:pPr>
                    <w:pStyle w:val="15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rPr>
                      <w:rFonts w:hint="default"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②背景值来源于2025年第三季度厂界噪声检测报告。</w:t>
                  </w:r>
                </w:p>
              </w:tc>
            </w:tr>
          </w:tbl>
          <w:p w14:paraId="41E5E57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rPr>
              <w:t>经过预测，项目</w:t>
            </w:r>
            <w:r>
              <w:rPr>
                <w:rFonts w:hint="default" w:ascii="Times New Roman" w:hAnsi="Times New Roman" w:eastAsia="宋体" w:cs="Times New Roman"/>
                <w:color w:val="auto"/>
                <w:kern w:val="0"/>
                <w:sz w:val="24"/>
              </w:rPr>
              <w:t>厂界噪声值能达到《工业企业厂界环境噪声排放标准》（GB12348-2008）2类标准。项目周边50m范围内无声环境保护目标。</w:t>
            </w:r>
          </w:p>
          <w:p w14:paraId="0DB5EC4F">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4.3、噪声监测计划</w:t>
            </w:r>
          </w:p>
          <w:p w14:paraId="0A207197">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rPr>
              <w:t>噪声监测计划如下：</w:t>
            </w:r>
          </w:p>
          <w:p w14:paraId="6D8F9D1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color w:val="auto"/>
                <w:kern w:val="0"/>
                <w:szCs w:val="21"/>
              </w:rPr>
              <w:t>表4.4-</w:t>
            </w:r>
            <w:r>
              <w:rPr>
                <w:rFonts w:hint="default" w:ascii="Times New Roman" w:hAnsi="Times New Roman" w:eastAsia="宋体" w:cs="Times New Roman"/>
                <w:b/>
                <w:color w:val="auto"/>
                <w:kern w:val="0"/>
                <w:szCs w:val="21"/>
                <w:lang w:val="en-US" w:eastAsia="zh-CN"/>
              </w:rPr>
              <w:t>3</w:t>
            </w:r>
            <w:r>
              <w:rPr>
                <w:rFonts w:hint="default" w:ascii="Times New Roman" w:hAnsi="Times New Roman" w:eastAsia="宋体" w:cs="Times New Roman"/>
                <w:b/>
                <w:color w:val="auto"/>
                <w:kern w:val="0"/>
                <w:szCs w:val="21"/>
              </w:rPr>
              <w:t xml:space="preserve">    噪声监测计划表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443"/>
              <w:gridCol w:w="1446"/>
              <w:gridCol w:w="2274"/>
              <w:gridCol w:w="1794"/>
            </w:tblGrid>
            <w:tr w14:paraId="612D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noWrap w:val="0"/>
                  <w:vAlign w:val="center"/>
                </w:tcPr>
                <w:p w14:paraId="7AD9F90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监测点位</w:t>
                  </w:r>
                </w:p>
              </w:tc>
              <w:tc>
                <w:tcPr>
                  <w:tcW w:w="872" w:type="pct"/>
                  <w:noWrap w:val="0"/>
                  <w:vAlign w:val="center"/>
                </w:tcPr>
                <w:p w14:paraId="2A4C9AC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监测项目</w:t>
                  </w:r>
                </w:p>
              </w:tc>
              <w:tc>
                <w:tcPr>
                  <w:tcW w:w="874" w:type="pct"/>
                  <w:noWrap w:val="0"/>
                  <w:vAlign w:val="center"/>
                </w:tcPr>
                <w:p w14:paraId="2B2F8D8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时间及频次</w:t>
                  </w:r>
                </w:p>
              </w:tc>
              <w:tc>
                <w:tcPr>
                  <w:tcW w:w="1374" w:type="pct"/>
                  <w:noWrap w:val="0"/>
                  <w:vAlign w:val="center"/>
                </w:tcPr>
                <w:p w14:paraId="7CB91BC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执行标准</w:t>
                  </w:r>
                </w:p>
              </w:tc>
              <w:tc>
                <w:tcPr>
                  <w:tcW w:w="1084" w:type="pct"/>
                  <w:noWrap w:val="0"/>
                  <w:vAlign w:val="center"/>
                </w:tcPr>
                <w:p w14:paraId="7629F66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标准限值</w:t>
                  </w:r>
                </w:p>
              </w:tc>
            </w:tr>
            <w:tr w14:paraId="0DBC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noWrap w:val="0"/>
                  <w:vAlign w:val="center"/>
                </w:tcPr>
                <w:p w14:paraId="27A2030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厂界外</w:t>
                  </w:r>
                  <w:r>
                    <w:rPr>
                      <w:rFonts w:hint="default" w:ascii="Times New Roman" w:hAnsi="Times New Roman" w:eastAsia="宋体" w:cs="Times New Roman"/>
                      <w:color w:val="auto"/>
                      <w:kern w:val="0"/>
                      <w:szCs w:val="21"/>
                      <w:lang w:val="en-US" w:eastAsia="zh-CN"/>
                    </w:rPr>
                    <w:t>东、</w:t>
                  </w:r>
                  <w:r>
                    <w:rPr>
                      <w:rFonts w:hint="default" w:ascii="Times New Roman" w:hAnsi="Times New Roman" w:eastAsia="宋体" w:cs="Times New Roman"/>
                      <w:color w:val="auto"/>
                      <w:kern w:val="0"/>
                      <w:szCs w:val="21"/>
                    </w:rPr>
                    <w:t>南、西、北1m处</w:t>
                  </w:r>
                </w:p>
              </w:tc>
              <w:tc>
                <w:tcPr>
                  <w:tcW w:w="872" w:type="pct"/>
                  <w:noWrap w:val="0"/>
                  <w:vAlign w:val="center"/>
                </w:tcPr>
                <w:p w14:paraId="26052D9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等效声级Leq(dB(A))</w:t>
                  </w:r>
                </w:p>
              </w:tc>
              <w:tc>
                <w:tcPr>
                  <w:tcW w:w="874" w:type="pct"/>
                  <w:noWrap w:val="0"/>
                  <w:vAlign w:val="center"/>
                </w:tcPr>
                <w:p w14:paraId="7F0B8B0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1次/季</w:t>
                  </w:r>
                </w:p>
              </w:tc>
              <w:tc>
                <w:tcPr>
                  <w:tcW w:w="1374" w:type="pct"/>
                  <w:noWrap w:val="0"/>
                  <w:vAlign w:val="center"/>
                </w:tcPr>
                <w:p w14:paraId="5B1D304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《工业企业厂界环境噪声排放标准》（GB12348-2008）2类标准</w:t>
                  </w:r>
                </w:p>
              </w:tc>
              <w:tc>
                <w:tcPr>
                  <w:tcW w:w="1084" w:type="pct"/>
                  <w:noWrap w:val="0"/>
                  <w:vAlign w:val="center"/>
                </w:tcPr>
                <w:p w14:paraId="3400FE2F">
                  <w:pPr>
                    <w:pStyle w:val="9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昼间60dB（A），夜间50dB（A）</w:t>
                  </w:r>
                </w:p>
              </w:tc>
            </w:tr>
          </w:tbl>
          <w:p w14:paraId="097DDB81">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五、固体废物</w:t>
            </w:r>
          </w:p>
          <w:p w14:paraId="5A30C4D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项目运营过程中产生的固废包括锅炉灰渣、除尘灰。</w:t>
            </w:r>
          </w:p>
          <w:p w14:paraId="43286891">
            <w:pPr>
              <w:keepNext w:val="0"/>
              <w:keepLines w:val="0"/>
              <w:suppressLineNumbers w:val="0"/>
              <w:spacing w:before="0" w:beforeAutospacing="0" w:after="0" w:afterAutospacing="0" w:line="360" w:lineRule="auto"/>
              <w:ind w:left="0" w:right="0" w:firstLine="482" w:firstLineChars="200"/>
              <w:jc w:val="left"/>
              <w:textAlignment w:val="baseline"/>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①锅炉灰渣、除尘灰</w:t>
            </w:r>
          </w:p>
          <w:p w14:paraId="6E0BF9BE">
            <w:pPr>
              <w:keepNext w:val="0"/>
              <w:keepLines w:val="0"/>
              <w:suppressLineNumbers w:val="0"/>
              <w:spacing w:before="0" w:beforeAutospacing="0" w:after="0" w:afterAutospacing="0" w:line="360" w:lineRule="auto"/>
              <w:ind w:left="0" w:right="0" w:firstLine="480" w:firstLineChars="200"/>
              <w:jc w:val="left"/>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空气干燥基灰分为</w:t>
            </w:r>
            <w:r>
              <w:rPr>
                <w:rFonts w:hint="default" w:ascii="Times New Roman" w:hAnsi="Times New Roman" w:eastAsia="宋体" w:cs="Times New Roman"/>
                <w:color w:val="auto"/>
                <w:sz w:val="24"/>
                <w:lang w:val="en-US" w:eastAsia="zh-CN"/>
              </w:rPr>
              <w:t>3.96</w:t>
            </w:r>
            <w:r>
              <w:rPr>
                <w:rFonts w:hint="default" w:ascii="Times New Roman" w:hAnsi="Times New Roman" w:eastAsia="宋体" w:cs="Times New Roman"/>
                <w:color w:val="auto"/>
                <w:sz w:val="24"/>
              </w:rPr>
              <w:t>%，项目用</w:t>
            </w:r>
            <w:r>
              <w:rPr>
                <w:rFonts w:hint="default" w:ascii="Times New Roman" w:hAnsi="Times New Roman" w:eastAsia="宋体" w:cs="Times New Roman"/>
                <w:color w:val="auto"/>
                <w:sz w:val="24"/>
                <w:lang w:val="en-US" w:eastAsia="zh-CN"/>
              </w:rPr>
              <w:t>生物质</w:t>
            </w:r>
            <w:r>
              <w:rPr>
                <w:rFonts w:hint="default" w:ascii="Times New Roman" w:hAnsi="Times New Roman" w:eastAsia="宋体" w:cs="Times New Roman"/>
                <w:color w:val="auto"/>
                <w:sz w:val="24"/>
              </w:rPr>
              <w:t>量为</w:t>
            </w:r>
            <w:r>
              <w:rPr>
                <w:rFonts w:hint="default" w:ascii="Times New Roman" w:hAnsi="Times New Roman" w:eastAsia="宋体" w:cs="Times New Roman"/>
                <w:color w:val="auto"/>
                <w:sz w:val="24"/>
                <w:lang w:val="en-US" w:eastAsia="zh-CN"/>
              </w:rPr>
              <w:t>14573.74</w:t>
            </w:r>
            <w:r>
              <w:rPr>
                <w:rFonts w:hint="default" w:ascii="Times New Roman" w:hAnsi="Times New Roman" w:eastAsia="宋体" w:cs="Times New Roman"/>
                <w:color w:val="auto"/>
                <w:sz w:val="24"/>
              </w:rPr>
              <w:t>t/a。则项目锅炉灰渣产生量为</w:t>
            </w:r>
            <w:r>
              <w:rPr>
                <w:rFonts w:hint="default" w:ascii="Times New Roman" w:hAnsi="Times New Roman" w:eastAsia="宋体" w:cs="Times New Roman"/>
                <w:color w:val="auto"/>
                <w:sz w:val="24"/>
                <w:lang w:val="en-US" w:eastAsia="zh-CN"/>
              </w:rPr>
              <w:t>577.12</w:t>
            </w:r>
            <w:r>
              <w:rPr>
                <w:rFonts w:hint="default" w:ascii="Times New Roman" w:hAnsi="Times New Roman" w:eastAsia="宋体" w:cs="Times New Roman"/>
                <w:color w:val="auto"/>
                <w:sz w:val="24"/>
              </w:rPr>
              <w:t>t/a。项目除尘灰渣产生量为</w:t>
            </w:r>
            <w:r>
              <w:rPr>
                <w:rFonts w:hint="default" w:ascii="Times New Roman" w:hAnsi="Times New Roman" w:eastAsia="宋体" w:cs="Times New Roman"/>
                <w:color w:val="auto"/>
                <w:sz w:val="24"/>
                <w:lang w:val="en-US" w:eastAsia="zh-CN"/>
              </w:rPr>
              <w:t>325.72</w:t>
            </w:r>
            <w:r>
              <w:rPr>
                <w:rFonts w:hint="default" w:ascii="Times New Roman" w:hAnsi="Times New Roman" w:eastAsia="宋体" w:cs="Times New Roman"/>
                <w:color w:val="auto"/>
                <w:sz w:val="24"/>
              </w:rPr>
              <w:t>t/a。根据《一般固体废物分类与代码》(GB/T39198-2020)，</w:t>
            </w:r>
            <w:r>
              <w:rPr>
                <w:rFonts w:hint="default" w:ascii="Times New Roman" w:hAnsi="Times New Roman" w:eastAsia="宋体" w:cs="Times New Roman"/>
                <w:color w:val="auto"/>
                <w:sz w:val="24"/>
                <w:lang w:val="en-US" w:eastAsia="zh-CN"/>
              </w:rPr>
              <w:t>废物种类为S03炉渣，废物代码为900-099-S03，</w:t>
            </w:r>
            <w:r>
              <w:rPr>
                <w:rFonts w:hint="default" w:ascii="Times New Roman" w:hAnsi="Times New Roman" w:eastAsia="宋体" w:cs="Times New Roman"/>
                <w:color w:val="auto"/>
                <w:sz w:val="24"/>
              </w:rPr>
              <w:t>属于一般固废，锅炉灰渣、除尘灰渣外售给华宁万象再生资源有限公司利用。</w:t>
            </w:r>
          </w:p>
          <w:p w14:paraId="3174E13B">
            <w:pPr>
              <w:pStyle w:val="16"/>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②废离子树脂</w:t>
            </w:r>
          </w:p>
          <w:p w14:paraId="7DE2FDD6">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根据业主提供，项目离子交换树脂在置换之后废离子树脂的产生量为1.2t/a。</w:t>
            </w:r>
            <w:r>
              <w:rPr>
                <w:rFonts w:hint="default" w:ascii="Times New Roman" w:hAnsi="Times New Roman" w:eastAsia="宋体" w:cs="Times New Roman"/>
                <w:color w:val="auto"/>
                <w:sz w:val="24"/>
              </w:rPr>
              <w:t>根据《一般固体废物分类与代码》(GB/T39198-2020)，</w:t>
            </w:r>
            <w:r>
              <w:rPr>
                <w:rFonts w:hint="default" w:ascii="Times New Roman" w:hAnsi="Times New Roman" w:eastAsia="宋体" w:cs="Times New Roman"/>
                <w:color w:val="auto"/>
                <w:sz w:val="24"/>
                <w:lang w:val="en-US" w:eastAsia="zh-CN"/>
              </w:rPr>
              <w:t>废物种类为S59其他工业固体废物，废物代码为900-008-S59，</w:t>
            </w:r>
            <w:r>
              <w:rPr>
                <w:rFonts w:hint="default" w:ascii="Times New Roman" w:hAnsi="Times New Roman" w:eastAsia="宋体" w:cs="Times New Roman"/>
                <w:color w:val="auto"/>
                <w:kern w:val="0"/>
                <w:sz w:val="24"/>
              </w:rPr>
              <w:t>属于一般固废，废离子树脂外售给华宁万象再生资源有限公司利用。</w:t>
            </w:r>
          </w:p>
          <w:p w14:paraId="58FA825F">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项目固废均得到合理处置，对环境影响较小。</w:t>
            </w:r>
          </w:p>
          <w:p w14:paraId="3A7BA584">
            <w:pPr>
              <w:pStyle w:val="16"/>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本项目一般固废产生及处置情况见下表。</w:t>
            </w:r>
          </w:p>
          <w:p w14:paraId="604EB55E">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表4.5-1   建设项目废物产生及处置一览表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566"/>
              <w:gridCol w:w="939"/>
              <w:gridCol w:w="1007"/>
              <w:gridCol w:w="1470"/>
              <w:gridCol w:w="1877"/>
              <w:gridCol w:w="1839"/>
            </w:tblGrid>
            <w:tr w14:paraId="4805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6FC8DB1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342" w:type="pct"/>
                  <w:tcBorders>
                    <w:top w:val="single" w:color="auto" w:sz="4" w:space="0"/>
                    <w:left w:val="nil"/>
                    <w:bottom w:val="single" w:color="auto" w:sz="4" w:space="0"/>
                    <w:right w:val="single" w:color="auto" w:sz="4" w:space="0"/>
                  </w:tcBorders>
                  <w:noWrap w:val="0"/>
                  <w:vAlign w:val="center"/>
                </w:tcPr>
                <w:p w14:paraId="3E9094C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属性</w:t>
                  </w:r>
                </w:p>
              </w:tc>
              <w:tc>
                <w:tcPr>
                  <w:tcW w:w="567" w:type="pct"/>
                  <w:tcBorders>
                    <w:top w:val="single" w:color="auto" w:sz="4" w:space="0"/>
                    <w:left w:val="nil"/>
                    <w:bottom w:val="single" w:color="auto" w:sz="4" w:space="0"/>
                    <w:right w:val="single" w:color="auto" w:sz="4" w:space="0"/>
                  </w:tcBorders>
                  <w:noWrap w:val="0"/>
                  <w:vAlign w:val="center"/>
                </w:tcPr>
                <w:p w14:paraId="0D9243B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产物工序</w:t>
                  </w:r>
                </w:p>
              </w:tc>
              <w:tc>
                <w:tcPr>
                  <w:tcW w:w="608" w:type="pct"/>
                  <w:tcBorders>
                    <w:top w:val="single" w:color="auto" w:sz="4" w:space="0"/>
                    <w:left w:val="nil"/>
                    <w:bottom w:val="single" w:color="auto" w:sz="4" w:space="0"/>
                    <w:right w:val="single" w:color="auto" w:sz="4" w:space="0"/>
                  </w:tcBorders>
                  <w:noWrap w:val="0"/>
                  <w:vAlign w:val="center"/>
                </w:tcPr>
                <w:p w14:paraId="4E3B228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类型</w:t>
                  </w:r>
                </w:p>
              </w:tc>
              <w:tc>
                <w:tcPr>
                  <w:tcW w:w="888" w:type="pct"/>
                  <w:tcBorders>
                    <w:top w:val="single" w:color="auto" w:sz="4" w:space="0"/>
                    <w:left w:val="nil"/>
                    <w:bottom w:val="single" w:color="auto" w:sz="4" w:space="0"/>
                    <w:right w:val="single" w:color="auto" w:sz="4" w:space="0"/>
                  </w:tcBorders>
                  <w:noWrap w:val="0"/>
                  <w:vAlign w:val="center"/>
                </w:tcPr>
                <w:p w14:paraId="2D48113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固废代码</w:t>
                  </w:r>
                </w:p>
              </w:tc>
              <w:tc>
                <w:tcPr>
                  <w:tcW w:w="1134" w:type="pct"/>
                  <w:tcBorders>
                    <w:top w:val="single" w:color="auto" w:sz="4" w:space="0"/>
                    <w:left w:val="nil"/>
                    <w:bottom w:val="single" w:color="auto" w:sz="4" w:space="0"/>
                    <w:right w:val="single" w:color="auto" w:sz="4" w:space="0"/>
                  </w:tcBorders>
                  <w:noWrap w:val="0"/>
                  <w:vAlign w:val="center"/>
                </w:tcPr>
                <w:p w14:paraId="40F5348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产生量（t/a）</w:t>
                  </w:r>
                </w:p>
              </w:tc>
              <w:tc>
                <w:tcPr>
                  <w:tcW w:w="1111" w:type="pct"/>
                  <w:tcBorders>
                    <w:top w:val="single" w:color="auto" w:sz="4" w:space="0"/>
                    <w:left w:val="nil"/>
                    <w:bottom w:val="single" w:color="auto" w:sz="4" w:space="0"/>
                    <w:right w:val="single" w:color="auto" w:sz="4" w:space="0"/>
                  </w:tcBorders>
                  <w:noWrap w:val="0"/>
                  <w:vAlign w:val="center"/>
                </w:tcPr>
                <w:p w14:paraId="4096BC2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处理方式</w:t>
                  </w:r>
                </w:p>
              </w:tc>
            </w:tr>
            <w:tr w14:paraId="2C47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46" w:type="pct"/>
                  <w:vMerge w:val="restart"/>
                  <w:tcBorders>
                    <w:top w:val="single" w:color="auto" w:sz="4" w:space="0"/>
                    <w:left w:val="single" w:color="auto" w:sz="4" w:space="0"/>
                    <w:right w:val="single" w:color="auto" w:sz="4" w:space="0"/>
                  </w:tcBorders>
                  <w:noWrap w:val="0"/>
                  <w:vAlign w:val="center"/>
                </w:tcPr>
                <w:p w14:paraId="1700C2A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42" w:type="pct"/>
                  <w:vMerge w:val="restart"/>
                  <w:tcBorders>
                    <w:top w:val="nil"/>
                    <w:left w:val="nil"/>
                    <w:right w:val="single" w:color="auto" w:sz="4" w:space="0"/>
                  </w:tcBorders>
                  <w:noWrap w:val="0"/>
                  <w:vAlign w:val="center"/>
                </w:tcPr>
                <w:p w14:paraId="2128261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一般固废</w:t>
                  </w:r>
                </w:p>
              </w:tc>
              <w:tc>
                <w:tcPr>
                  <w:tcW w:w="567" w:type="pct"/>
                  <w:vMerge w:val="restart"/>
                  <w:tcBorders>
                    <w:top w:val="single" w:color="auto" w:sz="4" w:space="0"/>
                    <w:left w:val="nil"/>
                    <w:right w:val="single" w:color="auto" w:sz="4" w:space="0"/>
                  </w:tcBorders>
                  <w:noWrap w:val="0"/>
                  <w:vAlign w:val="center"/>
                </w:tcPr>
                <w:p w14:paraId="136DA02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锅炉</w:t>
                  </w:r>
                </w:p>
              </w:tc>
              <w:tc>
                <w:tcPr>
                  <w:tcW w:w="608" w:type="pct"/>
                  <w:tcBorders>
                    <w:top w:val="single" w:color="auto" w:sz="4" w:space="0"/>
                    <w:left w:val="nil"/>
                    <w:bottom w:val="single" w:color="auto" w:sz="4" w:space="0"/>
                    <w:right w:val="single" w:color="auto" w:sz="4" w:space="0"/>
                  </w:tcBorders>
                  <w:noWrap w:val="0"/>
                  <w:vAlign w:val="center"/>
                </w:tcPr>
                <w:p w14:paraId="30B60C3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锅炉灰渣</w:t>
                  </w:r>
                </w:p>
              </w:tc>
              <w:tc>
                <w:tcPr>
                  <w:tcW w:w="888" w:type="pct"/>
                  <w:vMerge w:val="restart"/>
                  <w:tcBorders>
                    <w:top w:val="single" w:color="auto" w:sz="4" w:space="0"/>
                    <w:left w:val="nil"/>
                    <w:right w:val="single" w:color="auto" w:sz="4" w:space="0"/>
                  </w:tcBorders>
                  <w:noWrap w:val="0"/>
                  <w:vAlign w:val="center"/>
                </w:tcPr>
                <w:p w14:paraId="5F3FF5B9">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900-099-S03</w:t>
                  </w:r>
                </w:p>
              </w:tc>
              <w:tc>
                <w:tcPr>
                  <w:tcW w:w="1134" w:type="pct"/>
                  <w:tcBorders>
                    <w:top w:val="single" w:color="auto" w:sz="4" w:space="0"/>
                    <w:left w:val="nil"/>
                    <w:right w:val="single" w:color="auto" w:sz="4" w:space="0"/>
                  </w:tcBorders>
                  <w:noWrap w:val="0"/>
                  <w:vAlign w:val="center"/>
                </w:tcPr>
                <w:p w14:paraId="00C892A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577.12</w:t>
                  </w:r>
                </w:p>
              </w:tc>
              <w:tc>
                <w:tcPr>
                  <w:tcW w:w="1111" w:type="pct"/>
                  <w:vMerge w:val="restart"/>
                  <w:tcBorders>
                    <w:top w:val="nil"/>
                    <w:left w:val="nil"/>
                    <w:right w:val="single" w:color="auto" w:sz="4" w:space="0"/>
                  </w:tcBorders>
                  <w:noWrap w:val="0"/>
                  <w:vAlign w:val="center"/>
                </w:tcPr>
                <w:p w14:paraId="087118B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外售给华宁万象再生资源有限公司利用。</w:t>
                  </w:r>
                </w:p>
              </w:tc>
            </w:tr>
            <w:tr w14:paraId="4EF7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46" w:type="pct"/>
                  <w:vMerge w:val="continue"/>
                  <w:tcBorders>
                    <w:left w:val="single" w:color="auto" w:sz="4" w:space="0"/>
                    <w:bottom w:val="single" w:color="auto" w:sz="4" w:space="0"/>
                    <w:right w:val="single" w:color="auto" w:sz="4" w:space="0"/>
                  </w:tcBorders>
                  <w:noWrap w:val="0"/>
                  <w:vAlign w:val="center"/>
                </w:tcPr>
                <w:p w14:paraId="389FC66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342" w:type="pct"/>
                  <w:vMerge w:val="continue"/>
                  <w:tcBorders>
                    <w:left w:val="nil"/>
                    <w:right w:val="single" w:color="auto" w:sz="4" w:space="0"/>
                  </w:tcBorders>
                  <w:noWrap w:val="0"/>
                  <w:vAlign w:val="center"/>
                </w:tcPr>
                <w:p w14:paraId="66674F7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567" w:type="pct"/>
                  <w:vMerge w:val="continue"/>
                  <w:tcBorders>
                    <w:left w:val="nil"/>
                    <w:bottom w:val="single" w:color="auto" w:sz="4" w:space="0"/>
                    <w:right w:val="single" w:color="auto" w:sz="4" w:space="0"/>
                  </w:tcBorders>
                  <w:noWrap w:val="0"/>
                  <w:vAlign w:val="center"/>
                </w:tcPr>
                <w:p w14:paraId="4648C26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608" w:type="pct"/>
                  <w:tcBorders>
                    <w:top w:val="single" w:color="auto" w:sz="4" w:space="0"/>
                    <w:left w:val="nil"/>
                    <w:bottom w:val="single" w:color="auto" w:sz="4" w:space="0"/>
                    <w:right w:val="single" w:color="auto" w:sz="4" w:space="0"/>
                  </w:tcBorders>
                  <w:noWrap w:val="0"/>
                  <w:vAlign w:val="center"/>
                </w:tcPr>
                <w:p w14:paraId="4A49C0C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除尘灰</w:t>
                  </w:r>
                </w:p>
              </w:tc>
              <w:tc>
                <w:tcPr>
                  <w:tcW w:w="888" w:type="pct"/>
                  <w:vMerge w:val="continue"/>
                  <w:tcBorders>
                    <w:left w:val="nil"/>
                    <w:bottom w:val="single" w:color="auto" w:sz="4" w:space="0"/>
                    <w:right w:val="single" w:color="auto" w:sz="4" w:space="0"/>
                  </w:tcBorders>
                  <w:noWrap w:val="0"/>
                  <w:vAlign w:val="center"/>
                </w:tcPr>
                <w:p w14:paraId="6143CFF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1134" w:type="pct"/>
                  <w:tcBorders>
                    <w:left w:val="nil"/>
                    <w:bottom w:val="single" w:color="auto" w:sz="4" w:space="0"/>
                    <w:right w:val="single" w:color="auto" w:sz="4" w:space="0"/>
                  </w:tcBorders>
                  <w:noWrap w:val="0"/>
                  <w:vAlign w:val="center"/>
                </w:tcPr>
                <w:p w14:paraId="1D6B303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325.72</w:t>
                  </w:r>
                </w:p>
              </w:tc>
              <w:tc>
                <w:tcPr>
                  <w:tcW w:w="1111" w:type="pct"/>
                  <w:vMerge w:val="continue"/>
                  <w:tcBorders>
                    <w:left w:val="nil"/>
                    <w:right w:val="single" w:color="auto" w:sz="4" w:space="0"/>
                  </w:tcBorders>
                  <w:noWrap w:val="0"/>
                  <w:vAlign w:val="center"/>
                </w:tcPr>
                <w:p w14:paraId="0BCCED5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r>
            <w:tr w14:paraId="2385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28F5D45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342" w:type="pct"/>
                  <w:vMerge w:val="continue"/>
                  <w:tcBorders>
                    <w:left w:val="nil"/>
                    <w:bottom w:val="single" w:color="auto" w:sz="4" w:space="0"/>
                    <w:right w:val="single" w:color="auto" w:sz="4" w:space="0"/>
                  </w:tcBorders>
                  <w:noWrap w:val="0"/>
                  <w:vAlign w:val="center"/>
                </w:tcPr>
                <w:p w14:paraId="71440B6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567" w:type="pct"/>
                  <w:tcBorders>
                    <w:top w:val="single" w:color="auto" w:sz="4" w:space="0"/>
                    <w:left w:val="nil"/>
                    <w:bottom w:val="single" w:color="auto" w:sz="4" w:space="0"/>
                    <w:right w:val="single" w:color="auto" w:sz="4" w:space="0"/>
                  </w:tcBorders>
                  <w:noWrap w:val="0"/>
                  <w:vAlign w:val="center"/>
                </w:tcPr>
                <w:p w14:paraId="7D60BC8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软化</w:t>
                  </w:r>
                </w:p>
              </w:tc>
              <w:tc>
                <w:tcPr>
                  <w:tcW w:w="608" w:type="pct"/>
                  <w:tcBorders>
                    <w:top w:val="single" w:color="auto" w:sz="4" w:space="0"/>
                    <w:left w:val="nil"/>
                    <w:bottom w:val="single" w:color="auto" w:sz="4" w:space="0"/>
                    <w:right w:val="single" w:color="auto" w:sz="4" w:space="0"/>
                  </w:tcBorders>
                  <w:noWrap w:val="0"/>
                  <w:vAlign w:val="center"/>
                </w:tcPr>
                <w:p w14:paraId="36A68F2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废离子树脂</w:t>
                  </w:r>
                </w:p>
              </w:tc>
              <w:tc>
                <w:tcPr>
                  <w:tcW w:w="888" w:type="pct"/>
                  <w:tcBorders>
                    <w:top w:val="single" w:color="auto" w:sz="4" w:space="0"/>
                    <w:left w:val="nil"/>
                    <w:bottom w:val="single" w:color="auto" w:sz="4" w:space="0"/>
                    <w:right w:val="single" w:color="auto" w:sz="4" w:space="0"/>
                  </w:tcBorders>
                  <w:noWrap w:val="0"/>
                  <w:vAlign w:val="center"/>
                </w:tcPr>
                <w:p w14:paraId="69D64A8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900-008-S59</w:t>
                  </w:r>
                </w:p>
              </w:tc>
              <w:tc>
                <w:tcPr>
                  <w:tcW w:w="1134" w:type="pct"/>
                  <w:tcBorders>
                    <w:top w:val="single" w:color="auto" w:sz="4" w:space="0"/>
                    <w:left w:val="nil"/>
                    <w:bottom w:val="single" w:color="auto" w:sz="4" w:space="0"/>
                    <w:right w:val="single" w:color="auto" w:sz="4" w:space="0"/>
                  </w:tcBorders>
                  <w:noWrap w:val="0"/>
                  <w:vAlign w:val="center"/>
                </w:tcPr>
                <w:p w14:paraId="4E7AD61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111" w:type="pct"/>
                  <w:vMerge w:val="continue"/>
                  <w:tcBorders>
                    <w:left w:val="nil"/>
                    <w:bottom w:val="single" w:color="auto" w:sz="4" w:space="0"/>
                    <w:right w:val="single" w:color="auto" w:sz="4" w:space="0"/>
                  </w:tcBorders>
                  <w:noWrap w:val="0"/>
                  <w:vAlign w:val="center"/>
                </w:tcPr>
                <w:p w14:paraId="795DBB1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r>
          </w:tbl>
          <w:p w14:paraId="5E1B0C08">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color w:val="auto"/>
                <w:kern w:val="0"/>
                <w:sz w:val="24"/>
              </w:rPr>
            </w:pPr>
            <w:r>
              <w:rPr>
                <w:rFonts w:hint="default" w:ascii="Times New Roman" w:hAnsi="Times New Roman" w:eastAsia="宋体" w:cs="Times New Roman"/>
                <w:b/>
                <w:bCs/>
                <w:color w:val="auto"/>
                <w:kern w:val="0"/>
                <w:sz w:val="24"/>
              </w:rPr>
              <w:t>六、地下水、土壤</w:t>
            </w:r>
          </w:p>
          <w:p w14:paraId="1DB29FC7">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建设项目环境影响报告表编制技术指南（污染影响类）》（试行）项目不涉及污水灌溉、固体废弃物农业利用、农用化学品施用、大气干湿沉降等土壤污染途径，不涉及集中式饮用水水源和热水、矿泉水、温泉等特殊地下水资源，因此不开展地下水和土壤的环境影响分析。</w:t>
            </w:r>
          </w:p>
          <w:p w14:paraId="5D0D04AD">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七、环境风险</w:t>
            </w:r>
          </w:p>
          <w:p w14:paraId="049187A0">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本次评价根据《建设项目环境风险评价技术导则》（HJ169-2018），对本项目进行环境风险评价。</w:t>
            </w:r>
          </w:p>
          <w:p w14:paraId="7E63184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（1）环境风险识别</w:t>
            </w:r>
          </w:p>
          <w:p w14:paraId="747D19A5">
            <w:pPr>
              <w:keepNext w:val="0"/>
              <w:keepLines w:val="0"/>
              <w:suppressLineNumbers w:val="0"/>
              <w:spacing w:before="0" w:beforeAutospacing="0" w:after="0" w:afterAutospacing="0" w:line="360" w:lineRule="auto"/>
              <w:ind w:left="0" w:right="0" w:firstLine="512" w:firstLineChars="200"/>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项目主要燃料为生物质，不属于风险物质，不存在重大危险源。本项目使用成型生物质颗粒，为普通可燃物质，不属于易燃易爆、有毒有害化学品。本项目物料危险源主要是锅炉房及生物质料仓发生火灾事故，对大气环境产生污染，因此，本环评将其作为评价重点，并提出事故防范措施。</w:t>
            </w:r>
          </w:p>
          <w:p w14:paraId="03E006D2">
            <w:pPr>
              <w:keepNext w:val="0"/>
              <w:keepLines w:val="0"/>
              <w:suppressLineNumbers w:val="0"/>
              <w:spacing w:before="0" w:beforeAutospacing="0" w:after="0" w:afterAutospacing="0" w:line="360" w:lineRule="auto"/>
              <w:ind w:left="0" w:right="0" w:firstLine="512" w:firstLineChars="200"/>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（2）风险评价内容</w:t>
            </w:r>
          </w:p>
          <w:p w14:paraId="701C1895">
            <w:pPr>
              <w:keepNext w:val="0"/>
              <w:keepLines w:val="0"/>
              <w:suppressLineNumbers w:val="0"/>
              <w:spacing w:before="0" w:beforeAutospacing="0" w:after="0" w:afterAutospacing="0" w:line="360" w:lineRule="auto"/>
              <w:ind w:left="0" w:right="0" w:firstLine="512" w:firstLineChars="200"/>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1）火灾风险分析</w:t>
            </w:r>
          </w:p>
          <w:p w14:paraId="48B8870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采用生物质作为燃料，发生火灾时，火场的温度很高，辐射热强烈，且火灾蔓延速度快。发生火灾后，可能产生的有害有毒气体为不完全燃烧产生的一氧化碳，造成一氧化碳气体大量扩散，对周围环境产生影响。为了防止火灾，全厂消防设置本着“预防为主，防消结合”的原则，对主要设备和重要建筑物均采取防消结合措施。厂区内现在均设置了消防灭火器材。</w:t>
            </w:r>
          </w:p>
          <w:p w14:paraId="088C0D2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2）废气处理设施非正常运行工况下的环境影响分析</w:t>
            </w:r>
          </w:p>
          <w:p w14:paraId="2508E82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本项目锅炉废气使用</w:t>
            </w:r>
            <w:r>
              <w:rPr>
                <w:rFonts w:hint="default" w:ascii="Times New Roman" w:hAnsi="Times New Roman" w:eastAsia="宋体" w:cs="Times New Roman"/>
                <w:color w:val="auto"/>
                <w:sz w:val="24"/>
                <w:lang w:val="en-US" w:eastAsia="zh-CN"/>
              </w:rPr>
              <w:t>布袋除尘器</w:t>
            </w:r>
            <w:r>
              <w:rPr>
                <w:rFonts w:hint="default" w:ascii="Times New Roman" w:hAnsi="Times New Roman" w:eastAsia="宋体" w:cs="Times New Roman"/>
                <w:color w:val="auto"/>
                <w:sz w:val="24"/>
              </w:rPr>
              <w:t>处理，净化后废气可满足《锅炉大气污染物排放标准》(GB13271-2014)燃气锅炉要求。但是当废气处理装置故障时，本项目排放废气就会超出排放标准要求。因此建设单位要对除尘器进行定期检修，防止出现事故现象。</w:t>
            </w:r>
          </w:p>
          <w:p w14:paraId="0A046DC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（3）环境风险防范措施</w:t>
            </w:r>
          </w:p>
          <w:p w14:paraId="21D8E10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为把风险事故的发生和影响降到最低限度，针对项目的生产特点，特别应注意以下几点：加强职工安全环保教育，增强操作工人的责任心，防止和减少因人为因素造成的事故，同时也要加强防火安全教育；应配备必需的消防设施，落实安全管理责任。</w:t>
            </w:r>
          </w:p>
          <w:p w14:paraId="6161ED6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2）制定和落实防火安全责任制及消防安全规章制度，除加强对员工的消防知识培训，对消防安全责任人及员工也定期进行消防知识培训，消防安全管理人员持证上岗。</w:t>
            </w:r>
          </w:p>
          <w:p w14:paraId="76F0900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3）堆放的生物质燃料量要严格控制，不得存放过多。</w:t>
            </w:r>
          </w:p>
          <w:p w14:paraId="14FC07E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综合考虑本项目废气治理设施发生故障的可能性及事故的类型，建设单位应定期对废气处置设施进行检修，并形成制度。安排环保专员对废气处置设施进行管理，设备检修过程或设施维护过程应暂时停止生产，防治因维护检修造成废气排入空气环境造成污染。</w:t>
            </w:r>
          </w:p>
          <w:p w14:paraId="2DCACB3F">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八、</w:t>
            </w:r>
            <w:r>
              <w:rPr>
                <w:rFonts w:hint="default" w:ascii="Times New Roman" w:hAnsi="Times New Roman" w:eastAsia="宋体" w:cs="Times New Roman"/>
                <w:b/>
                <w:bCs/>
                <w:color w:val="auto"/>
                <w:sz w:val="24"/>
              </w:rPr>
              <w:t>竣工环境验收要求</w:t>
            </w:r>
          </w:p>
          <w:p w14:paraId="0DA28DC2">
            <w:pPr>
              <w:pStyle w:val="21"/>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表4.</w:t>
            </w:r>
            <w:r>
              <w:rPr>
                <w:rFonts w:hint="default" w:ascii="Times New Roman" w:hAnsi="Times New Roman" w:eastAsia="宋体" w:cs="Times New Roman"/>
                <w:b/>
                <w:bCs/>
                <w:color w:val="auto"/>
                <w:szCs w:val="21"/>
                <w:lang w:val="en-US" w:eastAsia="zh-CN"/>
              </w:rPr>
              <w:t>8</w:t>
            </w:r>
            <w:r>
              <w:rPr>
                <w:rFonts w:hint="default" w:ascii="Times New Roman" w:hAnsi="Times New Roman" w:eastAsia="宋体" w:cs="Times New Roman"/>
                <w:b/>
                <w:bCs/>
                <w:color w:val="auto"/>
                <w:szCs w:val="21"/>
              </w:rPr>
              <w:t>-1   竣工验收监测计划一览表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495"/>
              <w:gridCol w:w="1001"/>
              <w:gridCol w:w="995"/>
              <w:gridCol w:w="1260"/>
              <w:gridCol w:w="1665"/>
              <w:gridCol w:w="2231"/>
            </w:tblGrid>
            <w:tr w14:paraId="01DA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377" w:type="pct"/>
                  <w:tcBorders>
                    <w:top w:val="single" w:color="auto" w:sz="4" w:space="0"/>
                    <w:left w:val="single" w:color="auto" w:sz="4" w:space="0"/>
                    <w:bottom w:val="single" w:color="auto" w:sz="4" w:space="0"/>
                    <w:right w:val="single" w:color="auto" w:sz="4" w:space="0"/>
                  </w:tcBorders>
                  <w:noWrap w:val="0"/>
                  <w:vAlign w:val="center"/>
                </w:tcPr>
                <w:p w14:paraId="4AE481E8">
                  <w:pPr>
                    <w:pStyle w:val="116"/>
                    <w:keepNext w:val="0"/>
                    <w:keepLines w:val="0"/>
                    <w:suppressLineNumbers w:val="0"/>
                    <w:spacing w:before="0" w:beforeAutospacing="0" w:after="0" w:afterAutospacing="0"/>
                    <w:ind w:left="0" w:right="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环保措施名称</w:t>
                  </w:r>
                </w:p>
              </w:tc>
              <w:tc>
                <w:tcPr>
                  <w:tcW w:w="904" w:type="pct"/>
                  <w:gridSpan w:val="2"/>
                  <w:tcBorders>
                    <w:top w:val="single" w:color="auto" w:sz="4" w:space="0"/>
                    <w:left w:val="single" w:color="auto" w:sz="4" w:space="0"/>
                    <w:bottom w:val="single" w:color="auto" w:sz="4" w:space="0"/>
                    <w:right w:val="single" w:color="auto" w:sz="4" w:space="0"/>
                  </w:tcBorders>
                  <w:noWrap w:val="0"/>
                  <w:vAlign w:val="center"/>
                </w:tcPr>
                <w:p w14:paraId="245BADF9">
                  <w:pPr>
                    <w:pStyle w:val="116"/>
                    <w:keepNext w:val="0"/>
                    <w:keepLines w:val="0"/>
                    <w:suppressLineNumbers w:val="0"/>
                    <w:spacing w:before="0" w:beforeAutospacing="0" w:after="0" w:afterAutospacing="0"/>
                    <w:ind w:left="0" w:right="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监测项目</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5D5E533D">
                  <w:pPr>
                    <w:pStyle w:val="116"/>
                    <w:keepNext w:val="0"/>
                    <w:keepLines w:val="0"/>
                    <w:suppressLineNumbers w:val="0"/>
                    <w:spacing w:before="0" w:beforeAutospacing="0" w:after="0" w:afterAutospacing="0"/>
                    <w:ind w:left="0" w:right="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监控负责单位</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4CA77E24">
                  <w:pPr>
                    <w:pStyle w:val="116"/>
                    <w:keepNext w:val="0"/>
                    <w:keepLines w:val="0"/>
                    <w:suppressLineNumbers w:val="0"/>
                    <w:spacing w:before="0" w:beforeAutospacing="0" w:after="0" w:afterAutospacing="0"/>
                    <w:ind w:left="0" w:right="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监测检查频次</w:t>
                  </w:r>
                </w:p>
              </w:tc>
              <w:tc>
                <w:tcPr>
                  <w:tcW w:w="1006" w:type="pct"/>
                  <w:tcBorders>
                    <w:top w:val="single" w:color="auto" w:sz="4" w:space="0"/>
                    <w:left w:val="single" w:color="auto" w:sz="4" w:space="0"/>
                    <w:bottom w:val="single" w:color="auto" w:sz="4" w:space="0"/>
                    <w:right w:val="single" w:color="auto" w:sz="4" w:space="0"/>
                  </w:tcBorders>
                  <w:noWrap w:val="0"/>
                  <w:vAlign w:val="center"/>
                </w:tcPr>
                <w:p w14:paraId="3EEA7B69">
                  <w:pPr>
                    <w:pStyle w:val="116"/>
                    <w:keepNext w:val="0"/>
                    <w:keepLines w:val="0"/>
                    <w:suppressLineNumbers w:val="0"/>
                    <w:spacing w:before="0" w:beforeAutospacing="0" w:after="0" w:afterAutospacing="0"/>
                    <w:ind w:left="0" w:right="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监测点</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040F6324">
                  <w:pPr>
                    <w:pStyle w:val="116"/>
                    <w:keepNext w:val="0"/>
                    <w:keepLines w:val="0"/>
                    <w:suppressLineNumbers w:val="0"/>
                    <w:spacing w:before="0" w:beforeAutospacing="0" w:after="0" w:afterAutospacing="0"/>
                    <w:ind w:left="0" w:right="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r>
            <w:tr w14:paraId="4F7F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377" w:type="pct"/>
                  <w:tcBorders>
                    <w:top w:val="single" w:color="auto" w:sz="4" w:space="0"/>
                    <w:left w:val="single" w:color="auto" w:sz="4" w:space="0"/>
                    <w:bottom w:val="single" w:color="auto" w:sz="4" w:space="0"/>
                    <w:right w:val="single" w:color="auto" w:sz="4" w:space="0"/>
                  </w:tcBorders>
                  <w:noWrap w:val="0"/>
                  <w:vAlign w:val="center"/>
                </w:tcPr>
                <w:p w14:paraId="59DBD43F">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环境噪声监测</w:t>
                  </w:r>
                </w:p>
              </w:tc>
              <w:tc>
                <w:tcPr>
                  <w:tcW w:w="904" w:type="pct"/>
                  <w:gridSpan w:val="2"/>
                  <w:tcBorders>
                    <w:top w:val="single" w:color="auto" w:sz="4" w:space="0"/>
                    <w:left w:val="single" w:color="auto" w:sz="4" w:space="0"/>
                    <w:bottom w:val="single" w:color="auto" w:sz="4" w:space="0"/>
                    <w:right w:val="single" w:color="auto" w:sz="4" w:space="0"/>
                  </w:tcBorders>
                  <w:noWrap w:val="0"/>
                  <w:vAlign w:val="center"/>
                </w:tcPr>
                <w:p w14:paraId="317228D3">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Leq(A)</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7DBA6753">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环境管理机构</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1BB4DA5B">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连续2天，2次/天，昼间、夜间1次</w:t>
                  </w:r>
                </w:p>
              </w:tc>
              <w:tc>
                <w:tcPr>
                  <w:tcW w:w="1006" w:type="pct"/>
                  <w:tcBorders>
                    <w:top w:val="single" w:color="auto" w:sz="4" w:space="0"/>
                    <w:left w:val="single" w:color="auto" w:sz="4" w:space="0"/>
                    <w:bottom w:val="single" w:color="auto" w:sz="4" w:space="0"/>
                    <w:right w:val="single" w:color="auto" w:sz="4" w:space="0"/>
                  </w:tcBorders>
                  <w:noWrap w:val="0"/>
                  <w:vAlign w:val="center"/>
                </w:tcPr>
                <w:p w14:paraId="668F255F">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kern w:val="0"/>
                    </w:rPr>
                    <w:t>厂界外东、南、西、北1m处，</w:t>
                  </w:r>
                  <w:r>
                    <w:rPr>
                      <w:rFonts w:hint="default" w:ascii="Times New Roman" w:hAnsi="Times New Roman" w:eastAsia="宋体" w:cs="Times New Roman"/>
                      <w:color w:val="auto"/>
                    </w:rPr>
                    <w:t>4个点位</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33A2EA32">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执行《工业企业厂界环境噪声排放标准》（GB12348-2008）2类</w:t>
                  </w:r>
                </w:p>
              </w:tc>
            </w:tr>
            <w:tr w14:paraId="369E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377" w:type="pct"/>
                  <w:tcBorders>
                    <w:top w:val="single" w:color="auto" w:sz="4" w:space="0"/>
                    <w:left w:val="single" w:color="auto" w:sz="4" w:space="0"/>
                    <w:bottom w:val="single" w:color="auto" w:sz="4" w:space="0"/>
                    <w:right w:val="single" w:color="auto" w:sz="4" w:space="0"/>
                  </w:tcBorders>
                  <w:noWrap w:val="0"/>
                  <w:vAlign w:val="center"/>
                </w:tcPr>
                <w:p w14:paraId="6D62C845">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废气监测</w:t>
                  </w:r>
                </w:p>
              </w:tc>
              <w:tc>
                <w:tcPr>
                  <w:tcW w:w="299" w:type="pct"/>
                  <w:tcBorders>
                    <w:top w:val="single" w:color="auto" w:sz="4" w:space="0"/>
                    <w:left w:val="single" w:color="auto" w:sz="4" w:space="0"/>
                    <w:bottom w:val="single" w:color="auto" w:sz="4" w:space="0"/>
                    <w:right w:val="single" w:color="auto" w:sz="4" w:space="0"/>
                  </w:tcBorders>
                  <w:noWrap w:val="0"/>
                  <w:vAlign w:val="center"/>
                </w:tcPr>
                <w:p w14:paraId="2A2644EC">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有组织</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52DDD42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SO</w:t>
                  </w:r>
                  <w:r>
                    <w:rPr>
                      <w:rFonts w:hint="default" w:ascii="Times New Roman" w:hAnsi="Times New Roman" w:eastAsia="宋体" w:cs="Times New Roman"/>
                      <w:color w:val="auto"/>
                      <w:szCs w:val="21"/>
                      <w:vertAlign w:val="subscript"/>
                    </w:rPr>
                    <w:t>2</w:t>
                  </w:r>
                  <w:r>
                    <w:rPr>
                      <w:rFonts w:hint="default" w:ascii="Times New Roman" w:hAnsi="Times New Roman" w:eastAsia="宋体" w:cs="Times New Roman"/>
                      <w:color w:val="auto"/>
                      <w:szCs w:val="21"/>
                    </w:rPr>
                    <w:t>、NO</w:t>
                  </w:r>
                  <w:r>
                    <w:rPr>
                      <w:rFonts w:hint="default" w:ascii="Times New Roman" w:hAnsi="Times New Roman" w:eastAsia="宋体" w:cs="Times New Roman"/>
                      <w:color w:val="auto"/>
                      <w:szCs w:val="21"/>
                      <w:vertAlign w:val="subscript"/>
                    </w:rPr>
                    <w:t>X</w:t>
                  </w:r>
                  <w:r>
                    <w:rPr>
                      <w:rFonts w:hint="default" w:ascii="Times New Roman" w:hAnsi="Times New Roman" w:eastAsia="宋体" w:cs="Times New Roman"/>
                      <w:color w:val="auto"/>
                      <w:szCs w:val="21"/>
                    </w:rPr>
                    <w:t>、颗粒物</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2E1873EB">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环境管理机构</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4B175F72">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连续2天，4次/天</w:t>
                  </w:r>
                </w:p>
              </w:tc>
              <w:tc>
                <w:tcPr>
                  <w:tcW w:w="1006" w:type="pct"/>
                  <w:tcBorders>
                    <w:top w:val="single" w:color="auto" w:sz="4" w:space="0"/>
                    <w:left w:val="single" w:color="auto" w:sz="4" w:space="0"/>
                    <w:bottom w:val="single" w:color="auto" w:sz="4" w:space="0"/>
                    <w:right w:val="single" w:color="auto" w:sz="4" w:space="0"/>
                  </w:tcBorders>
                  <w:noWrap w:val="0"/>
                  <w:vAlign w:val="center"/>
                </w:tcPr>
                <w:p w14:paraId="3A2380EC">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排气筒（DA001）排口</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6387CBDB">
                  <w:pPr>
                    <w:pStyle w:val="116"/>
                    <w:keepNext w:val="0"/>
                    <w:keepLines w:val="0"/>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rPr>
                    <w:t>《锅炉大气污染物排放标准》（GB 13271-2014）</w:t>
                  </w:r>
                </w:p>
              </w:tc>
            </w:tr>
          </w:tbl>
          <w:p w14:paraId="78F48304">
            <w:pPr>
              <w:pStyle w:val="18"/>
              <w:keepNext w:val="0"/>
              <w:keepLines w:val="0"/>
              <w:suppressLineNumbers w:val="0"/>
              <w:spacing w:beforeAutospacing="0" w:afterAutospacing="0" w:line="360" w:lineRule="auto"/>
              <w:ind w:left="0"/>
              <w:jc w:val="left"/>
              <w:rPr>
                <w:rFonts w:hint="default" w:ascii="Times New Roman" w:hAnsi="Times New Roman" w:eastAsia="宋体" w:cs="Times New Roman"/>
                <w:color w:val="auto"/>
                <w:sz w:val="21"/>
                <w:szCs w:val="21"/>
              </w:rPr>
            </w:pPr>
          </w:p>
          <w:p w14:paraId="3D4476E3">
            <w:pPr>
              <w:pStyle w:val="18"/>
              <w:keepNext w:val="0"/>
              <w:keepLines w:val="0"/>
              <w:suppressLineNumbers w:val="0"/>
              <w:spacing w:beforeAutospacing="0" w:afterAutospacing="0" w:line="360" w:lineRule="auto"/>
              <w:ind w:left="0"/>
              <w:jc w:val="left"/>
              <w:rPr>
                <w:rFonts w:hint="default" w:ascii="Times New Roman" w:hAnsi="Times New Roman" w:eastAsia="宋体" w:cs="Times New Roman"/>
                <w:color w:val="auto"/>
                <w:sz w:val="21"/>
                <w:szCs w:val="21"/>
              </w:rPr>
            </w:pPr>
          </w:p>
          <w:p w14:paraId="7249D19D">
            <w:pPr>
              <w:pStyle w:val="18"/>
              <w:keepNext w:val="0"/>
              <w:keepLines w:val="0"/>
              <w:suppressLineNumbers w:val="0"/>
              <w:spacing w:beforeAutospacing="0" w:afterAutospacing="0" w:line="360" w:lineRule="auto"/>
              <w:ind w:left="0"/>
              <w:jc w:val="left"/>
              <w:rPr>
                <w:rFonts w:hint="default" w:ascii="Times New Roman" w:hAnsi="Times New Roman" w:eastAsia="宋体" w:cs="Times New Roman"/>
                <w:color w:val="auto"/>
                <w:sz w:val="21"/>
                <w:szCs w:val="21"/>
              </w:rPr>
            </w:pPr>
          </w:p>
          <w:p w14:paraId="1E085ECF">
            <w:pPr>
              <w:pStyle w:val="18"/>
              <w:keepNext w:val="0"/>
              <w:keepLines w:val="0"/>
              <w:suppressLineNumbers w:val="0"/>
              <w:spacing w:beforeAutospacing="0" w:afterAutospacing="0" w:line="360" w:lineRule="auto"/>
              <w:ind w:left="0"/>
              <w:jc w:val="left"/>
              <w:rPr>
                <w:rFonts w:hint="default" w:ascii="Times New Roman" w:hAnsi="Times New Roman" w:eastAsia="宋体" w:cs="Times New Roman"/>
                <w:color w:val="auto"/>
                <w:sz w:val="21"/>
                <w:szCs w:val="21"/>
              </w:rPr>
            </w:pPr>
          </w:p>
          <w:p w14:paraId="4B72ABE7">
            <w:pPr>
              <w:pStyle w:val="18"/>
              <w:keepNext w:val="0"/>
              <w:keepLines w:val="0"/>
              <w:suppressLineNumbers w:val="0"/>
              <w:spacing w:beforeAutospacing="0" w:afterAutospacing="0" w:line="360" w:lineRule="auto"/>
              <w:ind w:left="0"/>
              <w:jc w:val="left"/>
              <w:rPr>
                <w:rFonts w:hint="default" w:ascii="Times New Roman" w:hAnsi="Times New Roman" w:eastAsia="宋体" w:cs="Times New Roman"/>
                <w:color w:val="auto"/>
                <w:sz w:val="21"/>
                <w:szCs w:val="21"/>
              </w:rPr>
            </w:pPr>
          </w:p>
        </w:tc>
      </w:tr>
    </w:tbl>
    <w:p w14:paraId="5C0DAAFE">
      <w:pPr>
        <w:adjustRightInd w:val="0"/>
        <w:snapToGrid w:val="0"/>
        <w:spacing w:line="360" w:lineRule="auto"/>
        <w:rPr>
          <w:rFonts w:hint="default" w:ascii="Times New Roman" w:hAnsi="Times New Roman" w:eastAsia="宋体" w:cs="Times New Roman"/>
          <w:b/>
          <w:color w:val="auto"/>
          <w:kern w:val="0"/>
          <w:szCs w:val="21"/>
        </w:rPr>
        <w:sectPr>
          <w:pgSz w:w="11907" w:h="16840"/>
          <w:pgMar w:top="1701" w:right="1531" w:bottom="2127" w:left="1531" w:header="851" w:footer="851" w:gutter="0"/>
          <w:cols w:space="720" w:num="1"/>
          <w:docGrid w:linePitch="312" w:charSpace="0"/>
        </w:sectPr>
      </w:pPr>
    </w:p>
    <w:p w14:paraId="272E0906">
      <w:pPr>
        <w:pStyle w:val="33"/>
        <w:adjustRightInd w:val="0"/>
        <w:snapToGrid w:val="0"/>
        <w:spacing w:before="0" w:beforeAutospacing="0" w:after="0" w:afterAutospacing="0"/>
        <w:jc w:val="center"/>
        <w:outlineLvl w:val="0"/>
        <w:rPr>
          <w:rFonts w:hint="default" w:ascii="Times New Roman" w:hAnsi="Times New Roman" w:eastAsia="宋体" w:cs="Times New Roman"/>
          <w:b/>
          <w:bCs/>
          <w:snapToGrid w:val="0"/>
          <w:color w:val="auto"/>
          <w:sz w:val="30"/>
          <w:szCs w:val="30"/>
        </w:rPr>
      </w:pPr>
      <w:bookmarkStart w:id="14" w:name="_Toc3327"/>
      <w:bookmarkStart w:id="15" w:name="_Toc69726041"/>
      <w:r>
        <w:rPr>
          <w:rFonts w:hint="default" w:ascii="Times New Roman" w:hAnsi="Times New Roman" w:eastAsia="宋体" w:cs="Times New Roman"/>
          <w:b/>
          <w:bCs/>
          <w:snapToGrid w:val="0"/>
          <w:color w:val="auto"/>
          <w:sz w:val="30"/>
          <w:szCs w:val="30"/>
        </w:rPr>
        <w:t>五、</w:t>
      </w:r>
      <w:bookmarkStart w:id="16" w:name="_Hlk54167917"/>
      <w:r>
        <w:rPr>
          <w:rFonts w:hint="default" w:ascii="Times New Roman" w:hAnsi="Times New Roman" w:eastAsia="宋体" w:cs="Times New Roman"/>
          <w:b/>
          <w:bCs/>
          <w:snapToGrid w:val="0"/>
          <w:color w:val="auto"/>
          <w:sz w:val="30"/>
          <w:szCs w:val="30"/>
        </w:rPr>
        <w:t>环境保护措施监督检查清单</w:t>
      </w:r>
      <w:bookmarkEnd w:id="14"/>
      <w:bookmarkEnd w:id="15"/>
      <w:bookmarkEnd w:id="16"/>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2029"/>
        <w:gridCol w:w="1483"/>
        <w:gridCol w:w="1352"/>
        <w:gridCol w:w="2160"/>
      </w:tblGrid>
      <w:tr w14:paraId="1DD2D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14:paraId="1978F6EF">
            <w:pPr>
              <w:keepNext w:val="0"/>
              <w:keepLines w:val="0"/>
              <w:suppressLineNumbers w:val="0"/>
              <w:adjustRightInd w:val="0"/>
              <w:snapToGrid w:val="0"/>
              <w:spacing w:before="0" w:beforeAutospacing="0" w:after="0" w:afterAutospacing="0"/>
              <w:ind w:left="0" w:right="0" w:firstLine="84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内容</w:t>
            </w:r>
          </w:p>
          <w:p w14:paraId="567A7CB0">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要素</w:t>
            </w:r>
          </w:p>
        </w:tc>
        <w:tc>
          <w:tcPr>
            <w:tcW w:w="2029" w:type="dxa"/>
            <w:noWrap w:val="0"/>
            <w:vAlign w:val="center"/>
          </w:tcPr>
          <w:p w14:paraId="43D34D4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排放口(编号、名称)/污染源</w:t>
            </w:r>
          </w:p>
        </w:tc>
        <w:tc>
          <w:tcPr>
            <w:tcW w:w="1483" w:type="dxa"/>
            <w:noWrap w:val="0"/>
            <w:vAlign w:val="center"/>
          </w:tcPr>
          <w:p w14:paraId="04F96C4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污染物项目</w:t>
            </w:r>
          </w:p>
        </w:tc>
        <w:tc>
          <w:tcPr>
            <w:tcW w:w="1352" w:type="dxa"/>
            <w:noWrap w:val="0"/>
            <w:vAlign w:val="center"/>
          </w:tcPr>
          <w:p w14:paraId="52EA96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环境保护措施</w:t>
            </w:r>
          </w:p>
        </w:tc>
        <w:tc>
          <w:tcPr>
            <w:tcW w:w="2160" w:type="dxa"/>
            <w:noWrap w:val="0"/>
            <w:vAlign w:val="center"/>
          </w:tcPr>
          <w:p w14:paraId="35B87DB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执行标准</w:t>
            </w:r>
          </w:p>
        </w:tc>
      </w:tr>
      <w:tr w14:paraId="68C2D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14:paraId="11A2B0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大气环境</w:t>
            </w:r>
          </w:p>
        </w:tc>
        <w:tc>
          <w:tcPr>
            <w:tcW w:w="2029" w:type="dxa"/>
            <w:vMerge w:val="restart"/>
            <w:noWrap w:val="0"/>
            <w:vAlign w:val="center"/>
          </w:tcPr>
          <w:p w14:paraId="52248F0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DA001</w:t>
            </w:r>
          </w:p>
        </w:tc>
        <w:tc>
          <w:tcPr>
            <w:tcW w:w="1483" w:type="dxa"/>
            <w:noWrap w:val="0"/>
            <w:vAlign w:val="center"/>
          </w:tcPr>
          <w:p w14:paraId="23CFD0A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kern w:val="0"/>
                <w:sz w:val="24"/>
                <w:szCs w:val="24"/>
              </w:rPr>
              <w:t>烟尘</w:t>
            </w:r>
          </w:p>
        </w:tc>
        <w:tc>
          <w:tcPr>
            <w:tcW w:w="1352" w:type="dxa"/>
            <w:vMerge w:val="restart"/>
            <w:noWrap w:val="0"/>
            <w:vAlign w:val="center"/>
          </w:tcPr>
          <w:p w14:paraId="1496D2E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布袋除尘器</w:t>
            </w:r>
          </w:p>
        </w:tc>
        <w:tc>
          <w:tcPr>
            <w:tcW w:w="2160" w:type="dxa"/>
            <w:vMerge w:val="restart"/>
            <w:noWrap w:val="0"/>
            <w:vAlign w:val="center"/>
          </w:tcPr>
          <w:p w14:paraId="5A10CC7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《锅炉大气污染物排放标准》（GB 13271-2014）</w:t>
            </w:r>
          </w:p>
        </w:tc>
      </w:tr>
      <w:tr w14:paraId="34C6F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2600937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029" w:type="dxa"/>
            <w:vMerge w:val="continue"/>
            <w:noWrap w:val="0"/>
            <w:vAlign w:val="center"/>
          </w:tcPr>
          <w:p w14:paraId="610A0BE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1483" w:type="dxa"/>
            <w:noWrap w:val="0"/>
            <w:vAlign w:val="center"/>
          </w:tcPr>
          <w:p w14:paraId="2E6E41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sz w:val="24"/>
                <w:szCs w:val="24"/>
              </w:rPr>
              <w:t>SO</w:t>
            </w:r>
            <w:r>
              <w:rPr>
                <w:rFonts w:hint="default" w:ascii="Times New Roman" w:hAnsi="Times New Roman" w:eastAsia="宋体" w:cs="Times New Roman"/>
                <w:bCs/>
                <w:color w:val="auto"/>
                <w:sz w:val="24"/>
                <w:szCs w:val="24"/>
                <w:vertAlign w:val="subscript"/>
              </w:rPr>
              <w:t>2</w:t>
            </w:r>
          </w:p>
        </w:tc>
        <w:tc>
          <w:tcPr>
            <w:tcW w:w="1352" w:type="dxa"/>
            <w:vMerge w:val="continue"/>
            <w:noWrap w:val="0"/>
            <w:vAlign w:val="center"/>
          </w:tcPr>
          <w:p w14:paraId="73BD8E2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160" w:type="dxa"/>
            <w:vMerge w:val="continue"/>
            <w:noWrap w:val="0"/>
            <w:vAlign w:val="center"/>
          </w:tcPr>
          <w:p w14:paraId="363384E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r>
      <w:tr w14:paraId="77AC6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3788C24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029" w:type="dxa"/>
            <w:vMerge w:val="continue"/>
            <w:noWrap w:val="0"/>
            <w:vAlign w:val="center"/>
          </w:tcPr>
          <w:p w14:paraId="29111AE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1483" w:type="dxa"/>
            <w:noWrap w:val="0"/>
            <w:vAlign w:val="center"/>
          </w:tcPr>
          <w:p w14:paraId="7F4157C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sz w:val="24"/>
                <w:szCs w:val="24"/>
              </w:rPr>
              <w:t>NO</w:t>
            </w:r>
            <w:r>
              <w:rPr>
                <w:rFonts w:hint="default" w:ascii="Times New Roman" w:hAnsi="Times New Roman" w:eastAsia="宋体" w:cs="Times New Roman"/>
                <w:bCs/>
                <w:color w:val="auto"/>
                <w:sz w:val="24"/>
                <w:szCs w:val="24"/>
                <w:vertAlign w:val="subscript"/>
              </w:rPr>
              <w:t>X</w:t>
            </w:r>
          </w:p>
        </w:tc>
        <w:tc>
          <w:tcPr>
            <w:tcW w:w="1352" w:type="dxa"/>
            <w:vMerge w:val="continue"/>
            <w:noWrap w:val="0"/>
            <w:vAlign w:val="center"/>
          </w:tcPr>
          <w:p w14:paraId="2A822DA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160" w:type="dxa"/>
            <w:vMerge w:val="continue"/>
            <w:noWrap w:val="0"/>
            <w:vAlign w:val="center"/>
          </w:tcPr>
          <w:p w14:paraId="30AA1E1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r>
      <w:tr w14:paraId="601B6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52C7DCC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029" w:type="dxa"/>
            <w:vMerge w:val="continue"/>
            <w:noWrap w:val="0"/>
            <w:vAlign w:val="center"/>
          </w:tcPr>
          <w:p w14:paraId="0699596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1483" w:type="dxa"/>
            <w:noWrap w:val="0"/>
            <w:vAlign w:val="center"/>
          </w:tcPr>
          <w:p w14:paraId="1F6592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汞及其化合物</w:t>
            </w:r>
          </w:p>
        </w:tc>
        <w:tc>
          <w:tcPr>
            <w:tcW w:w="1352" w:type="dxa"/>
            <w:vMerge w:val="continue"/>
            <w:noWrap w:val="0"/>
            <w:vAlign w:val="center"/>
          </w:tcPr>
          <w:p w14:paraId="7F66013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160" w:type="dxa"/>
            <w:vMerge w:val="continue"/>
            <w:noWrap w:val="0"/>
            <w:vAlign w:val="center"/>
          </w:tcPr>
          <w:p w14:paraId="68E2F7F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r>
      <w:tr w14:paraId="709AD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46FDF8C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029" w:type="dxa"/>
            <w:vMerge w:val="continue"/>
            <w:noWrap w:val="0"/>
            <w:vAlign w:val="center"/>
          </w:tcPr>
          <w:p w14:paraId="7FC1DC3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1483" w:type="dxa"/>
            <w:noWrap w:val="0"/>
            <w:vAlign w:val="center"/>
          </w:tcPr>
          <w:p w14:paraId="6F930B6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sz w:val="24"/>
                <w:szCs w:val="24"/>
              </w:rPr>
              <w:t>烟气黑度</w:t>
            </w:r>
          </w:p>
        </w:tc>
        <w:tc>
          <w:tcPr>
            <w:tcW w:w="1352" w:type="dxa"/>
            <w:vMerge w:val="continue"/>
            <w:noWrap w:val="0"/>
            <w:vAlign w:val="center"/>
          </w:tcPr>
          <w:p w14:paraId="36B3218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160" w:type="dxa"/>
            <w:vMerge w:val="continue"/>
            <w:noWrap w:val="0"/>
            <w:vAlign w:val="center"/>
          </w:tcPr>
          <w:p w14:paraId="77A2F99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r>
      <w:tr w14:paraId="4F3F8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14:paraId="593E408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地表水环境</w:t>
            </w:r>
          </w:p>
        </w:tc>
        <w:tc>
          <w:tcPr>
            <w:tcW w:w="2029" w:type="dxa"/>
            <w:noWrap w:val="0"/>
            <w:vAlign w:val="center"/>
          </w:tcPr>
          <w:p w14:paraId="527AC5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锅炉清净下水</w:t>
            </w:r>
          </w:p>
        </w:tc>
        <w:tc>
          <w:tcPr>
            <w:tcW w:w="1483" w:type="dxa"/>
            <w:noWrap w:val="0"/>
            <w:vAlign w:val="center"/>
          </w:tcPr>
          <w:p w14:paraId="7577F71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pH、CODcr、BOD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、SS、氨氮、总磷</w:t>
            </w:r>
          </w:p>
        </w:tc>
        <w:tc>
          <w:tcPr>
            <w:tcW w:w="1352" w:type="dxa"/>
            <w:vMerge w:val="restart"/>
            <w:noWrap w:val="0"/>
            <w:vAlign w:val="center"/>
          </w:tcPr>
          <w:p w14:paraId="4BE31D8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厂区综合污水处理站</w:t>
            </w:r>
          </w:p>
        </w:tc>
        <w:tc>
          <w:tcPr>
            <w:tcW w:w="2160" w:type="dxa"/>
            <w:vMerge w:val="restart"/>
            <w:noWrap w:val="0"/>
            <w:vAlign w:val="center"/>
          </w:tcPr>
          <w:p w14:paraId="4D001A9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《城镇污水处理厂污染物排放标准》（GB18918-2002）一级A标准</w:t>
            </w:r>
          </w:p>
        </w:tc>
      </w:tr>
      <w:tr w14:paraId="4A9B2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0341B00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029" w:type="dxa"/>
            <w:noWrap w:val="0"/>
            <w:vAlign w:val="center"/>
          </w:tcPr>
          <w:p w14:paraId="49C7779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软水站废</w:t>
            </w:r>
            <w:r>
              <w:rPr>
                <w:rFonts w:hint="default" w:ascii="Times New Roman" w:hAnsi="Times New Roman" w:eastAsia="宋体" w:cs="Times New Roman"/>
                <w:color w:val="auto"/>
                <w:sz w:val="24"/>
                <w:szCs w:val="24"/>
              </w:rPr>
              <w:t>水</w:t>
            </w:r>
          </w:p>
        </w:tc>
        <w:tc>
          <w:tcPr>
            <w:tcW w:w="1483" w:type="dxa"/>
            <w:noWrap w:val="0"/>
            <w:vAlign w:val="center"/>
          </w:tcPr>
          <w:p w14:paraId="386E49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pH</w:t>
            </w:r>
          </w:p>
        </w:tc>
        <w:tc>
          <w:tcPr>
            <w:tcW w:w="1352" w:type="dxa"/>
            <w:vMerge w:val="continue"/>
            <w:noWrap w:val="0"/>
            <w:vAlign w:val="center"/>
          </w:tcPr>
          <w:p w14:paraId="1DA9720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rPr>
            </w:pPr>
          </w:p>
        </w:tc>
        <w:tc>
          <w:tcPr>
            <w:tcW w:w="2160" w:type="dxa"/>
            <w:vMerge w:val="continue"/>
            <w:noWrap w:val="0"/>
            <w:vAlign w:val="center"/>
          </w:tcPr>
          <w:p w14:paraId="40CCC88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rPr>
            </w:pPr>
          </w:p>
        </w:tc>
      </w:tr>
      <w:tr w14:paraId="756DB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14:paraId="6F06878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声环境</w:t>
            </w:r>
          </w:p>
        </w:tc>
        <w:tc>
          <w:tcPr>
            <w:tcW w:w="2029" w:type="dxa"/>
            <w:noWrap w:val="0"/>
            <w:vAlign w:val="center"/>
          </w:tcPr>
          <w:p w14:paraId="269B02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风机、水泵、空压机等</w:t>
            </w:r>
          </w:p>
        </w:tc>
        <w:tc>
          <w:tcPr>
            <w:tcW w:w="1483" w:type="dxa"/>
            <w:noWrap w:val="0"/>
            <w:vAlign w:val="center"/>
          </w:tcPr>
          <w:p w14:paraId="4C0EAA3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等效连续A声级</w:t>
            </w:r>
          </w:p>
        </w:tc>
        <w:tc>
          <w:tcPr>
            <w:tcW w:w="1352" w:type="dxa"/>
            <w:noWrap w:val="0"/>
            <w:vAlign w:val="center"/>
          </w:tcPr>
          <w:p w14:paraId="0D46047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厂房隔音</w:t>
            </w:r>
          </w:p>
        </w:tc>
        <w:tc>
          <w:tcPr>
            <w:tcW w:w="2160" w:type="dxa"/>
            <w:noWrap w:val="0"/>
            <w:vAlign w:val="center"/>
          </w:tcPr>
          <w:p w14:paraId="49C34AE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《工业企业厂界环境噪声排放标准》（GB12348-2008）2类标准</w:t>
            </w:r>
          </w:p>
        </w:tc>
      </w:tr>
      <w:tr w14:paraId="22E65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14:paraId="71DFA49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电磁辐射</w:t>
            </w:r>
          </w:p>
        </w:tc>
        <w:tc>
          <w:tcPr>
            <w:tcW w:w="2029" w:type="dxa"/>
            <w:noWrap w:val="0"/>
            <w:vAlign w:val="center"/>
          </w:tcPr>
          <w:p w14:paraId="1355BD6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83" w:type="dxa"/>
            <w:noWrap w:val="0"/>
            <w:vAlign w:val="center"/>
          </w:tcPr>
          <w:p w14:paraId="046E66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52" w:type="dxa"/>
            <w:noWrap w:val="0"/>
            <w:vAlign w:val="center"/>
          </w:tcPr>
          <w:p w14:paraId="72C569D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2160" w:type="dxa"/>
            <w:noWrap w:val="0"/>
            <w:vAlign w:val="center"/>
          </w:tcPr>
          <w:p w14:paraId="1BB4792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14:paraId="78DB7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78" w:type="dxa"/>
            <w:vMerge w:val="restart"/>
            <w:noWrap w:val="0"/>
            <w:vAlign w:val="center"/>
          </w:tcPr>
          <w:p w14:paraId="714A301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固体废物</w:t>
            </w:r>
          </w:p>
        </w:tc>
        <w:tc>
          <w:tcPr>
            <w:tcW w:w="2029" w:type="dxa"/>
            <w:vMerge w:val="restart"/>
            <w:noWrap w:val="0"/>
            <w:vAlign w:val="center"/>
          </w:tcPr>
          <w:p w14:paraId="5F11CE1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一般固废</w:t>
            </w:r>
          </w:p>
        </w:tc>
        <w:tc>
          <w:tcPr>
            <w:tcW w:w="1483" w:type="dxa"/>
            <w:noWrap w:val="0"/>
            <w:vAlign w:val="center"/>
          </w:tcPr>
          <w:p w14:paraId="57E54D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锅炉灰渣、除尘灰</w:t>
            </w:r>
          </w:p>
        </w:tc>
        <w:tc>
          <w:tcPr>
            <w:tcW w:w="1352" w:type="dxa"/>
            <w:vMerge w:val="restart"/>
            <w:noWrap w:val="0"/>
            <w:vAlign w:val="center"/>
          </w:tcPr>
          <w:p w14:paraId="7EBCD8D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外售给华宁万象再生资源有限公司利用</w:t>
            </w:r>
          </w:p>
        </w:tc>
        <w:tc>
          <w:tcPr>
            <w:tcW w:w="2160" w:type="dxa"/>
            <w:noWrap w:val="0"/>
            <w:vAlign w:val="center"/>
          </w:tcPr>
          <w:p w14:paraId="2D261DD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14:paraId="50888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8" w:type="dxa"/>
            <w:vMerge w:val="continue"/>
            <w:noWrap w:val="0"/>
            <w:vAlign w:val="center"/>
          </w:tcPr>
          <w:p w14:paraId="7F8899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029" w:type="dxa"/>
            <w:vMerge w:val="continue"/>
            <w:noWrap w:val="0"/>
            <w:vAlign w:val="center"/>
          </w:tcPr>
          <w:p w14:paraId="6F9CC77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1483" w:type="dxa"/>
            <w:noWrap w:val="0"/>
            <w:vAlign w:val="center"/>
          </w:tcPr>
          <w:p w14:paraId="407648D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废离子交换树脂</w:t>
            </w:r>
          </w:p>
        </w:tc>
        <w:tc>
          <w:tcPr>
            <w:tcW w:w="1352" w:type="dxa"/>
            <w:vMerge w:val="continue"/>
            <w:noWrap w:val="0"/>
            <w:vAlign w:val="center"/>
          </w:tcPr>
          <w:p w14:paraId="204C558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rPr>
            </w:pPr>
          </w:p>
        </w:tc>
        <w:tc>
          <w:tcPr>
            <w:tcW w:w="2160" w:type="dxa"/>
            <w:noWrap w:val="0"/>
            <w:vAlign w:val="center"/>
          </w:tcPr>
          <w:p w14:paraId="7ED3819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p>
        </w:tc>
      </w:tr>
      <w:tr w14:paraId="73B0E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53B0F70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土壤及地下水</w:t>
            </w:r>
          </w:p>
          <w:p w14:paraId="74D018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污染防治措施</w:t>
            </w:r>
          </w:p>
        </w:tc>
        <w:tc>
          <w:tcPr>
            <w:tcW w:w="7024" w:type="dxa"/>
            <w:gridSpan w:val="4"/>
            <w:noWrap w:val="0"/>
            <w:vAlign w:val="center"/>
          </w:tcPr>
          <w:p w14:paraId="22884A1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14:paraId="7533D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21B05E0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生态保护措施</w:t>
            </w:r>
          </w:p>
        </w:tc>
        <w:tc>
          <w:tcPr>
            <w:tcW w:w="7024" w:type="dxa"/>
            <w:gridSpan w:val="4"/>
            <w:noWrap w:val="0"/>
            <w:vAlign w:val="center"/>
          </w:tcPr>
          <w:p w14:paraId="0F35E96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14:paraId="2BDE1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78" w:type="dxa"/>
            <w:noWrap w:val="0"/>
            <w:vAlign w:val="center"/>
          </w:tcPr>
          <w:p w14:paraId="5444F36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8"/>
                <w:sz w:val="24"/>
                <w:szCs w:val="24"/>
              </w:rPr>
            </w:pPr>
            <w:r>
              <w:rPr>
                <w:rFonts w:hint="default" w:ascii="Times New Roman" w:hAnsi="Times New Roman" w:eastAsia="宋体" w:cs="Times New Roman"/>
                <w:color w:val="auto"/>
                <w:spacing w:val="-8"/>
                <w:sz w:val="24"/>
                <w:szCs w:val="24"/>
              </w:rPr>
              <w:t>环境风险</w:t>
            </w:r>
          </w:p>
          <w:p w14:paraId="43B347C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8"/>
                <w:sz w:val="24"/>
                <w:szCs w:val="24"/>
              </w:rPr>
            </w:pPr>
            <w:r>
              <w:rPr>
                <w:rFonts w:hint="default" w:ascii="Times New Roman" w:hAnsi="Times New Roman" w:eastAsia="宋体" w:cs="Times New Roman"/>
                <w:color w:val="auto"/>
                <w:spacing w:val="-8"/>
                <w:sz w:val="24"/>
                <w:szCs w:val="24"/>
              </w:rPr>
              <w:t>防范措施</w:t>
            </w:r>
          </w:p>
        </w:tc>
        <w:tc>
          <w:tcPr>
            <w:tcW w:w="7024" w:type="dxa"/>
            <w:gridSpan w:val="4"/>
            <w:noWrap w:val="0"/>
            <w:vAlign w:val="center"/>
          </w:tcPr>
          <w:p w14:paraId="233CC6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为把风险事故的发生和影响降到最低限度，针对项目的生产特点，特别应注意以下几点：加强职工安全环保教育，增强操作工人的责任心，防止和减少因人为因素造成的事故，同时也要加强防火安全教育；应配备必需的消防设施，落实安全管理责任。</w:t>
            </w:r>
          </w:p>
          <w:p w14:paraId="4B1159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2）制定和落实防火安全责任制及消防安全规章制度，除加强对员工的消防知识培训，对消防安全责任人及员工也定期进行消防知识培训，消防安全管理人员持证上岗。</w:t>
            </w:r>
          </w:p>
          <w:p w14:paraId="2FEF75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3）堆放的生物质燃料量要严格控制，不得存放过多。</w:t>
            </w:r>
          </w:p>
          <w:p w14:paraId="2570D40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color w:val="auto"/>
                <w:sz w:val="24"/>
                <w:szCs w:val="24"/>
              </w:rPr>
              <w:t>4）综合考虑本项目废气治理设施发生故障的可能性及事故的类型，建设单位应定期对废气处置设施进行检修，并形成制度。安排环保专员对废气处置设施进行管理，设备检修过程或设施维护过程应暂时停止生产，防治因维护检修造成废气排入空气环境造成污染。</w:t>
            </w:r>
          </w:p>
        </w:tc>
      </w:tr>
      <w:tr w14:paraId="2098C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14:paraId="26CCF5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8"/>
                <w:sz w:val="24"/>
                <w:szCs w:val="24"/>
              </w:rPr>
            </w:pPr>
            <w:r>
              <w:rPr>
                <w:rFonts w:hint="default" w:ascii="Times New Roman" w:hAnsi="Times New Roman" w:eastAsia="宋体" w:cs="Times New Roman"/>
                <w:color w:val="auto"/>
                <w:spacing w:val="-8"/>
                <w:sz w:val="24"/>
                <w:szCs w:val="24"/>
              </w:rPr>
              <w:t>其他环境</w:t>
            </w:r>
          </w:p>
          <w:p w14:paraId="7DC7106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8"/>
                <w:sz w:val="24"/>
                <w:szCs w:val="24"/>
              </w:rPr>
            </w:pPr>
            <w:r>
              <w:rPr>
                <w:rFonts w:hint="default" w:ascii="Times New Roman" w:hAnsi="Times New Roman" w:eastAsia="宋体" w:cs="Times New Roman"/>
                <w:color w:val="auto"/>
                <w:spacing w:val="-8"/>
                <w:sz w:val="24"/>
                <w:szCs w:val="24"/>
              </w:rPr>
              <w:t>管理要求</w:t>
            </w:r>
          </w:p>
        </w:tc>
        <w:tc>
          <w:tcPr>
            <w:tcW w:w="7024" w:type="dxa"/>
            <w:gridSpan w:val="4"/>
            <w:noWrap w:val="0"/>
            <w:vAlign w:val="center"/>
          </w:tcPr>
          <w:p w14:paraId="6464893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①加强对</w:t>
            </w:r>
            <w:r>
              <w:rPr>
                <w:rFonts w:hint="default" w:ascii="Times New Roman" w:hAnsi="Times New Roman" w:eastAsia="宋体" w:cs="Times New Roman"/>
                <w:color w:val="auto"/>
                <w:sz w:val="24"/>
                <w:szCs w:val="24"/>
                <w:lang w:val="en-US" w:eastAsia="zh-CN"/>
              </w:rPr>
              <w:t>布袋除尘器</w:t>
            </w:r>
            <w:r>
              <w:rPr>
                <w:rFonts w:hint="default" w:ascii="Times New Roman" w:hAnsi="Times New Roman" w:eastAsia="宋体" w:cs="Times New Roman"/>
                <w:color w:val="auto"/>
                <w:sz w:val="24"/>
                <w:szCs w:val="24"/>
              </w:rPr>
              <w:t>的运行监督管理，确保环保设施正常运行和连续达标排放；</w:t>
            </w:r>
          </w:p>
          <w:p w14:paraId="4E9B9D9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②建立企业完善的环保设施运行、维护、维修等技术档案，对环保设备实施定期检修；</w:t>
            </w:r>
          </w:p>
          <w:p w14:paraId="11DAC51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③加强环保人员的技术培训和考核，提高其环保意识和专业技术水平；</w:t>
            </w:r>
          </w:p>
          <w:p w14:paraId="5D6F0B0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④建立环保管理制度并上墙公示。</w:t>
            </w:r>
          </w:p>
          <w:p w14:paraId="49AFE54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⑤《云南李好纸业有限公司锅炉治理项目环境影响报告表》自本批复之日（2023年12月5日）起超过5年开工建设的，环境影响评价文件应当报我局重新审核。</w:t>
            </w:r>
          </w:p>
          <w:p w14:paraId="7748F88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19FDACD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568C6D3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687218C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70C5AED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0AE9BF68">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0C2AA1CA">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1F2238F5">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30DCA938">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69435D6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4D3D71B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60E68D26">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40F9A58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13931DC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2E6DEFE5">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627AE90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17AFC1B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0C529959">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1DF51EF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3544DAE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p w14:paraId="4FD010A8">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4"/>
                <w:szCs w:val="24"/>
              </w:rPr>
            </w:pPr>
          </w:p>
        </w:tc>
      </w:tr>
    </w:tbl>
    <w:p w14:paraId="6F179CC2">
      <w:pPr>
        <w:pStyle w:val="33"/>
        <w:adjustRightInd w:val="0"/>
        <w:snapToGrid w:val="0"/>
        <w:spacing w:before="0" w:beforeAutospacing="0" w:after="0" w:afterAutospacing="0"/>
        <w:jc w:val="center"/>
        <w:outlineLvl w:val="0"/>
        <w:rPr>
          <w:rFonts w:hint="default" w:ascii="Times New Roman" w:hAnsi="Times New Roman" w:eastAsia="宋体" w:cs="Times New Roman"/>
          <w:b/>
          <w:bCs/>
          <w:snapToGrid w:val="0"/>
          <w:color w:val="auto"/>
          <w:sz w:val="21"/>
          <w:szCs w:val="21"/>
        </w:rPr>
      </w:pPr>
      <w:r>
        <w:rPr>
          <w:rFonts w:hint="default" w:ascii="Times New Roman" w:hAnsi="Times New Roman" w:eastAsia="宋体" w:cs="Times New Roman"/>
          <w:snapToGrid w:val="0"/>
          <w:color w:val="auto"/>
          <w:sz w:val="21"/>
          <w:szCs w:val="21"/>
        </w:rPr>
        <w:br w:type="page"/>
      </w:r>
      <w:bookmarkStart w:id="17" w:name="_Toc69726042"/>
      <w:bookmarkStart w:id="18" w:name="_Toc32323"/>
      <w:r>
        <w:rPr>
          <w:rFonts w:hint="default" w:ascii="Times New Roman" w:hAnsi="Times New Roman" w:eastAsia="宋体" w:cs="Times New Roman"/>
          <w:b/>
          <w:bCs/>
          <w:snapToGrid w:val="0"/>
          <w:color w:val="auto"/>
          <w:sz w:val="30"/>
          <w:szCs w:val="30"/>
        </w:rPr>
        <w:t>六、结论</w:t>
      </w:r>
      <w:bookmarkEnd w:id="17"/>
      <w:bookmarkEnd w:id="18"/>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B86F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31F1E6B3">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项目建设符合国家产业政策，选址合理。项目施工期和运营期排放的污染物处理处置措施可靠。污染物排放符合达标排放及总量控制原则，对环境影响较小。</w:t>
            </w:r>
          </w:p>
          <w:p w14:paraId="401DD846">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综上所述，评价认为在严格按照“三同时”要求，严格落实各项污染物处理处置措施的条件下，项目建设符合我国社会、经济、环境保护协调发展方针，符合评价原则，从环境保护的角度分析，项目的建设是可行的。</w:t>
            </w:r>
          </w:p>
          <w:p w14:paraId="6641567B">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08803FFF">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618A3D04">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23647101">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3AEE9C0E">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6D5FA4A4">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12280664">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18104C7D">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1E798BC7">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3EF802D1">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41F0C0AF">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5E158186">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1EE36E47">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45C18677">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6C4BC1FE">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30C05EEE">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312F4BE4">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46EC276B">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50987A6F">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2211FDA0">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43F56783">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7761A80C">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7D7C0A47">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22CB0F86">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7D3AB95E">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0407D162">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20948007">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0A9F8AA9">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1FD71AE7">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6B26F857">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7F96490C">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2E18508F">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28F1B185">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7081BA1A">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color w:val="auto"/>
                <w:kern w:val="0"/>
                <w:szCs w:val="21"/>
              </w:rPr>
            </w:pPr>
          </w:p>
          <w:p w14:paraId="1715043B">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p w14:paraId="402B3544">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p w14:paraId="108EE2FC">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p w14:paraId="68A6CB2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kern w:val="0"/>
                <w:szCs w:val="21"/>
              </w:rPr>
            </w:pPr>
          </w:p>
        </w:tc>
      </w:tr>
    </w:tbl>
    <w:p w14:paraId="3764D349">
      <w:pPr>
        <w:rPr>
          <w:rFonts w:hint="default" w:ascii="Times New Roman" w:hAnsi="Times New Roman" w:eastAsia="宋体" w:cs="Times New Roman"/>
          <w:color w:val="auto"/>
          <w:szCs w:val="21"/>
        </w:rPr>
        <w:sectPr>
          <w:pgSz w:w="11906" w:h="16838"/>
          <w:pgMar w:top="1701" w:right="1531" w:bottom="1701" w:left="1531" w:header="851" w:footer="851" w:gutter="0"/>
          <w:cols w:space="720" w:num="1"/>
          <w:docGrid w:linePitch="312" w:charSpace="0"/>
        </w:sectPr>
      </w:pPr>
    </w:p>
    <w:p w14:paraId="25A1C8E4">
      <w:pPr>
        <w:pStyle w:val="33"/>
        <w:adjustRightInd w:val="0"/>
        <w:snapToGrid w:val="0"/>
        <w:spacing w:before="0" w:beforeAutospacing="0" w:after="0" w:afterAutospacing="0"/>
        <w:jc w:val="both"/>
        <w:outlineLvl w:val="0"/>
        <w:rPr>
          <w:rFonts w:hint="default" w:ascii="Times New Roman" w:hAnsi="Times New Roman" w:eastAsia="宋体" w:cs="Times New Roman"/>
          <w:b/>
          <w:bCs/>
          <w:snapToGrid w:val="0"/>
          <w:color w:val="auto"/>
          <w:sz w:val="30"/>
          <w:szCs w:val="30"/>
        </w:rPr>
      </w:pPr>
      <w:bookmarkStart w:id="19" w:name="_Toc26046"/>
      <w:bookmarkStart w:id="20" w:name="_Toc69726043"/>
      <w:r>
        <w:rPr>
          <w:rFonts w:hint="default" w:ascii="Times New Roman" w:hAnsi="Times New Roman" w:eastAsia="宋体" w:cs="Times New Roman"/>
          <w:b/>
          <w:bCs/>
          <w:snapToGrid w:val="0"/>
          <w:color w:val="auto"/>
          <w:sz w:val="30"/>
          <w:szCs w:val="30"/>
        </w:rPr>
        <w:t>附表</w:t>
      </w:r>
      <w:bookmarkEnd w:id="19"/>
      <w:bookmarkEnd w:id="20"/>
    </w:p>
    <w:p w14:paraId="6B8B6D1F">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val="0"/>
          <w:color w:val="auto"/>
          <w:sz w:val="24"/>
          <w:szCs w:val="24"/>
        </w:rPr>
      </w:pPr>
      <w:bookmarkStart w:id="21" w:name="_Toc8871"/>
      <w:bookmarkStart w:id="22" w:name="_Toc69726044"/>
      <w:r>
        <w:rPr>
          <w:rFonts w:hint="default" w:ascii="Times New Roman" w:hAnsi="Times New Roman" w:eastAsia="宋体" w:cs="Times New Roman"/>
          <w:b/>
          <w:bCs/>
          <w:snapToGrid w:val="0"/>
          <w:color w:val="auto"/>
          <w:sz w:val="24"/>
          <w:szCs w:val="24"/>
        </w:rPr>
        <w:t>建设项目污染物排放量汇总表</w:t>
      </w:r>
      <w:bookmarkEnd w:id="21"/>
      <w:bookmarkEnd w:id="22"/>
    </w:p>
    <w:tbl>
      <w:tblPr>
        <w:tblStyle w:val="3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590"/>
        <w:gridCol w:w="1701"/>
        <w:gridCol w:w="1276"/>
        <w:gridCol w:w="1701"/>
        <w:gridCol w:w="1559"/>
        <w:gridCol w:w="1761"/>
        <w:gridCol w:w="1641"/>
        <w:gridCol w:w="1144"/>
      </w:tblGrid>
      <w:tr w14:paraId="68B2E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5" w:type="dxa"/>
            <w:tcBorders>
              <w:tl2br w:val="single" w:color="auto" w:sz="4" w:space="0"/>
            </w:tcBorders>
            <w:noWrap w:val="0"/>
            <w:tcMar>
              <w:left w:w="28" w:type="dxa"/>
              <w:right w:w="28" w:type="dxa"/>
            </w:tcMar>
            <w:vAlign w:val="center"/>
          </w:tcPr>
          <w:p w14:paraId="7349C4AF">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 xml:space="preserve">       项目</w:t>
            </w:r>
          </w:p>
          <w:p w14:paraId="35404284">
            <w:pPr>
              <w:pStyle w:val="83"/>
              <w:keepNext w:val="0"/>
              <w:keepLines w:val="0"/>
              <w:suppressLineNumbers w:val="0"/>
              <w:spacing w:before="0" w:beforeLines="0" w:beforeAutospacing="0" w:after="0" w:afterLines="0" w:afterAutospacing="0" w:line="240" w:lineRule="auto"/>
              <w:ind w:left="0" w:right="0"/>
              <w:jc w:val="both"/>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分类</w:t>
            </w:r>
          </w:p>
        </w:tc>
        <w:tc>
          <w:tcPr>
            <w:tcW w:w="1590" w:type="dxa"/>
            <w:noWrap w:val="0"/>
            <w:tcMar>
              <w:left w:w="28" w:type="dxa"/>
              <w:right w:w="28" w:type="dxa"/>
            </w:tcMar>
            <w:vAlign w:val="center"/>
          </w:tcPr>
          <w:p w14:paraId="16A48284">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污染物名称</w:t>
            </w:r>
          </w:p>
        </w:tc>
        <w:tc>
          <w:tcPr>
            <w:tcW w:w="1701" w:type="dxa"/>
            <w:noWrap w:val="0"/>
            <w:tcMar>
              <w:left w:w="28" w:type="dxa"/>
              <w:right w:w="28" w:type="dxa"/>
            </w:tcMar>
            <w:vAlign w:val="center"/>
          </w:tcPr>
          <w:p w14:paraId="5CE593F1">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现有工程</w:t>
            </w:r>
          </w:p>
          <w:p w14:paraId="54F66880">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排放量（固体废物产生量）</w:t>
            </w:r>
            <w:r>
              <w:rPr>
                <w:rFonts w:hint="default" w:ascii="Times New Roman" w:hAnsi="Times New Roman" w:eastAsia="宋体" w:cs="Times New Roman"/>
                <w:b/>
                <w:bCs/>
                <w:snapToGrid w:val="0"/>
                <w:color w:val="auto"/>
                <w:spacing w:val="-6"/>
                <w:kern w:val="21"/>
                <w:szCs w:val="21"/>
              </w:rPr>
              <w:fldChar w:fldCharType="begin"/>
            </w:r>
            <w:r>
              <w:rPr>
                <w:rFonts w:hint="default" w:ascii="Times New Roman" w:hAnsi="Times New Roman" w:eastAsia="宋体" w:cs="Times New Roman"/>
                <w:b/>
                <w:bCs/>
                <w:snapToGrid w:val="0"/>
                <w:color w:val="auto"/>
                <w:spacing w:val="-6"/>
                <w:kern w:val="21"/>
                <w:szCs w:val="21"/>
              </w:rPr>
              <w:instrText xml:space="preserve"> = 1 \* GB3 \* MERGEFORMAT </w:instrText>
            </w:r>
            <w:r>
              <w:rPr>
                <w:rFonts w:hint="default" w:ascii="Times New Roman" w:hAnsi="Times New Roman" w:eastAsia="宋体" w:cs="Times New Roman"/>
                <w:b/>
                <w:bCs/>
                <w:snapToGrid w:val="0"/>
                <w:color w:val="auto"/>
                <w:spacing w:val="-6"/>
                <w:kern w:val="21"/>
                <w:szCs w:val="21"/>
              </w:rPr>
              <w:fldChar w:fldCharType="separate"/>
            </w:r>
            <w:r>
              <w:rPr>
                <w:rFonts w:hint="default" w:ascii="Times New Roman" w:hAnsi="Times New Roman" w:eastAsia="宋体" w:cs="Times New Roman"/>
                <w:b/>
                <w:bCs/>
                <w:color w:val="auto"/>
                <w:kern w:val="2"/>
                <w:szCs w:val="21"/>
              </w:rPr>
              <w:t>①</w:t>
            </w:r>
            <w:r>
              <w:rPr>
                <w:rFonts w:hint="default" w:ascii="Times New Roman" w:hAnsi="Times New Roman" w:eastAsia="宋体" w:cs="Times New Roman"/>
                <w:b/>
                <w:bCs/>
                <w:snapToGrid w:val="0"/>
                <w:color w:val="auto"/>
                <w:spacing w:val="-6"/>
                <w:kern w:val="21"/>
                <w:szCs w:val="21"/>
              </w:rPr>
              <w:fldChar w:fldCharType="end"/>
            </w:r>
          </w:p>
        </w:tc>
        <w:tc>
          <w:tcPr>
            <w:tcW w:w="1276" w:type="dxa"/>
            <w:noWrap w:val="0"/>
            <w:tcMar>
              <w:left w:w="28" w:type="dxa"/>
              <w:right w:w="28" w:type="dxa"/>
            </w:tcMar>
            <w:vAlign w:val="center"/>
          </w:tcPr>
          <w:p w14:paraId="41884447">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现有工程</w:t>
            </w:r>
          </w:p>
          <w:p w14:paraId="2985C847">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许可排放量</w:t>
            </w:r>
          </w:p>
          <w:p w14:paraId="2C9183FC">
            <w:pPr>
              <w:pStyle w:val="83"/>
              <w:keepNext w:val="0"/>
              <w:keepLines w:val="0"/>
              <w:suppressLineNumbers w:val="0"/>
              <w:spacing w:before="0" w:beforeLines="0" w:beforeAutospacing="0" w:after="0" w:afterLines="0" w:afterAutospacing="0"/>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fldChar w:fldCharType="begin"/>
            </w:r>
            <w:r>
              <w:rPr>
                <w:rFonts w:hint="default" w:ascii="Times New Roman" w:hAnsi="Times New Roman" w:eastAsia="宋体" w:cs="Times New Roman"/>
                <w:b/>
                <w:bCs/>
                <w:snapToGrid w:val="0"/>
                <w:color w:val="auto"/>
                <w:spacing w:val="-6"/>
                <w:kern w:val="21"/>
                <w:szCs w:val="21"/>
              </w:rPr>
              <w:instrText xml:space="preserve"> = 2 \* GB3 \* MERGEFORMAT </w:instrText>
            </w:r>
            <w:r>
              <w:rPr>
                <w:rFonts w:hint="default" w:ascii="Times New Roman" w:hAnsi="Times New Roman" w:eastAsia="宋体" w:cs="Times New Roman"/>
                <w:b/>
                <w:bCs/>
                <w:snapToGrid w:val="0"/>
                <w:color w:val="auto"/>
                <w:spacing w:val="-6"/>
                <w:kern w:val="21"/>
                <w:szCs w:val="21"/>
              </w:rPr>
              <w:fldChar w:fldCharType="separate"/>
            </w:r>
            <w:r>
              <w:rPr>
                <w:rFonts w:hint="default" w:ascii="Times New Roman" w:hAnsi="Times New Roman" w:eastAsia="宋体" w:cs="Times New Roman"/>
                <w:b/>
                <w:bCs/>
                <w:snapToGrid w:val="0"/>
                <w:color w:val="auto"/>
                <w:spacing w:val="-6"/>
                <w:kern w:val="21"/>
                <w:szCs w:val="21"/>
              </w:rPr>
              <w:t>②</w:t>
            </w:r>
            <w:r>
              <w:rPr>
                <w:rFonts w:hint="default" w:ascii="Times New Roman" w:hAnsi="Times New Roman" w:eastAsia="宋体" w:cs="Times New Roman"/>
                <w:b/>
                <w:bCs/>
                <w:snapToGrid w:val="0"/>
                <w:color w:val="auto"/>
                <w:spacing w:val="-6"/>
                <w:kern w:val="21"/>
                <w:szCs w:val="21"/>
              </w:rPr>
              <w:fldChar w:fldCharType="end"/>
            </w:r>
          </w:p>
        </w:tc>
        <w:tc>
          <w:tcPr>
            <w:tcW w:w="1701" w:type="dxa"/>
            <w:noWrap w:val="0"/>
            <w:tcMar>
              <w:left w:w="28" w:type="dxa"/>
              <w:right w:w="28" w:type="dxa"/>
            </w:tcMar>
            <w:vAlign w:val="center"/>
          </w:tcPr>
          <w:p w14:paraId="5847E1B1">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在建工程</w:t>
            </w:r>
          </w:p>
          <w:p w14:paraId="77AC6307">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排放量（固体废物产生量）</w:t>
            </w:r>
            <w:r>
              <w:rPr>
                <w:rFonts w:hint="default" w:ascii="Times New Roman" w:hAnsi="Times New Roman" w:eastAsia="宋体" w:cs="Times New Roman"/>
                <w:b/>
                <w:bCs/>
                <w:snapToGrid w:val="0"/>
                <w:color w:val="auto"/>
                <w:spacing w:val="-6"/>
                <w:kern w:val="21"/>
                <w:szCs w:val="21"/>
              </w:rPr>
              <w:fldChar w:fldCharType="begin"/>
            </w:r>
            <w:r>
              <w:rPr>
                <w:rFonts w:hint="default" w:ascii="Times New Roman" w:hAnsi="Times New Roman" w:eastAsia="宋体" w:cs="Times New Roman"/>
                <w:b/>
                <w:bCs/>
                <w:snapToGrid w:val="0"/>
                <w:color w:val="auto"/>
                <w:spacing w:val="-6"/>
                <w:kern w:val="21"/>
                <w:szCs w:val="21"/>
              </w:rPr>
              <w:instrText xml:space="preserve"> = 3 \* GB3 \* MERGEFORMAT </w:instrText>
            </w:r>
            <w:r>
              <w:rPr>
                <w:rFonts w:hint="default" w:ascii="Times New Roman" w:hAnsi="Times New Roman" w:eastAsia="宋体" w:cs="Times New Roman"/>
                <w:b/>
                <w:bCs/>
                <w:snapToGrid w:val="0"/>
                <w:color w:val="auto"/>
                <w:spacing w:val="-6"/>
                <w:kern w:val="21"/>
                <w:szCs w:val="21"/>
              </w:rPr>
              <w:fldChar w:fldCharType="separate"/>
            </w:r>
            <w:r>
              <w:rPr>
                <w:rFonts w:hint="default" w:ascii="Times New Roman" w:hAnsi="Times New Roman" w:eastAsia="宋体" w:cs="Times New Roman"/>
                <w:b/>
                <w:bCs/>
                <w:color w:val="auto"/>
                <w:kern w:val="2"/>
                <w:szCs w:val="21"/>
              </w:rPr>
              <w:t>③</w:t>
            </w:r>
            <w:r>
              <w:rPr>
                <w:rFonts w:hint="default" w:ascii="Times New Roman" w:hAnsi="Times New Roman" w:eastAsia="宋体" w:cs="Times New Roman"/>
                <w:b/>
                <w:bCs/>
                <w:snapToGrid w:val="0"/>
                <w:color w:val="auto"/>
                <w:spacing w:val="-6"/>
                <w:kern w:val="21"/>
                <w:szCs w:val="21"/>
              </w:rPr>
              <w:fldChar w:fldCharType="end"/>
            </w:r>
          </w:p>
        </w:tc>
        <w:tc>
          <w:tcPr>
            <w:tcW w:w="1559" w:type="dxa"/>
            <w:noWrap w:val="0"/>
            <w:tcMar>
              <w:left w:w="28" w:type="dxa"/>
              <w:right w:w="28" w:type="dxa"/>
            </w:tcMar>
            <w:vAlign w:val="center"/>
          </w:tcPr>
          <w:p w14:paraId="03A5535F">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本项目</w:t>
            </w:r>
          </w:p>
          <w:p w14:paraId="5B93945F">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排放量（固体废物产生量）</w:t>
            </w:r>
            <w:r>
              <w:rPr>
                <w:rFonts w:hint="default" w:ascii="Times New Roman" w:hAnsi="Times New Roman" w:eastAsia="宋体" w:cs="Times New Roman"/>
                <w:b/>
                <w:bCs/>
                <w:snapToGrid w:val="0"/>
                <w:color w:val="auto"/>
                <w:spacing w:val="-6"/>
                <w:kern w:val="21"/>
                <w:szCs w:val="21"/>
              </w:rPr>
              <w:fldChar w:fldCharType="begin"/>
            </w:r>
            <w:r>
              <w:rPr>
                <w:rFonts w:hint="default" w:ascii="Times New Roman" w:hAnsi="Times New Roman" w:eastAsia="宋体" w:cs="Times New Roman"/>
                <w:b/>
                <w:bCs/>
                <w:snapToGrid w:val="0"/>
                <w:color w:val="auto"/>
                <w:spacing w:val="-6"/>
                <w:kern w:val="21"/>
                <w:szCs w:val="21"/>
              </w:rPr>
              <w:instrText xml:space="preserve"> = 4 \* GB3 \* MERGEFORMAT </w:instrText>
            </w:r>
            <w:r>
              <w:rPr>
                <w:rFonts w:hint="default" w:ascii="Times New Roman" w:hAnsi="Times New Roman" w:eastAsia="宋体" w:cs="Times New Roman"/>
                <w:b/>
                <w:bCs/>
                <w:snapToGrid w:val="0"/>
                <w:color w:val="auto"/>
                <w:spacing w:val="-6"/>
                <w:kern w:val="21"/>
                <w:szCs w:val="21"/>
              </w:rPr>
              <w:fldChar w:fldCharType="separate"/>
            </w:r>
            <w:r>
              <w:rPr>
                <w:rFonts w:hint="default" w:ascii="Times New Roman" w:hAnsi="Times New Roman" w:eastAsia="宋体" w:cs="Times New Roman"/>
                <w:b/>
                <w:bCs/>
                <w:color w:val="auto"/>
                <w:kern w:val="2"/>
                <w:szCs w:val="21"/>
              </w:rPr>
              <w:t>④</w:t>
            </w:r>
            <w:r>
              <w:rPr>
                <w:rFonts w:hint="default" w:ascii="Times New Roman" w:hAnsi="Times New Roman" w:eastAsia="宋体" w:cs="Times New Roman"/>
                <w:b/>
                <w:bCs/>
                <w:snapToGrid w:val="0"/>
                <w:color w:val="auto"/>
                <w:spacing w:val="-6"/>
                <w:kern w:val="21"/>
                <w:szCs w:val="21"/>
              </w:rPr>
              <w:fldChar w:fldCharType="end"/>
            </w:r>
          </w:p>
        </w:tc>
        <w:tc>
          <w:tcPr>
            <w:tcW w:w="1761" w:type="dxa"/>
            <w:noWrap w:val="0"/>
            <w:tcMar>
              <w:left w:w="28" w:type="dxa"/>
              <w:right w:w="28" w:type="dxa"/>
            </w:tcMar>
            <w:vAlign w:val="center"/>
          </w:tcPr>
          <w:p w14:paraId="03554824">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16"/>
                <w:kern w:val="21"/>
                <w:szCs w:val="21"/>
              </w:rPr>
            </w:pPr>
            <w:r>
              <w:rPr>
                <w:rFonts w:hint="default" w:ascii="Times New Roman" w:hAnsi="Times New Roman" w:eastAsia="宋体" w:cs="Times New Roman"/>
                <w:b/>
                <w:bCs/>
                <w:snapToGrid w:val="0"/>
                <w:color w:val="auto"/>
                <w:spacing w:val="-16"/>
                <w:kern w:val="21"/>
                <w:szCs w:val="21"/>
              </w:rPr>
              <w:t>以新带老削减量</w:t>
            </w:r>
          </w:p>
          <w:p w14:paraId="1899BA45">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16"/>
                <w:kern w:val="21"/>
                <w:szCs w:val="21"/>
              </w:rPr>
            </w:pPr>
            <w:r>
              <w:rPr>
                <w:rFonts w:hint="default" w:ascii="Times New Roman" w:hAnsi="Times New Roman" w:eastAsia="宋体" w:cs="Times New Roman"/>
                <w:b/>
                <w:bCs/>
                <w:snapToGrid w:val="0"/>
                <w:color w:val="auto"/>
                <w:spacing w:val="-16"/>
                <w:kern w:val="21"/>
                <w:szCs w:val="21"/>
              </w:rPr>
              <w:t>（新建项目不填）</w:t>
            </w:r>
            <w:r>
              <w:rPr>
                <w:rFonts w:hint="default" w:ascii="Times New Roman" w:hAnsi="Times New Roman" w:eastAsia="宋体" w:cs="Times New Roman"/>
                <w:b/>
                <w:bCs/>
                <w:snapToGrid w:val="0"/>
                <w:color w:val="auto"/>
                <w:spacing w:val="-16"/>
                <w:kern w:val="21"/>
                <w:szCs w:val="21"/>
              </w:rPr>
              <w:fldChar w:fldCharType="begin"/>
            </w:r>
            <w:r>
              <w:rPr>
                <w:rFonts w:hint="default" w:ascii="Times New Roman" w:hAnsi="Times New Roman" w:eastAsia="宋体" w:cs="Times New Roman"/>
                <w:b/>
                <w:bCs/>
                <w:snapToGrid w:val="0"/>
                <w:color w:val="auto"/>
                <w:spacing w:val="-16"/>
                <w:kern w:val="21"/>
                <w:szCs w:val="21"/>
              </w:rPr>
              <w:instrText xml:space="preserve"> = 5 \* GB3 \* MERGEFORMAT </w:instrText>
            </w:r>
            <w:r>
              <w:rPr>
                <w:rFonts w:hint="default" w:ascii="Times New Roman" w:hAnsi="Times New Roman" w:eastAsia="宋体" w:cs="Times New Roman"/>
                <w:b/>
                <w:bCs/>
                <w:snapToGrid w:val="0"/>
                <w:color w:val="auto"/>
                <w:spacing w:val="-16"/>
                <w:kern w:val="21"/>
                <w:szCs w:val="21"/>
              </w:rPr>
              <w:fldChar w:fldCharType="separate"/>
            </w:r>
            <w:r>
              <w:rPr>
                <w:rFonts w:hint="default" w:ascii="Times New Roman" w:hAnsi="Times New Roman" w:eastAsia="宋体" w:cs="Times New Roman"/>
                <w:b/>
                <w:bCs/>
                <w:color w:val="auto"/>
                <w:kern w:val="2"/>
                <w:szCs w:val="21"/>
              </w:rPr>
              <w:t>⑤</w:t>
            </w:r>
            <w:r>
              <w:rPr>
                <w:rFonts w:hint="default" w:ascii="Times New Roman" w:hAnsi="Times New Roman" w:eastAsia="宋体" w:cs="Times New Roman"/>
                <w:b/>
                <w:bCs/>
                <w:snapToGrid w:val="0"/>
                <w:color w:val="auto"/>
                <w:spacing w:val="-16"/>
                <w:kern w:val="21"/>
                <w:szCs w:val="21"/>
              </w:rPr>
              <w:fldChar w:fldCharType="end"/>
            </w:r>
          </w:p>
        </w:tc>
        <w:tc>
          <w:tcPr>
            <w:tcW w:w="1641" w:type="dxa"/>
            <w:noWrap w:val="0"/>
            <w:tcMar>
              <w:left w:w="28" w:type="dxa"/>
              <w:right w:w="28" w:type="dxa"/>
            </w:tcMar>
            <w:vAlign w:val="center"/>
          </w:tcPr>
          <w:p w14:paraId="7F8EE8AE">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16"/>
                <w:kern w:val="21"/>
                <w:szCs w:val="21"/>
              </w:rPr>
            </w:pPr>
            <w:r>
              <w:rPr>
                <w:rFonts w:hint="default" w:ascii="Times New Roman" w:hAnsi="Times New Roman" w:eastAsia="宋体" w:cs="Times New Roman"/>
                <w:b/>
                <w:bCs/>
                <w:snapToGrid w:val="0"/>
                <w:color w:val="auto"/>
                <w:spacing w:val="-16"/>
                <w:kern w:val="21"/>
                <w:szCs w:val="21"/>
              </w:rPr>
              <w:t>本项目建成后</w:t>
            </w:r>
          </w:p>
          <w:p w14:paraId="24E1D43F">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16"/>
                <w:kern w:val="21"/>
                <w:szCs w:val="21"/>
              </w:rPr>
            </w:pPr>
            <w:r>
              <w:rPr>
                <w:rFonts w:hint="default" w:ascii="Times New Roman" w:hAnsi="Times New Roman" w:eastAsia="宋体" w:cs="Times New Roman"/>
                <w:b/>
                <w:bCs/>
                <w:snapToGrid w:val="0"/>
                <w:color w:val="auto"/>
                <w:spacing w:val="-16"/>
                <w:kern w:val="21"/>
                <w:szCs w:val="21"/>
              </w:rPr>
              <w:t>全厂排放量（固体废物产生量）</w:t>
            </w:r>
            <w:r>
              <w:rPr>
                <w:rFonts w:hint="default" w:ascii="Times New Roman" w:hAnsi="Times New Roman" w:eastAsia="宋体" w:cs="Times New Roman"/>
                <w:b/>
                <w:bCs/>
                <w:snapToGrid w:val="0"/>
                <w:color w:val="auto"/>
                <w:spacing w:val="-16"/>
                <w:kern w:val="21"/>
                <w:szCs w:val="21"/>
              </w:rPr>
              <w:fldChar w:fldCharType="begin"/>
            </w:r>
            <w:r>
              <w:rPr>
                <w:rFonts w:hint="default" w:ascii="Times New Roman" w:hAnsi="Times New Roman" w:eastAsia="宋体" w:cs="Times New Roman"/>
                <w:b/>
                <w:bCs/>
                <w:snapToGrid w:val="0"/>
                <w:color w:val="auto"/>
                <w:spacing w:val="-16"/>
                <w:kern w:val="21"/>
                <w:szCs w:val="21"/>
              </w:rPr>
              <w:instrText xml:space="preserve"> = 6 \* GB3 \* MERGEFORMAT </w:instrText>
            </w:r>
            <w:r>
              <w:rPr>
                <w:rFonts w:hint="default" w:ascii="Times New Roman" w:hAnsi="Times New Roman" w:eastAsia="宋体" w:cs="Times New Roman"/>
                <w:b/>
                <w:bCs/>
                <w:snapToGrid w:val="0"/>
                <w:color w:val="auto"/>
                <w:spacing w:val="-16"/>
                <w:kern w:val="21"/>
                <w:szCs w:val="21"/>
              </w:rPr>
              <w:fldChar w:fldCharType="separate"/>
            </w:r>
            <w:r>
              <w:rPr>
                <w:rFonts w:hint="default" w:ascii="Times New Roman" w:hAnsi="Times New Roman" w:eastAsia="宋体" w:cs="Times New Roman"/>
                <w:b/>
                <w:bCs/>
                <w:color w:val="auto"/>
                <w:kern w:val="2"/>
                <w:szCs w:val="21"/>
              </w:rPr>
              <w:t>⑥</w:t>
            </w:r>
            <w:r>
              <w:rPr>
                <w:rFonts w:hint="default" w:ascii="Times New Roman" w:hAnsi="Times New Roman" w:eastAsia="宋体" w:cs="Times New Roman"/>
                <w:b/>
                <w:bCs/>
                <w:snapToGrid w:val="0"/>
                <w:color w:val="auto"/>
                <w:spacing w:val="-16"/>
                <w:kern w:val="21"/>
                <w:szCs w:val="21"/>
              </w:rPr>
              <w:fldChar w:fldCharType="end"/>
            </w:r>
          </w:p>
        </w:tc>
        <w:tc>
          <w:tcPr>
            <w:tcW w:w="1144" w:type="dxa"/>
            <w:noWrap w:val="0"/>
            <w:tcMar>
              <w:left w:w="28" w:type="dxa"/>
              <w:right w:w="28" w:type="dxa"/>
            </w:tcMar>
            <w:vAlign w:val="center"/>
          </w:tcPr>
          <w:p w14:paraId="515383EE">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t>变化量</w:t>
            </w:r>
          </w:p>
          <w:p w14:paraId="26E5159C">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b/>
                <w:bCs/>
                <w:snapToGrid w:val="0"/>
                <w:color w:val="auto"/>
                <w:spacing w:val="-6"/>
                <w:kern w:val="21"/>
                <w:szCs w:val="21"/>
              </w:rPr>
            </w:pPr>
            <w:r>
              <w:rPr>
                <w:rFonts w:hint="default" w:ascii="Times New Roman" w:hAnsi="Times New Roman" w:eastAsia="宋体" w:cs="Times New Roman"/>
                <w:b/>
                <w:bCs/>
                <w:snapToGrid w:val="0"/>
                <w:color w:val="auto"/>
                <w:spacing w:val="-6"/>
                <w:kern w:val="21"/>
                <w:szCs w:val="21"/>
              </w:rPr>
              <w:fldChar w:fldCharType="begin"/>
            </w:r>
            <w:r>
              <w:rPr>
                <w:rFonts w:hint="default" w:ascii="Times New Roman" w:hAnsi="Times New Roman" w:eastAsia="宋体" w:cs="Times New Roman"/>
                <w:b/>
                <w:bCs/>
                <w:snapToGrid w:val="0"/>
                <w:color w:val="auto"/>
                <w:spacing w:val="-6"/>
                <w:kern w:val="21"/>
                <w:szCs w:val="21"/>
              </w:rPr>
              <w:instrText xml:space="preserve"> = 7 \* GB3 \* MERGEFORMAT </w:instrText>
            </w:r>
            <w:r>
              <w:rPr>
                <w:rFonts w:hint="default" w:ascii="Times New Roman" w:hAnsi="Times New Roman" w:eastAsia="宋体" w:cs="Times New Roman"/>
                <w:b/>
                <w:bCs/>
                <w:snapToGrid w:val="0"/>
                <w:color w:val="auto"/>
                <w:spacing w:val="-6"/>
                <w:kern w:val="21"/>
                <w:szCs w:val="21"/>
              </w:rPr>
              <w:fldChar w:fldCharType="separate"/>
            </w:r>
            <w:r>
              <w:rPr>
                <w:rFonts w:hint="default" w:ascii="Times New Roman" w:hAnsi="Times New Roman" w:eastAsia="宋体" w:cs="Times New Roman"/>
                <w:b/>
                <w:bCs/>
                <w:color w:val="auto"/>
                <w:kern w:val="2"/>
                <w:szCs w:val="21"/>
              </w:rPr>
              <w:t>⑦</w:t>
            </w:r>
            <w:r>
              <w:rPr>
                <w:rFonts w:hint="default" w:ascii="Times New Roman" w:hAnsi="Times New Roman" w:eastAsia="宋体" w:cs="Times New Roman"/>
                <w:b/>
                <w:bCs/>
                <w:snapToGrid w:val="0"/>
                <w:color w:val="auto"/>
                <w:spacing w:val="-6"/>
                <w:kern w:val="21"/>
                <w:szCs w:val="21"/>
              </w:rPr>
              <w:fldChar w:fldCharType="end"/>
            </w:r>
          </w:p>
        </w:tc>
      </w:tr>
      <w:tr w14:paraId="657C8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restart"/>
            <w:noWrap w:val="0"/>
            <w:vAlign w:val="center"/>
          </w:tcPr>
          <w:p w14:paraId="54B16017">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废气</w:t>
            </w:r>
          </w:p>
        </w:tc>
        <w:tc>
          <w:tcPr>
            <w:tcW w:w="1590" w:type="dxa"/>
            <w:noWrap w:val="0"/>
            <w:vAlign w:val="center"/>
          </w:tcPr>
          <w:p w14:paraId="6BE4D731">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color w:val="auto"/>
                <w:szCs w:val="21"/>
              </w:rPr>
              <w:t>烟尘</w:t>
            </w:r>
          </w:p>
        </w:tc>
        <w:tc>
          <w:tcPr>
            <w:tcW w:w="1701" w:type="dxa"/>
            <w:noWrap w:val="0"/>
            <w:vAlign w:val="center"/>
          </w:tcPr>
          <w:p w14:paraId="7737D0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szCs w:val="21"/>
                <w:lang w:val="en-US" w:eastAsia="zh-CN"/>
              </w:rPr>
              <w:t>3.585t/a</w:t>
            </w:r>
          </w:p>
        </w:tc>
        <w:tc>
          <w:tcPr>
            <w:tcW w:w="1276" w:type="dxa"/>
            <w:noWrap w:val="0"/>
            <w:vAlign w:val="center"/>
          </w:tcPr>
          <w:p w14:paraId="24A8A9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5.984</w:t>
            </w:r>
            <w:r>
              <w:rPr>
                <w:rFonts w:hint="default" w:ascii="Times New Roman" w:hAnsi="Times New Roman" w:eastAsia="宋体" w:cs="Times New Roman"/>
                <w:color w:val="auto"/>
                <w:szCs w:val="21"/>
                <w:lang w:val="en-US" w:eastAsia="zh-CN"/>
              </w:rPr>
              <w:t>t/a</w:t>
            </w:r>
          </w:p>
        </w:tc>
        <w:tc>
          <w:tcPr>
            <w:tcW w:w="1701" w:type="dxa"/>
            <w:noWrap w:val="0"/>
            <w:vAlign w:val="center"/>
          </w:tcPr>
          <w:p w14:paraId="7504F770">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w:t>
            </w:r>
          </w:p>
        </w:tc>
        <w:tc>
          <w:tcPr>
            <w:tcW w:w="1559" w:type="dxa"/>
            <w:noWrap w:val="0"/>
            <w:vAlign w:val="center"/>
          </w:tcPr>
          <w:p w14:paraId="5A076A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0.98t/a</w:t>
            </w:r>
          </w:p>
        </w:tc>
        <w:tc>
          <w:tcPr>
            <w:tcW w:w="1761" w:type="dxa"/>
            <w:noWrap w:val="0"/>
            <w:vAlign w:val="center"/>
          </w:tcPr>
          <w:p w14:paraId="797415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3.585t/a</w:t>
            </w:r>
          </w:p>
        </w:tc>
        <w:tc>
          <w:tcPr>
            <w:tcW w:w="1641" w:type="dxa"/>
            <w:noWrap w:val="0"/>
            <w:vAlign w:val="center"/>
          </w:tcPr>
          <w:p w14:paraId="622177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0.98t/a</w:t>
            </w:r>
          </w:p>
        </w:tc>
        <w:tc>
          <w:tcPr>
            <w:tcW w:w="1144" w:type="dxa"/>
            <w:noWrap w:val="0"/>
            <w:vAlign w:val="center"/>
          </w:tcPr>
          <w:p w14:paraId="59147F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-2.605t/a</w:t>
            </w:r>
          </w:p>
        </w:tc>
      </w:tr>
      <w:tr w14:paraId="55749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continue"/>
            <w:noWrap w:val="0"/>
            <w:vAlign w:val="center"/>
          </w:tcPr>
          <w:p w14:paraId="3EF7775E">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90" w:type="dxa"/>
            <w:noWrap w:val="0"/>
            <w:vAlign w:val="center"/>
          </w:tcPr>
          <w:p w14:paraId="74BD6473">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color w:val="auto"/>
                <w:szCs w:val="21"/>
              </w:rPr>
              <w:t>SO</w:t>
            </w:r>
            <w:r>
              <w:rPr>
                <w:rFonts w:hint="default" w:ascii="Times New Roman" w:hAnsi="Times New Roman" w:eastAsia="宋体" w:cs="Times New Roman"/>
                <w:color w:val="auto"/>
                <w:szCs w:val="21"/>
                <w:vertAlign w:val="subscript"/>
              </w:rPr>
              <w:t>2</w:t>
            </w:r>
          </w:p>
        </w:tc>
        <w:tc>
          <w:tcPr>
            <w:tcW w:w="1701" w:type="dxa"/>
            <w:noWrap w:val="0"/>
            <w:vAlign w:val="center"/>
          </w:tcPr>
          <w:p w14:paraId="6E881C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16.56t/a</w:t>
            </w:r>
          </w:p>
        </w:tc>
        <w:tc>
          <w:tcPr>
            <w:tcW w:w="1276" w:type="dxa"/>
            <w:noWrap w:val="0"/>
            <w:vAlign w:val="center"/>
          </w:tcPr>
          <w:p w14:paraId="196E1E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22.129</w:t>
            </w:r>
            <w:r>
              <w:rPr>
                <w:rFonts w:hint="default" w:ascii="Times New Roman" w:hAnsi="Times New Roman" w:eastAsia="宋体" w:cs="Times New Roman"/>
                <w:color w:val="auto"/>
                <w:szCs w:val="21"/>
                <w:lang w:val="en-US" w:eastAsia="zh-CN"/>
              </w:rPr>
              <w:t>t/a</w:t>
            </w:r>
          </w:p>
        </w:tc>
        <w:tc>
          <w:tcPr>
            <w:tcW w:w="1701" w:type="dxa"/>
            <w:noWrap w:val="0"/>
            <w:vAlign w:val="center"/>
          </w:tcPr>
          <w:p w14:paraId="4FB57799">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w:t>
            </w:r>
          </w:p>
        </w:tc>
        <w:tc>
          <w:tcPr>
            <w:tcW w:w="1559" w:type="dxa"/>
            <w:noWrap w:val="0"/>
            <w:vAlign w:val="center"/>
          </w:tcPr>
          <w:p w14:paraId="144D1D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2.29t/a</w:t>
            </w:r>
          </w:p>
        </w:tc>
        <w:tc>
          <w:tcPr>
            <w:tcW w:w="1761" w:type="dxa"/>
            <w:noWrap w:val="0"/>
            <w:vAlign w:val="center"/>
          </w:tcPr>
          <w:p w14:paraId="7EDF5C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16.56t/a</w:t>
            </w:r>
          </w:p>
        </w:tc>
        <w:tc>
          <w:tcPr>
            <w:tcW w:w="1641" w:type="dxa"/>
            <w:noWrap w:val="0"/>
            <w:vAlign w:val="center"/>
          </w:tcPr>
          <w:p w14:paraId="0FB5220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2.29t/a</w:t>
            </w:r>
          </w:p>
        </w:tc>
        <w:tc>
          <w:tcPr>
            <w:tcW w:w="1144" w:type="dxa"/>
            <w:noWrap w:val="0"/>
            <w:vAlign w:val="center"/>
          </w:tcPr>
          <w:p w14:paraId="3075B7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-14.27t/a</w:t>
            </w:r>
          </w:p>
        </w:tc>
      </w:tr>
      <w:tr w14:paraId="767DC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continue"/>
            <w:noWrap w:val="0"/>
            <w:vAlign w:val="center"/>
          </w:tcPr>
          <w:p w14:paraId="12687182">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90" w:type="dxa"/>
            <w:noWrap w:val="0"/>
            <w:vAlign w:val="center"/>
          </w:tcPr>
          <w:p w14:paraId="1D6D6039">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color w:val="auto"/>
                <w:szCs w:val="21"/>
              </w:rPr>
              <w:t>NO</w:t>
            </w:r>
            <w:r>
              <w:rPr>
                <w:rFonts w:hint="default" w:ascii="Times New Roman" w:hAnsi="Times New Roman" w:eastAsia="宋体" w:cs="Times New Roman"/>
                <w:color w:val="auto"/>
                <w:szCs w:val="21"/>
                <w:vertAlign w:val="subscript"/>
              </w:rPr>
              <w:t>X</w:t>
            </w:r>
          </w:p>
        </w:tc>
        <w:tc>
          <w:tcPr>
            <w:tcW w:w="1701" w:type="dxa"/>
            <w:noWrap w:val="0"/>
            <w:vAlign w:val="center"/>
          </w:tcPr>
          <w:p w14:paraId="01DBA3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15.088t/a</w:t>
            </w:r>
          </w:p>
        </w:tc>
        <w:tc>
          <w:tcPr>
            <w:tcW w:w="1276" w:type="dxa"/>
            <w:noWrap w:val="0"/>
            <w:vAlign w:val="center"/>
          </w:tcPr>
          <w:p w14:paraId="03CBAC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15.435</w:t>
            </w:r>
            <w:r>
              <w:rPr>
                <w:rFonts w:hint="default" w:ascii="Times New Roman" w:hAnsi="Times New Roman" w:eastAsia="宋体" w:cs="Times New Roman"/>
                <w:color w:val="auto"/>
                <w:szCs w:val="21"/>
                <w:lang w:val="en-US" w:eastAsia="zh-CN"/>
              </w:rPr>
              <w:t>t/a</w:t>
            </w:r>
          </w:p>
        </w:tc>
        <w:tc>
          <w:tcPr>
            <w:tcW w:w="1701" w:type="dxa"/>
            <w:noWrap w:val="0"/>
            <w:vAlign w:val="center"/>
          </w:tcPr>
          <w:p w14:paraId="21C9A714">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w:t>
            </w:r>
          </w:p>
        </w:tc>
        <w:tc>
          <w:tcPr>
            <w:tcW w:w="1559" w:type="dxa"/>
            <w:noWrap w:val="0"/>
            <w:vAlign w:val="center"/>
          </w:tcPr>
          <w:p w14:paraId="51E0C2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14.87</w:t>
            </w:r>
            <w:r>
              <w:rPr>
                <w:rFonts w:hint="default" w:ascii="Times New Roman" w:hAnsi="Times New Roman" w:eastAsia="宋体" w:cs="Times New Roman"/>
                <w:color w:val="auto"/>
                <w:szCs w:val="21"/>
                <w:lang w:val="en-US" w:eastAsia="zh-CN"/>
              </w:rPr>
              <w:t>t/a</w:t>
            </w:r>
          </w:p>
        </w:tc>
        <w:tc>
          <w:tcPr>
            <w:tcW w:w="1761" w:type="dxa"/>
            <w:noWrap w:val="0"/>
            <w:vAlign w:val="center"/>
          </w:tcPr>
          <w:p w14:paraId="7560B0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15.088t/a</w:t>
            </w:r>
          </w:p>
        </w:tc>
        <w:tc>
          <w:tcPr>
            <w:tcW w:w="1641" w:type="dxa"/>
            <w:noWrap w:val="0"/>
            <w:vAlign w:val="center"/>
          </w:tcPr>
          <w:p w14:paraId="046EE2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14.87</w:t>
            </w:r>
            <w:r>
              <w:rPr>
                <w:rFonts w:hint="default" w:ascii="Times New Roman" w:hAnsi="Times New Roman" w:eastAsia="宋体" w:cs="Times New Roman"/>
                <w:color w:val="auto"/>
                <w:szCs w:val="21"/>
                <w:lang w:val="en-US" w:eastAsia="zh-CN"/>
              </w:rPr>
              <w:t>t/a</w:t>
            </w:r>
          </w:p>
        </w:tc>
        <w:tc>
          <w:tcPr>
            <w:tcW w:w="1144" w:type="dxa"/>
            <w:noWrap w:val="0"/>
            <w:vAlign w:val="center"/>
          </w:tcPr>
          <w:p w14:paraId="734A0F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w:t>
            </w:r>
            <w:r>
              <w:rPr>
                <w:rFonts w:hint="eastAsia" w:cs="Times New Roman"/>
                <w:color w:val="auto"/>
                <w:kern w:val="0"/>
                <w:szCs w:val="21"/>
                <w:lang w:val="en-US" w:eastAsia="zh-CN" w:bidi="ar"/>
              </w:rPr>
              <w:t>0.218</w:t>
            </w:r>
            <w:r>
              <w:rPr>
                <w:rFonts w:hint="default" w:ascii="Times New Roman" w:hAnsi="Times New Roman" w:eastAsia="宋体" w:cs="Times New Roman"/>
                <w:color w:val="auto"/>
                <w:kern w:val="0"/>
                <w:szCs w:val="21"/>
                <w:lang w:val="en-US" w:eastAsia="zh-CN" w:bidi="ar"/>
              </w:rPr>
              <w:t>t/a</w:t>
            </w:r>
          </w:p>
        </w:tc>
      </w:tr>
      <w:tr w14:paraId="2A42F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continue"/>
            <w:noWrap w:val="0"/>
            <w:vAlign w:val="center"/>
          </w:tcPr>
          <w:p w14:paraId="711D3154">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90" w:type="dxa"/>
            <w:noWrap w:val="0"/>
            <w:vAlign w:val="center"/>
          </w:tcPr>
          <w:p w14:paraId="0D8893F5">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color w:val="auto"/>
                <w:szCs w:val="21"/>
              </w:rPr>
              <w:t>汞及其化合物</w:t>
            </w:r>
          </w:p>
        </w:tc>
        <w:tc>
          <w:tcPr>
            <w:tcW w:w="1701" w:type="dxa"/>
            <w:noWrap w:val="0"/>
            <w:vAlign w:val="center"/>
          </w:tcPr>
          <w:p w14:paraId="6F4537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p>
        </w:tc>
        <w:tc>
          <w:tcPr>
            <w:tcW w:w="1276" w:type="dxa"/>
            <w:noWrap w:val="0"/>
            <w:vAlign w:val="center"/>
          </w:tcPr>
          <w:p w14:paraId="34106300">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701" w:type="dxa"/>
            <w:noWrap w:val="0"/>
            <w:vAlign w:val="center"/>
          </w:tcPr>
          <w:p w14:paraId="380264B3">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59" w:type="dxa"/>
            <w:noWrap w:val="0"/>
            <w:vAlign w:val="center"/>
          </w:tcPr>
          <w:p w14:paraId="2737C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p>
        </w:tc>
        <w:tc>
          <w:tcPr>
            <w:tcW w:w="1761" w:type="dxa"/>
            <w:noWrap w:val="0"/>
            <w:vAlign w:val="center"/>
          </w:tcPr>
          <w:p w14:paraId="692D10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p>
        </w:tc>
        <w:tc>
          <w:tcPr>
            <w:tcW w:w="1641" w:type="dxa"/>
            <w:noWrap w:val="0"/>
            <w:vAlign w:val="center"/>
          </w:tcPr>
          <w:p w14:paraId="596738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p>
        </w:tc>
        <w:tc>
          <w:tcPr>
            <w:tcW w:w="1144" w:type="dxa"/>
            <w:noWrap w:val="0"/>
            <w:vAlign w:val="center"/>
          </w:tcPr>
          <w:p w14:paraId="716221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bidi="ar"/>
              </w:rPr>
            </w:pPr>
          </w:p>
        </w:tc>
      </w:tr>
      <w:tr w14:paraId="186CF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restart"/>
            <w:noWrap w:val="0"/>
            <w:vAlign w:val="center"/>
          </w:tcPr>
          <w:p w14:paraId="549BB11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color w:val="auto"/>
                <w:kern w:val="0"/>
                <w:szCs w:val="21"/>
              </w:rPr>
              <w:t>锅炉废水、</w:t>
            </w:r>
            <w:r>
              <w:rPr>
                <w:rFonts w:hint="default" w:ascii="Times New Roman" w:hAnsi="Times New Roman" w:eastAsia="宋体" w:cs="Times New Roman"/>
                <w:color w:val="auto"/>
                <w:kern w:val="0"/>
                <w:szCs w:val="21"/>
                <w:lang w:val="en-US" w:eastAsia="zh-CN"/>
              </w:rPr>
              <w:t>软水站废</w:t>
            </w:r>
            <w:r>
              <w:rPr>
                <w:rFonts w:hint="default" w:ascii="Times New Roman" w:hAnsi="Times New Roman" w:eastAsia="宋体" w:cs="Times New Roman"/>
                <w:color w:val="auto"/>
                <w:kern w:val="0"/>
                <w:szCs w:val="21"/>
              </w:rPr>
              <w:t>水</w:t>
            </w:r>
          </w:p>
        </w:tc>
        <w:tc>
          <w:tcPr>
            <w:tcW w:w="1590" w:type="dxa"/>
            <w:noWrap w:val="0"/>
            <w:vAlign w:val="center"/>
          </w:tcPr>
          <w:p w14:paraId="70237E2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cs="Times New Roman"/>
                <w:color w:val="auto"/>
                <w:szCs w:val="21"/>
                <w:lang w:val="en-US" w:eastAsia="zh-CN"/>
              </w:rPr>
              <w:t>废水量</w:t>
            </w:r>
          </w:p>
        </w:tc>
        <w:tc>
          <w:tcPr>
            <w:tcW w:w="1701" w:type="dxa"/>
            <w:noWrap w:val="0"/>
            <w:vAlign w:val="center"/>
          </w:tcPr>
          <w:p w14:paraId="77454F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0.261</w:t>
            </w:r>
          </w:p>
        </w:tc>
        <w:tc>
          <w:tcPr>
            <w:tcW w:w="1276" w:type="dxa"/>
            <w:noWrap w:val="0"/>
            <w:vAlign w:val="center"/>
          </w:tcPr>
          <w:p w14:paraId="01D970CE">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rPr>
            </w:pPr>
          </w:p>
        </w:tc>
        <w:tc>
          <w:tcPr>
            <w:tcW w:w="1701" w:type="dxa"/>
            <w:noWrap w:val="0"/>
            <w:vAlign w:val="center"/>
          </w:tcPr>
          <w:p w14:paraId="0B436298">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rPr>
            </w:pPr>
          </w:p>
        </w:tc>
        <w:tc>
          <w:tcPr>
            <w:tcW w:w="1559" w:type="dxa"/>
            <w:noWrap w:val="0"/>
            <w:vAlign w:val="center"/>
          </w:tcPr>
          <w:p w14:paraId="1DFD44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0.5187</w:t>
            </w:r>
          </w:p>
        </w:tc>
        <w:tc>
          <w:tcPr>
            <w:tcW w:w="1761" w:type="dxa"/>
            <w:noWrap w:val="0"/>
            <w:vAlign w:val="center"/>
          </w:tcPr>
          <w:p w14:paraId="67FDA28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1641" w:type="dxa"/>
            <w:noWrap w:val="0"/>
            <w:vAlign w:val="center"/>
          </w:tcPr>
          <w:p w14:paraId="436C1C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0.5187</w:t>
            </w:r>
          </w:p>
        </w:tc>
        <w:tc>
          <w:tcPr>
            <w:tcW w:w="1144" w:type="dxa"/>
            <w:noWrap w:val="0"/>
            <w:vAlign w:val="center"/>
          </w:tcPr>
          <w:p w14:paraId="175174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+0.2577</w:t>
            </w:r>
          </w:p>
        </w:tc>
      </w:tr>
      <w:tr w14:paraId="3276A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continue"/>
            <w:noWrap w:val="0"/>
            <w:vAlign w:val="center"/>
          </w:tcPr>
          <w:p w14:paraId="01AA573F">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90" w:type="dxa"/>
            <w:noWrap w:val="0"/>
            <w:vAlign w:val="center"/>
          </w:tcPr>
          <w:p w14:paraId="49BAEF1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NH</w:t>
            </w:r>
            <w:r>
              <w:rPr>
                <w:rFonts w:hint="default" w:ascii="Times New Roman" w:hAnsi="Times New Roman" w:eastAsia="宋体" w:cs="Times New Roman"/>
                <w:color w:val="auto"/>
                <w:szCs w:val="21"/>
                <w:vertAlign w:val="subscript"/>
              </w:rPr>
              <w:t>3</w:t>
            </w:r>
            <w:r>
              <w:rPr>
                <w:rFonts w:hint="default" w:ascii="Times New Roman" w:hAnsi="Times New Roman" w:eastAsia="宋体" w:cs="Times New Roman"/>
                <w:color w:val="auto"/>
                <w:szCs w:val="21"/>
              </w:rPr>
              <w:t>-N</w:t>
            </w:r>
          </w:p>
        </w:tc>
        <w:tc>
          <w:tcPr>
            <w:tcW w:w="1701" w:type="dxa"/>
            <w:noWrap w:val="0"/>
            <w:vAlign w:val="center"/>
          </w:tcPr>
          <w:p w14:paraId="0AA063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276" w:type="dxa"/>
            <w:noWrap w:val="0"/>
            <w:vAlign w:val="center"/>
          </w:tcPr>
          <w:p w14:paraId="13C76CD3">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yellow"/>
              </w:rPr>
            </w:pPr>
          </w:p>
        </w:tc>
        <w:tc>
          <w:tcPr>
            <w:tcW w:w="1701" w:type="dxa"/>
            <w:noWrap w:val="0"/>
            <w:vAlign w:val="center"/>
          </w:tcPr>
          <w:p w14:paraId="66F8A866">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yellow"/>
              </w:rPr>
            </w:pPr>
          </w:p>
        </w:tc>
        <w:tc>
          <w:tcPr>
            <w:tcW w:w="1559" w:type="dxa"/>
            <w:noWrap w:val="0"/>
            <w:vAlign w:val="center"/>
          </w:tcPr>
          <w:p w14:paraId="6C0621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761" w:type="dxa"/>
            <w:noWrap w:val="0"/>
            <w:vAlign w:val="center"/>
          </w:tcPr>
          <w:p w14:paraId="634D6D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641" w:type="dxa"/>
            <w:noWrap w:val="0"/>
            <w:vAlign w:val="center"/>
          </w:tcPr>
          <w:p w14:paraId="6344BA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144" w:type="dxa"/>
            <w:noWrap w:val="0"/>
            <w:vAlign w:val="center"/>
          </w:tcPr>
          <w:p w14:paraId="4DCAA6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bidi="ar"/>
              </w:rPr>
            </w:pPr>
          </w:p>
        </w:tc>
      </w:tr>
      <w:tr w14:paraId="6F62D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continue"/>
            <w:noWrap w:val="0"/>
            <w:vAlign w:val="center"/>
          </w:tcPr>
          <w:p w14:paraId="6AFA549A">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90" w:type="dxa"/>
            <w:noWrap w:val="0"/>
            <w:vAlign w:val="center"/>
          </w:tcPr>
          <w:p w14:paraId="777ADE4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TP</w:t>
            </w:r>
          </w:p>
        </w:tc>
        <w:tc>
          <w:tcPr>
            <w:tcW w:w="1701" w:type="dxa"/>
            <w:noWrap w:val="0"/>
            <w:vAlign w:val="center"/>
          </w:tcPr>
          <w:p w14:paraId="1C2D23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bidi="ar"/>
              </w:rPr>
            </w:pPr>
          </w:p>
        </w:tc>
        <w:tc>
          <w:tcPr>
            <w:tcW w:w="1276" w:type="dxa"/>
            <w:noWrap w:val="0"/>
            <w:vAlign w:val="center"/>
          </w:tcPr>
          <w:p w14:paraId="6B6CE08C">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yellow"/>
              </w:rPr>
            </w:pPr>
          </w:p>
        </w:tc>
        <w:tc>
          <w:tcPr>
            <w:tcW w:w="1701" w:type="dxa"/>
            <w:noWrap w:val="0"/>
            <w:vAlign w:val="center"/>
          </w:tcPr>
          <w:p w14:paraId="776DDF37">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yellow"/>
              </w:rPr>
            </w:pPr>
          </w:p>
        </w:tc>
        <w:tc>
          <w:tcPr>
            <w:tcW w:w="1559" w:type="dxa"/>
            <w:noWrap w:val="0"/>
            <w:vAlign w:val="center"/>
          </w:tcPr>
          <w:p w14:paraId="4A5AE9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761" w:type="dxa"/>
            <w:noWrap w:val="0"/>
            <w:vAlign w:val="center"/>
          </w:tcPr>
          <w:p w14:paraId="13F12F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641" w:type="dxa"/>
            <w:noWrap w:val="0"/>
            <w:vAlign w:val="center"/>
          </w:tcPr>
          <w:p w14:paraId="4BD9B7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144" w:type="dxa"/>
            <w:noWrap w:val="0"/>
            <w:vAlign w:val="center"/>
          </w:tcPr>
          <w:p w14:paraId="35CBC0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bidi="ar"/>
              </w:rPr>
            </w:pPr>
          </w:p>
        </w:tc>
      </w:tr>
      <w:tr w14:paraId="7E130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continue"/>
            <w:noWrap w:val="0"/>
            <w:vAlign w:val="center"/>
          </w:tcPr>
          <w:p w14:paraId="3A0FAA18">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90" w:type="dxa"/>
            <w:noWrap w:val="0"/>
            <w:vAlign w:val="center"/>
          </w:tcPr>
          <w:p w14:paraId="1EC4145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COD</w:t>
            </w:r>
          </w:p>
        </w:tc>
        <w:tc>
          <w:tcPr>
            <w:tcW w:w="1701" w:type="dxa"/>
            <w:noWrap w:val="0"/>
            <w:vAlign w:val="center"/>
          </w:tcPr>
          <w:p w14:paraId="503B39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bidi="ar"/>
              </w:rPr>
            </w:pPr>
          </w:p>
        </w:tc>
        <w:tc>
          <w:tcPr>
            <w:tcW w:w="1276" w:type="dxa"/>
            <w:noWrap w:val="0"/>
            <w:vAlign w:val="center"/>
          </w:tcPr>
          <w:p w14:paraId="038C08A7">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yellow"/>
              </w:rPr>
            </w:pPr>
          </w:p>
        </w:tc>
        <w:tc>
          <w:tcPr>
            <w:tcW w:w="1701" w:type="dxa"/>
            <w:noWrap w:val="0"/>
            <w:vAlign w:val="center"/>
          </w:tcPr>
          <w:p w14:paraId="05609359">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yellow"/>
              </w:rPr>
            </w:pPr>
          </w:p>
        </w:tc>
        <w:tc>
          <w:tcPr>
            <w:tcW w:w="1559" w:type="dxa"/>
            <w:noWrap w:val="0"/>
            <w:vAlign w:val="center"/>
          </w:tcPr>
          <w:p w14:paraId="29B69C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761" w:type="dxa"/>
            <w:noWrap w:val="0"/>
            <w:vAlign w:val="center"/>
          </w:tcPr>
          <w:p w14:paraId="3EF955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641" w:type="dxa"/>
            <w:noWrap w:val="0"/>
            <w:vAlign w:val="center"/>
          </w:tcPr>
          <w:p w14:paraId="37001A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144" w:type="dxa"/>
            <w:noWrap w:val="0"/>
            <w:vAlign w:val="center"/>
          </w:tcPr>
          <w:p w14:paraId="413C83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bidi="ar"/>
              </w:rPr>
            </w:pPr>
          </w:p>
        </w:tc>
      </w:tr>
      <w:tr w14:paraId="7AAF0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continue"/>
            <w:noWrap w:val="0"/>
            <w:vAlign w:val="center"/>
          </w:tcPr>
          <w:p w14:paraId="2C23552A">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90" w:type="dxa"/>
            <w:noWrap w:val="0"/>
            <w:vAlign w:val="center"/>
          </w:tcPr>
          <w:p w14:paraId="4BA9D5A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SS</w:t>
            </w:r>
          </w:p>
        </w:tc>
        <w:tc>
          <w:tcPr>
            <w:tcW w:w="1701" w:type="dxa"/>
            <w:noWrap w:val="0"/>
            <w:vAlign w:val="center"/>
          </w:tcPr>
          <w:p w14:paraId="03C37B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bidi="ar"/>
              </w:rPr>
            </w:pPr>
          </w:p>
        </w:tc>
        <w:tc>
          <w:tcPr>
            <w:tcW w:w="1276" w:type="dxa"/>
            <w:noWrap w:val="0"/>
            <w:vAlign w:val="center"/>
          </w:tcPr>
          <w:p w14:paraId="382621B9">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yellow"/>
              </w:rPr>
            </w:pPr>
          </w:p>
        </w:tc>
        <w:tc>
          <w:tcPr>
            <w:tcW w:w="1701" w:type="dxa"/>
            <w:noWrap w:val="0"/>
            <w:vAlign w:val="center"/>
          </w:tcPr>
          <w:p w14:paraId="1150F45B">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yellow"/>
              </w:rPr>
            </w:pPr>
          </w:p>
        </w:tc>
        <w:tc>
          <w:tcPr>
            <w:tcW w:w="1559" w:type="dxa"/>
            <w:noWrap w:val="0"/>
            <w:vAlign w:val="center"/>
          </w:tcPr>
          <w:p w14:paraId="1E8825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761" w:type="dxa"/>
            <w:noWrap w:val="0"/>
            <w:vAlign w:val="center"/>
          </w:tcPr>
          <w:p w14:paraId="1A5471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641" w:type="dxa"/>
            <w:noWrap w:val="0"/>
            <w:vAlign w:val="center"/>
          </w:tcPr>
          <w:p w14:paraId="748B24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yellow"/>
              </w:rPr>
            </w:pPr>
          </w:p>
        </w:tc>
        <w:tc>
          <w:tcPr>
            <w:tcW w:w="1144" w:type="dxa"/>
            <w:noWrap w:val="0"/>
            <w:vAlign w:val="center"/>
          </w:tcPr>
          <w:p w14:paraId="24D53D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bidi="ar"/>
              </w:rPr>
            </w:pPr>
          </w:p>
        </w:tc>
      </w:tr>
      <w:tr w14:paraId="60992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restart"/>
            <w:noWrap w:val="0"/>
            <w:vAlign w:val="center"/>
          </w:tcPr>
          <w:p w14:paraId="4D69A179">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一般工业</w:t>
            </w:r>
          </w:p>
          <w:p w14:paraId="1616D525">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固体废物</w:t>
            </w:r>
          </w:p>
        </w:tc>
        <w:tc>
          <w:tcPr>
            <w:tcW w:w="1590" w:type="dxa"/>
            <w:noWrap w:val="0"/>
            <w:vAlign w:val="center"/>
          </w:tcPr>
          <w:p w14:paraId="230D1519">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锅炉灰渣、除尘灰</w:t>
            </w:r>
          </w:p>
        </w:tc>
        <w:tc>
          <w:tcPr>
            <w:tcW w:w="1701" w:type="dxa"/>
            <w:noWrap w:val="0"/>
            <w:vAlign w:val="center"/>
          </w:tcPr>
          <w:p w14:paraId="6570B6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rPr>
            </w:pPr>
          </w:p>
        </w:tc>
        <w:tc>
          <w:tcPr>
            <w:tcW w:w="1276" w:type="dxa"/>
            <w:noWrap w:val="0"/>
            <w:vAlign w:val="center"/>
          </w:tcPr>
          <w:p w14:paraId="49CBEC6A">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701" w:type="dxa"/>
            <w:noWrap w:val="0"/>
            <w:vAlign w:val="center"/>
          </w:tcPr>
          <w:p w14:paraId="575EF6B7">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59" w:type="dxa"/>
            <w:noWrap w:val="0"/>
            <w:vAlign w:val="center"/>
          </w:tcPr>
          <w:p w14:paraId="2F2FC1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rPr>
            </w:pPr>
          </w:p>
        </w:tc>
        <w:tc>
          <w:tcPr>
            <w:tcW w:w="1761" w:type="dxa"/>
            <w:noWrap w:val="0"/>
            <w:vAlign w:val="center"/>
          </w:tcPr>
          <w:p w14:paraId="536ECA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rPr>
            </w:pPr>
          </w:p>
        </w:tc>
        <w:tc>
          <w:tcPr>
            <w:tcW w:w="1641" w:type="dxa"/>
            <w:noWrap w:val="0"/>
            <w:vAlign w:val="center"/>
          </w:tcPr>
          <w:p w14:paraId="4C4D9A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902.84t/a</w:t>
            </w:r>
          </w:p>
        </w:tc>
        <w:tc>
          <w:tcPr>
            <w:tcW w:w="1144" w:type="dxa"/>
            <w:noWrap w:val="0"/>
            <w:vAlign w:val="center"/>
          </w:tcPr>
          <w:p w14:paraId="5D2596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bidi="ar"/>
              </w:rPr>
            </w:pPr>
          </w:p>
        </w:tc>
      </w:tr>
      <w:tr w14:paraId="77AAE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5" w:type="dxa"/>
            <w:vMerge w:val="continue"/>
            <w:noWrap w:val="0"/>
            <w:vAlign w:val="center"/>
          </w:tcPr>
          <w:p w14:paraId="75638B84">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90" w:type="dxa"/>
            <w:noWrap w:val="0"/>
            <w:vAlign w:val="center"/>
          </w:tcPr>
          <w:p w14:paraId="7D32ACFB">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color w:val="auto"/>
                <w:szCs w:val="21"/>
              </w:rPr>
              <w:t>废离子树脂</w:t>
            </w:r>
          </w:p>
        </w:tc>
        <w:tc>
          <w:tcPr>
            <w:tcW w:w="1701" w:type="dxa"/>
            <w:noWrap w:val="0"/>
            <w:vAlign w:val="center"/>
          </w:tcPr>
          <w:p w14:paraId="4C7DFA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p>
        </w:tc>
        <w:tc>
          <w:tcPr>
            <w:tcW w:w="1276" w:type="dxa"/>
            <w:noWrap w:val="0"/>
            <w:vAlign w:val="center"/>
          </w:tcPr>
          <w:p w14:paraId="6916F90F">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701" w:type="dxa"/>
            <w:noWrap w:val="0"/>
            <w:vAlign w:val="center"/>
          </w:tcPr>
          <w:p w14:paraId="15025990">
            <w:pPr>
              <w:pStyle w:val="83"/>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rPr>
            </w:pPr>
          </w:p>
        </w:tc>
        <w:tc>
          <w:tcPr>
            <w:tcW w:w="1559" w:type="dxa"/>
            <w:noWrap w:val="0"/>
            <w:vAlign w:val="center"/>
          </w:tcPr>
          <w:p w14:paraId="43DEA2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p>
        </w:tc>
        <w:tc>
          <w:tcPr>
            <w:tcW w:w="1761" w:type="dxa"/>
            <w:noWrap w:val="0"/>
            <w:vAlign w:val="center"/>
          </w:tcPr>
          <w:p w14:paraId="718147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p>
        </w:tc>
        <w:tc>
          <w:tcPr>
            <w:tcW w:w="1641" w:type="dxa"/>
            <w:noWrap w:val="0"/>
            <w:vAlign w:val="center"/>
          </w:tcPr>
          <w:p w14:paraId="395B4E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1.2t/a</w:t>
            </w:r>
          </w:p>
        </w:tc>
        <w:tc>
          <w:tcPr>
            <w:tcW w:w="1144" w:type="dxa"/>
            <w:noWrap w:val="0"/>
            <w:vAlign w:val="center"/>
          </w:tcPr>
          <w:p w14:paraId="1C7213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Cs w:val="21"/>
                <w:lang w:bidi="ar"/>
              </w:rPr>
            </w:pPr>
          </w:p>
        </w:tc>
      </w:tr>
    </w:tbl>
    <w:p w14:paraId="2EFEB6A5">
      <w:pPr>
        <w:pStyle w:val="83"/>
        <w:spacing w:before="192" w:beforeLines="80" w:after="24"/>
        <w:jc w:val="left"/>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kern w:val="21"/>
          <w:szCs w:val="21"/>
        </w:rPr>
        <w:t>注：</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6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⑥</w:t>
      </w:r>
      <w:r>
        <w:rPr>
          <w:rFonts w:hint="default" w:ascii="Times New Roman" w:hAnsi="Times New Roman" w:eastAsia="宋体" w:cs="Times New Roman"/>
          <w:snapToGrid w:val="0"/>
          <w:color w:val="auto"/>
          <w:spacing w:val="-16"/>
          <w:kern w:val="21"/>
          <w:szCs w:val="21"/>
        </w:rPr>
        <w:fldChar w:fldCharType="end"/>
      </w:r>
      <w:r>
        <w:rPr>
          <w:rFonts w:hint="default" w:ascii="Times New Roman" w:hAnsi="Times New Roman" w:eastAsia="宋体" w:cs="Times New Roman"/>
          <w:snapToGrid w:val="0"/>
          <w:color w:val="auto"/>
          <w:spacing w:val="-1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1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①</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3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③</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4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④</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5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⑤</w:t>
      </w:r>
      <w:r>
        <w:rPr>
          <w:rFonts w:hint="default" w:ascii="Times New Roman" w:hAnsi="Times New Roman" w:eastAsia="宋体" w:cs="Times New Roman"/>
          <w:snapToGrid w:val="0"/>
          <w:color w:val="auto"/>
          <w:spacing w:val="-16"/>
          <w:kern w:val="21"/>
          <w:szCs w:val="21"/>
        </w:rPr>
        <w:fldChar w:fldCharType="end"/>
      </w:r>
      <w:r>
        <w:rPr>
          <w:rFonts w:hint="default" w:ascii="Times New Roman" w:hAnsi="Times New Roman" w:eastAsia="宋体" w:cs="Times New Roman"/>
          <w:snapToGrid w:val="0"/>
          <w:color w:val="auto"/>
          <w:spacing w:val="-1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7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⑦</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6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⑥</w:t>
      </w:r>
      <w:r>
        <w:rPr>
          <w:rFonts w:hint="default" w:ascii="Times New Roman" w:hAnsi="Times New Roman" w:eastAsia="宋体" w:cs="Times New Roman"/>
          <w:snapToGrid w:val="0"/>
          <w:color w:val="auto"/>
          <w:spacing w:val="-16"/>
          <w:kern w:val="21"/>
          <w:szCs w:val="21"/>
        </w:rPr>
        <w:fldChar w:fldCharType="end"/>
      </w:r>
      <w:r>
        <w:rPr>
          <w:rFonts w:hint="default" w:ascii="Times New Roman" w:hAnsi="Times New Roman" w:eastAsia="宋体" w:cs="Times New Roman"/>
          <w:snapToGrid w:val="0"/>
          <w:color w:val="auto"/>
          <w:spacing w:val="-1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1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①</w:t>
      </w:r>
      <w:r>
        <w:rPr>
          <w:rFonts w:hint="default" w:ascii="Times New Roman" w:hAnsi="Times New Roman" w:eastAsia="宋体" w:cs="Times New Roman"/>
          <w:snapToGrid w:val="0"/>
          <w:color w:val="auto"/>
          <w:spacing w:val="-6"/>
          <w:kern w:val="21"/>
          <w:szCs w:val="21"/>
        </w:rPr>
        <w:fldChar w:fldCharType="end"/>
      </w:r>
    </w:p>
    <w:sectPr>
      <w:footerReference r:id="rId7"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0D"/>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Wingdings 2">
    <w:altName w:val="Symbol"/>
    <w:panose1 w:val="05020102010507070707"/>
    <w:charset w:val="02"/>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Kingsoft U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A4A33">
    <w:pPr>
      <w:pStyle w:val="2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ACD0">
    <w:pPr>
      <w:pStyle w:val="27"/>
      <w:framePr w:wrap="around" w:vAnchor="text" w:hAnchor="margin" w:xAlign="center" w:y="1"/>
      <w:rPr>
        <w:rStyle w:val="39"/>
      </w:rPr>
    </w:pPr>
    <w:r>
      <w:fldChar w:fldCharType="begin"/>
    </w:r>
    <w:r>
      <w:rPr>
        <w:rStyle w:val="39"/>
      </w:rPr>
      <w:instrText xml:space="preserve">PAGE  </w:instrText>
    </w:r>
    <w:r>
      <w:fldChar w:fldCharType="end"/>
    </w:r>
  </w:p>
  <w:p w14:paraId="409B5819">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A97A">
    <w:pPr>
      <w:pStyle w:val="2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7114">
    <w:pPr>
      <w:pStyle w:val="27"/>
      <w:jc w:val="center"/>
      <w:rPr>
        <w:rFonts w:hint="eastAsia"/>
      </w:rPr>
    </w:pPr>
    <w:r>
      <w:fldChar w:fldCharType="begin"/>
    </w:r>
    <w:r>
      <w:instrText xml:space="preserve">PAGE   \* MERGEFORMAT</w:instrText>
    </w:r>
    <w:r>
      <w:fldChar w:fldCharType="separate"/>
    </w:r>
    <w:r>
      <w:rPr>
        <w:lang w:val="zh-CN"/>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3F7D">
    <w:pPr>
      <w:pStyle w:val="27"/>
      <w:framePr w:wrap="around" w:vAnchor="text" w:hAnchor="page" w:x="13800" w:y="-241"/>
      <w:rPr>
        <w:rStyle w:val="39"/>
        <w:rFonts w:ascii="宋体" w:hAnsi="宋体"/>
        <w:sz w:val="28"/>
        <w:szCs w:val="28"/>
      </w:rPr>
    </w:pPr>
    <w:r>
      <w:rPr>
        <w:rStyle w:val="39"/>
        <w:rFonts w:hint="eastAsia" w:ascii="宋体" w:hAnsi="宋体"/>
        <w:sz w:val="28"/>
        <w:szCs w:val="28"/>
      </w:rPr>
      <w:t>—</w:t>
    </w:r>
    <w:r>
      <w:rPr>
        <w:rStyle w:val="39"/>
        <w:rFonts w:hint="eastAsia" w:ascii="宋体" w:hAnsi="宋体"/>
        <w:sz w:val="20"/>
      </w:rPr>
      <w:t xml:space="preserve">  </w:t>
    </w:r>
    <w:r>
      <w:rPr>
        <w:rFonts w:ascii="宋体" w:hAnsi="宋体"/>
        <w:sz w:val="26"/>
        <w:szCs w:val="26"/>
      </w:rPr>
      <w:fldChar w:fldCharType="begin"/>
    </w:r>
    <w:r>
      <w:rPr>
        <w:rStyle w:val="39"/>
        <w:rFonts w:ascii="宋体" w:hAnsi="宋体"/>
        <w:sz w:val="26"/>
        <w:szCs w:val="26"/>
      </w:rPr>
      <w:instrText xml:space="preserve">PAGE  </w:instrText>
    </w:r>
    <w:r>
      <w:rPr>
        <w:rFonts w:ascii="宋体" w:hAnsi="宋体"/>
        <w:sz w:val="26"/>
        <w:szCs w:val="26"/>
      </w:rPr>
      <w:fldChar w:fldCharType="separate"/>
    </w:r>
    <w:r>
      <w:rPr>
        <w:rStyle w:val="39"/>
        <w:rFonts w:ascii="宋体" w:hAnsi="宋体"/>
        <w:sz w:val="26"/>
        <w:szCs w:val="26"/>
      </w:rPr>
      <w:t>56</w:t>
    </w:r>
    <w:r>
      <w:rPr>
        <w:rFonts w:ascii="宋体" w:hAnsi="宋体"/>
        <w:sz w:val="26"/>
        <w:szCs w:val="26"/>
      </w:rPr>
      <w:fldChar w:fldCharType="end"/>
    </w:r>
    <w:r>
      <w:rPr>
        <w:rStyle w:val="39"/>
        <w:rFonts w:hint="eastAsia" w:ascii="宋体" w:hAnsi="宋体"/>
        <w:sz w:val="20"/>
      </w:rPr>
      <w:t xml:space="preserve">  </w:t>
    </w:r>
    <w:r>
      <w:rPr>
        <w:rStyle w:val="39"/>
        <w:rFonts w:hint="eastAsia" w:ascii="宋体" w:hAnsi="宋体"/>
        <w:sz w:val="28"/>
        <w:szCs w:val="28"/>
      </w:rPr>
      <w:t>—</w:t>
    </w:r>
  </w:p>
  <w:p w14:paraId="11AD52D2">
    <w:pPr>
      <w:pStyle w:val="27"/>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F9E68"/>
    <w:multiLevelType w:val="singleLevel"/>
    <w:tmpl w:val="C4CF9E68"/>
    <w:lvl w:ilvl="0" w:tentative="0">
      <w:start w:val="2"/>
      <w:numFmt w:val="decimal"/>
      <w:suff w:val="nothing"/>
      <w:lvlText w:val="%1）"/>
      <w:lvlJc w:val="left"/>
    </w:lvl>
  </w:abstractNum>
  <w:abstractNum w:abstractNumId="1">
    <w:nsid w:val="DCD1543C"/>
    <w:multiLevelType w:val="singleLevel"/>
    <w:tmpl w:val="DCD1543C"/>
    <w:lvl w:ilvl="0" w:tentative="0">
      <w:start w:val="1"/>
      <w:numFmt w:val="decimal"/>
      <w:pStyle w:val="22"/>
      <w:lvlText w:val="%1."/>
      <w:lvlJc w:val="left"/>
      <w:pPr>
        <w:tabs>
          <w:tab w:val="left" w:pos="2040"/>
        </w:tabs>
        <w:ind w:left="2040" w:hanging="360"/>
      </w:pPr>
    </w:lvl>
  </w:abstractNum>
  <w:abstractNum w:abstractNumId="2">
    <w:nsid w:val="FCF921F9"/>
    <w:multiLevelType w:val="singleLevel"/>
    <w:tmpl w:val="FCF921F9"/>
    <w:lvl w:ilvl="0" w:tentative="0">
      <w:start w:val="8"/>
      <w:numFmt w:val="decimal"/>
      <w:lvlText w:val="%1."/>
      <w:lvlJc w:val="left"/>
      <w:pPr>
        <w:tabs>
          <w:tab w:val="left" w:pos="312"/>
        </w:tabs>
      </w:pPr>
    </w:lvl>
  </w:abstractNum>
  <w:abstractNum w:abstractNumId="3">
    <w:nsid w:val="1E1AB956"/>
    <w:multiLevelType w:val="singleLevel"/>
    <w:tmpl w:val="1E1AB956"/>
    <w:lvl w:ilvl="0" w:tentative="0">
      <w:start w:val="4"/>
      <w:numFmt w:val="upperLetter"/>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NWRjOWUxMWMwMmU0YWU2OWE3YjMzMmUzMTMzMjMifQ=="/>
  </w:docVars>
  <w:rsids>
    <w:rsidRoot w:val="00A14947"/>
    <w:rsid w:val="000052C2"/>
    <w:rsid w:val="000060B3"/>
    <w:rsid w:val="000070BA"/>
    <w:rsid w:val="00007FEC"/>
    <w:rsid w:val="0001092E"/>
    <w:rsid w:val="00010BE6"/>
    <w:rsid w:val="00011B85"/>
    <w:rsid w:val="00013157"/>
    <w:rsid w:val="000131F7"/>
    <w:rsid w:val="00013793"/>
    <w:rsid w:val="000169B5"/>
    <w:rsid w:val="00016C64"/>
    <w:rsid w:val="00024598"/>
    <w:rsid w:val="00025B0C"/>
    <w:rsid w:val="000301FF"/>
    <w:rsid w:val="000317C2"/>
    <w:rsid w:val="00031C40"/>
    <w:rsid w:val="00031DF4"/>
    <w:rsid w:val="000329EF"/>
    <w:rsid w:val="00034142"/>
    <w:rsid w:val="00034164"/>
    <w:rsid w:val="000341D5"/>
    <w:rsid w:val="000347FF"/>
    <w:rsid w:val="000355C9"/>
    <w:rsid w:val="0004364B"/>
    <w:rsid w:val="00043844"/>
    <w:rsid w:val="00043F26"/>
    <w:rsid w:val="00050ABB"/>
    <w:rsid w:val="0005104A"/>
    <w:rsid w:val="000515A1"/>
    <w:rsid w:val="000520A9"/>
    <w:rsid w:val="000537F8"/>
    <w:rsid w:val="00054978"/>
    <w:rsid w:val="00054B7F"/>
    <w:rsid w:val="00054CD6"/>
    <w:rsid w:val="00060A46"/>
    <w:rsid w:val="00061B1F"/>
    <w:rsid w:val="000625D5"/>
    <w:rsid w:val="00063C1A"/>
    <w:rsid w:val="00064873"/>
    <w:rsid w:val="00064E50"/>
    <w:rsid w:val="000655D3"/>
    <w:rsid w:val="000659F7"/>
    <w:rsid w:val="00066326"/>
    <w:rsid w:val="00066ECA"/>
    <w:rsid w:val="00071A55"/>
    <w:rsid w:val="0007211F"/>
    <w:rsid w:val="000724F9"/>
    <w:rsid w:val="00072E73"/>
    <w:rsid w:val="000730AD"/>
    <w:rsid w:val="000731FD"/>
    <w:rsid w:val="000733C4"/>
    <w:rsid w:val="00073FF6"/>
    <w:rsid w:val="00074783"/>
    <w:rsid w:val="00076016"/>
    <w:rsid w:val="000774F3"/>
    <w:rsid w:val="00080130"/>
    <w:rsid w:val="0008070B"/>
    <w:rsid w:val="000810AC"/>
    <w:rsid w:val="00081A02"/>
    <w:rsid w:val="00082231"/>
    <w:rsid w:val="00087927"/>
    <w:rsid w:val="00087C28"/>
    <w:rsid w:val="0009223F"/>
    <w:rsid w:val="00092D38"/>
    <w:rsid w:val="0009377B"/>
    <w:rsid w:val="000969D4"/>
    <w:rsid w:val="00096D56"/>
    <w:rsid w:val="0009793A"/>
    <w:rsid w:val="000A0F74"/>
    <w:rsid w:val="000A1BCF"/>
    <w:rsid w:val="000A20C9"/>
    <w:rsid w:val="000A2145"/>
    <w:rsid w:val="000A5855"/>
    <w:rsid w:val="000A6143"/>
    <w:rsid w:val="000A6156"/>
    <w:rsid w:val="000A7F02"/>
    <w:rsid w:val="000B01B6"/>
    <w:rsid w:val="000B026C"/>
    <w:rsid w:val="000B058F"/>
    <w:rsid w:val="000B1024"/>
    <w:rsid w:val="000B1C86"/>
    <w:rsid w:val="000B233E"/>
    <w:rsid w:val="000B2A3A"/>
    <w:rsid w:val="000B3A15"/>
    <w:rsid w:val="000B4467"/>
    <w:rsid w:val="000B464D"/>
    <w:rsid w:val="000B4DB9"/>
    <w:rsid w:val="000B56AC"/>
    <w:rsid w:val="000B6399"/>
    <w:rsid w:val="000B77AE"/>
    <w:rsid w:val="000B7EF4"/>
    <w:rsid w:val="000C09AC"/>
    <w:rsid w:val="000C0FEF"/>
    <w:rsid w:val="000C261F"/>
    <w:rsid w:val="000C3740"/>
    <w:rsid w:val="000C38E6"/>
    <w:rsid w:val="000C4686"/>
    <w:rsid w:val="000C6F25"/>
    <w:rsid w:val="000C6F8F"/>
    <w:rsid w:val="000C767F"/>
    <w:rsid w:val="000D064A"/>
    <w:rsid w:val="000D253B"/>
    <w:rsid w:val="000D3383"/>
    <w:rsid w:val="000D4FB8"/>
    <w:rsid w:val="000D5A44"/>
    <w:rsid w:val="000D7401"/>
    <w:rsid w:val="000E0C56"/>
    <w:rsid w:val="000E15B2"/>
    <w:rsid w:val="000E3111"/>
    <w:rsid w:val="000E3ED2"/>
    <w:rsid w:val="000E4540"/>
    <w:rsid w:val="000E570B"/>
    <w:rsid w:val="000E5AF8"/>
    <w:rsid w:val="000F28B2"/>
    <w:rsid w:val="000F41D4"/>
    <w:rsid w:val="000F6BB3"/>
    <w:rsid w:val="000F6C8E"/>
    <w:rsid w:val="000F711F"/>
    <w:rsid w:val="001007FF"/>
    <w:rsid w:val="00101225"/>
    <w:rsid w:val="00101652"/>
    <w:rsid w:val="00101A86"/>
    <w:rsid w:val="00103DC4"/>
    <w:rsid w:val="00105D47"/>
    <w:rsid w:val="00106875"/>
    <w:rsid w:val="00111C8B"/>
    <w:rsid w:val="00112DA5"/>
    <w:rsid w:val="00112DF6"/>
    <w:rsid w:val="001147C1"/>
    <w:rsid w:val="00116DEE"/>
    <w:rsid w:val="00120F97"/>
    <w:rsid w:val="00121125"/>
    <w:rsid w:val="00121E16"/>
    <w:rsid w:val="001223CF"/>
    <w:rsid w:val="00123129"/>
    <w:rsid w:val="00123252"/>
    <w:rsid w:val="00123A7B"/>
    <w:rsid w:val="00124282"/>
    <w:rsid w:val="00125DDC"/>
    <w:rsid w:val="00130809"/>
    <w:rsid w:val="00130A6F"/>
    <w:rsid w:val="00131122"/>
    <w:rsid w:val="00131F42"/>
    <w:rsid w:val="00134237"/>
    <w:rsid w:val="001356CD"/>
    <w:rsid w:val="001357F1"/>
    <w:rsid w:val="0013585F"/>
    <w:rsid w:val="0013637D"/>
    <w:rsid w:val="00137396"/>
    <w:rsid w:val="00140FA8"/>
    <w:rsid w:val="0014123E"/>
    <w:rsid w:val="001419A9"/>
    <w:rsid w:val="00142BA9"/>
    <w:rsid w:val="00142FEB"/>
    <w:rsid w:val="00143A2D"/>
    <w:rsid w:val="00143E96"/>
    <w:rsid w:val="00143EC9"/>
    <w:rsid w:val="0014400F"/>
    <w:rsid w:val="00145A41"/>
    <w:rsid w:val="00151675"/>
    <w:rsid w:val="00151A74"/>
    <w:rsid w:val="00157435"/>
    <w:rsid w:val="0016007F"/>
    <w:rsid w:val="00161112"/>
    <w:rsid w:val="001617B5"/>
    <w:rsid w:val="00161968"/>
    <w:rsid w:val="001625C6"/>
    <w:rsid w:val="0016306D"/>
    <w:rsid w:val="00164607"/>
    <w:rsid w:val="00164CB6"/>
    <w:rsid w:val="00165944"/>
    <w:rsid w:val="00167127"/>
    <w:rsid w:val="0016770F"/>
    <w:rsid w:val="0016797C"/>
    <w:rsid w:val="00172E9D"/>
    <w:rsid w:val="00174DF9"/>
    <w:rsid w:val="00174F78"/>
    <w:rsid w:val="0017504D"/>
    <w:rsid w:val="0017671A"/>
    <w:rsid w:val="00177422"/>
    <w:rsid w:val="00177453"/>
    <w:rsid w:val="00180366"/>
    <w:rsid w:val="001803CE"/>
    <w:rsid w:val="0018075E"/>
    <w:rsid w:val="00183075"/>
    <w:rsid w:val="001830F2"/>
    <w:rsid w:val="001838C2"/>
    <w:rsid w:val="00184590"/>
    <w:rsid w:val="00185F4D"/>
    <w:rsid w:val="001870C6"/>
    <w:rsid w:val="001870D1"/>
    <w:rsid w:val="0018781E"/>
    <w:rsid w:val="00187989"/>
    <w:rsid w:val="0019262D"/>
    <w:rsid w:val="00193942"/>
    <w:rsid w:val="00197DAD"/>
    <w:rsid w:val="001A0C85"/>
    <w:rsid w:val="001A1B35"/>
    <w:rsid w:val="001A2B33"/>
    <w:rsid w:val="001A3730"/>
    <w:rsid w:val="001A48A2"/>
    <w:rsid w:val="001A4EB6"/>
    <w:rsid w:val="001A4FC3"/>
    <w:rsid w:val="001A5316"/>
    <w:rsid w:val="001A620A"/>
    <w:rsid w:val="001A648F"/>
    <w:rsid w:val="001A6F61"/>
    <w:rsid w:val="001B0D02"/>
    <w:rsid w:val="001B24D4"/>
    <w:rsid w:val="001B251C"/>
    <w:rsid w:val="001B3607"/>
    <w:rsid w:val="001B4D89"/>
    <w:rsid w:val="001B72B8"/>
    <w:rsid w:val="001C3C89"/>
    <w:rsid w:val="001C552A"/>
    <w:rsid w:val="001C5E28"/>
    <w:rsid w:val="001C65FC"/>
    <w:rsid w:val="001C69B3"/>
    <w:rsid w:val="001C757E"/>
    <w:rsid w:val="001C7983"/>
    <w:rsid w:val="001D4F85"/>
    <w:rsid w:val="001D5595"/>
    <w:rsid w:val="001D57FC"/>
    <w:rsid w:val="001D6411"/>
    <w:rsid w:val="001D7874"/>
    <w:rsid w:val="001D7F22"/>
    <w:rsid w:val="001E0C56"/>
    <w:rsid w:val="001E253C"/>
    <w:rsid w:val="001E3819"/>
    <w:rsid w:val="001E4929"/>
    <w:rsid w:val="001E4946"/>
    <w:rsid w:val="001E5224"/>
    <w:rsid w:val="001E6F83"/>
    <w:rsid w:val="001F004B"/>
    <w:rsid w:val="001F0F17"/>
    <w:rsid w:val="001F3347"/>
    <w:rsid w:val="001F4FE6"/>
    <w:rsid w:val="001F69E4"/>
    <w:rsid w:val="001F7866"/>
    <w:rsid w:val="00200D57"/>
    <w:rsid w:val="002039AB"/>
    <w:rsid w:val="00205049"/>
    <w:rsid w:val="00207BBE"/>
    <w:rsid w:val="00210B63"/>
    <w:rsid w:val="002125B4"/>
    <w:rsid w:val="00212C56"/>
    <w:rsid w:val="00212F72"/>
    <w:rsid w:val="00213F32"/>
    <w:rsid w:val="00214872"/>
    <w:rsid w:val="00214BDE"/>
    <w:rsid w:val="002155B8"/>
    <w:rsid w:val="00215693"/>
    <w:rsid w:val="002161C5"/>
    <w:rsid w:val="00216C17"/>
    <w:rsid w:val="002233F3"/>
    <w:rsid w:val="00223B9A"/>
    <w:rsid w:val="00224164"/>
    <w:rsid w:val="00224839"/>
    <w:rsid w:val="002249B2"/>
    <w:rsid w:val="00226574"/>
    <w:rsid w:val="002278EC"/>
    <w:rsid w:val="00230C6D"/>
    <w:rsid w:val="00231811"/>
    <w:rsid w:val="0023280E"/>
    <w:rsid w:val="00232CDB"/>
    <w:rsid w:val="00234654"/>
    <w:rsid w:val="00236A86"/>
    <w:rsid w:val="002377D1"/>
    <w:rsid w:val="0024349B"/>
    <w:rsid w:val="0024440D"/>
    <w:rsid w:val="00244938"/>
    <w:rsid w:val="00244BDF"/>
    <w:rsid w:val="002456B3"/>
    <w:rsid w:val="00246AE2"/>
    <w:rsid w:val="00247482"/>
    <w:rsid w:val="002506BC"/>
    <w:rsid w:val="002511A6"/>
    <w:rsid w:val="00251B25"/>
    <w:rsid w:val="00253953"/>
    <w:rsid w:val="00254345"/>
    <w:rsid w:val="00260EA7"/>
    <w:rsid w:val="00260FEF"/>
    <w:rsid w:val="00262C3A"/>
    <w:rsid w:val="00263F61"/>
    <w:rsid w:val="00264557"/>
    <w:rsid w:val="00264A64"/>
    <w:rsid w:val="00265C52"/>
    <w:rsid w:val="00266DD0"/>
    <w:rsid w:val="002706D9"/>
    <w:rsid w:val="00271324"/>
    <w:rsid w:val="00272078"/>
    <w:rsid w:val="00274760"/>
    <w:rsid w:val="0028037B"/>
    <w:rsid w:val="002805AB"/>
    <w:rsid w:val="00283989"/>
    <w:rsid w:val="00284204"/>
    <w:rsid w:val="002849D8"/>
    <w:rsid w:val="002856F5"/>
    <w:rsid w:val="00285959"/>
    <w:rsid w:val="00287C1A"/>
    <w:rsid w:val="002903F1"/>
    <w:rsid w:val="002907C1"/>
    <w:rsid w:val="00291773"/>
    <w:rsid w:val="00291792"/>
    <w:rsid w:val="00291930"/>
    <w:rsid w:val="00291ED6"/>
    <w:rsid w:val="00292953"/>
    <w:rsid w:val="00295D40"/>
    <w:rsid w:val="0029638E"/>
    <w:rsid w:val="002A092C"/>
    <w:rsid w:val="002A168C"/>
    <w:rsid w:val="002A3DC7"/>
    <w:rsid w:val="002A5579"/>
    <w:rsid w:val="002A6372"/>
    <w:rsid w:val="002B16BF"/>
    <w:rsid w:val="002B25C8"/>
    <w:rsid w:val="002B2AEA"/>
    <w:rsid w:val="002B3DC0"/>
    <w:rsid w:val="002B4693"/>
    <w:rsid w:val="002B49E2"/>
    <w:rsid w:val="002B56D4"/>
    <w:rsid w:val="002B7542"/>
    <w:rsid w:val="002B759B"/>
    <w:rsid w:val="002B7B00"/>
    <w:rsid w:val="002B7C44"/>
    <w:rsid w:val="002C19E1"/>
    <w:rsid w:val="002C1BF6"/>
    <w:rsid w:val="002C2B17"/>
    <w:rsid w:val="002C351D"/>
    <w:rsid w:val="002C4902"/>
    <w:rsid w:val="002C6AD8"/>
    <w:rsid w:val="002C7C5D"/>
    <w:rsid w:val="002D0BB4"/>
    <w:rsid w:val="002D2D3C"/>
    <w:rsid w:val="002D3DD0"/>
    <w:rsid w:val="002D57C1"/>
    <w:rsid w:val="002D7329"/>
    <w:rsid w:val="002D7950"/>
    <w:rsid w:val="002E1F3A"/>
    <w:rsid w:val="002E298A"/>
    <w:rsid w:val="002E5C31"/>
    <w:rsid w:val="002E69C7"/>
    <w:rsid w:val="002E718C"/>
    <w:rsid w:val="002F3E5E"/>
    <w:rsid w:val="002F57BA"/>
    <w:rsid w:val="002F5DEE"/>
    <w:rsid w:val="002F7333"/>
    <w:rsid w:val="002F7591"/>
    <w:rsid w:val="002F7EC3"/>
    <w:rsid w:val="00300167"/>
    <w:rsid w:val="0030054F"/>
    <w:rsid w:val="003008D0"/>
    <w:rsid w:val="00300DFC"/>
    <w:rsid w:val="00300F36"/>
    <w:rsid w:val="00301978"/>
    <w:rsid w:val="0030332C"/>
    <w:rsid w:val="00303680"/>
    <w:rsid w:val="00304F39"/>
    <w:rsid w:val="003051C2"/>
    <w:rsid w:val="00305EF3"/>
    <w:rsid w:val="00306E4C"/>
    <w:rsid w:val="00307069"/>
    <w:rsid w:val="003100E8"/>
    <w:rsid w:val="0031164E"/>
    <w:rsid w:val="00312296"/>
    <w:rsid w:val="003123DC"/>
    <w:rsid w:val="00314F0E"/>
    <w:rsid w:val="00321D8E"/>
    <w:rsid w:val="0032367A"/>
    <w:rsid w:val="00325928"/>
    <w:rsid w:val="0032658B"/>
    <w:rsid w:val="00332224"/>
    <w:rsid w:val="00332863"/>
    <w:rsid w:val="0033684D"/>
    <w:rsid w:val="00337B42"/>
    <w:rsid w:val="00340EA3"/>
    <w:rsid w:val="00341B42"/>
    <w:rsid w:val="00341CE7"/>
    <w:rsid w:val="0034348F"/>
    <w:rsid w:val="00344B7E"/>
    <w:rsid w:val="00345943"/>
    <w:rsid w:val="00345D4F"/>
    <w:rsid w:val="00346A58"/>
    <w:rsid w:val="00347CCE"/>
    <w:rsid w:val="00350928"/>
    <w:rsid w:val="003510BB"/>
    <w:rsid w:val="00351115"/>
    <w:rsid w:val="00352ECE"/>
    <w:rsid w:val="003550FC"/>
    <w:rsid w:val="00356653"/>
    <w:rsid w:val="003569ED"/>
    <w:rsid w:val="0035743F"/>
    <w:rsid w:val="00357BE2"/>
    <w:rsid w:val="00360F5C"/>
    <w:rsid w:val="0036170C"/>
    <w:rsid w:val="00362D03"/>
    <w:rsid w:val="00363571"/>
    <w:rsid w:val="00365338"/>
    <w:rsid w:val="00366E0F"/>
    <w:rsid w:val="00370084"/>
    <w:rsid w:val="003711E0"/>
    <w:rsid w:val="00373E24"/>
    <w:rsid w:val="00374590"/>
    <w:rsid w:val="00381A72"/>
    <w:rsid w:val="00381BFC"/>
    <w:rsid w:val="00382659"/>
    <w:rsid w:val="0038405B"/>
    <w:rsid w:val="00384676"/>
    <w:rsid w:val="00384B5A"/>
    <w:rsid w:val="00384C9C"/>
    <w:rsid w:val="00387339"/>
    <w:rsid w:val="003902DC"/>
    <w:rsid w:val="00390857"/>
    <w:rsid w:val="00391841"/>
    <w:rsid w:val="003946AB"/>
    <w:rsid w:val="003951B8"/>
    <w:rsid w:val="00395B44"/>
    <w:rsid w:val="003969CE"/>
    <w:rsid w:val="00396ED8"/>
    <w:rsid w:val="0039716A"/>
    <w:rsid w:val="0039767D"/>
    <w:rsid w:val="003A0E80"/>
    <w:rsid w:val="003A2144"/>
    <w:rsid w:val="003A3561"/>
    <w:rsid w:val="003A4BF3"/>
    <w:rsid w:val="003A7DEB"/>
    <w:rsid w:val="003B016F"/>
    <w:rsid w:val="003B2EB1"/>
    <w:rsid w:val="003B420D"/>
    <w:rsid w:val="003B4F0C"/>
    <w:rsid w:val="003B567E"/>
    <w:rsid w:val="003B641F"/>
    <w:rsid w:val="003B6CA2"/>
    <w:rsid w:val="003B751B"/>
    <w:rsid w:val="003C08B7"/>
    <w:rsid w:val="003C1700"/>
    <w:rsid w:val="003C5E3D"/>
    <w:rsid w:val="003C6C16"/>
    <w:rsid w:val="003C7BA7"/>
    <w:rsid w:val="003D01D5"/>
    <w:rsid w:val="003D035C"/>
    <w:rsid w:val="003D1B30"/>
    <w:rsid w:val="003D1E48"/>
    <w:rsid w:val="003D4721"/>
    <w:rsid w:val="003D4B95"/>
    <w:rsid w:val="003D652F"/>
    <w:rsid w:val="003D6DC4"/>
    <w:rsid w:val="003D6E59"/>
    <w:rsid w:val="003D755B"/>
    <w:rsid w:val="003D794D"/>
    <w:rsid w:val="003D7D3B"/>
    <w:rsid w:val="003E0B52"/>
    <w:rsid w:val="003E3058"/>
    <w:rsid w:val="003E4E3B"/>
    <w:rsid w:val="003E4E86"/>
    <w:rsid w:val="003E5253"/>
    <w:rsid w:val="003E5B71"/>
    <w:rsid w:val="003E5B88"/>
    <w:rsid w:val="003E76A9"/>
    <w:rsid w:val="003E79AC"/>
    <w:rsid w:val="003F03D8"/>
    <w:rsid w:val="003F0809"/>
    <w:rsid w:val="003F08F6"/>
    <w:rsid w:val="003F55E7"/>
    <w:rsid w:val="003F5D1A"/>
    <w:rsid w:val="003F6A8C"/>
    <w:rsid w:val="003F755C"/>
    <w:rsid w:val="00403712"/>
    <w:rsid w:val="00403AEC"/>
    <w:rsid w:val="00403B6E"/>
    <w:rsid w:val="00404C9C"/>
    <w:rsid w:val="00405D82"/>
    <w:rsid w:val="00406CA5"/>
    <w:rsid w:val="00406F01"/>
    <w:rsid w:val="0041196B"/>
    <w:rsid w:val="00411F73"/>
    <w:rsid w:val="0041386D"/>
    <w:rsid w:val="004138B7"/>
    <w:rsid w:val="00416D50"/>
    <w:rsid w:val="00416FD5"/>
    <w:rsid w:val="00417772"/>
    <w:rsid w:val="00420653"/>
    <w:rsid w:val="00420E6A"/>
    <w:rsid w:val="00421F3F"/>
    <w:rsid w:val="004224EE"/>
    <w:rsid w:val="004239FA"/>
    <w:rsid w:val="00424B8A"/>
    <w:rsid w:val="00424EE4"/>
    <w:rsid w:val="00424F1E"/>
    <w:rsid w:val="00425301"/>
    <w:rsid w:val="00425A9E"/>
    <w:rsid w:val="00426D6B"/>
    <w:rsid w:val="00427051"/>
    <w:rsid w:val="0042738D"/>
    <w:rsid w:val="00427B29"/>
    <w:rsid w:val="0043053F"/>
    <w:rsid w:val="00431131"/>
    <w:rsid w:val="00431988"/>
    <w:rsid w:val="00431E6C"/>
    <w:rsid w:val="00431FAD"/>
    <w:rsid w:val="004327A2"/>
    <w:rsid w:val="00433CE7"/>
    <w:rsid w:val="00436885"/>
    <w:rsid w:val="004379C2"/>
    <w:rsid w:val="00437BF2"/>
    <w:rsid w:val="00442BED"/>
    <w:rsid w:val="00442F4F"/>
    <w:rsid w:val="004435FF"/>
    <w:rsid w:val="00443B4E"/>
    <w:rsid w:val="00446D09"/>
    <w:rsid w:val="0044716D"/>
    <w:rsid w:val="00447463"/>
    <w:rsid w:val="00450639"/>
    <w:rsid w:val="0045148D"/>
    <w:rsid w:val="00452738"/>
    <w:rsid w:val="00454287"/>
    <w:rsid w:val="00456091"/>
    <w:rsid w:val="00460A1A"/>
    <w:rsid w:val="00460B1B"/>
    <w:rsid w:val="00460D17"/>
    <w:rsid w:val="00461CB0"/>
    <w:rsid w:val="00461F54"/>
    <w:rsid w:val="00461F93"/>
    <w:rsid w:val="0046238A"/>
    <w:rsid w:val="00463C03"/>
    <w:rsid w:val="004644F8"/>
    <w:rsid w:val="004657C0"/>
    <w:rsid w:val="00466321"/>
    <w:rsid w:val="0046652A"/>
    <w:rsid w:val="00467635"/>
    <w:rsid w:val="00467C6A"/>
    <w:rsid w:val="00472414"/>
    <w:rsid w:val="004739EF"/>
    <w:rsid w:val="00473FA1"/>
    <w:rsid w:val="004758BC"/>
    <w:rsid w:val="00480DFE"/>
    <w:rsid w:val="004829A8"/>
    <w:rsid w:val="00482F9B"/>
    <w:rsid w:val="0048310F"/>
    <w:rsid w:val="0048414E"/>
    <w:rsid w:val="00484458"/>
    <w:rsid w:val="00484B9B"/>
    <w:rsid w:val="004855F6"/>
    <w:rsid w:val="00486022"/>
    <w:rsid w:val="0048661E"/>
    <w:rsid w:val="0048728B"/>
    <w:rsid w:val="00492AFC"/>
    <w:rsid w:val="00492BA6"/>
    <w:rsid w:val="00492D77"/>
    <w:rsid w:val="00493119"/>
    <w:rsid w:val="00493EEB"/>
    <w:rsid w:val="00494670"/>
    <w:rsid w:val="00495923"/>
    <w:rsid w:val="00497103"/>
    <w:rsid w:val="004A02FA"/>
    <w:rsid w:val="004A0808"/>
    <w:rsid w:val="004A0933"/>
    <w:rsid w:val="004A097E"/>
    <w:rsid w:val="004A2E15"/>
    <w:rsid w:val="004A3823"/>
    <w:rsid w:val="004A3B94"/>
    <w:rsid w:val="004A4A58"/>
    <w:rsid w:val="004A4F0A"/>
    <w:rsid w:val="004A6B0C"/>
    <w:rsid w:val="004A6C29"/>
    <w:rsid w:val="004B147A"/>
    <w:rsid w:val="004B2283"/>
    <w:rsid w:val="004B2FA4"/>
    <w:rsid w:val="004B3944"/>
    <w:rsid w:val="004B3E1F"/>
    <w:rsid w:val="004B4E8F"/>
    <w:rsid w:val="004B78BE"/>
    <w:rsid w:val="004B7E4E"/>
    <w:rsid w:val="004C0228"/>
    <w:rsid w:val="004C1922"/>
    <w:rsid w:val="004C1BA6"/>
    <w:rsid w:val="004C377D"/>
    <w:rsid w:val="004C640A"/>
    <w:rsid w:val="004C6FBD"/>
    <w:rsid w:val="004C7278"/>
    <w:rsid w:val="004C7337"/>
    <w:rsid w:val="004C79A7"/>
    <w:rsid w:val="004C7AB8"/>
    <w:rsid w:val="004D0924"/>
    <w:rsid w:val="004D38FC"/>
    <w:rsid w:val="004D3C50"/>
    <w:rsid w:val="004D3EA8"/>
    <w:rsid w:val="004D44F6"/>
    <w:rsid w:val="004D4F6C"/>
    <w:rsid w:val="004D53DE"/>
    <w:rsid w:val="004D5ADD"/>
    <w:rsid w:val="004D7DF7"/>
    <w:rsid w:val="004D7F96"/>
    <w:rsid w:val="004E3049"/>
    <w:rsid w:val="004E4104"/>
    <w:rsid w:val="004E5FF7"/>
    <w:rsid w:val="004E6946"/>
    <w:rsid w:val="004E7985"/>
    <w:rsid w:val="004F1AD8"/>
    <w:rsid w:val="004F55D7"/>
    <w:rsid w:val="004F6490"/>
    <w:rsid w:val="004F6536"/>
    <w:rsid w:val="004F664C"/>
    <w:rsid w:val="004F785A"/>
    <w:rsid w:val="00500661"/>
    <w:rsid w:val="005013B7"/>
    <w:rsid w:val="00501F10"/>
    <w:rsid w:val="005039CB"/>
    <w:rsid w:val="005041BC"/>
    <w:rsid w:val="0050498E"/>
    <w:rsid w:val="00505310"/>
    <w:rsid w:val="0050558F"/>
    <w:rsid w:val="00505D0B"/>
    <w:rsid w:val="00506286"/>
    <w:rsid w:val="00506556"/>
    <w:rsid w:val="00506EFB"/>
    <w:rsid w:val="00507FA6"/>
    <w:rsid w:val="00510813"/>
    <w:rsid w:val="00511990"/>
    <w:rsid w:val="00511DE0"/>
    <w:rsid w:val="005135AD"/>
    <w:rsid w:val="00514870"/>
    <w:rsid w:val="00514894"/>
    <w:rsid w:val="00514B9B"/>
    <w:rsid w:val="00517F02"/>
    <w:rsid w:val="0052082B"/>
    <w:rsid w:val="00522DAD"/>
    <w:rsid w:val="005235C0"/>
    <w:rsid w:val="00523883"/>
    <w:rsid w:val="00523E16"/>
    <w:rsid w:val="00524303"/>
    <w:rsid w:val="00524AB7"/>
    <w:rsid w:val="00525748"/>
    <w:rsid w:val="005258A2"/>
    <w:rsid w:val="00526D76"/>
    <w:rsid w:val="00527DE3"/>
    <w:rsid w:val="005308BA"/>
    <w:rsid w:val="0053109D"/>
    <w:rsid w:val="00531E4D"/>
    <w:rsid w:val="00535FDA"/>
    <w:rsid w:val="00536F94"/>
    <w:rsid w:val="00537557"/>
    <w:rsid w:val="00537A71"/>
    <w:rsid w:val="00540187"/>
    <w:rsid w:val="005401AE"/>
    <w:rsid w:val="00541910"/>
    <w:rsid w:val="005428AF"/>
    <w:rsid w:val="00542E07"/>
    <w:rsid w:val="005431BB"/>
    <w:rsid w:val="00543F68"/>
    <w:rsid w:val="00545424"/>
    <w:rsid w:val="00551BF0"/>
    <w:rsid w:val="005521B0"/>
    <w:rsid w:val="005523D9"/>
    <w:rsid w:val="00554A7B"/>
    <w:rsid w:val="0055572C"/>
    <w:rsid w:val="00556608"/>
    <w:rsid w:val="00556B80"/>
    <w:rsid w:val="00557CBA"/>
    <w:rsid w:val="00560066"/>
    <w:rsid w:val="005609C6"/>
    <w:rsid w:val="0056104C"/>
    <w:rsid w:val="0056106A"/>
    <w:rsid w:val="00561540"/>
    <w:rsid w:val="005615A2"/>
    <w:rsid w:val="005616EE"/>
    <w:rsid w:val="00562A0B"/>
    <w:rsid w:val="00563491"/>
    <w:rsid w:val="00564C8F"/>
    <w:rsid w:val="00565407"/>
    <w:rsid w:val="0056549D"/>
    <w:rsid w:val="0056574E"/>
    <w:rsid w:val="00570758"/>
    <w:rsid w:val="005720AE"/>
    <w:rsid w:val="00575286"/>
    <w:rsid w:val="005752B3"/>
    <w:rsid w:val="0058018B"/>
    <w:rsid w:val="0058240C"/>
    <w:rsid w:val="0058284B"/>
    <w:rsid w:val="00583E3A"/>
    <w:rsid w:val="00585BC7"/>
    <w:rsid w:val="005866CC"/>
    <w:rsid w:val="00586738"/>
    <w:rsid w:val="0059114C"/>
    <w:rsid w:val="0059216E"/>
    <w:rsid w:val="00592208"/>
    <w:rsid w:val="00594D77"/>
    <w:rsid w:val="00596282"/>
    <w:rsid w:val="005969E4"/>
    <w:rsid w:val="00597F1D"/>
    <w:rsid w:val="005A06B7"/>
    <w:rsid w:val="005A1759"/>
    <w:rsid w:val="005A2219"/>
    <w:rsid w:val="005A300E"/>
    <w:rsid w:val="005A32C4"/>
    <w:rsid w:val="005A34D3"/>
    <w:rsid w:val="005A37AE"/>
    <w:rsid w:val="005A45BD"/>
    <w:rsid w:val="005A46D9"/>
    <w:rsid w:val="005A68A7"/>
    <w:rsid w:val="005B22D9"/>
    <w:rsid w:val="005B26D8"/>
    <w:rsid w:val="005B2C96"/>
    <w:rsid w:val="005B331A"/>
    <w:rsid w:val="005B360B"/>
    <w:rsid w:val="005B48EF"/>
    <w:rsid w:val="005B5539"/>
    <w:rsid w:val="005B6B78"/>
    <w:rsid w:val="005B75F3"/>
    <w:rsid w:val="005C197B"/>
    <w:rsid w:val="005C1CE1"/>
    <w:rsid w:val="005C2A98"/>
    <w:rsid w:val="005C5030"/>
    <w:rsid w:val="005C561E"/>
    <w:rsid w:val="005C640E"/>
    <w:rsid w:val="005C69AB"/>
    <w:rsid w:val="005D14C6"/>
    <w:rsid w:val="005D1820"/>
    <w:rsid w:val="005D19D9"/>
    <w:rsid w:val="005D2C07"/>
    <w:rsid w:val="005D36AB"/>
    <w:rsid w:val="005D6C0A"/>
    <w:rsid w:val="005E0EDD"/>
    <w:rsid w:val="005E143F"/>
    <w:rsid w:val="005E17AE"/>
    <w:rsid w:val="005E250B"/>
    <w:rsid w:val="005E407E"/>
    <w:rsid w:val="005E53EB"/>
    <w:rsid w:val="005E54CF"/>
    <w:rsid w:val="005E5AFF"/>
    <w:rsid w:val="005E6DB9"/>
    <w:rsid w:val="005E7F64"/>
    <w:rsid w:val="005F3A74"/>
    <w:rsid w:val="005F7167"/>
    <w:rsid w:val="00601759"/>
    <w:rsid w:val="00602D7F"/>
    <w:rsid w:val="00602FA9"/>
    <w:rsid w:val="00603E0E"/>
    <w:rsid w:val="00605AEF"/>
    <w:rsid w:val="006067CE"/>
    <w:rsid w:val="0061263A"/>
    <w:rsid w:val="006126BB"/>
    <w:rsid w:val="00612FCA"/>
    <w:rsid w:val="00617203"/>
    <w:rsid w:val="00617CC3"/>
    <w:rsid w:val="0062157B"/>
    <w:rsid w:val="0062165B"/>
    <w:rsid w:val="00622647"/>
    <w:rsid w:val="00622707"/>
    <w:rsid w:val="00625813"/>
    <w:rsid w:val="006263B8"/>
    <w:rsid w:val="006272C3"/>
    <w:rsid w:val="006304FE"/>
    <w:rsid w:val="006334C3"/>
    <w:rsid w:val="00633526"/>
    <w:rsid w:val="00633DE9"/>
    <w:rsid w:val="00636F80"/>
    <w:rsid w:val="006377A6"/>
    <w:rsid w:val="006378D5"/>
    <w:rsid w:val="00637A3D"/>
    <w:rsid w:val="00637EA1"/>
    <w:rsid w:val="00640298"/>
    <w:rsid w:val="00640770"/>
    <w:rsid w:val="006411EF"/>
    <w:rsid w:val="0064128D"/>
    <w:rsid w:val="0064538D"/>
    <w:rsid w:val="00645B14"/>
    <w:rsid w:val="00650832"/>
    <w:rsid w:val="00651270"/>
    <w:rsid w:val="00653F2C"/>
    <w:rsid w:val="00655AED"/>
    <w:rsid w:val="00656364"/>
    <w:rsid w:val="00661136"/>
    <w:rsid w:val="006704E8"/>
    <w:rsid w:val="00670899"/>
    <w:rsid w:val="006725B0"/>
    <w:rsid w:val="006725E9"/>
    <w:rsid w:val="00673D70"/>
    <w:rsid w:val="006748B8"/>
    <w:rsid w:val="00674D02"/>
    <w:rsid w:val="0067560C"/>
    <w:rsid w:val="00675D3A"/>
    <w:rsid w:val="00676161"/>
    <w:rsid w:val="006775C3"/>
    <w:rsid w:val="00680BD5"/>
    <w:rsid w:val="00681905"/>
    <w:rsid w:val="006821F7"/>
    <w:rsid w:val="0068321B"/>
    <w:rsid w:val="00685846"/>
    <w:rsid w:val="00686055"/>
    <w:rsid w:val="0068738E"/>
    <w:rsid w:val="0069023A"/>
    <w:rsid w:val="00691706"/>
    <w:rsid w:val="0069290A"/>
    <w:rsid w:val="00693615"/>
    <w:rsid w:val="00693FEC"/>
    <w:rsid w:val="006945CD"/>
    <w:rsid w:val="00695AC9"/>
    <w:rsid w:val="0069775A"/>
    <w:rsid w:val="00697813"/>
    <w:rsid w:val="00697B18"/>
    <w:rsid w:val="006A07AD"/>
    <w:rsid w:val="006A2B76"/>
    <w:rsid w:val="006A3EE8"/>
    <w:rsid w:val="006A42F5"/>
    <w:rsid w:val="006A4414"/>
    <w:rsid w:val="006A61EC"/>
    <w:rsid w:val="006A6567"/>
    <w:rsid w:val="006A7048"/>
    <w:rsid w:val="006A706E"/>
    <w:rsid w:val="006A72BF"/>
    <w:rsid w:val="006B03F2"/>
    <w:rsid w:val="006B2CB8"/>
    <w:rsid w:val="006B37DC"/>
    <w:rsid w:val="006B4F68"/>
    <w:rsid w:val="006B78A5"/>
    <w:rsid w:val="006C0592"/>
    <w:rsid w:val="006C0750"/>
    <w:rsid w:val="006C272E"/>
    <w:rsid w:val="006C2D75"/>
    <w:rsid w:val="006C380D"/>
    <w:rsid w:val="006C5479"/>
    <w:rsid w:val="006C5C5C"/>
    <w:rsid w:val="006C61C1"/>
    <w:rsid w:val="006D04A0"/>
    <w:rsid w:val="006D08E1"/>
    <w:rsid w:val="006D12A5"/>
    <w:rsid w:val="006D13B5"/>
    <w:rsid w:val="006D3436"/>
    <w:rsid w:val="006D37EE"/>
    <w:rsid w:val="006D3B14"/>
    <w:rsid w:val="006D692F"/>
    <w:rsid w:val="006D75A1"/>
    <w:rsid w:val="006E10AE"/>
    <w:rsid w:val="006E128F"/>
    <w:rsid w:val="006E12FF"/>
    <w:rsid w:val="006E344F"/>
    <w:rsid w:val="006E607E"/>
    <w:rsid w:val="006E6B38"/>
    <w:rsid w:val="006E6F75"/>
    <w:rsid w:val="006E6F8A"/>
    <w:rsid w:val="006E7FCB"/>
    <w:rsid w:val="006F25D6"/>
    <w:rsid w:val="006F2E5C"/>
    <w:rsid w:val="006F371A"/>
    <w:rsid w:val="006F3C38"/>
    <w:rsid w:val="0070182B"/>
    <w:rsid w:val="007023C0"/>
    <w:rsid w:val="00704AB9"/>
    <w:rsid w:val="00705A6F"/>
    <w:rsid w:val="007065EA"/>
    <w:rsid w:val="00706C5D"/>
    <w:rsid w:val="00707D12"/>
    <w:rsid w:val="00722F10"/>
    <w:rsid w:val="0072638F"/>
    <w:rsid w:val="0072676B"/>
    <w:rsid w:val="00726CBC"/>
    <w:rsid w:val="00731F97"/>
    <w:rsid w:val="00732922"/>
    <w:rsid w:val="007337BE"/>
    <w:rsid w:val="00733A94"/>
    <w:rsid w:val="00735044"/>
    <w:rsid w:val="00736F4E"/>
    <w:rsid w:val="0073727E"/>
    <w:rsid w:val="00740FB2"/>
    <w:rsid w:val="007416FC"/>
    <w:rsid w:val="00743902"/>
    <w:rsid w:val="00743D5D"/>
    <w:rsid w:val="00745543"/>
    <w:rsid w:val="007472DB"/>
    <w:rsid w:val="00750069"/>
    <w:rsid w:val="0075162E"/>
    <w:rsid w:val="0075197D"/>
    <w:rsid w:val="007529B7"/>
    <w:rsid w:val="00754034"/>
    <w:rsid w:val="00756556"/>
    <w:rsid w:val="00756B91"/>
    <w:rsid w:val="007603DA"/>
    <w:rsid w:val="007618C4"/>
    <w:rsid w:val="00761BDD"/>
    <w:rsid w:val="00765DAE"/>
    <w:rsid w:val="00767980"/>
    <w:rsid w:val="00767A9E"/>
    <w:rsid w:val="007701E9"/>
    <w:rsid w:val="0077044B"/>
    <w:rsid w:val="00770B19"/>
    <w:rsid w:val="0077463F"/>
    <w:rsid w:val="00781815"/>
    <w:rsid w:val="007820AE"/>
    <w:rsid w:val="007836EA"/>
    <w:rsid w:val="00783F48"/>
    <w:rsid w:val="00784535"/>
    <w:rsid w:val="00784CDA"/>
    <w:rsid w:val="007906C4"/>
    <w:rsid w:val="007917B4"/>
    <w:rsid w:val="00792149"/>
    <w:rsid w:val="007925C7"/>
    <w:rsid w:val="007940EA"/>
    <w:rsid w:val="00796662"/>
    <w:rsid w:val="0079674F"/>
    <w:rsid w:val="007967E8"/>
    <w:rsid w:val="007A2170"/>
    <w:rsid w:val="007A22BF"/>
    <w:rsid w:val="007A32D1"/>
    <w:rsid w:val="007A3323"/>
    <w:rsid w:val="007A3F3A"/>
    <w:rsid w:val="007A5DBB"/>
    <w:rsid w:val="007A68D1"/>
    <w:rsid w:val="007A6962"/>
    <w:rsid w:val="007B35EE"/>
    <w:rsid w:val="007B4B0C"/>
    <w:rsid w:val="007B72B8"/>
    <w:rsid w:val="007B7A58"/>
    <w:rsid w:val="007C0198"/>
    <w:rsid w:val="007C08AA"/>
    <w:rsid w:val="007C1282"/>
    <w:rsid w:val="007C21B5"/>
    <w:rsid w:val="007C3D2E"/>
    <w:rsid w:val="007C54E3"/>
    <w:rsid w:val="007C6977"/>
    <w:rsid w:val="007C710F"/>
    <w:rsid w:val="007D13AF"/>
    <w:rsid w:val="007D201D"/>
    <w:rsid w:val="007D272E"/>
    <w:rsid w:val="007D3DF1"/>
    <w:rsid w:val="007D4881"/>
    <w:rsid w:val="007D7651"/>
    <w:rsid w:val="007E073B"/>
    <w:rsid w:val="007E08B4"/>
    <w:rsid w:val="007E238F"/>
    <w:rsid w:val="007E44CE"/>
    <w:rsid w:val="007E4AB3"/>
    <w:rsid w:val="007E4BD2"/>
    <w:rsid w:val="007E4EC0"/>
    <w:rsid w:val="007E4F8E"/>
    <w:rsid w:val="007E5A4E"/>
    <w:rsid w:val="007E5CEA"/>
    <w:rsid w:val="007E7DEE"/>
    <w:rsid w:val="007F07F6"/>
    <w:rsid w:val="007F2183"/>
    <w:rsid w:val="007F22A6"/>
    <w:rsid w:val="007F3B64"/>
    <w:rsid w:val="007F41A1"/>
    <w:rsid w:val="007F444B"/>
    <w:rsid w:val="00800607"/>
    <w:rsid w:val="00801393"/>
    <w:rsid w:val="00802F88"/>
    <w:rsid w:val="0080398A"/>
    <w:rsid w:val="00803B53"/>
    <w:rsid w:val="00804CDB"/>
    <w:rsid w:val="00805EDA"/>
    <w:rsid w:val="0080698D"/>
    <w:rsid w:val="008102FD"/>
    <w:rsid w:val="0081293E"/>
    <w:rsid w:val="00815465"/>
    <w:rsid w:val="00816705"/>
    <w:rsid w:val="00817E9A"/>
    <w:rsid w:val="0082018B"/>
    <w:rsid w:val="00821D82"/>
    <w:rsid w:val="00822363"/>
    <w:rsid w:val="00823D2F"/>
    <w:rsid w:val="00823D7A"/>
    <w:rsid w:val="008249B6"/>
    <w:rsid w:val="00826672"/>
    <w:rsid w:val="00827752"/>
    <w:rsid w:val="00827F6A"/>
    <w:rsid w:val="00830390"/>
    <w:rsid w:val="008303FF"/>
    <w:rsid w:val="008306BD"/>
    <w:rsid w:val="008306F5"/>
    <w:rsid w:val="00831A80"/>
    <w:rsid w:val="008333E7"/>
    <w:rsid w:val="00833743"/>
    <w:rsid w:val="008340A4"/>
    <w:rsid w:val="00834107"/>
    <w:rsid w:val="00837F91"/>
    <w:rsid w:val="00841DF4"/>
    <w:rsid w:val="008443CA"/>
    <w:rsid w:val="00844B28"/>
    <w:rsid w:val="00846C19"/>
    <w:rsid w:val="00846FA0"/>
    <w:rsid w:val="00847150"/>
    <w:rsid w:val="00847C0F"/>
    <w:rsid w:val="00847C29"/>
    <w:rsid w:val="00850633"/>
    <w:rsid w:val="00852EBE"/>
    <w:rsid w:val="008564D6"/>
    <w:rsid w:val="008609D9"/>
    <w:rsid w:val="0086384C"/>
    <w:rsid w:val="00864321"/>
    <w:rsid w:val="00864D20"/>
    <w:rsid w:val="008650CA"/>
    <w:rsid w:val="00865988"/>
    <w:rsid w:val="00865C1D"/>
    <w:rsid w:val="00867D4A"/>
    <w:rsid w:val="0087025E"/>
    <w:rsid w:val="0087135F"/>
    <w:rsid w:val="008726CE"/>
    <w:rsid w:val="00872D94"/>
    <w:rsid w:val="00873FF7"/>
    <w:rsid w:val="00874D93"/>
    <w:rsid w:val="00875DC3"/>
    <w:rsid w:val="00876E7B"/>
    <w:rsid w:val="008774DB"/>
    <w:rsid w:val="008779C1"/>
    <w:rsid w:val="00877B35"/>
    <w:rsid w:val="00880364"/>
    <w:rsid w:val="00880367"/>
    <w:rsid w:val="0088152E"/>
    <w:rsid w:val="008815F3"/>
    <w:rsid w:val="00881A3E"/>
    <w:rsid w:val="00881FE9"/>
    <w:rsid w:val="00884370"/>
    <w:rsid w:val="00885F91"/>
    <w:rsid w:val="008865C1"/>
    <w:rsid w:val="00891592"/>
    <w:rsid w:val="00891E9E"/>
    <w:rsid w:val="00892167"/>
    <w:rsid w:val="008931FF"/>
    <w:rsid w:val="008948EB"/>
    <w:rsid w:val="008A11C3"/>
    <w:rsid w:val="008A1E74"/>
    <w:rsid w:val="008A1FA7"/>
    <w:rsid w:val="008A2F68"/>
    <w:rsid w:val="008A5BFD"/>
    <w:rsid w:val="008A6AD1"/>
    <w:rsid w:val="008A7568"/>
    <w:rsid w:val="008B13EE"/>
    <w:rsid w:val="008B3ADF"/>
    <w:rsid w:val="008B3E5E"/>
    <w:rsid w:val="008B4FA6"/>
    <w:rsid w:val="008B5282"/>
    <w:rsid w:val="008B5FE1"/>
    <w:rsid w:val="008B6100"/>
    <w:rsid w:val="008B7C17"/>
    <w:rsid w:val="008C2D01"/>
    <w:rsid w:val="008C40E6"/>
    <w:rsid w:val="008C5F65"/>
    <w:rsid w:val="008C701B"/>
    <w:rsid w:val="008D0424"/>
    <w:rsid w:val="008D0786"/>
    <w:rsid w:val="008D0F7A"/>
    <w:rsid w:val="008D1C1B"/>
    <w:rsid w:val="008D65E2"/>
    <w:rsid w:val="008D68E4"/>
    <w:rsid w:val="008E0506"/>
    <w:rsid w:val="008E0C7A"/>
    <w:rsid w:val="008E0CFF"/>
    <w:rsid w:val="008E1F76"/>
    <w:rsid w:val="008E5662"/>
    <w:rsid w:val="008E5D6B"/>
    <w:rsid w:val="008E6A0B"/>
    <w:rsid w:val="008E76F0"/>
    <w:rsid w:val="008F025B"/>
    <w:rsid w:val="008F1368"/>
    <w:rsid w:val="008F15FE"/>
    <w:rsid w:val="008F2B6A"/>
    <w:rsid w:val="008F2D29"/>
    <w:rsid w:val="008F2E39"/>
    <w:rsid w:val="008F3B82"/>
    <w:rsid w:val="008F479F"/>
    <w:rsid w:val="008F5187"/>
    <w:rsid w:val="008F5B1B"/>
    <w:rsid w:val="008F5BDA"/>
    <w:rsid w:val="008F60D8"/>
    <w:rsid w:val="008F630D"/>
    <w:rsid w:val="00900436"/>
    <w:rsid w:val="00902727"/>
    <w:rsid w:val="0090312B"/>
    <w:rsid w:val="00903385"/>
    <w:rsid w:val="00903E90"/>
    <w:rsid w:val="009045C9"/>
    <w:rsid w:val="00905281"/>
    <w:rsid w:val="00905DC1"/>
    <w:rsid w:val="00906AF2"/>
    <w:rsid w:val="009073F1"/>
    <w:rsid w:val="00907605"/>
    <w:rsid w:val="00907D56"/>
    <w:rsid w:val="00910616"/>
    <w:rsid w:val="009113D5"/>
    <w:rsid w:val="00912069"/>
    <w:rsid w:val="00914EDE"/>
    <w:rsid w:val="009156AD"/>
    <w:rsid w:val="00916B91"/>
    <w:rsid w:val="0091736D"/>
    <w:rsid w:val="00921059"/>
    <w:rsid w:val="0092262B"/>
    <w:rsid w:val="009230A1"/>
    <w:rsid w:val="009241F4"/>
    <w:rsid w:val="0092425D"/>
    <w:rsid w:val="0093037A"/>
    <w:rsid w:val="0093064F"/>
    <w:rsid w:val="0093308C"/>
    <w:rsid w:val="009334B0"/>
    <w:rsid w:val="009350BA"/>
    <w:rsid w:val="00936008"/>
    <w:rsid w:val="00940F9A"/>
    <w:rsid w:val="0094154D"/>
    <w:rsid w:val="00942E8D"/>
    <w:rsid w:val="009473F6"/>
    <w:rsid w:val="009500CE"/>
    <w:rsid w:val="0095155F"/>
    <w:rsid w:val="00951C3D"/>
    <w:rsid w:val="00952D02"/>
    <w:rsid w:val="00954429"/>
    <w:rsid w:val="00954847"/>
    <w:rsid w:val="009563CE"/>
    <w:rsid w:val="00956E88"/>
    <w:rsid w:val="009612EB"/>
    <w:rsid w:val="00961E21"/>
    <w:rsid w:val="00962BF8"/>
    <w:rsid w:val="0096396A"/>
    <w:rsid w:val="00963C40"/>
    <w:rsid w:val="00964806"/>
    <w:rsid w:val="00964E45"/>
    <w:rsid w:val="00970129"/>
    <w:rsid w:val="0097051F"/>
    <w:rsid w:val="00971EB7"/>
    <w:rsid w:val="0097571C"/>
    <w:rsid w:val="00976328"/>
    <w:rsid w:val="009767C9"/>
    <w:rsid w:val="0097680D"/>
    <w:rsid w:val="00976FC1"/>
    <w:rsid w:val="009777F5"/>
    <w:rsid w:val="00977C9C"/>
    <w:rsid w:val="00980588"/>
    <w:rsid w:val="00982118"/>
    <w:rsid w:val="00982438"/>
    <w:rsid w:val="00983719"/>
    <w:rsid w:val="0098404C"/>
    <w:rsid w:val="00985283"/>
    <w:rsid w:val="00987251"/>
    <w:rsid w:val="0099049A"/>
    <w:rsid w:val="009906C4"/>
    <w:rsid w:val="009952C1"/>
    <w:rsid w:val="00995567"/>
    <w:rsid w:val="00995992"/>
    <w:rsid w:val="00995BD1"/>
    <w:rsid w:val="00995CB2"/>
    <w:rsid w:val="009966DF"/>
    <w:rsid w:val="009A03E5"/>
    <w:rsid w:val="009A0F3B"/>
    <w:rsid w:val="009A1BB4"/>
    <w:rsid w:val="009A2628"/>
    <w:rsid w:val="009A2957"/>
    <w:rsid w:val="009A3126"/>
    <w:rsid w:val="009A3200"/>
    <w:rsid w:val="009A379F"/>
    <w:rsid w:val="009A3D39"/>
    <w:rsid w:val="009A62B1"/>
    <w:rsid w:val="009A670A"/>
    <w:rsid w:val="009B0897"/>
    <w:rsid w:val="009B143F"/>
    <w:rsid w:val="009B3679"/>
    <w:rsid w:val="009B5250"/>
    <w:rsid w:val="009B77A1"/>
    <w:rsid w:val="009B7853"/>
    <w:rsid w:val="009B7BD9"/>
    <w:rsid w:val="009C0A46"/>
    <w:rsid w:val="009C0A83"/>
    <w:rsid w:val="009C3754"/>
    <w:rsid w:val="009C59E7"/>
    <w:rsid w:val="009C7CF5"/>
    <w:rsid w:val="009C7DD5"/>
    <w:rsid w:val="009D1D13"/>
    <w:rsid w:val="009D2F39"/>
    <w:rsid w:val="009E15B1"/>
    <w:rsid w:val="009E227D"/>
    <w:rsid w:val="009E48C9"/>
    <w:rsid w:val="009E4A28"/>
    <w:rsid w:val="009E5019"/>
    <w:rsid w:val="009E6006"/>
    <w:rsid w:val="009E632F"/>
    <w:rsid w:val="009E724E"/>
    <w:rsid w:val="009E7F64"/>
    <w:rsid w:val="009F20DB"/>
    <w:rsid w:val="009F2C21"/>
    <w:rsid w:val="009F3C02"/>
    <w:rsid w:val="009F3E4A"/>
    <w:rsid w:val="009F5E24"/>
    <w:rsid w:val="009F7C63"/>
    <w:rsid w:val="00A01D5D"/>
    <w:rsid w:val="00A04F1B"/>
    <w:rsid w:val="00A0501B"/>
    <w:rsid w:val="00A0525F"/>
    <w:rsid w:val="00A05940"/>
    <w:rsid w:val="00A0664D"/>
    <w:rsid w:val="00A073BF"/>
    <w:rsid w:val="00A118BB"/>
    <w:rsid w:val="00A14947"/>
    <w:rsid w:val="00A16325"/>
    <w:rsid w:val="00A17546"/>
    <w:rsid w:val="00A20FF9"/>
    <w:rsid w:val="00A219BC"/>
    <w:rsid w:val="00A2450D"/>
    <w:rsid w:val="00A24C48"/>
    <w:rsid w:val="00A27CFE"/>
    <w:rsid w:val="00A27D36"/>
    <w:rsid w:val="00A32460"/>
    <w:rsid w:val="00A32A83"/>
    <w:rsid w:val="00A32C3D"/>
    <w:rsid w:val="00A33413"/>
    <w:rsid w:val="00A34F18"/>
    <w:rsid w:val="00A3647F"/>
    <w:rsid w:val="00A368DB"/>
    <w:rsid w:val="00A37360"/>
    <w:rsid w:val="00A37503"/>
    <w:rsid w:val="00A423AA"/>
    <w:rsid w:val="00A42BC1"/>
    <w:rsid w:val="00A4451F"/>
    <w:rsid w:val="00A4677D"/>
    <w:rsid w:val="00A4741E"/>
    <w:rsid w:val="00A53D19"/>
    <w:rsid w:val="00A53EC6"/>
    <w:rsid w:val="00A549A4"/>
    <w:rsid w:val="00A553C1"/>
    <w:rsid w:val="00A55C0F"/>
    <w:rsid w:val="00A57927"/>
    <w:rsid w:val="00A60FA2"/>
    <w:rsid w:val="00A6106F"/>
    <w:rsid w:val="00A61B8B"/>
    <w:rsid w:val="00A61D5F"/>
    <w:rsid w:val="00A63CF5"/>
    <w:rsid w:val="00A63E33"/>
    <w:rsid w:val="00A6422E"/>
    <w:rsid w:val="00A647B6"/>
    <w:rsid w:val="00A661C4"/>
    <w:rsid w:val="00A71B78"/>
    <w:rsid w:val="00A732FA"/>
    <w:rsid w:val="00A76987"/>
    <w:rsid w:val="00A76A1A"/>
    <w:rsid w:val="00A76FB6"/>
    <w:rsid w:val="00A82C3C"/>
    <w:rsid w:val="00A83298"/>
    <w:rsid w:val="00A832CE"/>
    <w:rsid w:val="00A83C45"/>
    <w:rsid w:val="00A859A6"/>
    <w:rsid w:val="00A8713F"/>
    <w:rsid w:val="00A874F4"/>
    <w:rsid w:val="00A9093E"/>
    <w:rsid w:val="00A90BA1"/>
    <w:rsid w:val="00A93730"/>
    <w:rsid w:val="00A93D29"/>
    <w:rsid w:val="00A93F16"/>
    <w:rsid w:val="00A96036"/>
    <w:rsid w:val="00A97100"/>
    <w:rsid w:val="00A97A9A"/>
    <w:rsid w:val="00AA0671"/>
    <w:rsid w:val="00AA10D3"/>
    <w:rsid w:val="00AA2531"/>
    <w:rsid w:val="00AA2868"/>
    <w:rsid w:val="00AA2F79"/>
    <w:rsid w:val="00AA3A23"/>
    <w:rsid w:val="00AA6B58"/>
    <w:rsid w:val="00AB1060"/>
    <w:rsid w:val="00AB1E09"/>
    <w:rsid w:val="00AB41DB"/>
    <w:rsid w:val="00AB5330"/>
    <w:rsid w:val="00AB53E9"/>
    <w:rsid w:val="00AB5F9D"/>
    <w:rsid w:val="00AB7747"/>
    <w:rsid w:val="00AC0CE5"/>
    <w:rsid w:val="00AC14CE"/>
    <w:rsid w:val="00AC2A56"/>
    <w:rsid w:val="00AC569D"/>
    <w:rsid w:val="00AC5C98"/>
    <w:rsid w:val="00AC6483"/>
    <w:rsid w:val="00AD055E"/>
    <w:rsid w:val="00AD1560"/>
    <w:rsid w:val="00AD26EA"/>
    <w:rsid w:val="00AD274B"/>
    <w:rsid w:val="00AD2875"/>
    <w:rsid w:val="00AD47A7"/>
    <w:rsid w:val="00AD4BC3"/>
    <w:rsid w:val="00AE0C4C"/>
    <w:rsid w:val="00AE1816"/>
    <w:rsid w:val="00AE1936"/>
    <w:rsid w:val="00AE2B24"/>
    <w:rsid w:val="00AE444C"/>
    <w:rsid w:val="00AE5F4E"/>
    <w:rsid w:val="00AE6CFA"/>
    <w:rsid w:val="00AE6DCE"/>
    <w:rsid w:val="00AF0CBF"/>
    <w:rsid w:val="00AF1385"/>
    <w:rsid w:val="00AF257F"/>
    <w:rsid w:val="00AF33CF"/>
    <w:rsid w:val="00AF435F"/>
    <w:rsid w:val="00AF43B2"/>
    <w:rsid w:val="00AF4A23"/>
    <w:rsid w:val="00AF4D50"/>
    <w:rsid w:val="00AF58FE"/>
    <w:rsid w:val="00AF6179"/>
    <w:rsid w:val="00AF6A11"/>
    <w:rsid w:val="00AF6E58"/>
    <w:rsid w:val="00AF763A"/>
    <w:rsid w:val="00B04151"/>
    <w:rsid w:val="00B04A79"/>
    <w:rsid w:val="00B04B56"/>
    <w:rsid w:val="00B12197"/>
    <w:rsid w:val="00B1242D"/>
    <w:rsid w:val="00B12843"/>
    <w:rsid w:val="00B1295A"/>
    <w:rsid w:val="00B1341C"/>
    <w:rsid w:val="00B13C06"/>
    <w:rsid w:val="00B148BD"/>
    <w:rsid w:val="00B15329"/>
    <w:rsid w:val="00B15E7E"/>
    <w:rsid w:val="00B20578"/>
    <w:rsid w:val="00B20A45"/>
    <w:rsid w:val="00B22C5C"/>
    <w:rsid w:val="00B23A6B"/>
    <w:rsid w:val="00B24F30"/>
    <w:rsid w:val="00B30E4C"/>
    <w:rsid w:val="00B312DA"/>
    <w:rsid w:val="00B31ABF"/>
    <w:rsid w:val="00B32C3B"/>
    <w:rsid w:val="00B332A9"/>
    <w:rsid w:val="00B33373"/>
    <w:rsid w:val="00B33BE3"/>
    <w:rsid w:val="00B33CC0"/>
    <w:rsid w:val="00B355D8"/>
    <w:rsid w:val="00B36DBD"/>
    <w:rsid w:val="00B371B5"/>
    <w:rsid w:val="00B37E71"/>
    <w:rsid w:val="00B4069F"/>
    <w:rsid w:val="00B4278E"/>
    <w:rsid w:val="00B43262"/>
    <w:rsid w:val="00B4489B"/>
    <w:rsid w:val="00B53B5D"/>
    <w:rsid w:val="00B54D8D"/>
    <w:rsid w:val="00B57E91"/>
    <w:rsid w:val="00B6047C"/>
    <w:rsid w:val="00B6055E"/>
    <w:rsid w:val="00B6089D"/>
    <w:rsid w:val="00B60F43"/>
    <w:rsid w:val="00B6317D"/>
    <w:rsid w:val="00B63444"/>
    <w:rsid w:val="00B64AAD"/>
    <w:rsid w:val="00B66F71"/>
    <w:rsid w:val="00B67277"/>
    <w:rsid w:val="00B678B2"/>
    <w:rsid w:val="00B70717"/>
    <w:rsid w:val="00B712DF"/>
    <w:rsid w:val="00B71305"/>
    <w:rsid w:val="00B720E9"/>
    <w:rsid w:val="00B767B7"/>
    <w:rsid w:val="00B7723F"/>
    <w:rsid w:val="00B80534"/>
    <w:rsid w:val="00B80D10"/>
    <w:rsid w:val="00B80F07"/>
    <w:rsid w:val="00B8106D"/>
    <w:rsid w:val="00B81413"/>
    <w:rsid w:val="00B84310"/>
    <w:rsid w:val="00B8433C"/>
    <w:rsid w:val="00B8525B"/>
    <w:rsid w:val="00B85362"/>
    <w:rsid w:val="00B85C3C"/>
    <w:rsid w:val="00B87491"/>
    <w:rsid w:val="00B87878"/>
    <w:rsid w:val="00B87C40"/>
    <w:rsid w:val="00B91083"/>
    <w:rsid w:val="00B91D42"/>
    <w:rsid w:val="00B9291B"/>
    <w:rsid w:val="00B964E2"/>
    <w:rsid w:val="00B96F25"/>
    <w:rsid w:val="00B971F7"/>
    <w:rsid w:val="00BA277C"/>
    <w:rsid w:val="00BA29E9"/>
    <w:rsid w:val="00BA323E"/>
    <w:rsid w:val="00BA5F66"/>
    <w:rsid w:val="00BA7142"/>
    <w:rsid w:val="00BA798A"/>
    <w:rsid w:val="00BB0EC9"/>
    <w:rsid w:val="00BB107A"/>
    <w:rsid w:val="00BB15D4"/>
    <w:rsid w:val="00BB237C"/>
    <w:rsid w:val="00BB261F"/>
    <w:rsid w:val="00BB2A47"/>
    <w:rsid w:val="00BB3791"/>
    <w:rsid w:val="00BB41A3"/>
    <w:rsid w:val="00BB5FF4"/>
    <w:rsid w:val="00BB6222"/>
    <w:rsid w:val="00BC0106"/>
    <w:rsid w:val="00BC0CB4"/>
    <w:rsid w:val="00BC262A"/>
    <w:rsid w:val="00BC32DC"/>
    <w:rsid w:val="00BC35B6"/>
    <w:rsid w:val="00BC4492"/>
    <w:rsid w:val="00BC45E5"/>
    <w:rsid w:val="00BC688C"/>
    <w:rsid w:val="00BC73CE"/>
    <w:rsid w:val="00BD1B51"/>
    <w:rsid w:val="00BD38C9"/>
    <w:rsid w:val="00BD4596"/>
    <w:rsid w:val="00BD58A9"/>
    <w:rsid w:val="00BD6247"/>
    <w:rsid w:val="00BD768C"/>
    <w:rsid w:val="00BD7BB3"/>
    <w:rsid w:val="00BE0101"/>
    <w:rsid w:val="00BE0137"/>
    <w:rsid w:val="00BE0F7E"/>
    <w:rsid w:val="00BE1405"/>
    <w:rsid w:val="00BE1D01"/>
    <w:rsid w:val="00BE1E0D"/>
    <w:rsid w:val="00BE312D"/>
    <w:rsid w:val="00BE33EF"/>
    <w:rsid w:val="00BE43C5"/>
    <w:rsid w:val="00BF1C20"/>
    <w:rsid w:val="00BF24F7"/>
    <w:rsid w:val="00BF3A75"/>
    <w:rsid w:val="00BF3AF0"/>
    <w:rsid w:val="00BF3B9F"/>
    <w:rsid w:val="00BF3DF5"/>
    <w:rsid w:val="00BF4392"/>
    <w:rsid w:val="00BF6AF1"/>
    <w:rsid w:val="00BF766F"/>
    <w:rsid w:val="00C01F2C"/>
    <w:rsid w:val="00C02B76"/>
    <w:rsid w:val="00C03CB6"/>
    <w:rsid w:val="00C10048"/>
    <w:rsid w:val="00C10578"/>
    <w:rsid w:val="00C107DE"/>
    <w:rsid w:val="00C107FC"/>
    <w:rsid w:val="00C10EB4"/>
    <w:rsid w:val="00C1182A"/>
    <w:rsid w:val="00C11DDD"/>
    <w:rsid w:val="00C135BC"/>
    <w:rsid w:val="00C14E46"/>
    <w:rsid w:val="00C15647"/>
    <w:rsid w:val="00C15C95"/>
    <w:rsid w:val="00C15FD1"/>
    <w:rsid w:val="00C16751"/>
    <w:rsid w:val="00C23737"/>
    <w:rsid w:val="00C24603"/>
    <w:rsid w:val="00C24ECD"/>
    <w:rsid w:val="00C2596A"/>
    <w:rsid w:val="00C25B98"/>
    <w:rsid w:val="00C263BA"/>
    <w:rsid w:val="00C2718D"/>
    <w:rsid w:val="00C27537"/>
    <w:rsid w:val="00C27C08"/>
    <w:rsid w:val="00C31EC5"/>
    <w:rsid w:val="00C328FE"/>
    <w:rsid w:val="00C33507"/>
    <w:rsid w:val="00C41FF2"/>
    <w:rsid w:val="00C42246"/>
    <w:rsid w:val="00C44009"/>
    <w:rsid w:val="00C4409D"/>
    <w:rsid w:val="00C44E72"/>
    <w:rsid w:val="00C453C5"/>
    <w:rsid w:val="00C45A06"/>
    <w:rsid w:val="00C46FED"/>
    <w:rsid w:val="00C4780B"/>
    <w:rsid w:val="00C47E5B"/>
    <w:rsid w:val="00C51C33"/>
    <w:rsid w:val="00C535C8"/>
    <w:rsid w:val="00C5697A"/>
    <w:rsid w:val="00C56BE4"/>
    <w:rsid w:val="00C57449"/>
    <w:rsid w:val="00C57860"/>
    <w:rsid w:val="00C57D30"/>
    <w:rsid w:val="00C61184"/>
    <w:rsid w:val="00C61E4B"/>
    <w:rsid w:val="00C627B4"/>
    <w:rsid w:val="00C62D31"/>
    <w:rsid w:val="00C64BFF"/>
    <w:rsid w:val="00C704E9"/>
    <w:rsid w:val="00C716B8"/>
    <w:rsid w:val="00C71987"/>
    <w:rsid w:val="00C72D02"/>
    <w:rsid w:val="00C753F1"/>
    <w:rsid w:val="00C75657"/>
    <w:rsid w:val="00C763C9"/>
    <w:rsid w:val="00C768FA"/>
    <w:rsid w:val="00C7741F"/>
    <w:rsid w:val="00C80057"/>
    <w:rsid w:val="00C804E0"/>
    <w:rsid w:val="00C80A0B"/>
    <w:rsid w:val="00C81B02"/>
    <w:rsid w:val="00C81D16"/>
    <w:rsid w:val="00C82232"/>
    <w:rsid w:val="00C82913"/>
    <w:rsid w:val="00C84A40"/>
    <w:rsid w:val="00C84A6E"/>
    <w:rsid w:val="00C852AD"/>
    <w:rsid w:val="00C85AB5"/>
    <w:rsid w:val="00C87909"/>
    <w:rsid w:val="00C9122C"/>
    <w:rsid w:val="00C92AEC"/>
    <w:rsid w:val="00C972B1"/>
    <w:rsid w:val="00CA03D5"/>
    <w:rsid w:val="00CA2CCE"/>
    <w:rsid w:val="00CA43FD"/>
    <w:rsid w:val="00CA63D2"/>
    <w:rsid w:val="00CA7EF8"/>
    <w:rsid w:val="00CB07BD"/>
    <w:rsid w:val="00CB3ACB"/>
    <w:rsid w:val="00CB4930"/>
    <w:rsid w:val="00CB63D6"/>
    <w:rsid w:val="00CB6597"/>
    <w:rsid w:val="00CB7B39"/>
    <w:rsid w:val="00CC0DB6"/>
    <w:rsid w:val="00CC1843"/>
    <w:rsid w:val="00CC464D"/>
    <w:rsid w:val="00CC489B"/>
    <w:rsid w:val="00CC7735"/>
    <w:rsid w:val="00CC78B4"/>
    <w:rsid w:val="00CD18E6"/>
    <w:rsid w:val="00CD2BCD"/>
    <w:rsid w:val="00CD3A4C"/>
    <w:rsid w:val="00CD3E47"/>
    <w:rsid w:val="00CD3EE2"/>
    <w:rsid w:val="00CD7B30"/>
    <w:rsid w:val="00CD7B70"/>
    <w:rsid w:val="00CE0100"/>
    <w:rsid w:val="00CE10E9"/>
    <w:rsid w:val="00CE17AE"/>
    <w:rsid w:val="00CE2910"/>
    <w:rsid w:val="00CE5393"/>
    <w:rsid w:val="00CE62FD"/>
    <w:rsid w:val="00CE6BE4"/>
    <w:rsid w:val="00CE7B9A"/>
    <w:rsid w:val="00CF031D"/>
    <w:rsid w:val="00CF07B9"/>
    <w:rsid w:val="00CF1098"/>
    <w:rsid w:val="00CF164D"/>
    <w:rsid w:val="00CF2AD5"/>
    <w:rsid w:val="00CF3020"/>
    <w:rsid w:val="00CF309A"/>
    <w:rsid w:val="00CF36BE"/>
    <w:rsid w:val="00CF4A37"/>
    <w:rsid w:val="00CF6000"/>
    <w:rsid w:val="00CF662A"/>
    <w:rsid w:val="00CF7416"/>
    <w:rsid w:val="00CF7AD9"/>
    <w:rsid w:val="00D003F3"/>
    <w:rsid w:val="00D00F30"/>
    <w:rsid w:val="00D01B5A"/>
    <w:rsid w:val="00D0364F"/>
    <w:rsid w:val="00D04D40"/>
    <w:rsid w:val="00D05DE6"/>
    <w:rsid w:val="00D06834"/>
    <w:rsid w:val="00D10A66"/>
    <w:rsid w:val="00D11076"/>
    <w:rsid w:val="00D14492"/>
    <w:rsid w:val="00D1592B"/>
    <w:rsid w:val="00D15A30"/>
    <w:rsid w:val="00D16C72"/>
    <w:rsid w:val="00D200E7"/>
    <w:rsid w:val="00D209EF"/>
    <w:rsid w:val="00D22AA9"/>
    <w:rsid w:val="00D23B39"/>
    <w:rsid w:val="00D26C13"/>
    <w:rsid w:val="00D308ED"/>
    <w:rsid w:val="00D31D65"/>
    <w:rsid w:val="00D348C5"/>
    <w:rsid w:val="00D34A6B"/>
    <w:rsid w:val="00D356A8"/>
    <w:rsid w:val="00D35CCD"/>
    <w:rsid w:val="00D36D86"/>
    <w:rsid w:val="00D401D1"/>
    <w:rsid w:val="00D41732"/>
    <w:rsid w:val="00D428AA"/>
    <w:rsid w:val="00D44DF8"/>
    <w:rsid w:val="00D45D39"/>
    <w:rsid w:val="00D46256"/>
    <w:rsid w:val="00D4645B"/>
    <w:rsid w:val="00D464E3"/>
    <w:rsid w:val="00D479F3"/>
    <w:rsid w:val="00D47D06"/>
    <w:rsid w:val="00D502C5"/>
    <w:rsid w:val="00D50A34"/>
    <w:rsid w:val="00D53285"/>
    <w:rsid w:val="00D53EFA"/>
    <w:rsid w:val="00D55927"/>
    <w:rsid w:val="00D601BC"/>
    <w:rsid w:val="00D61FB7"/>
    <w:rsid w:val="00D623B1"/>
    <w:rsid w:val="00D64C79"/>
    <w:rsid w:val="00D655A6"/>
    <w:rsid w:val="00D7150F"/>
    <w:rsid w:val="00D74CF6"/>
    <w:rsid w:val="00D75B1A"/>
    <w:rsid w:val="00D7779A"/>
    <w:rsid w:val="00D77A32"/>
    <w:rsid w:val="00D8089C"/>
    <w:rsid w:val="00D818B1"/>
    <w:rsid w:val="00D8647F"/>
    <w:rsid w:val="00D8683B"/>
    <w:rsid w:val="00D86861"/>
    <w:rsid w:val="00D87BC4"/>
    <w:rsid w:val="00D87CC6"/>
    <w:rsid w:val="00D914DD"/>
    <w:rsid w:val="00D916EC"/>
    <w:rsid w:val="00D9173F"/>
    <w:rsid w:val="00D94A7C"/>
    <w:rsid w:val="00D95896"/>
    <w:rsid w:val="00D95C21"/>
    <w:rsid w:val="00D95F18"/>
    <w:rsid w:val="00D96297"/>
    <w:rsid w:val="00D97FA3"/>
    <w:rsid w:val="00DA07A6"/>
    <w:rsid w:val="00DA5483"/>
    <w:rsid w:val="00DA5E6D"/>
    <w:rsid w:val="00DA7AD1"/>
    <w:rsid w:val="00DB01DA"/>
    <w:rsid w:val="00DB0CB2"/>
    <w:rsid w:val="00DB0D2E"/>
    <w:rsid w:val="00DB0FE8"/>
    <w:rsid w:val="00DB1F15"/>
    <w:rsid w:val="00DB2983"/>
    <w:rsid w:val="00DB759C"/>
    <w:rsid w:val="00DC0DE1"/>
    <w:rsid w:val="00DC1257"/>
    <w:rsid w:val="00DC2A42"/>
    <w:rsid w:val="00DC3DC0"/>
    <w:rsid w:val="00DC54B6"/>
    <w:rsid w:val="00DC5A65"/>
    <w:rsid w:val="00DC5B2B"/>
    <w:rsid w:val="00DC7645"/>
    <w:rsid w:val="00DC7DC6"/>
    <w:rsid w:val="00DD0A3C"/>
    <w:rsid w:val="00DD1D29"/>
    <w:rsid w:val="00DD241A"/>
    <w:rsid w:val="00DD2E1C"/>
    <w:rsid w:val="00DD318D"/>
    <w:rsid w:val="00DD3DEA"/>
    <w:rsid w:val="00DD427D"/>
    <w:rsid w:val="00DD6AD9"/>
    <w:rsid w:val="00DD7668"/>
    <w:rsid w:val="00DD76D9"/>
    <w:rsid w:val="00DD7C07"/>
    <w:rsid w:val="00DE0F31"/>
    <w:rsid w:val="00DE1E7F"/>
    <w:rsid w:val="00DE23BB"/>
    <w:rsid w:val="00DE2BAE"/>
    <w:rsid w:val="00DE3849"/>
    <w:rsid w:val="00DE3EFE"/>
    <w:rsid w:val="00DE78D4"/>
    <w:rsid w:val="00DF10D0"/>
    <w:rsid w:val="00DF1C85"/>
    <w:rsid w:val="00DF2E12"/>
    <w:rsid w:val="00DF325B"/>
    <w:rsid w:val="00DF514A"/>
    <w:rsid w:val="00DF6690"/>
    <w:rsid w:val="00DF6804"/>
    <w:rsid w:val="00E00267"/>
    <w:rsid w:val="00E0188E"/>
    <w:rsid w:val="00E018BA"/>
    <w:rsid w:val="00E02A06"/>
    <w:rsid w:val="00E0358D"/>
    <w:rsid w:val="00E04323"/>
    <w:rsid w:val="00E0528A"/>
    <w:rsid w:val="00E0573F"/>
    <w:rsid w:val="00E066DA"/>
    <w:rsid w:val="00E06805"/>
    <w:rsid w:val="00E06AAC"/>
    <w:rsid w:val="00E070A2"/>
    <w:rsid w:val="00E070B2"/>
    <w:rsid w:val="00E1065E"/>
    <w:rsid w:val="00E12E7B"/>
    <w:rsid w:val="00E1399F"/>
    <w:rsid w:val="00E14E0B"/>
    <w:rsid w:val="00E15C81"/>
    <w:rsid w:val="00E15C88"/>
    <w:rsid w:val="00E17FAE"/>
    <w:rsid w:val="00E20170"/>
    <w:rsid w:val="00E201A3"/>
    <w:rsid w:val="00E2125B"/>
    <w:rsid w:val="00E217AE"/>
    <w:rsid w:val="00E22B95"/>
    <w:rsid w:val="00E233B5"/>
    <w:rsid w:val="00E23D6E"/>
    <w:rsid w:val="00E256B9"/>
    <w:rsid w:val="00E2656A"/>
    <w:rsid w:val="00E3055F"/>
    <w:rsid w:val="00E318CB"/>
    <w:rsid w:val="00E3451B"/>
    <w:rsid w:val="00E34F89"/>
    <w:rsid w:val="00E34FD6"/>
    <w:rsid w:val="00E35972"/>
    <w:rsid w:val="00E3611B"/>
    <w:rsid w:val="00E37D00"/>
    <w:rsid w:val="00E4118C"/>
    <w:rsid w:val="00E412D0"/>
    <w:rsid w:val="00E431FE"/>
    <w:rsid w:val="00E439FE"/>
    <w:rsid w:val="00E43C26"/>
    <w:rsid w:val="00E45785"/>
    <w:rsid w:val="00E47EBD"/>
    <w:rsid w:val="00E5031F"/>
    <w:rsid w:val="00E50C85"/>
    <w:rsid w:val="00E528BD"/>
    <w:rsid w:val="00E53E25"/>
    <w:rsid w:val="00E54BF4"/>
    <w:rsid w:val="00E56322"/>
    <w:rsid w:val="00E57D5C"/>
    <w:rsid w:val="00E60982"/>
    <w:rsid w:val="00E60C07"/>
    <w:rsid w:val="00E61DA6"/>
    <w:rsid w:val="00E62C62"/>
    <w:rsid w:val="00E639BB"/>
    <w:rsid w:val="00E649CB"/>
    <w:rsid w:val="00E654C1"/>
    <w:rsid w:val="00E65D97"/>
    <w:rsid w:val="00E66691"/>
    <w:rsid w:val="00E717F5"/>
    <w:rsid w:val="00E7269D"/>
    <w:rsid w:val="00E7289C"/>
    <w:rsid w:val="00E72A5A"/>
    <w:rsid w:val="00E73354"/>
    <w:rsid w:val="00E821A0"/>
    <w:rsid w:val="00E82252"/>
    <w:rsid w:val="00E85416"/>
    <w:rsid w:val="00E855CC"/>
    <w:rsid w:val="00E90EED"/>
    <w:rsid w:val="00E9242D"/>
    <w:rsid w:val="00E92B6B"/>
    <w:rsid w:val="00E95DE0"/>
    <w:rsid w:val="00EA002F"/>
    <w:rsid w:val="00EA0702"/>
    <w:rsid w:val="00EA21B5"/>
    <w:rsid w:val="00EA2202"/>
    <w:rsid w:val="00EA26D6"/>
    <w:rsid w:val="00EA3464"/>
    <w:rsid w:val="00EA3A8C"/>
    <w:rsid w:val="00EA6B87"/>
    <w:rsid w:val="00EA7C6C"/>
    <w:rsid w:val="00EB0BA7"/>
    <w:rsid w:val="00EB1563"/>
    <w:rsid w:val="00EB18C7"/>
    <w:rsid w:val="00EB4C28"/>
    <w:rsid w:val="00EB5255"/>
    <w:rsid w:val="00EB5C47"/>
    <w:rsid w:val="00EB6A7B"/>
    <w:rsid w:val="00EC00FF"/>
    <w:rsid w:val="00EC0FC2"/>
    <w:rsid w:val="00EC1527"/>
    <w:rsid w:val="00EC2827"/>
    <w:rsid w:val="00EC28CF"/>
    <w:rsid w:val="00EC3ACC"/>
    <w:rsid w:val="00EC4795"/>
    <w:rsid w:val="00EC550B"/>
    <w:rsid w:val="00EC60E1"/>
    <w:rsid w:val="00ED0639"/>
    <w:rsid w:val="00ED066D"/>
    <w:rsid w:val="00ED1A95"/>
    <w:rsid w:val="00ED2B85"/>
    <w:rsid w:val="00ED2E8E"/>
    <w:rsid w:val="00ED30AE"/>
    <w:rsid w:val="00ED374E"/>
    <w:rsid w:val="00ED4BA0"/>
    <w:rsid w:val="00ED7A88"/>
    <w:rsid w:val="00EE0260"/>
    <w:rsid w:val="00EE05B6"/>
    <w:rsid w:val="00EE0A85"/>
    <w:rsid w:val="00EE279D"/>
    <w:rsid w:val="00EE2ADD"/>
    <w:rsid w:val="00EE3875"/>
    <w:rsid w:val="00EE4AEE"/>
    <w:rsid w:val="00EE4BBA"/>
    <w:rsid w:val="00EE4BDD"/>
    <w:rsid w:val="00EE5C40"/>
    <w:rsid w:val="00EE75D5"/>
    <w:rsid w:val="00EE7DB8"/>
    <w:rsid w:val="00EF19B6"/>
    <w:rsid w:val="00EF2718"/>
    <w:rsid w:val="00EF4332"/>
    <w:rsid w:val="00EF4755"/>
    <w:rsid w:val="00EF4D74"/>
    <w:rsid w:val="00EF7135"/>
    <w:rsid w:val="00F005BF"/>
    <w:rsid w:val="00F02363"/>
    <w:rsid w:val="00F027DB"/>
    <w:rsid w:val="00F07033"/>
    <w:rsid w:val="00F13B82"/>
    <w:rsid w:val="00F142FC"/>
    <w:rsid w:val="00F14A7A"/>
    <w:rsid w:val="00F14E1D"/>
    <w:rsid w:val="00F1554E"/>
    <w:rsid w:val="00F202A7"/>
    <w:rsid w:val="00F204A9"/>
    <w:rsid w:val="00F21105"/>
    <w:rsid w:val="00F22985"/>
    <w:rsid w:val="00F23187"/>
    <w:rsid w:val="00F23984"/>
    <w:rsid w:val="00F26E54"/>
    <w:rsid w:val="00F304B1"/>
    <w:rsid w:val="00F30DC7"/>
    <w:rsid w:val="00F3215A"/>
    <w:rsid w:val="00F3383E"/>
    <w:rsid w:val="00F339FB"/>
    <w:rsid w:val="00F34812"/>
    <w:rsid w:val="00F35473"/>
    <w:rsid w:val="00F371EC"/>
    <w:rsid w:val="00F434CB"/>
    <w:rsid w:val="00F465A7"/>
    <w:rsid w:val="00F50B7C"/>
    <w:rsid w:val="00F550E6"/>
    <w:rsid w:val="00F6338E"/>
    <w:rsid w:val="00F638DC"/>
    <w:rsid w:val="00F639D3"/>
    <w:rsid w:val="00F6440C"/>
    <w:rsid w:val="00F6593C"/>
    <w:rsid w:val="00F662D6"/>
    <w:rsid w:val="00F66410"/>
    <w:rsid w:val="00F665E4"/>
    <w:rsid w:val="00F66DD6"/>
    <w:rsid w:val="00F70F85"/>
    <w:rsid w:val="00F724F6"/>
    <w:rsid w:val="00F729CB"/>
    <w:rsid w:val="00F739DD"/>
    <w:rsid w:val="00F74345"/>
    <w:rsid w:val="00F7746D"/>
    <w:rsid w:val="00F777E3"/>
    <w:rsid w:val="00F80A0A"/>
    <w:rsid w:val="00F818DB"/>
    <w:rsid w:val="00F82B19"/>
    <w:rsid w:val="00F84D34"/>
    <w:rsid w:val="00F84EC7"/>
    <w:rsid w:val="00F85844"/>
    <w:rsid w:val="00F85D61"/>
    <w:rsid w:val="00F9049A"/>
    <w:rsid w:val="00F9121C"/>
    <w:rsid w:val="00F920D1"/>
    <w:rsid w:val="00F9212D"/>
    <w:rsid w:val="00F923EB"/>
    <w:rsid w:val="00F94A6A"/>
    <w:rsid w:val="00F964F4"/>
    <w:rsid w:val="00F965DA"/>
    <w:rsid w:val="00F96B29"/>
    <w:rsid w:val="00F96F7A"/>
    <w:rsid w:val="00FA0EC7"/>
    <w:rsid w:val="00FA24C2"/>
    <w:rsid w:val="00FA406A"/>
    <w:rsid w:val="00FA5FC9"/>
    <w:rsid w:val="00FB0442"/>
    <w:rsid w:val="00FB28B4"/>
    <w:rsid w:val="00FB3AA0"/>
    <w:rsid w:val="00FB503A"/>
    <w:rsid w:val="00FB516C"/>
    <w:rsid w:val="00FB6269"/>
    <w:rsid w:val="00FB63F8"/>
    <w:rsid w:val="00FB6FFC"/>
    <w:rsid w:val="00FB7768"/>
    <w:rsid w:val="00FB7A39"/>
    <w:rsid w:val="00FB7BCC"/>
    <w:rsid w:val="00FC34B8"/>
    <w:rsid w:val="00FC5211"/>
    <w:rsid w:val="00FC6B19"/>
    <w:rsid w:val="00FC6EAD"/>
    <w:rsid w:val="00FC700E"/>
    <w:rsid w:val="00FD0236"/>
    <w:rsid w:val="00FD10B9"/>
    <w:rsid w:val="00FD18F4"/>
    <w:rsid w:val="00FD2D66"/>
    <w:rsid w:val="00FD50A9"/>
    <w:rsid w:val="00FD54DB"/>
    <w:rsid w:val="00FD619F"/>
    <w:rsid w:val="00FD7B32"/>
    <w:rsid w:val="00FE0AFC"/>
    <w:rsid w:val="00FE12D2"/>
    <w:rsid w:val="00FE2111"/>
    <w:rsid w:val="00FE2562"/>
    <w:rsid w:val="00FE5415"/>
    <w:rsid w:val="00FE5DAA"/>
    <w:rsid w:val="00FE5DB4"/>
    <w:rsid w:val="00FF04BA"/>
    <w:rsid w:val="00FF064F"/>
    <w:rsid w:val="00FF1215"/>
    <w:rsid w:val="00FF19F0"/>
    <w:rsid w:val="00FF7184"/>
    <w:rsid w:val="01290F7E"/>
    <w:rsid w:val="012B4701"/>
    <w:rsid w:val="015D1E09"/>
    <w:rsid w:val="016C2D1C"/>
    <w:rsid w:val="01721C58"/>
    <w:rsid w:val="017A4E3C"/>
    <w:rsid w:val="020E3E06"/>
    <w:rsid w:val="02205A33"/>
    <w:rsid w:val="02697903"/>
    <w:rsid w:val="026F2CE6"/>
    <w:rsid w:val="029E3FF9"/>
    <w:rsid w:val="02AD37FC"/>
    <w:rsid w:val="02CD76E1"/>
    <w:rsid w:val="02E33EF7"/>
    <w:rsid w:val="02F96569"/>
    <w:rsid w:val="038751F0"/>
    <w:rsid w:val="03A42F63"/>
    <w:rsid w:val="03A76C6E"/>
    <w:rsid w:val="03DE35EF"/>
    <w:rsid w:val="03EA7B21"/>
    <w:rsid w:val="03F45E22"/>
    <w:rsid w:val="04267B2D"/>
    <w:rsid w:val="04766953"/>
    <w:rsid w:val="04893470"/>
    <w:rsid w:val="04893ACA"/>
    <w:rsid w:val="04AC5B58"/>
    <w:rsid w:val="05DD3E83"/>
    <w:rsid w:val="05F83EAE"/>
    <w:rsid w:val="063E7D85"/>
    <w:rsid w:val="06927843"/>
    <w:rsid w:val="06A118AB"/>
    <w:rsid w:val="07213FC6"/>
    <w:rsid w:val="07247C8E"/>
    <w:rsid w:val="07293586"/>
    <w:rsid w:val="07295285"/>
    <w:rsid w:val="07636392"/>
    <w:rsid w:val="07770C56"/>
    <w:rsid w:val="077C55BA"/>
    <w:rsid w:val="07DB142F"/>
    <w:rsid w:val="0816023E"/>
    <w:rsid w:val="086007FB"/>
    <w:rsid w:val="088E7A4F"/>
    <w:rsid w:val="08FF6B9F"/>
    <w:rsid w:val="092217DD"/>
    <w:rsid w:val="092B16B4"/>
    <w:rsid w:val="093A7294"/>
    <w:rsid w:val="09714782"/>
    <w:rsid w:val="09892607"/>
    <w:rsid w:val="0999794D"/>
    <w:rsid w:val="09D05E45"/>
    <w:rsid w:val="0A11626D"/>
    <w:rsid w:val="0A263993"/>
    <w:rsid w:val="0A2D3AC2"/>
    <w:rsid w:val="0A4A209B"/>
    <w:rsid w:val="0AA755DF"/>
    <w:rsid w:val="0AAD20F7"/>
    <w:rsid w:val="0ABB54E5"/>
    <w:rsid w:val="0AC87B8E"/>
    <w:rsid w:val="0AE02AD0"/>
    <w:rsid w:val="0B120D44"/>
    <w:rsid w:val="0B271B9F"/>
    <w:rsid w:val="0B2E75A5"/>
    <w:rsid w:val="0B334FD6"/>
    <w:rsid w:val="0B492630"/>
    <w:rsid w:val="0B6B3BBD"/>
    <w:rsid w:val="0B720CBA"/>
    <w:rsid w:val="0B9D61FB"/>
    <w:rsid w:val="0BA457DB"/>
    <w:rsid w:val="0BB01514"/>
    <w:rsid w:val="0BBE79AF"/>
    <w:rsid w:val="0BD27BF6"/>
    <w:rsid w:val="0C112E71"/>
    <w:rsid w:val="0C3B3C7D"/>
    <w:rsid w:val="0C4072B2"/>
    <w:rsid w:val="0C76712F"/>
    <w:rsid w:val="0C7E602C"/>
    <w:rsid w:val="0C8452D5"/>
    <w:rsid w:val="0CAB2EAE"/>
    <w:rsid w:val="0CD21ED4"/>
    <w:rsid w:val="0D0A2816"/>
    <w:rsid w:val="0D185BEB"/>
    <w:rsid w:val="0D4252AC"/>
    <w:rsid w:val="0D477985"/>
    <w:rsid w:val="0D621C7D"/>
    <w:rsid w:val="0D721764"/>
    <w:rsid w:val="0D7E381F"/>
    <w:rsid w:val="0DA90096"/>
    <w:rsid w:val="0DD34156"/>
    <w:rsid w:val="0E453F1F"/>
    <w:rsid w:val="0E613E04"/>
    <w:rsid w:val="0E710DAC"/>
    <w:rsid w:val="0E73034D"/>
    <w:rsid w:val="0ED1410A"/>
    <w:rsid w:val="0F0C70BD"/>
    <w:rsid w:val="0F130A0E"/>
    <w:rsid w:val="0F13775A"/>
    <w:rsid w:val="0F5F45FE"/>
    <w:rsid w:val="0F7756E1"/>
    <w:rsid w:val="0F910A15"/>
    <w:rsid w:val="0F9A112B"/>
    <w:rsid w:val="10520A79"/>
    <w:rsid w:val="106D2F64"/>
    <w:rsid w:val="10B63710"/>
    <w:rsid w:val="10B65D95"/>
    <w:rsid w:val="10B93DC2"/>
    <w:rsid w:val="10F10820"/>
    <w:rsid w:val="10F3237F"/>
    <w:rsid w:val="10F4269A"/>
    <w:rsid w:val="111C2F7A"/>
    <w:rsid w:val="11420558"/>
    <w:rsid w:val="11627CCB"/>
    <w:rsid w:val="11665CA1"/>
    <w:rsid w:val="117717E9"/>
    <w:rsid w:val="12247CBA"/>
    <w:rsid w:val="12A738C8"/>
    <w:rsid w:val="12B560A5"/>
    <w:rsid w:val="12C477E2"/>
    <w:rsid w:val="12CA6F00"/>
    <w:rsid w:val="12E6389C"/>
    <w:rsid w:val="13335D9C"/>
    <w:rsid w:val="138878F7"/>
    <w:rsid w:val="13897791"/>
    <w:rsid w:val="13951726"/>
    <w:rsid w:val="13C4552F"/>
    <w:rsid w:val="13CC3B21"/>
    <w:rsid w:val="13E742C8"/>
    <w:rsid w:val="13E96D1A"/>
    <w:rsid w:val="14396509"/>
    <w:rsid w:val="143D4ABF"/>
    <w:rsid w:val="146F095D"/>
    <w:rsid w:val="146F6754"/>
    <w:rsid w:val="14DD2C3C"/>
    <w:rsid w:val="15A1181A"/>
    <w:rsid w:val="16087E1D"/>
    <w:rsid w:val="16101EB6"/>
    <w:rsid w:val="1686001C"/>
    <w:rsid w:val="17367C2F"/>
    <w:rsid w:val="17701D14"/>
    <w:rsid w:val="17715157"/>
    <w:rsid w:val="17724EAA"/>
    <w:rsid w:val="17735226"/>
    <w:rsid w:val="17870930"/>
    <w:rsid w:val="179130B8"/>
    <w:rsid w:val="17B84AE8"/>
    <w:rsid w:val="18273ADF"/>
    <w:rsid w:val="183A4E94"/>
    <w:rsid w:val="18506018"/>
    <w:rsid w:val="18631C9A"/>
    <w:rsid w:val="189F624C"/>
    <w:rsid w:val="18CD45C3"/>
    <w:rsid w:val="18D46EE9"/>
    <w:rsid w:val="18D76871"/>
    <w:rsid w:val="19024434"/>
    <w:rsid w:val="193830AC"/>
    <w:rsid w:val="194A1770"/>
    <w:rsid w:val="194D5162"/>
    <w:rsid w:val="19637D9B"/>
    <w:rsid w:val="196E7A55"/>
    <w:rsid w:val="19B117EF"/>
    <w:rsid w:val="19C026A2"/>
    <w:rsid w:val="19CC107A"/>
    <w:rsid w:val="1A0B6BC9"/>
    <w:rsid w:val="1A1546F3"/>
    <w:rsid w:val="1A1C66C0"/>
    <w:rsid w:val="1A3537A8"/>
    <w:rsid w:val="1A42393B"/>
    <w:rsid w:val="1AAD45DE"/>
    <w:rsid w:val="1B046F80"/>
    <w:rsid w:val="1B3267B5"/>
    <w:rsid w:val="1B40161D"/>
    <w:rsid w:val="1B441859"/>
    <w:rsid w:val="1B572248"/>
    <w:rsid w:val="1B6606B1"/>
    <w:rsid w:val="1B697D4F"/>
    <w:rsid w:val="1B6B74F5"/>
    <w:rsid w:val="1BA70ADE"/>
    <w:rsid w:val="1BD5214F"/>
    <w:rsid w:val="1C00504F"/>
    <w:rsid w:val="1C4D551F"/>
    <w:rsid w:val="1C5E7925"/>
    <w:rsid w:val="1C694A85"/>
    <w:rsid w:val="1C8D681B"/>
    <w:rsid w:val="1CC8408F"/>
    <w:rsid w:val="1CFD070F"/>
    <w:rsid w:val="1D1B3EE1"/>
    <w:rsid w:val="1D3B1494"/>
    <w:rsid w:val="1D5F6196"/>
    <w:rsid w:val="1D6132A5"/>
    <w:rsid w:val="1D8502C9"/>
    <w:rsid w:val="1D8E56D5"/>
    <w:rsid w:val="1DCC0B45"/>
    <w:rsid w:val="1E2E54FE"/>
    <w:rsid w:val="1E436B0E"/>
    <w:rsid w:val="1E7A43DA"/>
    <w:rsid w:val="1EB42209"/>
    <w:rsid w:val="1F360E9C"/>
    <w:rsid w:val="1F7C55EA"/>
    <w:rsid w:val="1F8A3B16"/>
    <w:rsid w:val="1FE7539E"/>
    <w:rsid w:val="1FE81CE3"/>
    <w:rsid w:val="1FEA5A5B"/>
    <w:rsid w:val="200719E8"/>
    <w:rsid w:val="204B23C4"/>
    <w:rsid w:val="20671BE0"/>
    <w:rsid w:val="20963CB8"/>
    <w:rsid w:val="20A81A1B"/>
    <w:rsid w:val="20B07FB6"/>
    <w:rsid w:val="20B646FB"/>
    <w:rsid w:val="21244F9D"/>
    <w:rsid w:val="213B74B1"/>
    <w:rsid w:val="214654EA"/>
    <w:rsid w:val="214747E7"/>
    <w:rsid w:val="215A2310"/>
    <w:rsid w:val="21692707"/>
    <w:rsid w:val="21AD2530"/>
    <w:rsid w:val="21DE318A"/>
    <w:rsid w:val="21EA1D42"/>
    <w:rsid w:val="21EF5B80"/>
    <w:rsid w:val="222F3E7B"/>
    <w:rsid w:val="22400CF8"/>
    <w:rsid w:val="224F1763"/>
    <w:rsid w:val="22576990"/>
    <w:rsid w:val="228576BD"/>
    <w:rsid w:val="228F33A1"/>
    <w:rsid w:val="22B12860"/>
    <w:rsid w:val="22C72448"/>
    <w:rsid w:val="22F47480"/>
    <w:rsid w:val="23687545"/>
    <w:rsid w:val="23863CED"/>
    <w:rsid w:val="23917A94"/>
    <w:rsid w:val="23985FD7"/>
    <w:rsid w:val="23A758EB"/>
    <w:rsid w:val="23C93BD9"/>
    <w:rsid w:val="23DE1C48"/>
    <w:rsid w:val="240210CD"/>
    <w:rsid w:val="24101808"/>
    <w:rsid w:val="24213A15"/>
    <w:rsid w:val="24BF09F7"/>
    <w:rsid w:val="24E01D68"/>
    <w:rsid w:val="24E12E9F"/>
    <w:rsid w:val="252D53FE"/>
    <w:rsid w:val="25873EE3"/>
    <w:rsid w:val="25916979"/>
    <w:rsid w:val="25D15B27"/>
    <w:rsid w:val="25E7724A"/>
    <w:rsid w:val="25EC2D81"/>
    <w:rsid w:val="260F3E27"/>
    <w:rsid w:val="26937061"/>
    <w:rsid w:val="26B30EBE"/>
    <w:rsid w:val="26C53474"/>
    <w:rsid w:val="277057A2"/>
    <w:rsid w:val="28101530"/>
    <w:rsid w:val="283F5715"/>
    <w:rsid w:val="284B1574"/>
    <w:rsid w:val="28830A83"/>
    <w:rsid w:val="28EC170D"/>
    <w:rsid w:val="28FD7C26"/>
    <w:rsid w:val="29206EB8"/>
    <w:rsid w:val="29565F0F"/>
    <w:rsid w:val="29595666"/>
    <w:rsid w:val="29874881"/>
    <w:rsid w:val="29D04542"/>
    <w:rsid w:val="29E325E0"/>
    <w:rsid w:val="2A452503"/>
    <w:rsid w:val="2A5967CA"/>
    <w:rsid w:val="2A5A473C"/>
    <w:rsid w:val="2A69182B"/>
    <w:rsid w:val="2A6E7289"/>
    <w:rsid w:val="2AB13DF1"/>
    <w:rsid w:val="2B1D60A6"/>
    <w:rsid w:val="2B3E025C"/>
    <w:rsid w:val="2B4C75CA"/>
    <w:rsid w:val="2B632FFB"/>
    <w:rsid w:val="2B9D4554"/>
    <w:rsid w:val="2BA936A8"/>
    <w:rsid w:val="2BDD7903"/>
    <w:rsid w:val="2BE05C4E"/>
    <w:rsid w:val="2C012296"/>
    <w:rsid w:val="2C315A5A"/>
    <w:rsid w:val="2C3D6B1C"/>
    <w:rsid w:val="2C4B1C25"/>
    <w:rsid w:val="2CBF1BAC"/>
    <w:rsid w:val="2CC80997"/>
    <w:rsid w:val="2CF013FE"/>
    <w:rsid w:val="2D320E26"/>
    <w:rsid w:val="2D3622E0"/>
    <w:rsid w:val="2D3B24A4"/>
    <w:rsid w:val="2D9E56F5"/>
    <w:rsid w:val="2E267445"/>
    <w:rsid w:val="2E667F96"/>
    <w:rsid w:val="2E6905EB"/>
    <w:rsid w:val="2E8226AB"/>
    <w:rsid w:val="2F03519A"/>
    <w:rsid w:val="2F06562C"/>
    <w:rsid w:val="2F1E277E"/>
    <w:rsid w:val="2F633134"/>
    <w:rsid w:val="2F967065"/>
    <w:rsid w:val="2FCE27ED"/>
    <w:rsid w:val="2FD065DE"/>
    <w:rsid w:val="2FD065E6"/>
    <w:rsid w:val="2FD96870"/>
    <w:rsid w:val="2FF72667"/>
    <w:rsid w:val="2FF862A8"/>
    <w:rsid w:val="30006650"/>
    <w:rsid w:val="30580BC9"/>
    <w:rsid w:val="30580CDD"/>
    <w:rsid w:val="308A649E"/>
    <w:rsid w:val="30973638"/>
    <w:rsid w:val="309A5723"/>
    <w:rsid w:val="311E2ED7"/>
    <w:rsid w:val="315619EE"/>
    <w:rsid w:val="315C449C"/>
    <w:rsid w:val="316B6176"/>
    <w:rsid w:val="319D5D89"/>
    <w:rsid w:val="31B82709"/>
    <w:rsid w:val="31B9593B"/>
    <w:rsid w:val="31D05482"/>
    <w:rsid w:val="31D16A7B"/>
    <w:rsid w:val="32400B34"/>
    <w:rsid w:val="3276108C"/>
    <w:rsid w:val="329E6876"/>
    <w:rsid w:val="332317BC"/>
    <w:rsid w:val="333015F2"/>
    <w:rsid w:val="334B6320"/>
    <w:rsid w:val="33776A98"/>
    <w:rsid w:val="33A72528"/>
    <w:rsid w:val="33D934D4"/>
    <w:rsid w:val="33E33532"/>
    <w:rsid w:val="33FE2F6A"/>
    <w:rsid w:val="340E07E5"/>
    <w:rsid w:val="34235BF7"/>
    <w:rsid w:val="34360538"/>
    <w:rsid w:val="346F257B"/>
    <w:rsid w:val="347F27BE"/>
    <w:rsid w:val="34835757"/>
    <w:rsid w:val="34D818EA"/>
    <w:rsid w:val="35366BF5"/>
    <w:rsid w:val="354632DC"/>
    <w:rsid w:val="356A29ED"/>
    <w:rsid w:val="358378D4"/>
    <w:rsid w:val="358B2054"/>
    <w:rsid w:val="358C5FA8"/>
    <w:rsid w:val="35A30804"/>
    <w:rsid w:val="35C15DF1"/>
    <w:rsid w:val="35EB36EB"/>
    <w:rsid w:val="36074A7F"/>
    <w:rsid w:val="366302C2"/>
    <w:rsid w:val="366955E1"/>
    <w:rsid w:val="36923549"/>
    <w:rsid w:val="36B75FBF"/>
    <w:rsid w:val="36BD0C45"/>
    <w:rsid w:val="36FF7BE6"/>
    <w:rsid w:val="37016D1F"/>
    <w:rsid w:val="3717097F"/>
    <w:rsid w:val="37247EC2"/>
    <w:rsid w:val="3785642B"/>
    <w:rsid w:val="378B7ED8"/>
    <w:rsid w:val="37A66745"/>
    <w:rsid w:val="37E00298"/>
    <w:rsid w:val="3814146F"/>
    <w:rsid w:val="381F42A9"/>
    <w:rsid w:val="386D6DD1"/>
    <w:rsid w:val="38B302F9"/>
    <w:rsid w:val="38C764E2"/>
    <w:rsid w:val="38EC0F67"/>
    <w:rsid w:val="38F12CD3"/>
    <w:rsid w:val="38F94775"/>
    <w:rsid w:val="392971ED"/>
    <w:rsid w:val="39325651"/>
    <w:rsid w:val="39671DD3"/>
    <w:rsid w:val="399F51B0"/>
    <w:rsid w:val="3A00614F"/>
    <w:rsid w:val="3A03179B"/>
    <w:rsid w:val="3A0C6D1A"/>
    <w:rsid w:val="3A2B22D6"/>
    <w:rsid w:val="3A614731"/>
    <w:rsid w:val="3A872856"/>
    <w:rsid w:val="3A955A4F"/>
    <w:rsid w:val="3AB160E9"/>
    <w:rsid w:val="3AC37D1A"/>
    <w:rsid w:val="3B077704"/>
    <w:rsid w:val="3B0B6E7C"/>
    <w:rsid w:val="3B3763D1"/>
    <w:rsid w:val="3B4E3DBD"/>
    <w:rsid w:val="3B5D2276"/>
    <w:rsid w:val="3B70245C"/>
    <w:rsid w:val="3B717470"/>
    <w:rsid w:val="3BCF687D"/>
    <w:rsid w:val="3C0F4DEA"/>
    <w:rsid w:val="3C1F267C"/>
    <w:rsid w:val="3C2F6E1E"/>
    <w:rsid w:val="3C362F39"/>
    <w:rsid w:val="3C4F64BA"/>
    <w:rsid w:val="3C727653"/>
    <w:rsid w:val="3CB2620D"/>
    <w:rsid w:val="3CDA245A"/>
    <w:rsid w:val="3CE17C6D"/>
    <w:rsid w:val="3D1E06B7"/>
    <w:rsid w:val="3D373645"/>
    <w:rsid w:val="3D750231"/>
    <w:rsid w:val="3DA768E2"/>
    <w:rsid w:val="3DD115E2"/>
    <w:rsid w:val="3DD376D7"/>
    <w:rsid w:val="3E021ED4"/>
    <w:rsid w:val="3E062C7F"/>
    <w:rsid w:val="3E314D9C"/>
    <w:rsid w:val="3E595EE7"/>
    <w:rsid w:val="3E6F38A3"/>
    <w:rsid w:val="3ED56BC1"/>
    <w:rsid w:val="3EDA0523"/>
    <w:rsid w:val="3F3C30F2"/>
    <w:rsid w:val="3F724B89"/>
    <w:rsid w:val="3F7576C8"/>
    <w:rsid w:val="3FA40226"/>
    <w:rsid w:val="3FC245D2"/>
    <w:rsid w:val="3FD81360"/>
    <w:rsid w:val="3FF014E1"/>
    <w:rsid w:val="400718BA"/>
    <w:rsid w:val="40304BC0"/>
    <w:rsid w:val="404956B3"/>
    <w:rsid w:val="407A6407"/>
    <w:rsid w:val="408353E4"/>
    <w:rsid w:val="40EB2F89"/>
    <w:rsid w:val="41157700"/>
    <w:rsid w:val="411D039E"/>
    <w:rsid w:val="41380097"/>
    <w:rsid w:val="413E233F"/>
    <w:rsid w:val="41BB643D"/>
    <w:rsid w:val="41CD5B07"/>
    <w:rsid w:val="41D37168"/>
    <w:rsid w:val="41E7435C"/>
    <w:rsid w:val="4200449D"/>
    <w:rsid w:val="421A1D78"/>
    <w:rsid w:val="422D542D"/>
    <w:rsid w:val="423A3BCC"/>
    <w:rsid w:val="424E57D2"/>
    <w:rsid w:val="425B7839"/>
    <w:rsid w:val="429B72E1"/>
    <w:rsid w:val="42A012AB"/>
    <w:rsid w:val="42B26C49"/>
    <w:rsid w:val="42B615A7"/>
    <w:rsid w:val="42EA799C"/>
    <w:rsid w:val="430566D8"/>
    <w:rsid w:val="433A6FE6"/>
    <w:rsid w:val="43480868"/>
    <w:rsid w:val="43487B44"/>
    <w:rsid w:val="4350713C"/>
    <w:rsid w:val="436653E0"/>
    <w:rsid w:val="43B548B9"/>
    <w:rsid w:val="43C4431A"/>
    <w:rsid w:val="43DB3530"/>
    <w:rsid w:val="44B951CC"/>
    <w:rsid w:val="44BC0170"/>
    <w:rsid w:val="44CD14E0"/>
    <w:rsid w:val="44F20B0B"/>
    <w:rsid w:val="452A32B8"/>
    <w:rsid w:val="452E5F4C"/>
    <w:rsid w:val="45612018"/>
    <w:rsid w:val="4588349D"/>
    <w:rsid w:val="458946E9"/>
    <w:rsid w:val="458A0FC3"/>
    <w:rsid w:val="458B7560"/>
    <w:rsid w:val="45A4766C"/>
    <w:rsid w:val="45A47C0E"/>
    <w:rsid w:val="45DB3A76"/>
    <w:rsid w:val="46577FD6"/>
    <w:rsid w:val="46803449"/>
    <w:rsid w:val="46AD2AE3"/>
    <w:rsid w:val="46BA0241"/>
    <w:rsid w:val="46BA7686"/>
    <w:rsid w:val="46D955A7"/>
    <w:rsid w:val="47133957"/>
    <w:rsid w:val="472573A6"/>
    <w:rsid w:val="47A07E0C"/>
    <w:rsid w:val="47A11B3D"/>
    <w:rsid w:val="47B40591"/>
    <w:rsid w:val="47BD0E6E"/>
    <w:rsid w:val="4805359A"/>
    <w:rsid w:val="4868286F"/>
    <w:rsid w:val="4870272E"/>
    <w:rsid w:val="487E6AC6"/>
    <w:rsid w:val="4891677A"/>
    <w:rsid w:val="48F46FCF"/>
    <w:rsid w:val="49056AB4"/>
    <w:rsid w:val="49C10D2B"/>
    <w:rsid w:val="49DC7715"/>
    <w:rsid w:val="49FD6207"/>
    <w:rsid w:val="4A023139"/>
    <w:rsid w:val="4A505B3A"/>
    <w:rsid w:val="4A7B576F"/>
    <w:rsid w:val="4AA173B4"/>
    <w:rsid w:val="4AA7104D"/>
    <w:rsid w:val="4AAC4850"/>
    <w:rsid w:val="4AB07EAF"/>
    <w:rsid w:val="4AC96951"/>
    <w:rsid w:val="4AE4790F"/>
    <w:rsid w:val="4AF561A9"/>
    <w:rsid w:val="4B307FCC"/>
    <w:rsid w:val="4BDB2578"/>
    <w:rsid w:val="4C105C24"/>
    <w:rsid w:val="4C255920"/>
    <w:rsid w:val="4C337918"/>
    <w:rsid w:val="4C4268AA"/>
    <w:rsid w:val="4C4A0649"/>
    <w:rsid w:val="4C7E5ECA"/>
    <w:rsid w:val="4C876AA5"/>
    <w:rsid w:val="4CA34C1B"/>
    <w:rsid w:val="4D0E00FB"/>
    <w:rsid w:val="4D176606"/>
    <w:rsid w:val="4D1E0115"/>
    <w:rsid w:val="4D782049"/>
    <w:rsid w:val="4DEC4FB0"/>
    <w:rsid w:val="4DFB36E2"/>
    <w:rsid w:val="4E075D8A"/>
    <w:rsid w:val="4EC00FAD"/>
    <w:rsid w:val="4ED724B4"/>
    <w:rsid w:val="4EEA0361"/>
    <w:rsid w:val="4F0A1774"/>
    <w:rsid w:val="4F1F277C"/>
    <w:rsid w:val="4F42290E"/>
    <w:rsid w:val="4F923D20"/>
    <w:rsid w:val="4F9843DC"/>
    <w:rsid w:val="4FC62A8C"/>
    <w:rsid w:val="4FCC2E0C"/>
    <w:rsid w:val="4FDC039B"/>
    <w:rsid w:val="4FDF2F1A"/>
    <w:rsid w:val="4FE20F0D"/>
    <w:rsid w:val="4FE51552"/>
    <w:rsid w:val="50113FAD"/>
    <w:rsid w:val="5026404E"/>
    <w:rsid w:val="503A2210"/>
    <w:rsid w:val="50504C4B"/>
    <w:rsid w:val="505C6EC4"/>
    <w:rsid w:val="509C6E7C"/>
    <w:rsid w:val="512F1E25"/>
    <w:rsid w:val="5162104E"/>
    <w:rsid w:val="51AD2EA3"/>
    <w:rsid w:val="51B82A14"/>
    <w:rsid w:val="51D5078F"/>
    <w:rsid w:val="52730B24"/>
    <w:rsid w:val="529D4A9E"/>
    <w:rsid w:val="52AE3E89"/>
    <w:rsid w:val="52D23FA9"/>
    <w:rsid w:val="52E2700B"/>
    <w:rsid w:val="52F757BE"/>
    <w:rsid w:val="53712FE3"/>
    <w:rsid w:val="53762B86"/>
    <w:rsid w:val="53A039CC"/>
    <w:rsid w:val="53A1505A"/>
    <w:rsid w:val="53F76052"/>
    <w:rsid w:val="54063E08"/>
    <w:rsid w:val="543437E8"/>
    <w:rsid w:val="54585213"/>
    <w:rsid w:val="547747FB"/>
    <w:rsid w:val="548142FF"/>
    <w:rsid w:val="54ED312D"/>
    <w:rsid w:val="54F73313"/>
    <w:rsid w:val="54F80955"/>
    <w:rsid w:val="55322ADD"/>
    <w:rsid w:val="555170A7"/>
    <w:rsid w:val="55793633"/>
    <w:rsid w:val="5587536D"/>
    <w:rsid w:val="559B174B"/>
    <w:rsid w:val="55CE0CF4"/>
    <w:rsid w:val="5616363B"/>
    <w:rsid w:val="56566459"/>
    <w:rsid w:val="566403DE"/>
    <w:rsid w:val="56B22A9C"/>
    <w:rsid w:val="56ED03A3"/>
    <w:rsid w:val="57304C0F"/>
    <w:rsid w:val="57822857"/>
    <w:rsid w:val="57824552"/>
    <w:rsid w:val="57A36860"/>
    <w:rsid w:val="57B72A76"/>
    <w:rsid w:val="57C3426C"/>
    <w:rsid w:val="57CE1F93"/>
    <w:rsid w:val="57D2749C"/>
    <w:rsid w:val="57DF7F00"/>
    <w:rsid w:val="58105627"/>
    <w:rsid w:val="588743D1"/>
    <w:rsid w:val="5887701A"/>
    <w:rsid w:val="588778A8"/>
    <w:rsid w:val="58AD57B2"/>
    <w:rsid w:val="58B91C09"/>
    <w:rsid w:val="5901727C"/>
    <w:rsid w:val="593D5C06"/>
    <w:rsid w:val="59AB78F8"/>
    <w:rsid w:val="59C0439F"/>
    <w:rsid w:val="59CC7769"/>
    <w:rsid w:val="5A46043C"/>
    <w:rsid w:val="5A756D13"/>
    <w:rsid w:val="5A8E4C69"/>
    <w:rsid w:val="5AA21AB7"/>
    <w:rsid w:val="5ABE2233"/>
    <w:rsid w:val="5AD12592"/>
    <w:rsid w:val="5AFC1BC3"/>
    <w:rsid w:val="5B417F1E"/>
    <w:rsid w:val="5BDF5D95"/>
    <w:rsid w:val="5BF71986"/>
    <w:rsid w:val="5BFE7528"/>
    <w:rsid w:val="5C0E6052"/>
    <w:rsid w:val="5C383A38"/>
    <w:rsid w:val="5C3A7F30"/>
    <w:rsid w:val="5C8252C2"/>
    <w:rsid w:val="5D342320"/>
    <w:rsid w:val="5D685938"/>
    <w:rsid w:val="5D720687"/>
    <w:rsid w:val="5D7357FE"/>
    <w:rsid w:val="5DF03535"/>
    <w:rsid w:val="5E174F66"/>
    <w:rsid w:val="5E2467F1"/>
    <w:rsid w:val="5E3D2E75"/>
    <w:rsid w:val="5E4C04E3"/>
    <w:rsid w:val="5E4C08FB"/>
    <w:rsid w:val="5EA45114"/>
    <w:rsid w:val="5F0C4A11"/>
    <w:rsid w:val="5F1A2B43"/>
    <w:rsid w:val="5F313E05"/>
    <w:rsid w:val="5F610B8F"/>
    <w:rsid w:val="5FB837BB"/>
    <w:rsid w:val="5FDF027F"/>
    <w:rsid w:val="606C00AE"/>
    <w:rsid w:val="60A70823"/>
    <w:rsid w:val="60CC405A"/>
    <w:rsid w:val="60F5577F"/>
    <w:rsid w:val="61774699"/>
    <w:rsid w:val="61E215D8"/>
    <w:rsid w:val="61E632FD"/>
    <w:rsid w:val="621B3775"/>
    <w:rsid w:val="62364782"/>
    <w:rsid w:val="62B44E2D"/>
    <w:rsid w:val="62C7136F"/>
    <w:rsid w:val="62FE2ACC"/>
    <w:rsid w:val="634A38E1"/>
    <w:rsid w:val="6394356A"/>
    <w:rsid w:val="63C05388"/>
    <w:rsid w:val="63C61B2C"/>
    <w:rsid w:val="63D40BE9"/>
    <w:rsid w:val="63D56907"/>
    <w:rsid w:val="64102431"/>
    <w:rsid w:val="64196988"/>
    <w:rsid w:val="64290374"/>
    <w:rsid w:val="64526654"/>
    <w:rsid w:val="645E4E66"/>
    <w:rsid w:val="64954856"/>
    <w:rsid w:val="64A5243A"/>
    <w:rsid w:val="64F531DE"/>
    <w:rsid w:val="65373578"/>
    <w:rsid w:val="656D4368"/>
    <w:rsid w:val="65A417D5"/>
    <w:rsid w:val="65B761F3"/>
    <w:rsid w:val="667602EE"/>
    <w:rsid w:val="66844C29"/>
    <w:rsid w:val="66E7017B"/>
    <w:rsid w:val="67062B62"/>
    <w:rsid w:val="671F124A"/>
    <w:rsid w:val="67390FA9"/>
    <w:rsid w:val="677A33C6"/>
    <w:rsid w:val="67996764"/>
    <w:rsid w:val="679F5492"/>
    <w:rsid w:val="67A17C72"/>
    <w:rsid w:val="67B31CCB"/>
    <w:rsid w:val="67CC5FF5"/>
    <w:rsid w:val="67E9326F"/>
    <w:rsid w:val="681F6961"/>
    <w:rsid w:val="68202BF5"/>
    <w:rsid w:val="68610A2F"/>
    <w:rsid w:val="68805514"/>
    <w:rsid w:val="68CE7010"/>
    <w:rsid w:val="68D67EF7"/>
    <w:rsid w:val="69316E2F"/>
    <w:rsid w:val="69322F7F"/>
    <w:rsid w:val="694E2071"/>
    <w:rsid w:val="69550A1C"/>
    <w:rsid w:val="69766163"/>
    <w:rsid w:val="697A3B33"/>
    <w:rsid w:val="69B525D7"/>
    <w:rsid w:val="69C47F64"/>
    <w:rsid w:val="69D44760"/>
    <w:rsid w:val="69E65266"/>
    <w:rsid w:val="69ED22CF"/>
    <w:rsid w:val="69EF296F"/>
    <w:rsid w:val="69F10D61"/>
    <w:rsid w:val="6A520EC7"/>
    <w:rsid w:val="6A924CC7"/>
    <w:rsid w:val="6AF02436"/>
    <w:rsid w:val="6AF87E20"/>
    <w:rsid w:val="6B322639"/>
    <w:rsid w:val="6B5D0B97"/>
    <w:rsid w:val="6B7451C2"/>
    <w:rsid w:val="6BB236CA"/>
    <w:rsid w:val="6BC26DB2"/>
    <w:rsid w:val="6C5F63A8"/>
    <w:rsid w:val="6C636C38"/>
    <w:rsid w:val="6C6846BD"/>
    <w:rsid w:val="6C8F6F12"/>
    <w:rsid w:val="6CB127DF"/>
    <w:rsid w:val="6CDA449B"/>
    <w:rsid w:val="6D5509DC"/>
    <w:rsid w:val="6DB34098"/>
    <w:rsid w:val="6DB545B6"/>
    <w:rsid w:val="6DBD25F1"/>
    <w:rsid w:val="6DE02FB4"/>
    <w:rsid w:val="6DF576CF"/>
    <w:rsid w:val="6DFA6436"/>
    <w:rsid w:val="6DFE5F8C"/>
    <w:rsid w:val="6E1D7E40"/>
    <w:rsid w:val="6E514CED"/>
    <w:rsid w:val="6EB563D5"/>
    <w:rsid w:val="6ED92677"/>
    <w:rsid w:val="6EFF77F1"/>
    <w:rsid w:val="6F225983"/>
    <w:rsid w:val="6F363AD0"/>
    <w:rsid w:val="6F4064D3"/>
    <w:rsid w:val="6F5C522C"/>
    <w:rsid w:val="6F7B6E0E"/>
    <w:rsid w:val="6F7C5E36"/>
    <w:rsid w:val="6FFC5590"/>
    <w:rsid w:val="702A1C8F"/>
    <w:rsid w:val="706D1DD0"/>
    <w:rsid w:val="7071142C"/>
    <w:rsid w:val="70856B87"/>
    <w:rsid w:val="7087301D"/>
    <w:rsid w:val="70D527EE"/>
    <w:rsid w:val="70DF6C6A"/>
    <w:rsid w:val="715B5300"/>
    <w:rsid w:val="716C319D"/>
    <w:rsid w:val="71995F66"/>
    <w:rsid w:val="71D27F8A"/>
    <w:rsid w:val="72216757"/>
    <w:rsid w:val="723366C9"/>
    <w:rsid w:val="72513A74"/>
    <w:rsid w:val="72553024"/>
    <w:rsid w:val="729B09F3"/>
    <w:rsid w:val="73122968"/>
    <w:rsid w:val="731F5D5E"/>
    <w:rsid w:val="733357FE"/>
    <w:rsid w:val="73351C7E"/>
    <w:rsid w:val="73883CAD"/>
    <w:rsid w:val="73AF4DEA"/>
    <w:rsid w:val="73B27A85"/>
    <w:rsid w:val="73C51AD5"/>
    <w:rsid w:val="73E85406"/>
    <w:rsid w:val="73FD2714"/>
    <w:rsid w:val="740B0DF6"/>
    <w:rsid w:val="741E793C"/>
    <w:rsid w:val="74424136"/>
    <w:rsid w:val="745E3944"/>
    <w:rsid w:val="74620891"/>
    <w:rsid w:val="747D311F"/>
    <w:rsid w:val="74850A24"/>
    <w:rsid w:val="749E1927"/>
    <w:rsid w:val="74A97616"/>
    <w:rsid w:val="74AC668C"/>
    <w:rsid w:val="74BB7046"/>
    <w:rsid w:val="74CA482C"/>
    <w:rsid w:val="74FC75C1"/>
    <w:rsid w:val="75296519"/>
    <w:rsid w:val="75680B5F"/>
    <w:rsid w:val="75FF0A4C"/>
    <w:rsid w:val="762D3121"/>
    <w:rsid w:val="7635099D"/>
    <w:rsid w:val="76571F4C"/>
    <w:rsid w:val="766C6642"/>
    <w:rsid w:val="76962A74"/>
    <w:rsid w:val="76E34D41"/>
    <w:rsid w:val="77526E0C"/>
    <w:rsid w:val="77762421"/>
    <w:rsid w:val="77B56B1F"/>
    <w:rsid w:val="77BC5011"/>
    <w:rsid w:val="77FF289B"/>
    <w:rsid w:val="780F09F4"/>
    <w:rsid w:val="781D51D2"/>
    <w:rsid w:val="78947487"/>
    <w:rsid w:val="78A90480"/>
    <w:rsid w:val="78B0254F"/>
    <w:rsid w:val="78C07B31"/>
    <w:rsid w:val="79314655"/>
    <w:rsid w:val="799229A8"/>
    <w:rsid w:val="79967596"/>
    <w:rsid w:val="79A4749B"/>
    <w:rsid w:val="7A364017"/>
    <w:rsid w:val="7A8265E1"/>
    <w:rsid w:val="7ABD74EB"/>
    <w:rsid w:val="7AD20159"/>
    <w:rsid w:val="7B153E78"/>
    <w:rsid w:val="7B2D7552"/>
    <w:rsid w:val="7B51087D"/>
    <w:rsid w:val="7B5F3D7C"/>
    <w:rsid w:val="7B686D42"/>
    <w:rsid w:val="7B841746"/>
    <w:rsid w:val="7B8D1F50"/>
    <w:rsid w:val="7B8E6410"/>
    <w:rsid w:val="7BC13F72"/>
    <w:rsid w:val="7C6C5AC7"/>
    <w:rsid w:val="7CC6544B"/>
    <w:rsid w:val="7CEE0DD5"/>
    <w:rsid w:val="7D0239FF"/>
    <w:rsid w:val="7D254B52"/>
    <w:rsid w:val="7D2C7760"/>
    <w:rsid w:val="7D5E40CD"/>
    <w:rsid w:val="7D6531A0"/>
    <w:rsid w:val="7DCA2084"/>
    <w:rsid w:val="7DCD56F2"/>
    <w:rsid w:val="7E074257"/>
    <w:rsid w:val="7E15784C"/>
    <w:rsid w:val="7E2F2FF7"/>
    <w:rsid w:val="7E374F5D"/>
    <w:rsid w:val="7E68497B"/>
    <w:rsid w:val="7E924FE6"/>
    <w:rsid w:val="7E9D5497"/>
    <w:rsid w:val="7EA20EF1"/>
    <w:rsid w:val="7EE42DF0"/>
    <w:rsid w:val="7F001CE7"/>
    <w:rsid w:val="7F47533B"/>
    <w:rsid w:val="7F4D1701"/>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ocked="1"/>
    <w:lsdException w:unhideWhenUsed="0" w:uiPriority="0"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qFormat="1"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qFormat="1"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qFormat="1"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iPriority="99"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99" w:semiHidden="0" w:name="Plain Text" w:locked="1"/>
    <w:lsdException w:qFormat="1" w:unhideWhenUsed="0" w:uiPriority="99" w:semiHidden="0" w:name="E-mail Signature" w:locked="1"/>
    <w:lsdException w:qFormat="1" w:unhideWhenUsed="0" w:uiPriority="99" w:semiHidden="0" w:name="Normal (Web)"/>
    <w:lsdException w:qFormat="1"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qFormat="1"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50"/>
    <w:qFormat/>
    <w:locked/>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5">
    <w:name w:val="heading 3"/>
    <w:basedOn w:val="1"/>
    <w:next w:val="1"/>
    <w:qFormat/>
    <w:locked/>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6">
    <w:name w:val="heading 4"/>
    <w:basedOn w:val="1"/>
    <w:next w:val="1"/>
    <w:link w:val="51"/>
    <w:qFormat/>
    <w:locked/>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37">
    <w:name w:val="Default Paragraph Font"/>
    <w:semiHidden/>
    <w:qFormat/>
    <w:uiPriority w:val="0"/>
  </w:style>
  <w:style w:type="table" w:default="1" w:styleId="3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49"/>
    <w:qFormat/>
    <w:locked/>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7">
    <w:name w:val="E-mail Signature"/>
    <w:basedOn w:val="1"/>
    <w:next w:val="8"/>
    <w:qFormat/>
    <w:locked/>
    <w:uiPriority w:val="99"/>
    <w:pPr>
      <w:spacing w:line="460" w:lineRule="exact"/>
      <w:ind w:firstLine="200"/>
    </w:pPr>
    <w:rPr>
      <w:rFonts w:ascii="Times New Roman" w:hAnsi="Times New Roman" w:cs="Times New Roman"/>
    </w:rPr>
  </w:style>
  <w:style w:type="paragraph" w:customStyle="1" w:styleId="8">
    <w:name w:val="文章"/>
    <w:next w:val="9"/>
    <w:qFormat/>
    <w:uiPriority w:val="0"/>
    <w:pPr>
      <w:ind w:firstLine="480"/>
      <w:jc w:val="center"/>
    </w:pPr>
    <w:rPr>
      <w:rFonts w:ascii="Times New Roman" w:hAnsi="Times New Roman" w:eastAsia="宋体" w:cs="Times New Roman"/>
      <w:kern w:val="2"/>
      <w:sz w:val="26"/>
      <w:szCs w:val="22"/>
      <w:lang w:val="en-US" w:eastAsia="zh-CN" w:bidi="ar-SA"/>
    </w:rPr>
  </w:style>
  <w:style w:type="paragraph" w:styleId="9">
    <w:name w:val="List"/>
    <w:basedOn w:val="1"/>
    <w:next w:val="10"/>
    <w:qFormat/>
    <w:locked/>
    <w:uiPriority w:val="0"/>
    <w:pPr>
      <w:ind w:left="420" w:hanging="420"/>
    </w:pPr>
    <w:rPr>
      <w:sz w:val="28"/>
      <w:szCs w:val="20"/>
    </w:rPr>
  </w:style>
  <w:style w:type="paragraph" w:styleId="10">
    <w:name w:val="List Bullet 2"/>
    <w:basedOn w:val="1"/>
    <w:next w:val="11"/>
    <w:qFormat/>
    <w:locked/>
    <w:uiPriority w:val="0"/>
    <w:pPr>
      <w:tabs>
        <w:tab w:val="left" w:pos="780"/>
      </w:tabs>
      <w:ind w:left="780" w:hanging="360"/>
    </w:pPr>
  </w:style>
  <w:style w:type="paragraph" w:customStyle="1" w:styleId="11">
    <w:name w:val="xl70"/>
    <w:basedOn w:val="1"/>
    <w:next w:val="12"/>
    <w:qFormat/>
    <w:uiPriority w:val="0"/>
    <w:pPr>
      <w:widowControl/>
      <w:spacing w:before="280" w:after="280" w:line="240" w:lineRule="auto"/>
      <w:ind w:firstLine="0"/>
    </w:pPr>
    <w:rPr>
      <w:rFonts w:ascii="宋体"/>
    </w:rPr>
  </w:style>
  <w:style w:type="paragraph" w:customStyle="1" w:styleId="12">
    <w:name w:val="正文缩进1"/>
    <w:basedOn w:val="1"/>
    <w:next w:val="13"/>
    <w:qFormat/>
    <w:uiPriority w:val="0"/>
    <w:pPr>
      <w:ind w:firstLine="420"/>
    </w:pPr>
    <w:rPr>
      <w:rFonts w:ascii="宋体"/>
      <w:sz w:val="28"/>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Normal Indent"/>
    <w:basedOn w:val="1"/>
    <w:next w:val="15"/>
    <w:unhideWhenUsed/>
    <w:qFormat/>
    <w:locked/>
    <w:uiPriority w:val="99"/>
    <w:pPr>
      <w:ind w:firstLine="420"/>
    </w:pPr>
    <w:rPr>
      <w:sz w:val="24"/>
    </w:rPr>
  </w:style>
  <w:style w:type="paragraph" w:customStyle="1" w:styleId="15">
    <w:name w:val="报告正文"/>
    <w:basedOn w:val="1"/>
    <w:qFormat/>
    <w:uiPriority w:val="0"/>
    <w:pPr>
      <w:spacing w:line="360" w:lineRule="auto"/>
      <w:ind w:hanging="360"/>
    </w:pPr>
    <w:rPr>
      <w:rFonts w:hAnsi="宋体"/>
      <w:kern w:val="0"/>
      <w:sz w:val="24"/>
    </w:rPr>
  </w:style>
  <w:style w:type="paragraph" w:styleId="16">
    <w:name w:val="annotation text"/>
    <w:basedOn w:val="1"/>
    <w:link w:val="52"/>
    <w:qFormat/>
    <w:uiPriority w:val="99"/>
    <w:pPr>
      <w:jc w:val="left"/>
    </w:pPr>
    <w:rPr>
      <w:kern w:val="0"/>
      <w:sz w:val="24"/>
      <w:szCs w:val="20"/>
    </w:rPr>
  </w:style>
  <w:style w:type="paragraph" w:styleId="17">
    <w:name w:val="Salutation"/>
    <w:basedOn w:val="1"/>
    <w:next w:val="1"/>
    <w:qFormat/>
    <w:locked/>
    <w:uiPriority w:val="0"/>
  </w:style>
  <w:style w:type="paragraph" w:styleId="18">
    <w:name w:val="Body Text"/>
    <w:basedOn w:val="1"/>
    <w:next w:val="19"/>
    <w:link w:val="53"/>
    <w:qFormat/>
    <w:uiPriority w:val="0"/>
    <w:pPr>
      <w:widowControl/>
      <w:snapToGrid w:val="0"/>
      <w:spacing w:before="60" w:after="160" w:line="259" w:lineRule="auto"/>
      <w:ind w:right="113"/>
    </w:pPr>
    <w:rPr>
      <w:kern w:val="0"/>
      <w:sz w:val="18"/>
      <w:szCs w:val="20"/>
    </w:rPr>
  </w:style>
  <w:style w:type="paragraph" w:styleId="19">
    <w:name w:val="Body Text First Indent 2"/>
    <w:basedOn w:val="20"/>
    <w:next w:val="21"/>
    <w:link w:val="55"/>
    <w:qFormat/>
    <w:locked/>
    <w:uiPriority w:val="0"/>
    <w:pPr>
      <w:ind w:firstLine="420" w:firstLineChars="200"/>
    </w:pPr>
    <w:rPr>
      <w:kern w:val="2"/>
      <w:sz w:val="21"/>
    </w:rPr>
  </w:style>
  <w:style w:type="paragraph" w:styleId="20">
    <w:name w:val="Body Text Indent"/>
    <w:basedOn w:val="1"/>
    <w:next w:val="19"/>
    <w:link w:val="54"/>
    <w:qFormat/>
    <w:uiPriority w:val="0"/>
    <w:pPr>
      <w:spacing w:after="120"/>
      <w:ind w:left="420" w:leftChars="200"/>
    </w:pPr>
    <w:rPr>
      <w:kern w:val="0"/>
      <w:sz w:val="24"/>
      <w:szCs w:val="20"/>
    </w:rPr>
  </w:style>
  <w:style w:type="paragraph" w:styleId="21">
    <w:name w:val="Plain Text"/>
    <w:basedOn w:val="1"/>
    <w:next w:val="22"/>
    <w:link w:val="56"/>
    <w:qFormat/>
    <w:locked/>
    <w:uiPriority w:val="99"/>
    <w:rPr>
      <w:rFonts w:ascii="宋体" w:hAnsi="Courier New"/>
      <w:szCs w:val="20"/>
    </w:rPr>
  </w:style>
  <w:style w:type="paragraph" w:styleId="22">
    <w:name w:val="List Number 5"/>
    <w:basedOn w:val="1"/>
    <w:next w:val="23"/>
    <w:qFormat/>
    <w:locked/>
    <w:uiPriority w:val="0"/>
    <w:pPr>
      <w:numPr>
        <w:ilvl w:val="0"/>
        <w:numId w:val="1"/>
      </w:numPr>
    </w:pPr>
  </w:style>
  <w:style w:type="paragraph" w:styleId="23">
    <w:name w:val="Body Text First Indent"/>
    <w:basedOn w:val="18"/>
    <w:next w:val="1"/>
    <w:link w:val="57"/>
    <w:qFormat/>
    <w:locked/>
    <w:uiPriority w:val="0"/>
    <w:pPr>
      <w:widowControl w:val="0"/>
      <w:snapToGrid/>
      <w:spacing w:before="0" w:after="120" w:line="240" w:lineRule="auto"/>
      <w:ind w:right="0" w:firstLine="420" w:firstLineChars="100"/>
    </w:pPr>
    <w:rPr>
      <w:kern w:val="2"/>
      <w:sz w:val="21"/>
      <w:szCs w:val="24"/>
    </w:rPr>
  </w:style>
  <w:style w:type="paragraph" w:styleId="24">
    <w:name w:val="Date"/>
    <w:basedOn w:val="1"/>
    <w:next w:val="1"/>
    <w:link w:val="58"/>
    <w:qFormat/>
    <w:uiPriority w:val="0"/>
    <w:pPr>
      <w:ind w:left="100" w:leftChars="2500"/>
    </w:pPr>
    <w:rPr>
      <w:kern w:val="0"/>
      <w:sz w:val="24"/>
      <w:szCs w:val="20"/>
    </w:rPr>
  </w:style>
  <w:style w:type="paragraph" w:styleId="25">
    <w:name w:val="Body Text Indent 2"/>
    <w:basedOn w:val="1"/>
    <w:link w:val="59"/>
    <w:qFormat/>
    <w:locked/>
    <w:uiPriority w:val="0"/>
    <w:pPr>
      <w:spacing w:after="120" w:line="480" w:lineRule="auto"/>
      <w:ind w:left="420" w:leftChars="200"/>
    </w:pPr>
  </w:style>
  <w:style w:type="paragraph" w:styleId="26">
    <w:name w:val="Balloon Text"/>
    <w:basedOn w:val="1"/>
    <w:link w:val="60"/>
    <w:semiHidden/>
    <w:qFormat/>
    <w:uiPriority w:val="0"/>
    <w:rPr>
      <w:kern w:val="0"/>
      <w:sz w:val="18"/>
      <w:szCs w:val="20"/>
    </w:rPr>
  </w:style>
  <w:style w:type="paragraph" w:styleId="27">
    <w:name w:val="footer"/>
    <w:basedOn w:val="1"/>
    <w:link w:val="61"/>
    <w:qFormat/>
    <w:uiPriority w:val="99"/>
    <w:pPr>
      <w:tabs>
        <w:tab w:val="center" w:pos="4153"/>
        <w:tab w:val="right" w:pos="8306"/>
      </w:tabs>
      <w:snapToGrid w:val="0"/>
      <w:jc w:val="left"/>
    </w:pPr>
    <w:rPr>
      <w:kern w:val="0"/>
      <w:sz w:val="18"/>
      <w:szCs w:val="20"/>
    </w:rPr>
  </w:style>
  <w:style w:type="paragraph" w:styleId="28">
    <w:name w:val="header"/>
    <w:basedOn w:val="1"/>
    <w:next w:val="29"/>
    <w:link w:val="62"/>
    <w:qFormat/>
    <w:uiPriority w:val="99"/>
    <w:pPr>
      <w:pBdr>
        <w:bottom w:val="single" w:color="auto" w:sz="6" w:space="1"/>
      </w:pBdr>
      <w:tabs>
        <w:tab w:val="center" w:pos="4153"/>
        <w:tab w:val="right" w:pos="8306"/>
      </w:tabs>
      <w:snapToGrid w:val="0"/>
      <w:jc w:val="center"/>
    </w:pPr>
    <w:rPr>
      <w:kern w:val="0"/>
      <w:sz w:val="18"/>
      <w:szCs w:val="20"/>
    </w:rPr>
  </w:style>
  <w:style w:type="paragraph" w:styleId="29">
    <w:name w:val="index heading"/>
    <w:basedOn w:val="1"/>
    <w:next w:val="30"/>
    <w:qFormat/>
    <w:locked/>
    <w:uiPriority w:val="0"/>
    <w:rPr>
      <w:rFonts w:ascii="宋体"/>
      <w:bCs/>
      <w:sz w:val="24"/>
    </w:rPr>
  </w:style>
  <w:style w:type="paragraph" w:styleId="30">
    <w:name w:val="index 1"/>
    <w:basedOn w:val="1"/>
    <w:next w:val="1"/>
    <w:qFormat/>
    <w:locked/>
    <w:uiPriority w:val="0"/>
    <w:pPr>
      <w:adjustRightInd/>
      <w:spacing w:line="240" w:lineRule="auto"/>
      <w:ind w:left="560" w:hanging="560"/>
      <w:jc w:val="both"/>
      <w:textAlignment w:val="auto"/>
    </w:pPr>
    <w:rPr>
      <w:rFonts w:hAnsi="宋体"/>
      <w:spacing w:val="10"/>
      <w:kern w:val="2"/>
      <w:sz w:val="21"/>
      <w:szCs w:val="24"/>
    </w:rPr>
  </w:style>
  <w:style w:type="paragraph" w:styleId="31">
    <w:name w:val="toc 1"/>
    <w:basedOn w:val="1"/>
    <w:next w:val="1"/>
    <w:qFormat/>
    <w:locked/>
    <w:uiPriority w:val="39"/>
  </w:style>
  <w:style w:type="paragraph" w:styleId="32">
    <w:name w:val="toc 2"/>
    <w:basedOn w:val="1"/>
    <w:next w:val="7"/>
    <w:qFormat/>
    <w:locked/>
    <w:uiPriority w:val="39"/>
    <w:pPr>
      <w:ind w:left="210"/>
      <w:jc w:val="left"/>
    </w:pPr>
    <w:rPr>
      <w:smallCaps/>
      <w:sz w:val="24"/>
      <w:szCs w:val="20"/>
    </w:rPr>
  </w:style>
  <w:style w:type="paragraph" w:styleId="33">
    <w:name w:val="Normal (Web)"/>
    <w:basedOn w:val="1"/>
    <w:link w:val="63"/>
    <w:qFormat/>
    <w:uiPriority w:val="99"/>
    <w:pPr>
      <w:widowControl/>
      <w:spacing w:before="100" w:beforeAutospacing="1" w:after="100" w:afterAutospacing="1"/>
      <w:jc w:val="left"/>
    </w:pPr>
    <w:rPr>
      <w:rFonts w:ascii="宋体" w:hAnsi="宋体"/>
      <w:kern w:val="0"/>
      <w:sz w:val="24"/>
      <w:szCs w:val="20"/>
    </w:rPr>
  </w:style>
  <w:style w:type="paragraph" w:styleId="34">
    <w:name w:val="annotation subject"/>
    <w:basedOn w:val="16"/>
    <w:next w:val="16"/>
    <w:link w:val="64"/>
    <w:semiHidden/>
    <w:qFormat/>
    <w:uiPriority w:val="0"/>
    <w:rPr>
      <w:b/>
      <w:sz w:val="24"/>
      <w:szCs w:val="20"/>
    </w:rPr>
  </w:style>
  <w:style w:type="table" w:styleId="36">
    <w:name w:val="Table Grid"/>
    <w:basedOn w:val="35"/>
    <w:qFormat/>
    <w:uiPriority w:val="9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locked/>
    <w:uiPriority w:val="0"/>
    <w:rPr>
      <w:b/>
    </w:rPr>
  </w:style>
  <w:style w:type="character" w:styleId="39">
    <w:name w:val="page number"/>
    <w:basedOn w:val="37"/>
    <w:qFormat/>
    <w:locked/>
    <w:uiPriority w:val="0"/>
  </w:style>
  <w:style w:type="character" w:styleId="40">
    <w:name w:val="FollowedHyperlink"/>
    <w:qFormat/>
    <w:locked/>
    <w:uiPriority w:val="0"/>
    <w:rPr>
      <w:color w:val="000000"/>
      <w:u w:val="none"/>
    </w:rPr>
  </w:style>
  <w:style w:type="character" w:styleId="41">
    <w:name w:val="Emphasis"/>
    <w:qFormat/>
    <w:locked/>
    <w:uiPriority w:val="0"/>
  </w:style>
  <w:style w:type="character" w:styleId="42">
    <w:name w:val="HTML Definition"/>
    <w:qFormat/>
    <w:locked/>
    <w:uiPriority w:val="0"/>
  </w:style>
  <w:style w:type="character" w:styleId="43">
    <w:name w:val="HTML Acronym"/>
    <w:qFormat/>
    <w:locked/>
    <w:uiPriority w:val="0"/>
  </w:style>
  <w:style w:type="character" w:styleId="44">
    <w:name w:val="HTML Variable"/>
    <w:qFormat/>
    <w:locked/>
    <w:uiPriority w:val="0"/>
  </w:style>
  <w:style w:type="character" w:styleId="45">
    <w:name w:val="Hyperlink"/>
    <w:unhideWhenUsed/>
    <w:qFormat/>
    <w:locked/>
    <w:uiPriority w:val="99"/>
    <w:rPr>
      <w:color w:val="000000"/>
      <w:u w:val="none"/>
    </w:rPr>
  </w:style>
  <w:style w:type="character" w:styleId="46">
    <w:name w:val="HTML Code"/>
    <w:qFormat/>
    <w:locked/>
    <w:uiPriority w:val="0"/>
    <w:rPr>
      <w:rFonts w:ascii="Courier New" w:hAnsi="Courier New"/>
      <w:sz w:val="20"/>
    </w:rPr>
  </w:style>
  <w:style w:type="character" w:styleId="47">
    <w:name w:val="annotation reference"/>
    <w:qFormat/>
    <w:uiPriority w:val="0"/>
    <w:rPr>
      <w:sz w:val="21"/>
    </w:rPr>
  </w:style>
  <w:style w:type="character" w:styleId="48">
    <w:name w:val="HTML Cite"/>
    <w:qFormat/>
    <w:locked/>
    <w:uiPriority w:val="0"/>
  </w:style>
  <w:style w:type="character" w:customStyle="1" w:styleId="49">
    <w:name w:val="宏文本 Char"/>
    <w:link w:val="2"/>
    <w:qFormat/>
    <w:uiPriority w:val="0"/>
    <w:rPr>
      <w:rFonts w:ascii="Courier New" w:hAnsi="Courier New" w:cs="Courier New"/>
      <w:kern w:val="2"/>
      <w:sz w:val="24"/>
      <w:szCs w:val="24"/>
    </w:rPr>
  </w:style>
  <w:style w:type="character" w:customStyle="1" w:styleId="50">
    <w:name w:val="标题 2 Char"/>
    <w:link w:val="4"/>
    <w:semiHidden/>
    <w:qFormat/>
    <w:uiPriority w:val="0"/>
    <w:rPr>
      <w:rFonts w:ascii="等线 Light" w:hAnsi="等线 Light" w:eastAsia="等线 Light" w:cs="Times New Roman"/>
      <w:b/>
      <w:bCs/>
      <w:kern w:val="2"/>
      <w:sz w:val="32"/>
      <w:szCs w:val="32"/>
    </w:rPr>
  </w:style>
  <w:style w:type="character" w:customStyle="1" w:styleId="51">
    <w:name w:val="标题 4 Char"/>
    <w:link w:val="6"/>
    <w:semiHidden/>
    <w:qFormat/>
    <w:uiPriority w:val="0"/>
    <w:rPr>
      <w:rFonts w:ascii="等线 Light" w:hAnsi="等线 Light" w:eastAsia="等线 Light" w:cs="Times New Roman"/>
      <w:b/>
      <w:bCs/>
      <w:kern w:val="2"/>
      <w:sz w:val="28"/>
      <w:szCs w:val="28"/>
    </w:rPr>
  </w:style>
  <w:style w:type="character" w:customStyle="1" w:styleId="52">
    <w:name w:val="批注文字 Char"/>
    <w:link w:val="16"/>
    <w:qFormat/>
    <w:locked/>
    <w:uiPriority w:val="99"/>
    <w:rPr>
      <w:rFonts w:ascii="Times New Roman" w:hAnsi="Times New Roman" w:eastAsia="宋体"/>
      <w:sz w:val="24"/>
    </w:rPr>
  </w:style>
  <w:style w:type="character" w:customStyle="1" w:styleId="53">
    <w:name w:val="正文文本 Char"/>
    <w:link w:val="18"/>
    <w:qFormat/>
    <w:locked/>
    <w:uiPriority w:val="0"/>
    <w:rPr>
      <w:sz w:val="18"/>
    </w:rPr>
  </w:style>
  <w:style w:type="character" w:customStyle="1" w:styleId="54">
    <w:name w:val="正文文本缩进 Char"/>
    <w:link w:val="20"/>
    <w:semiHidden/>
    <w:qFormat/>
    <w:locked/>
    <w:uiPriority w:val="0"/>
    <w:rPr>
      <w:rFonts w:ascii="Times New Roman" w:hAnsi="Times New Roman" w:eastAsia="宋体"/>
      <w:sz w:val="24"/>
    </w:rPr>
  </w:style>
  <w:style w:type="character" w:customStyle="1" w:styleId="55">
    <w:name w:val="正文首行缩进 2 Char"/>
    <w:link w:val="19"/>
    <w:qFormat/>
    <w:uiPriority w:val="0"/>
    <w:rPr>
      <w:kern w:val="2"/>
      <w:sz w:val="21"/>
    </w:rPr>
  </w:style>
  <w:style w:type="character" w:customStyle="1" w:styleId="56">
    <w:name w:val="纯文本 Char"/>
    <w:link w:val="21"/>
    <w:qFormat/>
    <w:uiPriority w:val="99"/>
    <w:rPr>
      <w:rFonts w:ascii="宋体" w:hAnsi="Courier New"/>
      <w:kern w:val="2"/>
      <w:sz w:val="21"/>
    </w:rPr>
  </w:style>
  <w:style w:type="character" w:customStyle="1" w:styleId="57">
    <w:name w:val="正文首行缩进 Char"/>
    <w:link w:val="23"/>
    <w:qFormat/>
    <w:uiPriority w:val="0"/>
    <w:rPr>
      <w:kern w:val="2"/>
      <w:sz w:val="21"/>
      <w:szCs w:val="24"/>
    </w:rPr>
  </w:style>
  <w:style w:type="character" w:customStyle="1" w:styleId="58">
    <w:name w:val="日期 Char"/>
    <w:link w:val="24"/>
    <w:qFormat/>
    <w:locked/>
    <w:uiPriority w:val="0"/>
    <w:rPr>
      <w:rFonts w:ascii="Times New Roman" w:hAnsi="Times New Roman" w:eastAsia="宋体"/>
      <w:sz w:val="24"/>
    </w:rPr>
  </w:style>
  <w:style w:type="character" w:customStyle="1" w:styleId="59">
    <w:name w:val="正文文本缩进 2 Char"/>
    <w:link w:val="25"/>
    <w:qFormat/>
    <w:uiPriority w:val="0"/>
    <w:rPr>
      <w:kern w:val="2"/>
      <w:sz w:val="21"/>
      <w:szCs w:val="24"/>
    </w:rPr>
  </w:style>
  <w:style w:type="character" w:customStyle="1" w:styleId="60">
    <w:name w:val="批注框文本 Char"/>
    <w:link w:val="26"/>
    <w:semiHidden/>
    <w:qFormat/>
    <w:locked/>
    <w:uiPriority w:val="0"/>
    <w:rPr>
      <w:rFonts w:ascii="Times New Roman" w:hAnsi="Times New Roman" w:eastAsia="宋体"/>
      <w:sz w:val="18"/>
    </w:rPr>
  </w:style>
  <w:style w:type="character" w:customStyle="1" w:styleId="61">
    <w:name w:val="页脚 Char"/>
    <w:link w:val="27"/>
    <w:qFormat/>
    <w:locked/>
    <w:uiPriority w:val="99"/>
    <w:rPr>
      <w:sz w:val="18"/>
    </w:rPr>
  </w:style>
  <w:style w:type="character" w:customStyle="1" w:styleId="62">
    <w:name w:val="页眉 Char"/>
    <w:link w:val="28"/>
    <w:qFormat/>
    <w:locked/>
    <w:uiPriority w:val="99"/>
    <w:rPr>
      <w:sz w:val="18"/>
    </w:rPr>
  </w:style>
  <w:style w:type="character" w:customStyle="1" w:styleId="63">
    <w:name w:val="普通(网站) Char"/>
    <w:link w:val="33"/>
    <w:qFormat/>
    <w:locked/>
    <w:uiPriority w:val="0"/>
    <w:rPr>
      <w:rFonts w:ascii="宋体" w:hAnsi="宋体" w:eastAsia="宋体"/>
      <w:sz w:val="24"/>
    </w:rPr>
  </w:style>
  <w:style w:type="character" w:customStyle="1" w:styleId="64">
    <w:name w:val="批注主题 Char"/>
    <w:link w:val="34"/>
    <w:semiHidden/>
    <w:qFormat/>
    <w:locked/>
    <w:uiPriority w:val="0"/>
    <w:rPr>
      <w:rFonts w:ascii="Times New Roman" w:hAnsi="Times New Roman" w:eastAsia="宋体"/>
      <w:b/>
      <w:kern w:val="2"/>
      <w:sz w:val="24"/>
    </w:rPr>
  </w:style>
  <w:style w:type="paragraph" w:customStyle="1" w:styleId="65">
    <w:name w:val="Default"/>
    <w:basedOn w:val="66"/>
    <w:next w:val="67"/>
    <w:unhideWhenUsed/>
    <w:qFormat/>
    <w:uiPriority w:val="0"/>
    <w:pPr>
      <w:widowControl w:val="0"/>
      <w:autoSpaceDE w:val="0"/>
      <w:autoSpaceDN w:val="0"/>
      <w:adjustRightInd w:val="0"/>
    </w:pPr>
    <w:rPr>
      <w:rFonts w:ascii="宋体" w:hAnsi="宋体" w:eastAsia="等线"/>
      <w:color w:val="000000"/>
      <w:sz w:val="24"/>
      <w:lang w:val="en-US" w:eastAsia="zh-CN" w:bidi="ar-SA"/>
    </w:rPr>
  </w:style>
  <w:style w:type="paragraph" w:customStyle="1" w:styleId="66">
    <w:name w:val="纯文本1"/>
    <w:basedOn w:val="1"/>
    <w:qFormat/>
    <w:uiPriority w:val="0"/>
    <w:pPr>
      <w:adjustRightInd w:val="0"/>
    </w:pPr>
    <w:rPr>
      <w:rFonts w:ascii="宋体" w:hAnsi="Courier New"/>
      <w:szCs w:val="20"/>
    </w:rPr>
  </w:style>
  <w:style w:type="paragraph" w:customStyle="1" w:styleId="67">
    <w:name w:val="样式35"/>
    <w:next w:val="68"/>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68">
    <w:name w:val="font6"/>
    <w:basedOn w:val="1"/>
    <w:next w:val="32"/>
    <w:qFormat/>
    <w:uiPriority w:val="0"/>
    <w:pPr>
      <w:widowControl/>
      <w:spacing w:before="100" w:beforeLines="0" w:beforeAutospacing="1" w:after="100" w:afterLines="0" w:afterAutospacing="1"/>
      <w:jc w:val="left"/>
    </w:pPr>
    <w:rPr>
      <w:rFonts w:eastAsia="Arial Unicode MS"/>
      <w:kern w:val="0"/>
      <w:sz w:val="24"/>
    </w:rPr>
  </w:style>
  <w:style w:type="paragraph" w:customStyle="1" w:styleId="69">
    <w:name w:val="四级条标题"/>
    <w:basedOn w:val="70"/>
    <w:next w:val="74"/>
    <w:qFormat/>
    <w:uiPriority w:val="0"/>
    <w:pPr>
      <w:widowControl/>
      <w:spacing w:beforeLines="50" w:afterLines="50"/>
      <w:ind w:left="426"/>
      <w:outlineLvl w:val="5"/>
    </w:pPr>
    <w:rPr>
      <w:rFonts w:ascii="黑体" w:eastAsia="黑体"/>
      <w:kern w:val="0"/>
      <w:szCs w:val="21"/>
    </w:rPr>
  </w:style>
  <w:style w:type="paragraph" w:customStyle="1" w:styleId="70">
    <w:name w:val="三级条标题"/>
    <w:basedOn w:val="71"/>
    <w:next w:val="74"/>
    <w:qFormat/>
    <w:uiPriority w:val="0"/>
    <w:pPr>
      <w:jc w:val="both"/>
      <w:outlineLvl w:val="4"/>
    </w:pPr>
    <w:rPr>
      <w:rFonts w:ascii="黑体" w:hAnsi="Times New Roman" w:eastAsia="黑体" w:cs="Times New Roman"/>
      <w:sz w:val="21"/>
      <w:szCs w:val="22"/>
      <w:lang w:val="en-US" w:eastAsia="zh-CN" w:bidi="ar-SA"/>
    </w:rPr>
  </w:style>
  <w:style w:type="paragraph" w:customStyle="1" w:styleId="71">
    <w:name w:val="二级条标题"/>
    <w:basedOn w:val="72"/>
    <w:next w:val="74"/>
    <w:qFormat/>
    <w:uiPriority w:val="0"/>
    <w:pPr>
      <w:jc w:val="both"/>
      <w:outlineLvl w:val="3"/>
    </w:pPr>
    <w:rPr>
      <w:rFonts w:ascii="黑体" w:hAnsi="Times New Roman" w:eastAsia="黑体" w:cs="Times New Roman"/>
      <w:sz w:val="21"/>
      <w:szCs w:val="22"/>
      <w:lang w:val="en-US" w:eastAsia="zh-CN" w:bidi="ar-SA"/>
    </w:rPr>
  </w:style>
  <w:style w:type="paragraph" w:customStyle="1" w:styleId="72">
    <w:name w:val="一级条标题"/>
    <w:basedOn w:val="73"/>
    <w:next w:val="74"/>
    <w:qFormat/>
    <w:uiPriority w:val="0"/>
    <w:pPr>
      <w:ind w:left="426"/>
      <w:jc w:val="both"/>
      <w:outlineLvl w:val="2"/>
    </w:pPr>
    <w:rPr>
      <w:rFonts w:ascii="黑体" w:hAnsi="Times New Roman" w:eastAsia="黑体" w:cs="Times New Roman"/>
      <w:sz w:val="21"/>
      <w:szCs w:val="22"/>
      <w:lang w:val="en-US" w:eastAsia="zh-CN" w:bidi="ar-SA"/>
    </w:rPr>
  </w:style>
  <w:style w:type="paragraph" w:customStyle="1" w:styleId="73">
    <w:name w:val="章标题"/>
    <w:next w:val="74"/>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74">
    <w:name w:val="段"/>
    <w:qFormat/>
    <w:uiPriority w:val="0"/>
    <w:pPr>
      <w:autoSpaceDE w:val="0"/>
      <w:autoSpaceDN w:val="0"/>
      <w:ind w:firstLine="200" w:firstLineChars="200"/>
      <w:jc w:val="both"/>
    </w:pPr>
    <w:rPr>
      <w:rFonts w:ascii="宋体" w:hAnsi="Times New Roman" w:eastAsia="宋体" w:cs="Times New Roman"/>
      <w:sz w:val="21"/>
      <w:szCs w:val="22"/>
      <w:lang w:val="zh-CN" w:eastAsia="zh-CN" w:bidi="ar-SA"/>
    </w:rPr>
  </w:style>
  <w:style w:type="character" w:customStyle="1" w:styleId="75">
    <w:name w:val="页脚 字符"/>
    <w:qFormat/>
    <w:uiPriority w:val="99"/>
  </w:style>
  <w:style w:type="character" w:customStyle="1" w:styleId="76">
    <w:name w:val="15"/>
    <w:qFormat/>
    <w:uiPriority w:val="0"/>
    <w:rPr>
      <w:rFonts w:hint="default" w:ascii="Calibri" w:hAnsi="Calibri"/>
      <w:sz w:val="21"/>
      <w:szCs w:val="21"/>
    </w:rPr>
  </w:style>
  <w:style w:type="character" w:customStyle="1" w:styleId="77">
    <w:name w:val="正文文本首行缩进 2 字符1"/>
    <w:qFormat/>
    <w:uiPriority w:val="0"/>
    <w:rPr>
      <w:rFonts w:ascii="Times New Roman" w:hAnsi="Times New Roman" w:eastAsia="宋体"/>
      <w:kern w:val="2"/>
      <w:sz w:val="21"/>
      <w:szCs w:val="24"/>
    </w:rPr>
  </w:style>
  <w:style w:type="character" w:customStyle="1" w:styleId="78">
    <w:name w:val="日期 字符"/>
    <w:semiHidden/>
    <w:qFormat/>
    <w:uiPriority w:val="0"/>
    <w:rPr>
      <w:rFonts w:ascii="Times New Roman" w:hAnsi="Times New Roman" w:eastAsia="宋体"/>
      <w:sz w:val="24"/>
    </w:rPr>
  </w:style>
  <w:style w:type="character" w:customStyle="1" w:styleId="79">
    <w:name w:val="正文文本 字符1"/>
    <w:semiHidden/>
    <w:qFormat/>
    <w:uiPriority w:val="0"/>
    <w:rPr>
      <w:rFonts w:ascii="Times New Roman" w:hAnsi="Times New Roman" w:eastAsia="宋体"/>
      <w:sz w:val="24"/>
    </w:rPr>
  </w:style>
  <w:style w:type="character" w:customStyle="1" w:styleId="80">
    <w:name w:val="批注文字 字符1"/>
    <w:semiHidden/>
    <w:qFormat/>
    <w:uiPriority w:val="0"/>
    <w:rPr>
      <w:rFonts w:ascii="Times New Roman" w:hAnsi="Times New Roman" w:eastAsia="宋体"/>
      <w:sz w:val="24"/>
    </w:rPr>
  </w:style>
  <w:style w:type="character" w:customStyle="1" w:styleId="81">
    <w:name w:val="表格 Char Char"/>
    <w:qFormat/>
    <w:uiPriority w:val="0"/>
    <w:rPr>
      <w:rFonts w:ascii="楷体_GB2312" w:eastAsia="新宋体"/>
      <w:kern w:val="2"/>
      <w:sz w:val="21"/>
    </w:rPr>
  </w:style>
  <w:style w:type="character" w:customStyle="1" w:styleId="82">
    <w:name w:val="表格 Char"/>
    <w:link w:val="83"/>
    <w:qFormat/>
    <w:locked/>
    <w:uiPriority w:val="0"/>
    <w:rPr>
      <w:rFonts w:ascii="宋体"/>
      <w:sz w:val="21"/>
    </w:rPr>
  </w:style>
  <w:style w:type="paragraph" w:customStyle="1" w:styleId="83">
    <w:name w:val="表格"/>
    <w:basedOn w:val="1"/>
    <w:next w:val="1"/>
    <w:link w:val="82"/>
    <w:qFormat/>
    <w:uiPriority w:val="0"/>
    <w:pPr>
      <w:adjustRightInd w:val="0"/>
      <w:snapToGrid w:val="0"/>
      <w:spacing w:beforeLines="10" w:afterLines="10" w:line="259" w:lineRule="auto"/>
      <w:jc w:val="center"/>
    </w:pPr>
    <w:rPr>
      <w:rFonts w:ascii="宋体"/>
      <w:kern w:val="0"/>
      <w:szCs w:val="20"/>
    </w:rPr>
  </w:style>
  <w:style w:type="character" w:customStyle="1" w:styleId="84">
    <w:name w:val="纯文本 字符1"/>
    <w:qFormat/>
    <w:uiPriority w:val="0"/>
    <w:rPr>
      <w:rFonts w:ascii="宋体" w:hAnsi="Courier New" w:cs="Courier New"/>
      <w:kern w:val="2"/>
      <w:sz w:val="21"/>
      <w:szCs w:val="21"/>
    </w:rPr>
  </w:style>
  <w:style w:type="paragraph" w:customStyle="1" w:styleId="85">
    <w:name w:val="表格文字"/>
    <w:basedOn w:val="1"/>
    <w:next w:val="1"/>
    <w:qFormat/>
    <w:uiPriority w:val="0"/>
    <w:pPr>
      <w:adjustRightInd w:val="0"/>
      <w:jc w:val="center"/>
    </w:pPr>
    <w:rPr>
      <w:szCs w:val="21"/>
    </w:rPr>
  </w:style>
  <w:style w:type="paragraph" w:customStyle="1" w:styleId="86">
    <w:name w:val="样式8"/>
    <w:basedOn w:val="1"/>
    <w:qFormat/>
    <w:uiPriority w:val="0"/>
    <w:pPr>
      <w:adjustRightInd w:val="0"/>
      <w:snapToGrid w:val="0"/>
      <w:jc w:val="center"/>
    </w:pPr>
    <w:rPr>
      <w:rFonts w:ascii="仿宋" w:hAnsi="仿宋" w:eastAsia="仿宋"/>
      <w:szCs w:val="21"/>
    </w:rPr>
  </w:style>
  <w:style w:type="paragraph" w:customStyle="1" w:styleId="87">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8">
    <w:name w:val="样式9"/>
    <w:basedOn w:val="1"/>
    <w:qFormat/>
    <w:uiPriority w:val="0"/>
    <w:pPr>
      <w:jc w:val="center"/>
    </w:pPr>
    <w:rPr>
      <w:rFonts w:ascii="黑体" w:hAnsi="黑体" w:eastAsia="黑体"/>
      <w:b/>
      <w:szCs w:val="21"/>
    </w:rPr>
  </w:style>
  <w:style w:type="paragraph" w:customStyle="1" w:styleId="89">
    <w:name w:val="列出段落1"/>
    <w:basedOn w:val="1"/>
    <w:qFormat/>
    <w:uiPriority w:val="0"/>
    <w:pPr>
      <w:ind w:firstLine="420" w:firstLineChars="200"/>
    </w:pPr>
    <w:rPr>
      <w:rFonts w:cs="Calibri"/>
      <w:szCs w:val="21"/>
    </w:rPr>
  </w:style>
  <w:style w:type="paragraph" w:customStyle="1" w:styleId="90">
    <w:name w:val="Normal"/>
    <w:basedOn w:val="1"/>
    <w:qFormat/>
    <w:uiPriority w:val="0"/>
    <w:pPr>
      <w:widowControl/>
    </w:pPr>
    <w:rPr>
      <w:rFonts w:ascii="Calibri" w:hAnsi="Calibri" w:cs="宋体"/>
      <w:szCs w:val="21"/>
    </w:rPr>
  </w:style>
  <w:style w:type="paragraph" w:customStyle="1" w:styleId="91">
    <w:name w:val="三级标题"/>
    <w:basedOn w:val="1"/>
    <w:qFormat/>
    <w:uiPriority w:val="0"/>
    <w:pPr>
      <w:spacing w:line="360" w:lineRule="auto"/>
      <w:ind w:firstLine="480" w:firstLineChars="200"/>
      <w:jc w:val="left"/>
    </w:pPr>
    <w:rPr>
      <w:b/>
      <w:sz w:val="24"/>
      <w:szCs w:val="21"/>
    </w:rPr>
  </w:style>
  <w:style w:type="paragraph" w:customStyle="1" w:styleId="92">
    <w:name w:val="正文a"/>
    <w:basedOn w:val="1"/>
    <w:qFormat/>
    <w:uiPriority w:val="0"/>
    <w:pPr>
      <w:spacing w:line="360" w:lineRule="auto"/>
      <w:ind w:firstLine="200" w:firstLineChars="200"/>
    </w:pPr>
    <w:rPr>
      <w:rFonts w:ascii="宋体" w:hAnsi="宋体"/>
      <w:b/>
      <w:sz w:val="24"/>
      <w:szCs w:val="21"/>
    </w:rPr>
  </w:style>
  <w:style w:type="paragraph" w:customStyle="1" w:styleId="93">
    <w:name w:val="Table Paragraph"/>
    <w:basedOn w:val="1"/>
    <w:qFormat/>
    <w:uiPriority w:val="0"/>
    <w:pPr>
      <w:widowControl/>
      <w:jc w:val="left"/>
    </w:pPr>
    <w:rPr>
      <w:rFonts w:cs="宋体"/>
      <w:kern w:val="0"/>
      <w:sz w:val="22"/>
      <w:szCs w:val="22"/>
    </w:rPr>
  </w:style>
  <w:style w:type="paragraph" w:customStyle="1" w:styleId="94">
    <w:name w:val="表中值"/>
    <w:basedOn w:val="1"/>
    <w:qFormat/>
    <w:uiPriority w:val="0"/>
    <w:pPr>
      <w:keepLines/>
      <w:widowControl/>
      <w:spacing w:line="360" w:lineRule="exact"/>
      <w:jc w:val="center"/>
    </w:pPr>
    <w:rPr>
      <w:spacing w:val="4"/>
      <w:szCs w:val="21"/>
    </w:rPr>
  </w:style>
  <w:style w:type="paragraph" w:customStyle="1" w:styleId="95">
    <w:name w:val="0"/>
    <w:basedOn w:val="1"/>
    <w:qFormat/>
    <w:uiPriority w:val="0"/>
    <w:pPr>
      <w:widowControl/>
      <w:snapToGrid w:val="0"/>
    </w:pPr>
    <w:rPr>
      <w:kern w:val="0"/>
      <w:szCs w:val="21"/>
    </w:rPr>
  </w:style>
  <w:style w:type="paragraph" w:customStyle="1" w:styleId="96">
    <w:name w:val="样式7"/>
    <w:basedOn w:val="1"/>
    <w:qFormat/>
    <w:uiPriority w:val="0"/>
    <w:pPr>
      <w:autoSpaceDE w:val="0"/>
      <w:autoSpaceDN w:val="0"/>
      <w:adjustRightInd w:val="0"/>
      <w:spacing w:line="360" w:lineRule="auto"/>
      <w:ind w:firstLine="480" w:firstLineChars="200"/>
      <w:jc w:val="left"/>
      <w:textAlignment w:val="baseline"/>
    </w:pPr>
    <w:rPr>
      <w:rFonts w:hAnsi="宋体"/>
      <w:kern w:val="0"/>
      <w:sz w:val="24"/>
      <w:szCs w:val="21"/>
    </w:rPr>
  </w:style>
  <w:style w:type="paragraph" w:customStyle="1" w:styleId="9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环报告正文"/>
    <w:basedOn w:val="1"/>
    <w:qFormat/>
    <w:uiPriority w:val="0"/>
    <w:pPr>
      <w:spacing w:line="360" w:lineRule="auto"/>
      <w:ind w:firstLine="480" w:firstLineChars="200"/>
      <w:jc w:val="left"/>
    </w:pPr>
    <w:rPr>
      <w:sz w:val="24"/>
    </w:rPr>
  </w:style>
  <w:style w:type="paragraph" w:customStyle="1" w:styleId="99">
    <w:name w:val="表头"/>
    <w:basedOn w:val="1"/>
    <w:next w:val="1"/>
    <w:qFormat/>
    <w:uiPriority w:val="0"/>
    <w:pPr>
      <w:jc w:val="center"/>
    </w:pPr>
    <w:rPr>
      <w:b/>
      <w:bCs/>
      <w:szCs w:val="21"/>
    </w:rPr>
  </w:style>
  <w:style w:type="paragraph" w:customStyle="1" w:styleId="10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文本文字"/>
    <w:basedOn w:val="1"/>
    <w:qFormat/>
    <w:uiPriority w:val="0"/>
    <w:pPr>
      <w:spacing w:line="360" w:lineRule="auto"/>
      <w:ind w:firstLine="960" w:firstLineChars="200"/>
    </w:pPr>
    <w:rPr>
      <w:sz w:val="24"/>
      <w:szCs w:val="21"/>
    </w:rPr>
  </w:style>
  <w:style w:type="paragraph" w:customStyle="1" w:styleId="102">
    <w:name w:val="Char Char Char Char"/>
    <w:basedOn w:val="1"/>
    <w:qFormat/>
    <w:uiPriority w:val="0"/>
    <w:rPr>
      <w:szCs w:val="21"/>
    </w:rPr>
  </w:style>
  <w:style w:type="paragraph" w:customStyle="1" w:styleId="103">
    <w:name w:val="正文文字"/>
    <w:basedOn w:val="1"/>
    <w:qFormat/>
    <w:uiPriority w:val="0"/>
    <w:pPr>
      <w:spacing w:line="360" w:lineRule="auto"/>
      <w:ind w:firstLine="480" w:firstLineChars="200"/>
      <w:jc w:val="left"/>
    </w:pPr>
    <w:rPr>
      <w:sz w:val="24"/>
      <w:szCs w:val="21"/>
    </w:rPr>
  </w:style>
  <w:style w:type="paragraph" w:customStyle="1" w:styleId="104">
    <w:name w:val="_Style 103"/>
    <w:basedOn w:val="3"/>
    <w:next w:val="1"/>
    <w:qFormat/>
    <w:uiPriority w:val="39"/>
    <w:pPr>
      <w:keepLines/>
      <w:widowControl/>
      <w:overflowPunct/>
      <w:snapToGrid/>
      <w:spacing w:before="240" w:after="0"/>
      <w:ind w:left="0" w:firstLine="0"/>
      <w:jc w:val="left"/>
      <w:outlineLvl w:val="9"/>
    </w:pPr>
    <w:rPr>
      <w:rFonts w:ascii="等线 Light" w:hAnsi="等线 Light" w:eastAsia="等线 Light" w:cs="Times New Roman"/>
      <w:b w:val="0"/>
      <w:bCs w:val="0"/>
      <w:color w:val="2F5496"/>
      <w:kern w:val="0"/>
      <w:sz w:val="32"/>
      <w:szCs w:val="32"/>
    </w:rPr>
  </w:style>
  <w:style w:type="character" w:customStyle="1" w:styleId="105">
    <w:name w:val="font11"/>
    <w:qFormat/>
    <w:uiPriority w:val="0"/>
    <w:rPr>
      <w:rFonts w:hint="eastAsia" w:ascii="宋体" w:hAnsi="宋体" w:eastAsia="宋体"/>
      <w:color w:val="000000"/>
      <w:sz w:val="21"/>
      <w:szCs w:val="21"/>
      <w:u w:val="none"/>
    </w:rPr>
  </w:style>
  <w:style w:type="character" w:customStyle="1" w:styleId="106">
    <w:name w:val="font21"/>
    <w:qFormat/>
    <w:uiPriority w:val="0"/>
    <w:rPr>
      <w:rFonts w:hint="default" w:ascii="Times New Roman" w:hAnsi="Times New Roman" w:cs="Times New Roman"/>
      <w:color w:val="000000"/>
      <w:sz w:val="21"/>
      <w:szCs w:val="21"/>
      <w:u w:val="none"/>
    </w:rPr>
  </w:style>
  <w:style w:type="character" w:customStyle="1" w:styleId="107">
    <w:name w:val="font31"/>
    <w:qFormat/>
    <w:uiPriority w:val="0"/>
    <w:rPr>
      <w:rFonts w:hint="default" w:ascii="Times New Roman" w:hAnsi="Times New Roman" w:cs="Times New Roman"/>
      <w:color w:val="000000"/>
      <w:sz w:val="21"/>
      <w:szCs w:val="21"/>
      <w:u w:val="none"/>
      <w:vertAlign w:val="superscript"/>
    </w:rPr>
  </w:style>
  <w:style w:type="paragraph" w:customStyle="1" w:styleId="108">
    <w:name w:val=" Char Char Char Char Char Char"/>
    <w:basedOn w:val="1"/>
    <w:next w:val="2"/>
    <w:qFormat/>
    <w:uiPriority w:val="0"/>
  </w:style>
  <w:style w:type="paragraph" w:customStyle="1" w:styleId="109">
    <w:name w:val="样式 标题 1 + 四号 段前: 0 磅 段后: 0 磅 行距: 1.5 倍行距"/>
    <w:basedOn w:val="1"/>
    <w:next w:val="1"/>
    <w:qFormat/>
    <w:uiPriority w:val="0"/>
    <w:pPr>
      <w:adjustRightInd w:val="0"/>
      <w:snapToGrid w:val="0"/>
      <w:spacing w:line="360" w:lineRule="auto"/>
      <w:ind w:firstLine="588" w:firstLineChars="196"/>
      <w:jc w:val="center"/>
    </w:pPr>
    <w:rPr>
      <w:sz w:val="28"/>
      <w:szCs w:val="20"/>
    </w:rPr>
  </w:style>
  <w:style w:type="character" w:customStyle="1" w:styleId="110">
    <w:name w:val="aku0o5x877"/>
    <w:qFormat/>
    <w:uiPriority w:val="0"/>
  </w:style>
  <w:style w:type="paragraph" w:customStyle="1" w:styleId="111">
    <w:name w:val="正文标准"/>
    <w:basedOn w:val="1"/>
    <w:qFormat/>
    <w:uiPriority w:val="0"/>
    <w:pPr>
      <w:spacing w:line="360" w:lineRule="auto"/>
      <w:ind w:firstLine="560" w:firstLineChars="200"/>
    </w:pPr>
    <w:rPr>
      <w:rFonts w:cs="宋体"/>
      <w:sz w:val="28"/>
      <w:szCs w:val="28"/>
    </w:rPr>
  </w:style>
  <w:style w:type="paragraph" w:customStyle="1" w:styleId="112">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13">
    <w:name w:val="表题"/>
    <w:basedOn w:val="1"/>
    <w:qFormat/>
    <w:uiPriority w:val="0"/>
    <w:pPr>
      <w:widowControl/>
      <w:spacing w:line="360" w:lineRule="auto"/>
      <w:ind w:firstLine="480" w:firstLineChars="200"/>
      <w:jc w:val="center"/>
    </w:pPr>
    <w:rPr>
      <w:rFonts w:eastAsia="黑体"/>
      <w:sz w:val="24"/>
    </w:rPr>
  </w:style>
  <w:style w:type="paragraph" w:customStyle="1" w:styleId="114">
    <w:name w:val="表格内容"/>
    <w:basedOn w:val="1"/>
    <w:qFormat/>
    <w:uiPriority w:val="0"/>
    <w:pPr>
      <w:jc w:val="center"/>
    </w:pPr>
    <w:rPr>
      <w:szCs w:val="21"/>
    </w:rPr>
  </w:style>
  <w:style w:type="paragraph" w:customStyle="1" w:styleId="115">
    <w:name w:val="p0"/>
    <w:basedOn w:val="1"/>
    <w:qFormat/>
    <w:uiPriority w:val="0"/>
    <w:pPr>
      <w:widowControl/>
      <w:jc w:val="left"/>
    </w:pPr>
    <w:rPr>
      <w:kern w:val="0"/>
      <w:sz w:val="24"/>
      <w:szCs w:val="21"/>
    </w:rPr>
  </w:style>
  <w:style w:type="paragraph" w:customStyle="1" w:styleId="116">
    <w:name w:val="六表内容"/>
    <w:basedOn w:val="1"/>
    <w:qFormat/>
    <w:uiPriority w:val="0"/>
    <w:pPr>
      <w:spacing w:line="340" w:lineRule="exact"/>
      <w:jc w:val="center"/>
    </w:pPr>
    <w:rPr>
      <w:rFonts w:ascii="Calibri" w:hAnsi="Calibri" w:cs="Calibri"/>
      <w:szCs w:val="21"/>
    </w:rPr>
  </w:style>
  <w:style w:type="character" w:customStyle="1" w:styleId="117">
    <w:name w:val="rm"/>
    <w:qFormat/>
    <w:uiPriority w:val="0"/>
    <w:rPr>
      <w:color w:val="D86C1D"/>
      <w:sz w:val="18"/>
      <w:szCs w:val="18"/>
    </w:rPr>
  </w:style>
  <w:style w:type="character" w:customStyle="1" w:styleId="118">
    <w:name w:val="t"/>
    <w:qFormat/>
    <w:uiPriority w:val="0"/>
    <w:rPr>
      <w:sz w:val="27"/>
      <w:szCs w:val="27"/>
    </w:rPr>
  </w:style>
  <w:style w:type="character" w:customStyle="1" w:styleId="119">
    <w:name w:val="t1"/>
    <w:qFormat/>
    <w:uiPriority w:val="0"/>
  </w:style>
  <w:style w:type="character" w:customStyle="1" w:styleId="120">
    <w:name w:val="t2"/>
    <w:qFormat/>
    <w:uiPriority w:val="0"/>
    <w:rPr>
      <w:b/>
      <w:bCs/>
    </w:rPr>
  </w:style>
  <w:style w:type="character" w:customStyle="1" w:styleId="121">
    <w:name w:val="t3"/>
    <w:qFormat/>
    <w:uiPriority w:val="0"/>
    <w:rPr>
      <w:sz w:val="27"/>
      <w:szCs w:val="27"/>
    </w:rPr>
  </w:style>
  <w:style w:type="character" w:customStyle="1" w:styleId="122">
    <w:name w:val="t4"/>
    <w:qFormat/>
    <w:uiPriority w:val="0"/>
    <w:rPr>
      <w:color w:val="1C3E9D"/>
      <w:sz w:val="27"/>
      <w:szCs w:val="27"/>
    </w:rPr>
  </w:style>
  <w:style w:type="character" w:customStyle="1" w:styleId="123">
    <w:name w:val="t5"/>
    <w:qFormat/>
    <w:uiPriority w:val="0"/>
    <w:rPr>
      <w:color w:val="213F93"/>
      <w:sz w:val="42"/>
      <w:szCs w:val="42"/>
    </w:rPr>
  </w:style>
  <w:style w:type="character" w:customStyle="1" w:styleId="124">
    <w:name w:val="t6"/>
    <w:qFormat/>
    <w:uiPriority w:val="0"/>
    <w:rPr>
      <w:sz w:val="27"/>
      <w:szCs w:val="27"/>
    </w:rPr>
  </w:style>
  <w:style w:type="character" w:customStyle="1" w:styleId="125">
    <w:name w:val="t7"/>
    <w:qFormat/>
    <w:uiPriority w:val="0"/>
    <w:rPr>
      <w:color w:val="207393"/>
      <w:sz w:val="24"/>
      <w:szCs w:val="24"/>
    </w:rPr>
  </w:style>
  <w:style w:type="character" w:customStyle="1" w:styleId="126">
    <w:name w:val="t8"/>
    <w:qFormat/>
    <w:uiPriority w:val="0"/>
    <w:rPr>
      <w:color w:val="FFFFFF"/>
      <w:spacing w:val="75"/>
      <w:sz w:val="48"/>
      <w:szCs w:val="48"/>
    </w:rPr>
  </w:style>
  <w:style w:type="character" w:customStyle="1" w:styleId="127">
    <w:name w:val="t9"/>
    <w:qFormat/>
    <w:uiPriority w:val="0"/>
    <w:rPr>
      <w:sz w:val="27"/>
      <w:szCs w:val="27"/>
    </w:rPr>
  </w:style>
  <w:style w:type="character" w:customStyle="1" w:styleId="128">
    <w:name w:val="a_p_2"/>
    <w:qFormat/>
    <w:uiPriority w:val="0"/>
  </w:style>
  <w:style w:type="character" w:customStyle="1" w:styleId="129">
    <w:name w:val="subt"/>
    <w:qFormat/>
    <w:uiPriority w:val="0"/>
    <w:rPr>
      <w:rFonts w:ascii="宋体" w:hAnsi="宋体" w:eastAsia="宋体" w:cs="宋体"/>
      <w:color w:val="333333"/>
      <w:sz w:val="39"/>
      <w:szCs w:val="39"/>
    </w:rPr>
  </w:style>
  <w:style w:type="character" w:customStyle="1" w:styleId="130">
    <w:name w:val="active"/>
    <w:qFormat/>
    <w:uiPriority w:val="0"/>
    <w:rPr>
      <w:color w:val="FFFFFF"/>
      <w:shd w:val="clear" w:color="auto" w:fill="547EC2"/>
    </w:rPr>
  </w:style>
  <w:style w:type="character" w:customStyle="1" w:styleId="131">
    <w:name w:val="active1"/>
    <w:qFormat/>
    <w:uiPriority w:val="0"/>
    <w:rPr>
      <w:shd w:val="clear" w:color="auto" w:fill="527DC4"/>
    </w:rPr>
  </w:style>
  <w:style w:type="character" w:customStyle="1" w:styleId="132">
    <w:name w:val="active2"/>
    <w:qFormat/>
    <w:uiPriority w:val="0"/>
    <w:rPr>
      <w:color w:val="FFFFFF"/>
      <w:bdr w:val="single" w:color="FFFFFF" w:sz="6" w:space="0"/>
      <w:shd w:val="clear" w:color="auto" w:fill="244FAC"/>
    </w:rPr>
  </w:style>
  <w:style w:type="character" w:customStyle="1" w:styleId="133">
    <w:name w:val="la"/>
    <w:qFormat/>
    <w:uiPriority w:val="0"/>
    <w:rPr>
      <w:color w:val="FFFFFF"/>
      <w:sz w:val="27"/>
      <w:szCs w:val="27"/>
      <w:shd w:val="clear" w:color="auto" w:fill="4062C1"/>
    </w:rPr>
  </w:style>
  <w:style w:type="character" w:customStyle="1" w:styleId="134">
    <w:name w:val="qw"/>
    <w:qFormat/>
    <w:uiPriority w:val="0"/>
    <w:rPr>
      <w:color w:val="5786C8"/>
      <w:sz w:val="21"/>
      <w:szCs w:val="21"/>
    </w:rPr>
  </w:style>
  <w:style w:type="character" w:customStyle="1" w:styleId="135">
    <w:name w:val="ti"/>
    <w:qFormat/>
    <w:uiPriority w:val="0"/>
    <w:rPr>
      <w:sz w:val="18"/>
      <w:szCs w:val="18"/>
    </w:rPr>
  </w:style>
  <w:style w:type="character" w:customStyle="1" w:styleId="136">
    <w:name w:val="zj"/>
    <w:qFormat/>
    <w:uiPriority w:val="0"/>
    <w:rPr>
      <w:color w:val="FFFFFF"/>
      <w:sz w:val="18"/>
      <w:szCs w:val="18"/>
      <w:shd w:val="clear" w:color="auto" w:fill="C33B51"/>
    </w:rPr>
  </w:style>
  <w:style w:type="character" w:customStyle="1" w:styleId="137">
    <w:name w:val="a_p_1"/>
    <w:qFormat/>
    <w:uiPriority w:val="0"/>
    <w:rPr>
      <w:sz w:val="27"/>
      <w:szCs w:val="27"/>
    </w:rPr>
  </w:style>
  <w:style w:type="character" w:customStyle="1" w:styleId="138">
    <w:name w:val="bsharetext"/>
    <w:qFormat/>
    <w:uiPriority w:val="0"/>
  </w:style>
  <w:style w:type="character" w:customStyle="1" w:styleId="139">
    <w:name w:val="ul_li_a_1"/>
    <w:qFormat/>
    <w:uiPriority w:val="0"/>
    <w:rPr>
      <w:b/>
      <w:bCs/>
      <w:color w:val="FFFFFF"/>
    </w:rPr>
  </w:style>
  <w:style w:type="character" w:customStyle="1" w:styleId="140">
    <w:name w:val="a_p_3"/>
    <w:qFormat/>
    <w:uiPriority w:val="0"/>
    <w:rPr>
      <w:sz w:val="27"/>
      <w:szCs w:val="27"/>
    </w:rPr>
  </w:style>
  <w:style w:type="character" w:customStyle="1" w:styleId="141">
    <w:name w:val="tm"/>
    <w:qFormat/>
    <w:uiPriority w:val="0"/>
    <w:rPr>
      <w:color w:val="999999"/>
    </w:rPr>
  </w:style>
  <w:style w:type="character" w:customStyle="1" w:styleId="142">
    <w:name w:val="exap"/>
    <w:qFormat/>
    <w:uiPriority w:val="0"/>
    <w:rPr>
      <w:sz w:val="27"/>
      <w:szCs w:val="27"/>
    </w:rPr>
  </w:style>
  <w:style w:type="character" w:customStyle="1" w:styleId="143">
    <w:name w:val="rt"/>
    <w:qFormat/>
    <w:uiPriority w:val="0"/>
    <w:rPr>
      <w:color w:val="999999"/>
    </w:rPr>
  </w:style>
  <w:style w:type="character" w:customStyle="1" w:styleId="144">
    <w:name w:val="ly"/>
    <w:qFormat/>
    <w:uiPriority w:val="0"/>
    <w:rPr>
      <w:color w:val="999999"/>
    </w:rPr>
  </w:style>
  <w:style w:type="character" w:customStyle="1" w:styleId="145">
    <w:name w:val="fr2"/>
    <w:qFormat/>
    <w:uiPriority w:val="0"/>
    <w:rPr>
      <w:color w:val="999999"/>
    </w:rPr>
  </w:style>
  <w:style w:type="paragraph" w:customStyle="1" w:styleId="146">
    <w:name w:val="List Paragraph"/>
    <w:basedOn w:val="1"/>
    <w:qFormat/>
    <w:uiPriority w:val="0"/>
    <w:pPr>
      <w:ind w:firstLine="420" w:firstLineChars="200"/>
    </w:pPr>
    <w:rPr>
      <w:rFonts w:ascii="Calibri" w:hAnsi="Calibri"/>
      <w:szCs w:val="21"/>
    </w:rPr>
  </w:style>
  <w:style w:type="paragraph" w:customStyle="1" w:styleId="147">
    <w:name w:val="报告表表格"/>
    <w:basedOn w:val="1"/>
    <w:qFormat/>
    <w:uiPriority w:val="0"/>
    <w:pPr>
      <w:jc w:val="center"/>
    </w:pPr>
    <w:rPr>
      <w:rFonts w:cs="宋体"/>
      <w:sz w:val="21"/>
    </w:rPr>
  </w:style>
  <w:style w:type="paragraph" w:customStyle="1" w:styleId="148">
    <w:name w:val="Table Text"/>
    <w:basedOn w:val="1"/>
    <w:semiHidden/>
    <w:qFormat/>
    <w:uiPriority w:val="0"/>
    <w:rPr>
      <w:rFonts w:ascii="宋体" w:hAnsi="宋体" w:cs="宋体"/>
      <w:sz w:val="24"/>
      <w:lang w:eastAsia="en-US"/>
    </w:rPr>
  </w:style>
  <w:style w:type="paragraph" w:customStyle="1" w:styleId="149">
    <w:name w:val="LZ表头、图尾"/>
    <w:basedOn w:val="1"/>
    <w:unhideWhenUsed/>
    <w:qFormat/>
    <w:uiPriority w:val="0"/>
    <w:pPr>
      <w:kinsoku w:val="0"/>
      <w:overflowPunct w:val="0"/>
      <w:autoSpaceDE w:val="0"/>
      <w:autoSpaceDN w:val="0"/>
      <w:adjustRightInd w:val="0"/>
      <w:spacing w:beforeLines="0" w:afterLines="0" w:line="240" w:lineRule="auto"/>
      <w:ind w:firstLine="0" w:firstLineChars="0"/>
      <w:jc w:val="center"/>
    </w:pPr>
    <w:rPr>
      <w:rFonts w:hint="eastAsia" w:ascii="Times New Roman" w:hAnsi="Times New Roman" w:eastAsia="宋体"/>
      <w:b/>
      <w:kern w:val="0"/>
      <w:sz w:val="24"/>
      <w:szCs w:val="20"/>
      <w:lang w:bidi="ar"/>
    </w:rPr>
  </w:style>
  <w:style w:type="paragraph" w:customStyle="1" w:styleId="150">
    <w:name w:val="表格中内容"/>
    <w:basedOn w:val="1"/>
    <w:qFormat/>
    <w:uiPriority w:val="0"/>
    <w:pPr>
      <w:widowControl/>
      <w:tabs>
        <w:tab w:val="left" w:pos="-2400"/>
        <w:tab w:val="left" w:pos="1320"/>
        <w:tab w:val="left" w:pos="3878"/>
        <w:tab w:val="left" w:pos="6080"/>
        <w:tab w:val="left" w:pos="6580"/>
        <w:tab w:val="left" w:pos="8137"/>
      </w:tabs>
      <w:adjustRightInd w:val="0"/>
      <w:spacing w:line="240" w:lineRule="auto"/>
      <w:ind w:firstLine="0" w:firstLineChars="0"/>
      <w:jc w:val="center"/>
    </w:pPr>
    <w:rPr>
      <w:rFonts w:ascii="Times New Roman" w:hAnsi="Times New Roman" w:eastAsia="宋体"/>
      <w:kern w:val="0"/>
      <w:sz w:val="21"/>
      <w:szCs w:val="21"/>
    </w:rPr>
  </w:style>
  <w:style w:type="paragraph" w:customStyle="1" w:styleId="151">
    <w:name w:val="中文报告书"/>
    <w:basedOn w:val="1"/>
    <w:qFormat/>
    <w:uiPriority w:val="0"/>
    <w:pPr>
      <w:adjustRightInd w:val="0"/>
      <w:spacing w:after="80" w:line="420" w:lineRule="atLeast"/>
      <w:ind w:firstLine="0" w:firstLineChars="0"/>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微软中国</Company>
  <Pages>56</Pages>
  <Words>11340</Words>
  <Characters>12094</Characters>
  <Lines>2584</Lines>
  <Paragraphs>2369</Paragraphs>
  <TotalTime>2</TotalTime>
  <ScaleCrop>false</ScaleCrop>
  <LinksUpToDate>false</LinksUpToDate>
  <CharactersWithSpaces>12272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2021-05-19T05:55:00Z</dcterms:created>
  <dc:creator>lhj</dc:creator>
  <cp:lastModifiedBy>HBJ202</cp:lastModifiedBy>
  <cp:lastPrinted>2023-07-19T02:32:00Z</cp:lastPrinted>
  <dcterms:modified xsi:type="dcterms:W3CDTF">2026-06-25T03:41:26Z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5F31B6F8088C421FA1B02802E1CD3979_13</vt:lpwstr>
  </property>
  <property fmtid="{D5CDD505-2E9C-101B-9397-08002B2CF9AE}" pid="4" name="KSOTemplateDocerSaveRecord">
    <vt:lpwstr>eyJoZGlkIjoiOGI3NDM3ZmZhMDliZmQwZWY0MzA3ZWMxYzc3MmNkMzIifQ==</vt:lpwstr>
  </property>
</Properties>
</file>