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default" w:ascii="Times New Roman" w:hAnsi="Times New Roman" w:eastAsia="宋体" w:cs="Times New Roman"/>
          <w:b/>
          <w:bCs/>
          <w:color w:val="auto"/>
          <w:sz w:val="24"/>
          <w:highlight w:val="none"/>
        </w:rPr>
      </w:pPr>
      <w:bookmarkStart w:id="0" w:name="_Toc69726037"/>
      <w:r>
        <w:rPr>
          <w:rFonts w:hint="default" w:ascii="Times New Roman" w:hAnsi="Times New Roman" w:eastAsia="宋体" w:cs="Times New Roman"/>
          <w:b/>
          <w:bCs/>
          <w:color w:val="auto"/>
          <w:sz w:val="24"/>
          <w:highlight w:val="none"/>
        </w:rPr>
        <w:t>附件：</w:t>
      </w:r>
    </w:p>
    <w:p>
      <w:pPr>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附件1   委托书</w:t>
      </w:r>
    </w:p>
    <w:p>
      <w:pPr>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附件2   营业执照</w:t>
      </w:r>
    </w:p>
    <w:p>
      <w:pPr>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附件3   项目投资备案证</w:t>
      </w:r>
    </w:p>
    <w:p>
      <w:pPr>
        <w:spacing w:line="360" w:lineRule="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 xml:space="preserve">附件4   </w:t>
      </w:r>
      <w:r>
        <w:rPr>
          <w:rFonts w:hint="default" w:ascii="Times New Roman" w:hAnsi="Times New Roman" w:eastAsia="宋体" w:cs="Times New Roman"/>
          <w:bCs/>
          <w:i w:val="0"/>
          <w:iCs w:val="0"/>
          <w:color w:val="auto"/>
          <w:sz w:val="24"/>
          <w:szCs w:val="24"/>
          <w:highlight w:val="none"/>
        </w:rPr>
        <w:t>《</w:t>
      </w:r>
      <w:r>
        <w:rPr>
          <w:rFonts w:hint="default" w:ascii="Times New Roman" w:hAnsi="Times New Roman" w:eastAsia="宋体" w:cs="Times New Roman"/>
          <w:i w:val="0"/>
          <w:iCs w:val="0"/>
          <w:color w:val="auto"/>
          <w:kern w:val="0"/>
          <w:sz w:val="24"/>
          <w:szCs w:val="24"/>
          <w:highlight w:val="none"/>
        </w:rPr>
        <w:t>云南省宜良前所月牙塘砖厂砖瓦用页岩矿项目</w:t>
      </w:r>
      <w:r>
        <w:rPr>
          <w:rFonts w:hint="default" w:ascii="Times New Roman" w:hAnsi="Times New Roman" w:eastAsia="宋体" w:cs="Times New Roman"/>
          <w:bCs/>
          <w:i w:val="0"/>
          <w:iCs w:val="0"/>
          <w:color w:val="auto"/>
          <w:sz w:val="24"/>
          <w:szCs w:val="24"/>
          <w:highlight w:val="none"/>
        </w:rPr>
        <w:t>环境影响报告表》</w:t>
      </w:r>
      <w:r>
        <w:rPr>
          <w:rFonts w:hint="default" w:ascii="Times New Roman" w:hAnsi="Times New Roman" w:eastAsia="宋体" w:cs="Times New Roman"/>
          <w:bCs/>
          <w:i w:val="0"/>
          <w:iCs w:val="0"/>
          <w:color w:val="auto"/>
          <w:sz w:val="24"/>
          <w:szCs w:val="24"/>
          <w:highlight w:val="none"/>
          <w:lang w:val="en-US" w:eastAsia="zh-CN"/>
        </w:rPr>
        <w:t>的批复（</w:t>
      </w:r>
      <w:r>
        <w:rPr>
          <w:rFonts w:hint="default" w:ascii="Times New Roman" w:hAnsi="Times New Roman" w:eastAsia="宋体" w:cs="Times New Roman"/>
          <w:bCs/>
          <w:i w:val="0"/>
          <w:iCs w:val="0"/>
          <w:color w:val="auto"/>
          <w:kern w:val="0"/>
          <w:sz w:val="24"/>
          <w:szCs w:val="24"/>
          <w:highlight w:val="none"/>
        </w:rPr>
        <w:t>宜生环[20</w:t>
      </w:r>
      <w:r>
        <w:rPr>
          <w:rFonts w:hint="default" w:ascii="Times New Roman" w:hAnsi="Times New Roman" w:eastAsia="宋体" w:cs="Times New Roman"/>
          <w:bCs/>
          <w:i w:val="0"/>
          <w:iCs w:val="0"/>
          <w:color w:val="auto"/>
          <w:kern w:val="0"/>
          <w:sz w:val="24"/>
          <w:szCs w:val="24"/>
          <w:highlight w:val="none"/>
          <w:lang w:val="en-US" w:eastAsia="zh-CN"/>
        </w:rPr>
        <w:t>21</w:t>
      </w:r>
      <w:r>
        <w:rPr>
          <w:rFonts w:hint="default" w:ascii="Times New Roman" w:hAnsi="Times New Roman" w:eastAsia="宋体" w:cs="Times New Roman"/>
          <w:bCs/>
          <w:i w:val="0"/>
          <w:iCs w:val="0"/>
          <w:color w:val="auto"/>
          <w:kern w:val="0"/>
          <w:sz w:val="24"/>
          <w:szCs w:val="24"/>
          <w:highlight w:val="none"/>
        </w:rPr>
        <w:t>]</w:t>
      </w:r>
      <w:r>
        <w:rPr>
          <w:rFonts w:hint="default" w:ascii="Times New Roman" w:hAnsi="Times New Roman" w:eastAsia="宋体" w:cs="Times New Roman"/>
          <w:bCs/>
          <w:i w:val="0"/>
          <w:iCs w:val="0"/>
          <w:color w:val="auto"/>
          <w:kern w:val="0"/>
          <w:sz w:val="24"/>
          <w:szCs w:val="24"/>
          <w:highlight w:val="none"/>
          <w:lang w:val="en-US" w:eastAsia="zh-CN"/>
        </w:rPr>
        <w:t>86</w:t>
      </w:r>
      <w:r>
        <w:rPr>
          <w:rFonts w:hint="default" w:ascii="Times New Roman" w:hAnsi="Times New Roman" w:eastAsia="宋体" w:cs="Times New Roman"/>
          <w:bCs/>
          <w:i w:val="0"/>
          <w:iCs w:val="0"/>
          <w:color w:val="auto"/>
          <w:kern w:val="0"/>
          <w:sz w:val="24"/>
          <w:szCs w:val="24"/>
          <w:highlight w:val="none"/>
        </w:rPr>
        <w:t>号</w:t>
      </w:r>
      <w:r>
        <w:rPr>
          <w:rFonts w:hint="default" w:ascii="Times New Roman" w:hAnsi="Times New Roman" w:eastAsia="宋体" w:cs="Times New Roman"/>
          <w:bCs/>
          <w:i w:val="0"/>
          <w:iCs w:val="0"/>
          <w:color w:val="auto"/>
          <w:sz w:val="24"/>
          <w:szCs w:val="24"/>
          <w:highlight w:val="none"/>
          <w:lang w:val="en-US" w:eastAsia="zh-CN"/>
        </w:rPr>
        <w:t>）</w:t>
      </w:r>
    </w:p>
    <w:p>
      <w:pPr>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附件5   </w:t>
      </w:r>
      <w:r>
        <w:rPr>
          <w:rFonts w:hint="default" w:ascii="Times New Roman" w:hAnsi="Times New Roman" w:eastAsia="宋体" w:cs="Times New Roman"/>
          <w:bCs/>
          <w:color w:val="auto"/>
          <w:kern w:val="0"/>
          <w:sz w:val="24"/>
          <w:szCs w:val="24"/>
          <w:highlight w:val="none"/>
        </w:rPr>
        <w:t>《关于对“年产5000万块页岩砖建设项目环境影响报告表”的批复》（宜生环[2019]47号）</w:t>
      </w:r>
    </w:p>
    <w:p>
      <w:pPr>
        <w:spacing w:line="360" w:lineRule="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 xml:space="preserve">附件6   </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color w:val="auto"/>
          <w:sz w:val="24"/>
          <w:szCs w:val="24"/>
          <w:highlight w:val="none"/>
          <w:lang w:val="en-US" w:eastAsia="zh-CN"/>
        </w:rPr>
        <w:t>年产5000万块页岩砖建设项目</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验收意见</w:t>
      </w:r>
    </w:p>
    <w:p>
      <w:pPr>
        <w:spacing w:line="360" w:lineRule="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 xml:space="preserve">附件7   </w:t>
      </w:r>
      <w:r>
        <w:rPr>
          <w:rFonts w:hint="default" w:ascii="Times New Roman" w:hAnsi="Times New Roman" w:eastAsia="宋体" w:cs="Times New Roman"/>
          <w:color w:val="auto"/>
          <w:sz w:val="24"/>
          <w:highlight w:val="none"/>
          <w:lang w:val="en-US" w:eastAsia="zh-CN"/>
        </w:rPr>
        <w:t>原有项目排污许可证</w:t>
      </w:r>
    </w:p>
    <w:p>
      <w:pPr>
        <w:spacing w:line="360" w:lineRule="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附件8   褐煤成分分析报告</w:t>
      </w:r>
    </w:p>
    <w:p>
      <w:pPr>
        <w:spacing w:line="360" w:lineRule="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附件9   污泥质量检测报告</w:t>
      </w:r>
    </w:p>
    <w:p>
      <w:pPr>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 xml:space="preserve">附件10   </w:t>
      </w:r>
      <w:r>
        <w:rPr>
          <w:rFonts w:hint="default" w:ascii="Times New Roman" w:hAnsi="Times New Roman" w:eastAsia="宋体" w:cs="Times New Roman"/>
          <w:color w:val="auto"/>
          <w:sz w:val="24"/>
          <w:highlight w:val="none"/>
        </w:rPr>
        <w:t>项目现状监测报告</w:t>
      </w:r>
    </w:p>
    <w:p>
      <w:pPr>
        <w:spacing w:line="360" w:lineRule="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附件1</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 xml:space="preserve"> </w:t>
      </w:r>
      <w:r>
        <w:rPr>
          <w:rFonts w:hint="default"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rPr>
        <w:t xml:space="preserve"> </w:t>
      </w:r>
      <w:r>
        <w:rPr>
          <w:rFonts w:hint="default" w:ascii="Times New Roman" w:hAnsi="Times New Roman" w:eastAsia="宋体" w:cs="Times New Roman"/>
          <w:color w:val="auto"/>
          <w:sz w:val="24"/>
          <w:highlight w:val="none"/>
          <w:lang w:val="en-US" w:eastAsia="zh-CN"/>
        </w:rPr>
        <w:t>在线监测报告</w:t>
      </w:r>
    </w:p>
    <w:p>
      <w:pPr>
        <w:spacing w:line="360" w:lineRule="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附件12   2025年例行监测报告</w:t>
      </w:r>
    </w:p>
    <w:p>
      <w:pPr>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附件1</w:t>
      </w:r>
      <w:r>
        <w:rPr>
          <w:rFonts w:hint="default" w:ascii="Times New Roman" w:hAnsi="Times New Roman" w:eastAsia="宋体" w:cs="Times New Roman"/>
          <w:color w:val="auto"/>
          <w:sz w:val="24"/>
          <w:highlight w:val="none"/>
          <w:lang w:val="en-US" w:eastAsia="zh-CN"/>
        </w:rPr>
        <w:t xml:space="preserve">3 </w:t>
      </w:r>
      <w:r>
        <w:rPr>
          <w:rFonts w:hint="default" w:ascii="Times New Roman" w:hAnsi="Times New Roman" w:eastAsia="宋体" w:cs="Times New Roman"/>
          <w:color w:val="auto"/>
          <w:sz w:val="24"/>
          <w:highlight w:val="none"/>
        </w:rPr>
        <w:t xml:space="preserve">  工作进度表</w:t>
      </w:r>
    </w:p>
    <w:p>
      <w:pPr>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附件1</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 xml:space="preserve"> </w:t>
      </w:r>
      <w:r>
        <w:rPr>
          <w:rFonts w:hint="default"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rPr>
        <w:t xml:space="preserve"> 内部审核表</w:t>
      </w:r>
    </w:p>
    <w:p>
      <w:pPr>
        <w:spacing w:line="360" w:lineRule="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附件15   企业确认书</w:t>
      </w:r>
    </w:p>
    <w:p>
      <w:pPr>
        <w:spacing w:line="360" w:lineRule="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附件16   项目技术合同</w:t>
      </w:r>
    </w:p>
    <w:p>
      <w:pPr>
        <w:spacing w:line="360" w:lineRule="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 xml:space="preserve">附件17   </w:t>
      </w:r>
      <w:r>
        <w:rPr>
          <w:rFonts w:hint="eastAsia" w:ascii="Times New Roman" w:hAnsi="Times New Roman" w:eastAsia="宋体" w:cs="Times New Roman"/>
          <w:color w:val="auto"/>
          <w:sz w:val="24"/>
          <w:highlight w:val="none"/>
          <w:lang w:val="en-US" w:eastAsia="zh-CN"/>
        </w:rPr>
        <w:t>矿山</w:t>
      </w:r>
      <w:r>
        <w:rPr>
          <w:rFonts w:hint="default" w:ascii="Times New Roman" w:hAnsi="Times New Roman" w:eastAsia="宋体" w:cs="Times New Roman"/>
          <w:color w:val="auto"/>
          <w:sz w:val="24"/>
          <w:highlight w:val="none"/>
          <w:lang w:val="en-US" w:eastAsia="zh-CN"/>
        </w:rPr>
        <w:t>项目土壤质量现状检测</w:t>
      </w:r>
    </w:p>
    <w:p>
      <w:pPr>
        <w:spacing w:line="360" w:lineRule="auto"/>
        <w:rPr>
          <w:rFonts w:hint="default" w:ascii="Times New Roman" w:hAnsi="Times New Roman" w:eastAsia="宋体" w:cs="Times New Roman"/>
          <w:b/>
          <w:bCs/>
          <w:color w:val="auto"/>
          <w:sz w:val="24"/>
          <w:highlight w:val="none"/>
        </w:rPr>
      </w:pPr>
    </w:p>
    <w:p>
      <w:pPr>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附图：</w:t>
      </w:r>
    </w:p>
    <w:p>
      <w:pPr>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附图1  项目地理位置图</w:t>
      </w:r>
    </w:p>
    <w:p>
      <w:pPr>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附图2  项目区域水系图</w:t>
      </w:r>
    </w:p>
    <w:p>
      <w:pPr>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附图3  平面布置图</w:t>
      </w:r>
    </w:p>
    <w:p>
      <w:pPr>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附图4  项目周边关系图</w:t>
      </w:r>
    </w:p>
    <w:p>
      <w:pPr>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附图5  项目监测布点图</w:t>
      </w:r>
    </w:p>
    <w:p>
      <w:pPr>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附图6  </w:t>
      </w:r>
      <w:r>
        <w:rPr>
          <w:rFonts w:hint="default" w:ascii="Times New Roman" w:hAnsi="Times New Roman" w:eastAsia="宋体" w:cs="Times New Roman"/>
          <w:color w:val="auto"/>
          <w:sz w:val="24"/>
          <w:highlight w:val="none"/>
          <w:lang w:eastAsia="zh-CN"/>
        </w:rPr>
        <w:t>宜良前所月牙塘机制砖厂页岩砖污泥利用技改项目</w:t>
      </w:r>
      <w:r>
        <w:rPr>
          <w:rFonts w:hint="default" w:ascii="Times New Roman" w:hAnsi="Times New Roman" w:eastAsia="宋体" w:cs="Times New Roman"/>
          <w:color w:val="auto"/>
          <w:sz w:val="24"/>
          <w:highlight w:val="none"/>
        </w:rPr>
        <w:t>涉及的管控单元图</w:t>
      </w:r>
    </w:p>
    <w:p>
      <w:pPr>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附图7  项目与云南省主体功能类型区位置图</w:t>
      </w:r>
    </w:p>
    <w:p>
      <w:pPr>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附图8  项目与云南省生态功能类型区位置图</w:t>
      </w:r>
    </w:p>
    <w:p>
      <w:pPr>
        <w:pStyle w:val="19"/>
        <w:jc w:val="center"/>
        <w:outlineLvl w:val="0"/>
        <w:rPr>
          <w:rFonts w:hint="default" w:ascii="Times New Roman" w:hAnsi="Times New Roman" w:eastAsia="宋体" w:cs="Times New Roman"/>
          <w:b/>
          <w:bCs/>
          <w:snapToGrid w:val="0"/>
          <w:color w:val="auto"/>
          <w:sz w:val="21"/>
          <w:szCs w:val="21"/>
          <w:highlight w:val="none"/>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pPr>
        <w:pStyle w:val="19"/>
        <w:jc w:val="center"/>
        <w:outlineLvl w:val="0"/>
        <w:rPr>
          <w:rFonts w:hint="default" w:ascii="Times New Roman" w:hAnsi="Times New Roman" w:eastAsia="宋体" w:cs="Times New Roman"/>
          <w:b/>
          <w:bCs/>
          <w:snapToGrid w:val="0"/>
          <w:color w:val="auto"/>
          <w:sz w:val="21"/>
          <w:szCs w:val="21"/>
          <w:highlight w:val="none"/>
        </w:rPr>
      </w:pPr>
      <w:r>
        <w:rPr>
          <w:rFonts w:hint="default" w:ascii="Times New Roman" w:hAnsi="Times New Roman" w:eastAsia="宋体" w:cs="Times New Roman"/>
          <w:b/>
          <w:bCs/>
          <w:snapToGrid w:val="0"/>
          <w:color w:val="auto"/>
          <w:sz w:val="21"/>
          <w:szCs w:val="21"/>
          <w:highlight w:val="none"/>
        </w:rPr>
        <w:t>一、建设项目基本情况</w:t>
      </w:r>
      <w:bookmarkEnd w:id="0"/>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382"/>
        <w:gridCol w:w="1637"/>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Borders>
              <w:top w:val="single" w:color="auto" w:sz="8"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建设项目名称</w:t>
            </w:r>
          </w:p>
        </w:tc>
        <w:tc>
          <w:tcPr>
            <w:tcW w:w="6488" w:type="dxa"/>
            <w:gridSpan w:val="3"/>
            <w:tcBorders>
              <w:top w:val="single" w:color="auto" w:sz="8" w:space="0"/>
              <w:left w:val="single" w:color="auto" w:sz="4" w:space="0"/>
              <w:bottom w:val="single" w:color="auto" w:sz="4"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kern w:val="0"/>
                <w:szCs w:val="21"/>
                <w:highlight w:val="none"/>
                <w:lang w:eastAsia="zh-CN"/>
              </w:rPr>
              <w:t>宜良前所月牙塘机制砖厂页岩砖污泥利用技改项目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Borders>
              <w:top w:val="single" w:color="auto" w:sz="4"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项目代码</w:t>
            </w:r>
          </w:p>
        </w:tc>
        <w:tc>
          <w:tcPr>
            <w:tcW w:w="6488" w:type="dxa"/>
            <w:gridSpan w:val="3"/>
            <w:tcBorders>
              <w:top w:val="single" w:color="auto" w:sz="4" w:space="0"/>
              <w:left w:val="single" w:color="auto" w:sz="4" w:space="0"/>
              <w:bottom w:val="single" w:color="auto" w:sz="4"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2026-530125-04-02-150941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Borders>
              <w:top w:val="single" w:color="auto" w:sz="4"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建设单位联系人</w:t>
            </w:r>
          </w:p>
        </w:tc>
        <w:tc>
          <w:tcPr>
            <w:tcW w:w="16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李</w:t>
            </w:r>
            <w:r>
              <w:rPr>
                <w:rFonts w:hint="eastAsia" w:ascii="Times New Roman" w:hAnsi="Times New Roman" w:eastAsia="宋体" w:cs="Times New Roman"/>
                <w:color w:val="auto"/>
                <w:szCs w:val="21"/>
                <w:highlight w:val="none"/>
                <w:lang w:val="en-US" w:eastAsia="zh-CN"/>
              </w:rPr>
              <w:t>**</w:t>
            </w:r>
          </w:p>
        </w:tc>
        <w:tc>
          <w:tcPr>
            <w:tcW w:w="22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联系方式</w:t>
            </w:r>
          </w:p>
        </w:tc>
        <w:tc>
          <w:tcPr>
            <w:tcW w:w="2639" w:type="dxa"/>
            <w:tcBorders>
              <w:top w:val="single" w:color="auto" w:sz="4" w:space="0"/>
              <w:left w:val="single" w:color="auto" w:sz="4" w:space="0"/>
              <w:bottom w:val="single" w:color="auto" w:sz="4"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138</w:t>
            </w:r>
            <w:r>
              <w:rPr>
                <w:rFonts w:hint="eastAsia" w:ascii="Times New Roman" w:hAnsi="Times New Roman" w:eastAsia="宋体" w:cs="Times New Roman"/>
                <w:color w:val="auto"/>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Borders>
              <w:top w:val="single" w:color="auto" w:sz="4"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建设地点</w:t>
            </w:r>
          </w:p>
        </w:tc>
        <w:tc>
          <w:tcPr>
            <w:tcW w:w="6488" w:type="dxa"/>
            <w:gridSpan w:val="3"/>
            <w:tcBorders>
              <w:top w:val="single" w:color="auto" w:sz="4" w:space="0"/>
              <w:left w:val="single" w:color="auto" w:sz="4" w:space="0"/>
              <w:bottom w:val="single" w:color="auto" w:sz="4"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kern w:val="0"/>
                <w:szCs w:val="21"/>
                <w:highlight w:val="none"/>
                <w:u w:val="none"/>
                <w:lang w:eastAsia="zh-CN"/>
              </w:rPr>
              <w:t>云南省昆明市宜良县北古城镇凤莱村委会下前所村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Borders>
              <w:top w:val="single" w:color="auto" w:sz="4"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地理坐标</w:t>
            </w:r>
          </w:p>
        </w:tc>
        <w:tc>
          <w:tcPr>
            <w:tcW w:w="6488" w:type="dxa"/>
            <w:gridSpan w:val="3"/>
            <w:tcBorders>
              <w:top w:val="single" w:color="auto" w:sz="4" w:space="0"/>
              <w:left w:val="single" w:color="auto" w:sz="4" w:space="0"/>
              <w:bottom w:val="single" w:color="auto" w:sz="4" w:space="0"/>
              <w:right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（103度1</w:t>
            </w:r>
            <w:r>
              <w:rPr>
                <w:rFonts w:hint="default" w:ascii="Times New Roman" w:hAnsi="Times New Roman" w:eastAsia="宋体" w:cs="Times New Roman"/>
                <w:color w:val="auto"/>
                <w:szCs w:val="21"/>
                <w:highlight w:val="none"/>
                <w:lang w:val="en-US" w:eastAsia="zh-CN"/>
              </w:rPr>
              <w:t>3</w:t>
            </w:r>
            <w:r>
              <w:rPr>
                <w:rFonts w:hint="default" w:ascii="Times New Roman" w:hAnsi="Times New Roman" w:eastAsia="宋体" w:cs="Times New Roman"/>
                <w:color w:val="auto"/>
                <w:szCs w:val="21"/>
                <w:highlight w:val="none"/>
              </w:rPr>
              <w:t>分</w:t>
            </w:r>
            <w:r>
              <w:rPr>
                <w:rFonts w:hint="default" w:ascii="Times New Roman" w:hAnsi="Times New Roman" w:eastAsia="宋体" w:cs="Times New Roman"/>
                <w:color w:val="auto"/>
                <w:szCs w:val="21"/>
                <w:highlight w:val="none"/>
                <w:lang w:val="en-US" w:eastAsia="zh-CN"/>
              </w:rPr>
              <w:t>18.598</w:t>
            </w:r>
            <w:r>
              <w:rPr>
                <w:rFonts w:hint="default" w:ascii="Times New Roman" w:hAnsi="Times New Roman" w:eastAsia="宋体" w:cs="Times New Roman"/>
                <w:color w:val="auto"/>
                <w:szCs w:val="21"/>
                <w:highlight w:val="none"/>
              </w:rPr>
              <w:t>秒，2</w:t>
            </w:r>
            <w:r>
              <w:rPr>
                <w:rFonts w:hint="default" w:ascii="Times New Roman" w:hAnsi="Times New Roman" w:eastAsia="宋体" w:cs="Times New Roman"/>
                <w:color w:val="auto"/>
                <w:szCs w:val="21"/>
                <w:highlight w:val="none"/>
                <w:lang w:val="en-US" w:eastAsia="zh-CN"/>
              </w:rPr>
              <w:t>4</w:t>
            </w:r>
            <w:r>
              <w:rPr>
                <w:rFonts w:hint="default" w:ascii="Times New Roman" w:hAnsi="Times New Roman" w:eastAsia="宋体" w:cs="Times New Roman"/>
                <w:color w:val="auto"/>
                <w:szCs w:val="21"/>
                <w:highlight w:val="none"/>
              </w:rPr>
              <w:t>度</w:t>
            </w:r>
            <w:r>
              <w:rPr>
                <w:rFonts w:hint="default" w:ascii="Times New Roman" w:hAnsi="Times New Roman" w:eastAsia="宋体" w:cs="Times New Roman"/>
                <w:color w:val="auto"/>
                <w:szCs w:val="21"/>
                <w:highlight w:val="none"/>
                <w:lang w:val="en-US" w:eastAsia="zh-CN"/>
              </w:rPr>
              <w:t>58</w:t>
            </w:r>
            <w:r>
              <w:rPr>
                <w:rFonts w:hint="default" w:ascii="Times New Roman" w:hAnsi="Times New Roman" w:eastAsia="宋体" w:cs="Times New Roman"/>
                <w:color w:val="auto"/>
                <w:szCs w:val="21"/>
                <w:highlight w:val="none"/>
              </w:rPr>
              <w:t>分</w:t>
            </w:r>
            <w:r>
              <w:rPr>
                <w:rFonts w:hint="default" w:ascii="Times New Roman" w:hAnsi="Times New Roman" w:eastAsia="宋体" w:cs="Times New Roman"/>
                <w:color w:val="auto"/>
                <w:szCs w:val="21"/>
                <w:highlight w:val="none"/>
                <w:lang w:val="en-US" w:eastAsia="zh-CN"/>
              </w:rPr>
              <w:t>29.699</w:t>
            </w:r>
            <w:r>
              <w:rPr>
                <w:rFonts w:hint="default" w:ascii="Times New Roman" w:hAnsi="Times New Roman" w:eastAsia="宋体" w:cs="Times New Roman"/>
                <w:color w:val="auto"/>
                <w:szCs w:val="21"/>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382" w:type="dxa"/>
            <w:tcBorders>
              <w:top w:val="single" w:color="auto" w:sz="4"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国民经济</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行业类别</w:t>
            </w:r>
          </w:p>
        </w:tc>
        <w:tc>
          <w:tcPr>
            <w:tcW w:w="16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粘土砖瓦及建筑砌块制（C3031）</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lang w:val="en-US" w:eastAsia="zh-CN"/>
              </w:rPr>
              <w:t>固体废物治理（N7723）</w:t>
            </w:r>
          </w:p>
        </w:tc>
        <w:tc>
          <w:tcPr>
            <w:tcW w:w="22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bookmarkStart w:id="1" w:name="_Hlk49843745"/>
            <w:r>
              <w:rPr>
                <w:rFonts w:hint="default" w:ascii="Times New Roman" w:hAnsi="Times New Roman" w:eastAsia="宋体" w:cs="Times New Roman"/>
                <w:color w:val="auto"/>
                <w:szCs w:val="21"/>
                <w:highlight w:val="none"/>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行业类别</w:t>
            </w:r>
            <w:bookmarkEnd w:id="1"/>
          </w:p>
        </w:tc>
        <w:tc>
          <w:tcPr>
            <w:tcW w:w="2639" w:type="dxa"/>
            <w:tcBorders>
              <w:top w:val="single" w:color="auto" w:sz="4" w:space="0"/>
              <w:left w:val="single" w:color="auto" w:sz="4" w:space="0"/>
              <w:bottom w:val="single" w:color="auto" w:sz="4"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二十七条：非金属矿物制品业中的56条：砖瓦、石材等建筑材料制造</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四十七条</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生态保护和环境治理业中的</w:t>
            </w:r>
            <w:r>
              <w:rPr>
                <w:rFonts w:hint="default" w:ascii="Times New Roman" w:hAnsi="Times New Roman" w:eastAsia="宋体" w:cs="Times New Roman"/>
                <w:color w:val="auto"/>
                <w:szCs w:val="21"/>
                <w:highlight w:val="none"/>
                <w:lang w:val="en-US" w:eastAsia="zh-CN"/>
              </w:rPr>
              <w:t>103</w:t>
            </w:r>
            <w:r>
              <w:rPr>
                <w:rFonts w:hint="default" w:ascii="Times New Roman" w:hAnsi="Times New Roman" w:eastAsia="宋体" w:cs="Times New Roman"/>
                <w:color w:val="auto"/>
                <w:szCs w:val="21"/>
                <w:highlight w:val="none"/>
              </w:rPr>
              <w:t>条：</w:t>
            </w:r>
            <w:r>
              <w:rPr>
                <w:rFonts w:hint="default" w:ascii="Times New Roman" w:hAnsi="Times New Roman" w:eastAsia="宋体" w:cs="Times New Roman"/>
                <w:color w:val="auto"/>
                <w:szCs w:val="21"/>
                <w:highlight w:val="none"/>
                <w:lang w:val="en-US" w:eastAsia="zh-CN"/>
              </w:rPr>
              <w:t>一</w:t>
            </w:r>
            <w:r>
              <w:rPr>
                <w:rFonts w:hint="default" w:ascii="Times New Roman" w:hAnsi="Times New Roman" w:eastAsia="宋体" w:cs="Times New Roman"/>
                <w:color w:val="auto"/>
                <w:szCs w:val="21"/>
                <w:highlight w:val="none"/>
              </w:rPr>
              <w:t>般工业固体废物（含污水处理污泥）、建筑施工废弃物处置及综合利用</w:t>
            </w:r>
            <w:r>
              <w:rPr>
                <w:rFonts w:hint="default" w:ascii="Times New Roman" w:hAnsi="Times New Roman" w:eastAsia="宋体" w:cs="Times New Roman"/>
                <w:color w:val="auto"/>
                <w:szCs w:val="21"/>
                <w:highlight w:val="none"/>
                <w:lang w:val="en-US" w:eastAsia="zh-CN"/>
              </w:rPr>
              <w:t>--其他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382" w:type="dxa"/>
            <w:tcBorders>
              <w:top w:val="single" w:color="auto" w:sz="4"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建设性质</w:t>
            </w:r>
          </w:p>
        </w:tc>
        <w:tc>
          <w:tcPr>
            <w:tcW w:w="16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sym w:font="Wingdings 2" w:char="F0A3"/>
            </w:r>
            <w:r>
              <w:rPr>
                <w:rFonts w:hint="default" w:ascii="Times New Roman" w:hAnsi="Times New Roman" w:eastAsia="宋体" w:cs="Times New Roman"/>
                <w:color w:val="auto"/>
                <w:szCs w:val="21"/>
                <w:highlight w:val="none"/>
              </w:rPr>
              <w:t>新建（迁建）</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sym w:font="Wingdings 2" w:char="0052"/>
            </w:r>
            <w:r>
              <w:rPr>
                <w:rFonts w:hint="default" w:ascii="Times New Roman" w:hAnsi="Times New Roman" w:eastAsia="宋体" w:cs="Times New Roman"/>
                <w:color w:val="auto"/>
                <w:szCs w:val="21"/>
                <w:highlight w:val="none"/>
                <w:lang w:eastAsia="zh-CN"/>
              </w:rPr>
              <w:t>改建</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sym w:font="Wingdings 2" w:char="0052"/>
            </w:r>
            <w:r>
              <w:rPr>
                <w:rFonts w:hint="default" w:ascii="Times New Roman" w:hAnsi="Times New Roman" w:eastAsia="宋体" w:cs="Times New Roman"/>
                <w:color w:val="auto"/>
                <w:szCs w:val="21"/>
                <w:highlight w:val="none"/>
              </w:rPr>
              <w:t>扩建</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sym w:font="Wingdings 2" w:char="00A3"/>
            </w:r>
            <w:r>
              <w:rPr>
                <w:rFonts w:hint="default" w:ascii="Times New Roman" w:hAnsi="Times New Roman" w:eastAsia="宋体" w:cs="Times New Roman"/>
                <w:color w:val="auto"/>
                <w:szCs w:val="21"/>
                <w:highlight w:val="none"/>
              </w:rPr>
              <w:t>技术改造</w:t>
            </w:r>
          </w:p>
        </w:tc>
        <w:tc>
          <w:tcPr>
            <w:tcW w:w="22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申报形</w:t>
            </w:r>
          </w:p>
        </w:tc>
        <w:tc>
          <w:tcPr>
            <w:tcW w:w="2639" w:type="dxa"/>
            <w:tcBorders>
              <w:top w:val="single" w:color="auto" w:sz="4" w:space="0"/>
              <w:left w:val="single" w:color="auto" w:sz="4" w:space="0"/>
              <w:bottom w:val="single" w:color="auto" w:sz="4" w:space="0"/>
              <w:right w:val="single" w:color="auto" w:sz="8" w:space="0"/>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sym w:font="Wingdings 2" w:char="F052"/>
            </w:r>
            <w:r>
              <w:rPr>
                <w:rFonts w:hint="default" w:ascii="Times New Roman" w:hAnsi="Times New Roman" w:eastAsia="宋体" w:cs="Times New Roman"/>
                <w:color w:val="auto"/>
                <w:szCs w:val="21"/>
                <w:highlight w:val="none"/>
              </w:rPr>
              <w:t xml:space="preserve">首次申报项目             </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sym w:font="Wingdings 2" w:char="F0A3"/>
            </w:r>
            <w:r>
              <w:rPr>
                <w:rFonts w:hint="default" w:ascii="Times New Roman" w:hAnsi="Times New Roman" w:eastAsia="宋体" w:cs="Times New Roman"/>
                <w:color w:val="auto"/>
                <w:szCs w:val="21"/>
                <w:highlight w:val="none"/>
              </w:rPr>
              <w:t>不予批准后再次申报项目</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sym w:font="Wingdings 2" w:char="F0A3"/>
            </w:r>
            <w:r>
              <w:rPr>
                <w:rFonts w:hint="default" w:ascii="Times New Roman" w:hAnsi="Times New Roman" w:eastAsia="宋体" w:cs="Times New Roman"/>
                <w:color w:val="auto"/>
                <w:szCs w:val="21"/>
                <w:highlight w:val="none"/>
              </w:rPr>
              <w:t xml:space="preserve">超五年重新审核项目     </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sym w:font="Wingdings 2" w:char="F0A3"/>
            </w:r>
            <w:r>
              <w:rPr>
                <w:rFonts w:hint="default" w:ascii="Times New Roman" w:hAnsi="Times New Roman" w:eastAsia="宋体" w:cs="Times New Roman"/>
                <w:color w:val="auto"/>
                <w:szCs w:val="21"/>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382" w:type="dxa"/>
            <w:tcBorders>
              <w:top w:val="single" w:color="auto" w:sz="4"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项目审批（核准/</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备案）部门（选填）</w:t>
            </w:r>
          </w:p>
        </w:tc>
        <w:tc>
          <w:tcPr>
            <w:tcW w:w="16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宜良县发展和改革局</w:t>
            </w:r>
          </w:p>
        </w:tc>
        <w:tc>
          <w:tcPr>
            <w:tcW w:w="22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项目审批（核准/</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备案）文号（选填）</w:t>
            </w:r>
          </w:p>
        </w:tc>
        <w:tc>
          <w:tcPr>
            <w:tcW w:w="2639" w:type="dxa"/>
            <w:tcBorders>
              <w:top w:val="single" w:color="auto" w:sz="4" w:space="0"/>
              <w:left w:val="single" w:color="auto" w:sz="4" w:space="0"/>
              <w:bottom w:val="single" w:color="auto" w:sz="4"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2026-530125-04-02-150941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7" w:hRule="atLeast"/>
          <w:jc w:val="center"/>
        </w:trPr>
        <w:tc>
          <w:tcPr>
            <w:tcW w:w="2382" w:type="dxa"/>
            <w:tcBorders>
              <w:top w:val="single" w:color="auto" w:sz="4"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总投资（万元）</w:t>
            </w:r>
          </w:p>
        </w:tc>
        <w:tc>
          <w:tcPr>
            <w:tcW w:w="16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0"/>
                <w:szCs w:val="21"/>
                <w:highlight w:val="none"/>
                <w:lang w:val="en-US" w:eastAsia="zh-CN"/>
              </w:rPr>
              <w:t>100</w:t>
            </w:r>
          </w:p>
        </w:tc>
        <w:tc>
          <w:tcPr>
            <w:tcW w:w="2212" w:type="dxa"/>
            <w:tcBorders>
              <w:top w:val="single" w:color="auto" w:sz="4" w:space="0"/>
              <w:left w:val="single" w:color="auto" w:sz="4" w:space="0"/>
              <w:bottom w:val="single" w:color="auto" w:sz="4" w:space="0"/>
              <w:right w:val="single" w:color="auto" w:sz="4" w:space="0"/>
            </w:tcBorders>
            <w:noWrap w:val="0"/>
            <w:tcMar>
              <w:top w:w="16" w:type="dxa"/>
              <w:left w:w="16" w:type="dxa"/>
              <w:bottom w:w="0"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环保投资（万元）</w:t>
            </w:r>
          </w:p>
        </w:tc>
        <w:tc>
          <w:tcPr>
            <w:tcW w:w="2639" w:type="dxa"/>
            <w:tcBorders>
              <w:top w:val="single" w:color="auto" w:sz="4" w:space="0"/>
              <w:left w:val="single" w:color="auto" w:sz="4" w:space="0"/>
              <w:bottom w:val="single" w:color="auto" w:sz="4"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Borders>
              <w:top w:val="single" w:color="auto" w:sz="4"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环保投资占比（%）</w:t>
            </w:r>
          </w:p>
        </w:tc>
        <w:tc>
          <w:tcPr>
            <w:tcW w:w="16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val="en-US" w:eastAsia="zh-CN"/>
              </w:rPr>
              <w:t>15</w:t>
            </w:r>
            <w:r>
              <w:rPr>
                <w:rFonts w:hint="default" w:ascii="Times New Roman" w:hAnsi="Times New Roman" w:eastAsia="宋体" w:cs="Times New Roman"/>
                <w:color w:val="auto"/>
                <w:kern w:val="0"/>
                <w:szCs w:val="21"/>
                <w:highlight w:val="none"/>
              </w:rPr>
              <w:t>%</w:t>
            </w:r>
          </w:p>
        </w:tc>
        <w:tc>
          <w:tcPr>
            <w:tcW w:w="2212" w:type="dxa"/>
            <w:tcBorders>
              <w:top w:val="single" w:color="auto" w:sz="4" w:space="0"/>
              <w:left w:val="single" w:color="auto" w:sz="4" w:space="0"/>
              <w:bottom w:val="single" w:color="auto" w:sz="4" w:space="0"/>
              <w:right w:val="single" w:color="auto" w:sz="4" w:space="0"/>
            </w:tcBorders>
            <w:noWrap w:val="0"/>
            <w:tcMar>
              <w:top w:w="16" w:type="dxa"/>
              <w:left w:w="16" w:type="dxa"/>
              <w:bottom w:w="0"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施工工期</w:t>
            </w:r>
          </w:p>
        </w:tc>
        <w:tc>
          <w:tcPr>
            <w:tcW w:w="2639" w:type="dxa"/>
            <w:tcBorders>
              <w:top w:val="single" w:color="auto" w:sz="4" w:space="0"/>
              <w:left w:val="single" w:color="auto" w:sz="4" w:space="0"/>
              <w:bottom w:val="single" w:color="auto" w:sz="4"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拟于202</w:t>
            </w:r>
            <w:r>
              <w:rPr>
                <w:rFonts w:hint="default" w:ascii="Times New Roman" w:hAnsi="Times New Roman" w:eastAsia="宋体" w:cs="Times New Roman"/>
                <w:color w:val="auto"/>
                <w:kern w:val="0"/>
                <w:szCs w:val="21"/>
                <w:highlight w:val="none"/>
                <w:lang w:val="en-US" w:eastAsia="zh-CN"/>
              </w:rPr>
              <w:t>6</w:t>
            </w:r>
            <w:r>
              <w:rPr>
                <w:rFonts w:hint="default" w:ascii="Times New Roman" w:hAnsi="Times New Roman" w:eastAsia="宋体" w:cs="Times New Roman"/>
                <w:color w:val="auto"/>
                <w:kern w:val="0"/>
                <w:szCs w:val="21"/>
                <w:highlight w:val="none"/>
              </w:rPr>
              <w:t>年</w:t>
            </w:r>
            <w:r>
              <w:rPr>
                <w:rFonts w:hint="default" w:ascii="Times New Roman" w:hAnsi="Times New Roman" w:eastAsia="宋体" w:cs="Times New Roman"/>
                <w:color w:val="auto"/>
                <w:kern w:val="0"/>
                <w:szCs w:val="21"/>
                <w:highlight w:val="none"/>
                <w:lang w:val="en-US" w:eastAsia="zh-CN"/>
              </w:rPr>
              <w:t>7</w:t>
            </w:r>
            <w:r>
              <w:rPr>
                <w:rFonts w:hint="default" w:ascii="Times New Roman" w:hAnsi="Times New Roman" w:eastAsia="宋体" w:cs="Times New Roman"/>
                <w:color w:val="auto"/>
                <w:kern w:val="0"/>
                <w:szCs w:val="21"/>
                <w:highlight w:val="none"/>
              </w:rPr>
              <w:t>月</w:t>
            </w:r>
            <w:r>
              <w:rPr>
                <w:rFonts w:hint="default" w:ascii="Times New Roman" w:hAnsi="Times New Roman" w:eastAsia="宋体" w:cs="Times New Roman"/>
                <w:color w:val="auto"/>
                <w:kern w:val="0"/>
                <w:szCs w:val="21"/>
                <w:highlight w:val="none"/>
                <w:lang w:val="en-US" w:eastAsia="zh-CN"/>
              </w:rPr>
              <w:t>1日</w:t>
            </w:r>
            <w:r>
              <w:rPr>
                <w:rFonts w:hint="default" w:ascii="Times New Roman" w:hAnsi="Times New Roman" w:eastAsia="宋体" w:cs="Times New Roman"/>
                <w:color w:val="auto"/>
                <w:kern w:val="0"/>
                <w:szCs w:val="21"/>
                <w:highlight w:val="none"/>
              </w:rPr>
              <w:t>开工，202</w:t>
            </w:r>
            <w:r>
              <w:rPr>
                <w:rFonts w:hint="default" w:ascii="Times New Roman" w:hAnsi="Times New Roman" w:eastAsia="宋体" w:cs="Times New Roman"/>
                <w:color w:val="auto"/>
                <w:kern w:val="0"/>
                <w:szCs w:val="21"/>
                <w:highlight w:val="none"/>
                <w:lang w:val="en-US" w:eastAsia="zh-CN"/>
              </w:rPr>
              <w:t>6</w:t>
            </w:r>
            <w:r>
              <w:rPr>
                <w:rFonts w:hint="default" w:ascii="Times New Roman" w:hAnsi="Times New Roman" w:eastAsia="宋体" w:cs="Times New Roman"/>
                <w:color w:val="auto"/>
                <w:kern w:val="0"/>
                <w:szCs w:val="21"/>
                <w:highlight w:val="none"/>
              </w:rPr>
              <w:t>年</w:t>
            </w:r>
            <w:r>
              <w:rPr>
                <w:rFonts w:hint="default" w:ascii="Times New Roman" w:hAnsi="Times New Roman" w:eastAsia="宋体" w:cs="Times New Roman"/>
                <w:color w:val="auto"/>
                <w:kern w:val="0"/>
                <w:szCs w:val="21"/>
                <w:highlight w:val="none"/>
                <w:lang w:val="en-US" w:eastAsia="zh-CN"/>
              </w:rPr>
              <w:t>7</w:t>
            </w:r>
            <w:r>
              <w:rPr>
                <w:rFonts w:hint="default" w:ascii="Times New Roman" w:hAnsi="Times New Roman" w:eastAsia="宋体" w:cs="Times New Roman"/>
                <w:color w:val="auto"/>
                <w:kern w:val="0"/>
                <w:szCs w:val="21"/>
                <w:highlight w:val="none"/>
              </w:rPr>
              <w:t>月底竣工。</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施工工期共</w:t>
            </w:r>
            <w:r>
              <w:rPr>
                <w:rFonts w:hint="default" w:ascii="Times New Roman" w:hAnsi="Times New Roman" w:eastAsia="宋体" w:cs="Times New Roman"/>
                <w:color w:val="auto"/>
                <w:kern w:val="0"/>
                <w:szCs w:val="21"/>
                <w:highlight w:val="none"/>
                <w:lang w:val="en-US" w:eastAsia="zh-CN"/>
              </w:rPr>
              <w:t>1</w:t>
            </w:r>
            <w:r>
              <w:rPr>
                <w:rFonts w:hint="default" w:ascii="Times New Roman" w:hAnsi="Times New Roman" w:eastAsia="宋体" w:cs="Times New Roman"/>
                <w:color w:val="auto"/>
                <w:kern w:val="0"/>
                <w:szCs w:val="21"/>
                <w:highlight w:val="none"/>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Borders>
              <w:top w:val="single" w:color="auto" w:sz="4"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是否开工建设</w:t>
            </w:r>
          </w:p>
        </w:tc>
        <w:tc>
          <w:tcPr>
            <w:tcW w:w="16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sym w:font="Wingdings 2" w:char="F052"/>
            </w:r>
            <w:r>
              <w:rPr>
                <w:rFonts w:hint="default" w:ascii="Times New Roman" w:hAnsi="Times New Roman" w:eastAsia="宋体" w:cs="Times New Roman"/>
                <w:color w:val="auto"/>
                <w:szCs w:val="21"/>
                <w:highlight w:val="none"/>
              </w:rPr>
              <w:t>否</w:t>
            </w:r>
          </w:p>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sym w:font="Wingdings 2" w:char="F0A3"/>
            </w:r>
            <w:r>
              <w:rPr>
                <w:rFonts w:hint="default" w:ascii="Times New Roman" w:hAnsi="Times New Roman" w:eastAsia="宋体" w:cs="Times New Roman"/>
                <w:color w:val="auto"/>
                <w:szCs w:val="21"/>
                <w:highlight w:val="none"/>
              </w:rPr>
              <w:t>是：</w:t>
            </w:r>
            <w:r>
              <w:rPr>
                <w:rFonts w:hint="default" w:ascii="Times New Roman" w:hAnsi="Times New Roman" w:eastAsia="宋体" w:cs="Times New Roman"/>
                <w:color w:val="auto"/>
                <w:szCs w:val="21"/>
                <w:highlight w:val="none"/>
                <w:u w:val="single"/>
              </w:rPr>
              <w:t xml:space="preserve">             </w:t>
            </w:r>
          </w:p>
        </w:tc>
        <w:tc>
          <w:tcPr>
            <w:tcW w:w="2212" w:type="dxa"/>
            <w:tcBorders>
              <w:top w:val="single" w:color="auto" w:sz="4" w:space="0"/>
              <w:left w:val="single" w:color="auto" w:sz="4" w:space="0"/>
              <w:bottom w:val="single" w:color="auto" w:sz="4" w:space="0"/>
              <w:right w:val="single" w:color="auto" w:sz="4" w:space="0"/>
            </w:tcBorders>
            <w:noWrap w:val="0"/>
            <w:tcMar>
              <w:top w:w="16" w:type="dxa"/>
              <w:left w:w="16" w:type="dxa"/>
              <w:bottom w:w="0"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6"/>
                <w:szCs w:val="21"/>
                <w:highlight w:val="none"/>
              </w:rPr>
            </w:pPr>
            <w:r>
              <w:rPr>
                <w:rFonts w:hint="default" w:ascii="Times New Roman" w:hAnsi="Times New Roman" w:eastAsia="宋体" w:cs="Times New Roman"/>
                <w:color w:val="auto"/>
                <w:spacing w:val="-6"/>
                <w:szCs w:val="21"/>
                <w:highlight w:val="none"/>
              </w:rPr>
              <w:t>用地（用海）</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pacing w:val="-6"/>
                <w:szCs w:val="21"/>
                <w:highlight w:val="none"/>
              </w:rPr>
              <w:t>面积（m</w:t>
            </w:r>
            <w:r>
              <w:rPr>
                <w:rFonts w:hint="default" w:ascii="Times New Roman" w:hAnsi="Times New Roman" w:eastAsia="宋体" w:cs="Times New Roman"/>
                <w:color w:val="auto"/>
                <w:spacing w:val="-6"/>
                <w:szCs w:val="21"/>
                <w:highlight w:val="none"/>
                <w:vertAlign w:val="superscript"/>
              </w:rPr>
              <w:t>2</w:t>
            </w:r>
            <w:r>
              <w:rPr>
                <w:rFonts w:hint="default" w:ascii="Times New Roman" w:hAnsi="Times New Roman" w:eastAsia="宋体" w:cs="Times New Roman"/>
                <w:color w:val="auto"/>
                <w:spacing w:val="-6"/>
                <w:szCs w:val="21"/>
                <w:highlight w:val="none"/>
              </w:rPr>
              <w:t>）</w:t>
            </w:r>
          </w:p>
        </w:tc>
        <w:tc>
          <w:tcPr>
            <w:tcW w:w="2639" w:type="dxa"/>
            <w:tcBorders>
              <w:top w:val="single" w:color="auto" w:sz="4" w:space="0"/>
              <w:left w:val="single" w:color="auto" w:sz="4" w:space="0"/>
              <w:bottom w:val="single" w:color="auto" w:sz="4"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lang w:val="en-US" w:eastAsia="zh-CN"/>
              </w:rPr>
              <w:t>2000</w:t>
            </w:r>
            <w:r>
              <w:rPr>
                <w:rFonts w:hint="default" w:ascii="Times New Roman" w:hAnsi="Times New Roman" w:eastAsia="宋体" w:cs="Times New Roman"/>
                <w:color w:val="auto"/>
                <w:kern w:val="0"/>
                <w:szCs w:val="21"/>
                <w:highlight w:val="none"/>
              </w:rPr>
              <w:t>0</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本次在原址改扩建，不新增占地</w:t>
            </w:r>
            <w:r>
              <w:rPr>
                <w:rFonts w:hint="default" w:ascii="Times New Roman" w:hAnsi="Times New Roman" w:eastAsia="宋体" w:cs="Times New Roman"/>
                <w:color w:val="auto"/>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21" w:hRule="atLeast"/>
          <w:jc w:val="center"/>
        </w:trPr>
        <w:tc>
          <w:tcPr>
            <w:tcW w:w="2382" w:type="dxa"/>
            <w:tcBorders>
              <w:top w:val="single" w:color="auto" w:sz="4" w:space="0"/>
              <w:left w:val="single" w:color="auto" w:sz="8" w:space="0"/>
              <w:bottom w:val="single" w:color="auto" w:sz="4" w:space="0"/>
              <w:right w:val="single" w:color="auto" w:sz="4" w:space="0"/>
            </w:tcBorders>
            <w:noWrap w:val="0"/>
            <w:tcMar>
              <w:top w:w="0" w:type="dxa"/>
              <w:left w:w="108" w:type="dxa"/>
              <w:bottom w:w="0" w:type="dxa"/>
              <w:right w:w="108"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专项评价设置情况</w:t>
            </w:r>
          </w:p>
        </w:tc>
        <w:tc>
          <w:tcPr>
            <w:tcW w:w="6488" w:type="dxa"/>
            <w:gridSpan w:val="3"/>
            <w:tcBorders>
              <w:top w:val="single" w:color="auto" w:sz="4" w:space="0"/>
              <w:left w:val="single" w:color="auto" w:sz="4" w:space="0"/>
              <w:bottom w:val="single" w:color="auto" w:sz="4" w:space="0"/>
              <w:right w:val="single" w:color="auto" w:sz="8" w:space="0"/>
            </w:tcBorders>
            <w:noWrap w:val="0"/>
            <w:tcMar>
              <w:top w:w="0" w:type="dxa"/>
              <w:left w:w="108" w:type="dxa"/>
              <w:bottom w:w="0" w:type="dxa"/>
              <w:right w:w="108" w:type="dxa"/>
            </w:tcMar>
            <w:vAlign w:val="center"/>
          </w:tcPr>
          <w:p>
            <w:pPr>
              <w:pStyle w:val="71"/>
              <w:keepNext w:val="0"/>
              <w:keepLines w:val="0"/>
              <w:suppressLineNumbers w:val="0"/>
              <w:spacing w:before="46" w:beforeAutospacing="0" w:after="0" w:afterAutospacing="0" w:line="360" w:lineRule="auto"/>
              <w:ind w:left="0" w:right="84" w:firstLine="472" w:firstLineChars="200"/>
              <w:rPr>
                <w:rFonts w:hint="default" w:ascii="Times New Roman" w:hAnsi="Times New Roman" w:eastAsia="宋体" w:cs="Times New Roman"/>
                <w:color w:val="auto"/>
                <w:spacing w:val="-2"/>
                <w:sz w:val="24"/>
                <w:szCs w:val="24"/>
                <w:highlight w:val="none"/>
              </w:rPr>
            </w:pPr>
            <w:r>
              <w:rPr>
                <w:rFonts w:hint="default" w:ascii="Times New Roman" w:hAnsi="Times New Roman" w:eastAsia="宋体" w:cs="Times New Roman"/>
                <w:color w:val="auto"/>
                <w:spacing w:val="-2"/>
                <w:sz w:val="24"/>
                <w:szCs w:val="24"/>
                <w:highlight w:val="none"/>
              </w:rPr>
              <w:t>根据《建设项目环境影响报告表编制技术指南》（污染影响类）（试行）中“二、总体要求”，确定对专项评价开展情况：</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表1-1  专项评价设置原则对照表</w:t>
            </w:r>
          </w:p>
          <w:tbl>
            <w:tblPr>
              <w:tblStyle w:val="23"/>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95"/>
              <w:gridCol w:w="2880"/>
              <w:gridCol w:w="1713"/>
              <w:gridCol w:w="86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636"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专项评价的类别</w:t>
                  </w:r>
                </w:p>
              </w:tc>
              <w:tc>
                <w:tcPr>
                  <w:tcW w:w="2303"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设置原则</w:t>
                  </w:r>
                </w:p>
              </w:tc>
              <w:tc>
                <w:tcPr>
                  <w:tcW w:w="1370"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本项目情况</w:t>
                  </w:r>
                </w:p>
              </w:tc>
              <w:tc>
                <w:tcPr>
                  <w:tcW w:w="689"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设置情况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636"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大气</w:t>
                  </w:r>
                </w:p>
              </w:tc>
              <w:tc>
                <w:tcPr>
                  <w:tcW w:w="2303"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排放废气含有毒有害污染物</w:t>
                  </w:r>
                  <w:r>
                    <w:rPr>
                      <w:rFonts w:hint="default" w:ascii="Times New Roman" w:hAnsi="Times New Roman" w:eastAsia="宋体" w:cs="Times New Roman"/>
                      <w:color w:val="auto"/>
                      <w:kern w:val="0"/>
                      <w:sz w:val="21"/>
                      <w:szCs w:val="21"/>
                      <w:highlight w:val="none"/>
                      <w:vertAlign w:val="superscript"/>
                    </w:rPr>
                    <w:t>1</w:t>
                  </w:r>
                  <w:r>
                    <w:rPr>
                      <w:rFonts w:hint="default" w:ascii="Times New Roman" w:hAnsi="Times New Roman" w:eastAsia="宋体" w:cs="Times New Roman"/>
                      <w:color w:val="auto"/>
                      <w:kern w:val="0"/>
                      <w:sz w:val="21"/>
                      <w:szCs w:val="21"/>
                      <w:highlight w:val="none"/>
                    </w:rPr>
                    <w:t>、二噁英、苯并[a]芘、氰化物、氯气且厂界外500米范围内有环境空气保护目标</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的建设项目</w:t>
                  </w:r>
                </w:p>
              </w:tc>
              <w:tc>
                <w:tcPr>
                  <w:tcW w:w="1370"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项目废气不含有毒有害污染物</w:t>
                  </w:r>
                  <w:r>
                    <w:rPr>
                      <w:rFonts w:hint="default" w:ascii="Times New Roman" w:hAnsi="Times New Roman" w:eastAsia="宋体" w:cs="Times New Roman"/>
                      <w:color w:val="auto"/>
                      <w:kern w:val="0"/>
                      <w:sz w:val="21"/>
                      <w:szCs w:val="21"/>
                      <w:highlight w:val="none"/>
                      <w:vertAlign w:val="superscript"/>
                    </w:rPr>
                    <w:t>1</w:t>
                  </w:r>
                  <w:r>
                    <w:rPr>
                      <w:rFonts w:hint="default" w:ascii="Times New Roman" w:hAnsi="Times New Roman" w:eastAsia="宋体" w:cs="Times New Roman"/>
                      <w:color w:val="auto"/>
                      <w:kern w:val="0"/>
                      <w:sz w:val="21"/>
                      <w:szCs w:val="21"/>
                      <w:highlight w:val="none"/>
                    </w:rPr>
                    <w:t>、二噁英、苯并[a]芘、氰化物、氯气</w:t>
                  </w:r>
                </w:p>
              </w:tc>
              <w:tc>
                <w:tcPr>
                  <w:tcW w:w="689"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不设置大气专项评价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636"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地表水</w:t>
                  </w:r>
                </w:p>
              </w:tc>
              <w:tc>
                <w:tcPr>
                  <w:tcW w:w="2303"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新增工业废水直排建设项目（槽罐车外送污水处理厂的除外）；新增废水直排的污水集中处理厂</w:t>
                  </w:r>
                </w:p>
              </w:tc>
              <w:tc>
                <w:tcPr>
                  <w:tcW w:w="1370"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项目废水不直接外排</w:t>
                  </w:r>
                </w:p>
              </w:tc>
              <w:tc>
                <w:tcPr>
                  <w:tcW w:w="689"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不设置地表水专项评价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636"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环境风险</w:t>
                  </w:r>
                </w:p>
              </w:tc>
              <w:tc>
                <w:tcPr>
                  <w:tcW w:w="2303"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有毒有害和易燃易爆危险物质存储量超过临界量</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的建设项目</w:t>
                  </w:r>
                </w:p>
              </w:tc>
              <w:tc>
                <w:tcPr>
                  <w:tcW w:w="1370"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项目环境风险物质未超过临界量</w:t>
                  </w:r>
                </w:p>
              </w:tc>
              <w:tc>
                <w:tcPr>
                  <w:tcW w:w="689"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不设置环境风险专项评价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636"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生态</w:t>
                  </w:r>
                </w:p>
              </w:tc>
              <w:tc>
                <w:tcPr>
                  <w:tcW w:w="2303"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取水口下游500米范围内有重要水生生物的自然产卵场、索饵场、越冬场和洄游通道的新增河道取水的污染类建设项目</w:t>
                  </w:r>
                </w:p>
              </w:tc>
              <w:tc>
                <w:tcPr>
                  <w:tcW w:w="1370"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项目不涉及</w:t>
                  </w:r>
                </w:p>
              </w:tc>
              <w:tc>
                <w:tcPr>
                  <w:tcW w:w="689"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不设置生态专项评价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636"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海洋</w:t>
                  </w:r>
                </w:p>
              </w:tc>
              <w:tc>
                <w:tcPr>
                  <w:tcW w:w="2303"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直接向海排放污染物的海洋工程建设项目</w:t>
                  </w:r>
                </w:p>
              </w:tc>
              <w:tc>
                <w:tcPr>
                  <w:tcW w:w="1370"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项目不涉及</w:t>
                  </w:r>
                </w:p>
              </w:tc>
              <w:tc>
                <w:tcPr>
                  <w:tcW w:w="689"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不设海洋专项评价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000" w:type="pct"/>
                  <w:gridSpan w:val="4"/>
                  <w:noWrap w:val="0"/>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注：1.废气中有毒有害污染物指纳入《有毒有害大气污染物名录》的污染物（不包括无排放标准的污染物）。</w:t>
                  </w:r>
                </w:p>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2.环境空气保护目标指自然保护区、风景名胜区、居住区、文化区和农村地区中人群较集中的区域。</w:t>
                  </w:r>
                </w:p>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3.临界量及其计算方法可参考《建设项目环境风险评价技术导则》（HJ 169）附录B、附录C。</w:t>
                  </w:r>
                </w:p>
              </w:tc>
            </w:tr>
          </w:tbl>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21" w:hRule="atLeast"/>
          <w:jc w:val="center"/>
        </w:trPr>
        <w:tc>
          <w:tcPr>
            <w:tcW w:w="2382" w:type="dxa"/>
            <w:tcBorders>
              <w:top w:val="single" w:color="auto" w:sz="4" w:space="0"/>
              <w:left w:val="single" w:color="auto" w:sz="8" w:space="0"/>
              <w:bottom w:val="single" w:color="auto" w:sz="4" w:space="0"/>
              <w:right w:val="single" w:color="auto" w:sz="4" w:space="0"/>
            </w:tcBorders>
            <w:noWrap w:val="0"/>
            <w:tcMar>
              <w:top w:w="0" w:type="dxa"/>
              <w:left w:w="108" w:type="dxa"/>
              <w:bottom w:w="0" w:type="dxa"/>
              <w:right w:w="108"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规划情况</w:t>
            </w:r>
          </w:p>
        </w:tc>
        <w:tc>
          <w:tcPr>
            <w:tcW w:w="6488" w:type="dxa"/>
            <w:gridSpan w:val="3"/>
            <w:tcBorders>
              <w:top w:val="single" w:color="auto" w:sz="4" w:space="0"/>
              <w:left w:val="single" w:color="auto" w:sz="4" w:space="0"/>
              <w:bottom w:val="single" w:color="auto" w:sz="4" w:space="0"/>
              <w:right w:val="single" w:color="auto" w:sz="8" w:space="0"/>
            </w:tcBorders>
            <w:noWrap w:val="0"/>
            <w:tcMar>
              <w:top w:w="0" w:type="dxa"/>
              <w:left w:w="108" w:type="dxa"/>
              <w:bottom w:w="0" w:type="dxa"/>
              <w:right w:w="108" w:type="dxa"/>
            </w:tcMar>
            <w:vAlign w:val="center"/>
          </w:tcPr>
          <w:p>
            <w:pPr>
              <w:pStyle w:val="6"/>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snapToGrid/>
              <w:spacing w:before="0" w:beforeAutospacing="0" w:after="0" w:afterAutospacing="0" w:line="360" w:lineRule="auto"/>
              <w:ind w:left="0" w:right="0" w:firstLine="480"/>
              <w:textAlignment w:val="auto"/>
              <w:rPr>
                <w:rFonts w:hint="default" w:ascii="Times New Roman" w:hAnsi="Times New Roman" w:eastAsia="宋体" w:cs="Times New Roman"/>
                <w:snapToGrid w:val="0"/>
                <w:color w:val="auto"/>
                <w:kern w:val="0"/>
                <w:highlight w:val="none"/>
                <w:lang w:val="en-US" w:eastAsia="zh-CN"/>
              </w:rPr>
            </w:pPr>
            <w:r>
              <w:rPr>
                <w:rFonts w:hint="default" w:ascii="Times New Roman" w:hAnsi="Times New Roman" w:eastAsia="宋体" w:cs="Times New Roman"/>
                <w:snapToGrid w:val="0"/>
                <w:color w:val="auto"/>
                <w:kern w:val="0"/>
                <w:highlight w:val="none"/>
                <w:lang w:val="en-US" w:eastAsia="zh-CN"/>
              </w:rPr>
              <w:t>规划名称：《云南宜良产业园区总体规划（2021-2035年）》</w:t>
            </w:r>
          </w:p>
          <w:p>
            <w:pPr>
              <w:pStyle w:val="6"/>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snapToGrid/>
              <w:spacing w:before="0" w:beforeAutospacing="0" w:after="0" w:afterAutospacing="0" w:line="360" w:lineRule="auto"/>
              <w:ind w:left="0" w:right="0" w:firstLine="480"/>
              <w:textAlignment w:val="auto"/>
              <w:rPr>
                <w:rFonts w:hint="default" w:ascii="Times New Roman" w:hAnsi="Times New Roman" w:eastAsia="宋体" w:cs="Times New Roman"/>
                <w:snapToGrid w:val="0"/>
                <w:color w:val="auto"/>
                <w:kern w:val="0"/>
                <w:highlight w:val="none"/>
                <w:lang w:val="en-US" w:eastAsia="zh-CN"/>
              </w:rPr>
            </w:pPr>
            <w:r>
              <w:rPr>
                <w:rFonts w:hint="default" w:ascii="Times New Roman" w:hAnsi="Times New Roman" w:eastAsia="宋体" w:cs="Times New Roman"/>
                <w:snapToGrid w:val="0"/>
                <w:color w:val="auto"/>
                <w:kern w:val="0"/>
                <w:highlight w:val="none"/>
                <w:lang w:val="en-US" w:eastAsia="zh-CN"/>
              </w:rPr>
              <w:t>审批机关：昆明市人民政府</w:t>
            </w:r>
          </w:p>
          <w:p>
            <w:pPr>
              <w:pStyle w:val="6"/>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snapToGrid/>
              <w:spacing w:before="0" w:beforeAutospacing="0" w:after="0" w:afterAutospacing="0" w:line="360" w:lineRule="auto"/>
              <w:ind w:left="0" w:right="0" w:firstLine="480"/>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snapToGrid w:val="0"/>
                <w:color w:val="auto"/>
                <w:kern w:val="0"/>
                <w:highlight w:val="none"/>
                <w:lang w:val="en-US" w:eastAsia="zh-CN"/>
              </w:rPr>
              <w:t>审批文件名称及文号：《昆明市人民政府关于云南宜良产业园区总体规划（2021-2035年）的批复》（昆政复〔2024〕6号）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21" w:hRule="atLeast"/>
          <w:jc w:val="center"/>
        </w:trPr>
        <w:tc>
          <w:tcPr>
            <w:tcW w:w="2382" w:type="dxa"/>
            <w:tcBorders>
              <w:top w:val="single" w:color="auto" w:sz="4" w:space="0"/>
              <w:left w:val="single" w:color="auto" w:sz="8" w:space="0"/>
              <w:bottom w:val="single" w:color="auto" w:sz="4" w:space="0"/>
              <w:right w:val="single" w:color="auto" w:sz="4" w:space="0"/>
            </w:tcBorders>
            <w:noWrap w:val="0"/>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规划环境影响</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评价情况</w:t>
            </w:r>
          </w:p>
        </w:tc>
        <w:tc>
          <w:tcPr>
            <w:tcW w:w="6488" w:type="dxa"/>
            <w:gridSpan w:val="3"/>
            <w:tcBorders>
              <w:top w:val="single" w:color="auto" w:sz="4" w:space="0"/>
              <w:left w:val="single" w:color="auto" w:sz="4" w:space="0"/>
              <w:bottom w:val="single" w:color="auto" w:sz="4" w:space="0"/>
              <w:right w:val="single" w:color="auto" w:sz="8" w:space="0"/>
            </w:tcBorders>
            <w:noWrap w:val="0"/>
            <w:tcMar>
              <w:top w:w="0" w:type="dxa"/>
              <w:left w:w="108" w:type="dxa"/>
              <w:bottom w:w="0" w:type="dxa"/>
              <w:right w:w="108" w:type="dxa"/>
            </w:tcMar>
            <w:vAlign w:val="center"/>
          </w:tcPr>
          <w:p>
            <w:pPr>
              <w:pStyle w:val="6"/>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21" w:hRule="atLeast"/>
          <w:jc w:val="center"/>
        </w:trPr>
        <w:tc>
          <w:tcPr>
            <w:tcW w:w="2382" w:type="dxa"/>
            <w:tcBorders>
              <w:top w:val="single" w:color="auto" w:sz="4" w:space="0"/>
              <w:left w:val="single" w:color="auto" w:sz="8" w:space="0"/>
              <w:bottom w:val="single" w:color="auto" w:sz="4" w:space="0"/>
              <w:right w:val="single" w:color="auto" w:sz="4" w:space="0"/>
            </w:tcBorders>
            <w:noWrap w:val="0"/>
            <w:tcMar>
              <w:top w:w="0" w:type="dxa"/>
              <w:left w:w="108" w:type="dxa"/>
              <w:bottom w:w="0" w:type="dxa"/>
              <w:right w:w="108"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规划及规划环境</w:t>
            </w:r>
          </w:p>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影响评价符合性分析</w:t>
            </w:r>
          </w:p>
        </w:tc>
        <w:tc>
          <w:tcPr>
            <w:tcW w:w="6488" w:type="dxa"/>
            <w:gridSpan w:val="3"/>
            <w:tcBorders>
              <w:top w:val="single" w:color="auto" w:sz="4" w:space="0"/>
              <w:left w:val="single" w:color="auto" w:sz="4" w:space="0"/>
              <w:bottom w:val="single" w:color="auto" w:sz="4" w:space="0"/>
              <w:right w:val="single" w:color="auto" w:sz="8" w:space="0"/>
            </w:tcBorders>
            <w:noWrap w:val="0"/>
            <w:tcMar>
              <w:top w:w="0" w:type="dxa"/>
              <w:left w:w="108" w:type="dxa"/>
              <w:bottom w:w="0" w:type="dxa"/>
              <w:right w:w="108"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21" w:hRule="atLeast"/>
          <w:jc w:val="center"/>
        </w:trPr>
        <w:tc>
          <w:tcPr>
            <w:tcW w:w="2382" w:type="dxa"/>
            <w:tcBorders>
              <w:top w:val="single" w:color="auto" w:sz="4" w:space="0"/>
              <w:left w:val="single" w:color="auto" w:sz="8" w:space="0"/>
              <w:bottom w:val="single" w:color="auto" w:sz="8" w:space="0"/>
              <w:right w:val="single" w:color="auto" w:sz="4" w:space="0"/>
            </w:tcBorders>
            <w:noWrap w:val="0"/>
            <w:tcMar>
              <w:top w:w="0" w:type="dxa"/>
              <w:left w:w="108" w:type="dxa"/>
              <w:bottom w:w="0" w:type="dxa"/>
              <w:right w:w="108"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其他符合性分析</w:t>
            </w:r>
          </w:p>
        </w:tc>
        <w:tc>
          <w:tcPr>
            <w:tcW w:w="6488" w:type="dxa"/>
            <w:gridSpan w:val="3"/>
            <w:tcBorders>
              <w:top w:val="single" w:color="auto" w:sz="4" w:space="0"/>
              <w:left w:val="single" w:color="auto" w:sz="4"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rPr>
                <w:rFonts w:hint="default" w:ascii="Times New Roman" w:hAnsi="Times New Roman" w:eastAsia="宋体" w:cs="Times New Roman"/>
                <w:b/>
                <w:bCs/>
                <w:color w:val="auto"/>
                <w:kern w:val="0"/>
                <w:sz w:val="24"/>
                <w:szCs w:val="24"/>
                <w:highlight w:val="none"/>
                <w:lang w:bidi="ar"/>
              </w:rPr>
            </w:pPr>
            <w:r>
              <w:rPr>
                <w:rFonts w:hint="default" w:ascii="Times New Roman" w:hAnsi="Times New Roman" w:eastAsia="宋体" w:cs="Times New Roman"/>
                <w:b/>
                <w:bCs/>
                <w:color w:val="auto"/>
                <w:sz w:val="24"/>
                <w:szCs w:val="24"/>
                <w:highlight w:val="none"/>
              </w:rPr>
              <w:t>1、</w:t>
            </w:r>
            <w:r>
              <w:rPr>
                <w:rFonts w:hint="default" w:ascii="Times New Roman" w:hAnsi="Times New Roman" w:eastAsia="宋体" w:cs="Times New Roman"/>
                <w:b/>
                <w:bCs/>
                <w:color w:val="auto"/>
                <w:kern w:val="0"/>
                <w:sz w:val="24"/>
                <w:szCs w:val="24"/>
                <w:highlight w:val="none"/>
                <w:lang w:bidi="ar"/>
              </w:rPr>
              <w:t>项目与《昆明市生态环境分区管控动态更新方案（2023年）》的符合性分析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2024年11月12日，昆明市生态环境局发布关于印发《昆明市生态环境分区管控动态更新方案（2023年）》的通知，意见中关于环境管控单元、生态保护红线及一般生态</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空间、环境质量底线及资源利用上线的更新结果及本项目与其符合性分析如下：</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
                <w:color w:val="auto"/>
                <w:szCs w:val="21"/>
                <w:highlight w:val="none"/>
              </w:rPr>
              <w:t>表1-</w:t>
            </w:r>
            <w:r>
              <w:rPr>
                <w:rFonts w:hint="default" w:ascii="Times New Roman" w:hAnsi="Times New Roman" w:eastAsia="宋体" w:cs="Times New Roman"/>
                <w:b/>
                <w:color w:val="auto"/>
                <w:szCs w:val="21"/>
                <w:highlight w:val="none"/>
                <w:lang w:val="en-US" w:eastAsia="zh-CN"/>
              </w:rPr>
              <w:t>2</w:t>
            </w:r>
            <w:r>
              <w:rPr>
                <w:rFonts w:hint="default" w:ascii="Times New Roman" w:hAnsi="Times New Roman" w:eastAsia="宋体" w:cs="Times New Roman"/>
                <w:b/>
                <w:color w:val="auto"/>
                <w:szCs w:val="21"/>
                <w:highlight w:val="none"/>
              </w:rPr>
              <w:t xml:space="preserve">  与《昆明市生态环境分区管控动态更新方案》符合性分析</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2"/>
              <w:gridCol w:w="2425"/>
              <w:gridCol w:w="2091"/>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pct"/>
                  <w:tcBorders>
                    <w:top w:val="single" w:color="auto" w:sz="4" w:space="0"/>
                    <w:left w:val="single" w:color="auto" w:sz="4" w:space="0"/>
                    <w:bottom w:val="single" w:color="auto" w:sz="4" w:space="0"/>
                    <w:right w:val="single" w:color="auto" w:sz="4" w:space="0"/>
                  </w:tcBorders>
                  <w:noWrap w:val="0"/>
                  <w:vAlign w:val="center"/>
                </w:tcPr>
                <w:p>
                  <w:pPr>
                    <w:pStyle w:val="63"/>
                    <w:keepNext w:val="0"/>
                    <w:keepLines w:val="0"/>
                    <w:widowControl/>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类别</w:t>
                  </w:r>
                </w:p>
              </w:tc>
              <w:tc>
                <w:tcPr>
                  <w:tcW w:w="1937" w:type="pct"/>
                  <w:tcBorders>
                    <w:top w:val="single" w:color="auto" w:sz="4" w:space="0"/>
                    <w:left w:val="single" w:color="auto" w:sz="4" w:space="0"/>
                    <w:bottom w:val="single" w:color="auto" w:sz="4" w:space="0"/>
                    <w:right w:val="single" w:color="auto" w:sz="4" w:space="0"/>
                  </w:tcBorders>
                  <w:noWrap w:val="0"/>
                  <w:vAlign w:val="center"/>
                </w:tcPr>
                <w:p>
                  <w:pPr>
                    <w:pStyle w:val="63"/>
                    <w:keepNext w:val="0"/>
                    <w:keepLines w:val="0"/>
                    <w:widowControl/>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要求</w:t>
                  </w:r>
                </w:p>
              </w:tc>
              <w:tc>
                <w:tcPr>
                  <w:tcW w:w="1670" w:type="pct"/>
                  <w:tcBorders>
                    <w:top w:val="single" w:color="auto" w:sz="4" w:space="0"/>
                    <w:left w:val="single" w:color="auto" w:sz="4" w:space="0"/>
                    <w:bottom w:val="single" w:color="auto" w:sz="4" w:space="0"/>
                    <w:right w:val="single" w:color="auto" w:sz="4" w:space="0"/>
                  </w:tcBorders>
                  <w:noWrap w:val="0"/>
                  <w:vAlign w:val="center"/>
                </w:tcPr>
                <w:p>
                  <w:pPr>
                    <w:pStyle w:val="63"/>
                    <w:keepNext w:val="0"/>
                    <w:keepLines w:val="0"/>
                    <w:widowControl/>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本项目</w:t>
                  </w:r>
                </w:p>
              </w:tc>
              <w:tc>
                <w:tcPr>
                  <w:tcW w:w="607" w:type="pct"/>
                  <w:tcBorders>
                    <w:top w:val="single" w:color="auto" w:sz="4" w:space="0"/>
                    <w:left w:val="single" w:color="auto" w:sz="4" w:space="0"/>
                    <w:bottom w:val="single" w:color="auto" w:sz="4" w:space="0"/>
                    <w:right w:val="single" w:color="auto" w:sz="4" w:space="0"/>
                  </w:tcBorders>
                  <w:noWrap w:val="0"/>
                  <w:vAlign w:val="center"/>
                </w:tcPr>
                <w:p>
                  <w:pPr>
                    <w:pStyle w:val="63"/>
                    <w:keepNext w:val="0"/>
                    <w:keepLines w:val="0"/>
                    <w:widowControl/>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pct"/>
                  <w:tcBorders>
                    <w:top w:val="single" w:color="auto" w:sz="4" w:space="0"/>
                    <w:left w:val="single" w:color="auto" w:sz="4" w:space="0"/>
                    <w:bottom w:val="single" w:color="auto" w:sz="4" w:space="0"/>
                    <w:right w:val="single" w:color="auto" w:sz="4" w:space="0"/>
                  </w:tcBorders>
                  <w:noWrap w:val="0"/>
                  <w:vAlign w:val="center"/>
                </w:tcPr>
                <w:p>
                  <w:pPr>
                    <w:pStyle w:val="6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生态保护红线和一般生态空间</w:t>
                  </w:r>
                </w:p>
              </w:tc>
              <w:tc>
                <w:tcPr>
                  <w:tcW w:w="1937" w:type="pct"/>
                  <w:tcBorders>
                    <w:top w:val="single" w:color="auto" w:sz="4" w:space="0"/>
                    <w:left w:val="single" w:color="auto" w:sz="4" w:space="0"/>
                    <w:bottom w:val="single" w:color="auto" w:sz="4" w:space="0"/>
                    <w:right w:val="single" w:color="auto" w:sz="4" w:space="0"/>
                  </w:tcBorders>
                  <w:noWrap w:val="0"/>
                  <w:vAlign w:val="center"/>
                </w:tcPr>
                <w:p>
                  <w:pPr>
                    <w:pStyle w:val="63"/>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生态保护红线全面与《昆明市国土空间总体规划（2021-2035年）》衔接，全市生态保护红线面积4274.70平方公里，占全市国土面积的20.34%，较原有面积占比减少1.85%。全市一般生态空间面积5151.56km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，占国土空间面积的24.37%，较原有面积占比增加2.45%。</w:t>
                  </w:r>
                </w:p>
              </w:tc>
              <w:tc>
                <w:tcPr>
                  <w:tcW w:w="1670" w:type="pct"/>
                  <w:tcBorders>
                    <w:top w:val="single" w:color="auto" w:sz="4" w:space="0"/>
                    <w:left w:val="single" w:color="auto" w:sz="4" w:space="0"/>
                    <w:bottom w:val="single" w:color="auto" w:sz="4" w:space="0"/>
                    <w:right w:val="single" w:color="auto" w:sz="4" w:space="0"/>
                  </w:tcBorders>
                  <w:noWrap w:val="0"/>
                  <w:vAlign w:val="center"/>
                </w:tcPr>
                <w:p>
                  <w:pPr>
                    <w:pStyle w:val="63"/>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项目位于</w:t>
                  </w:r>
                  <w:r>
                    <w:rPr>
                      <w:rFonts w:hint="default" w:ascii="Times New Roman" w:hAnsi="Times New Roman" w:eastAsia="宋体" w:cs="Times New Roman"/>
                      <w:color w:val="auto"/>
                      <w:kern w:val="0"/>
                      <w:sz w:val="21"/>
                      <w:szCs w:val="21"/>
                      <w:highlight w:val="none"/>
                      <w:u w:val="none"/>
                      <w:lang w:eastAsia="zh-CN"/>
                    </w:rPr>
                    <w:t>云南省昆明市宜良县北古城镇凤莱村委会下前所村</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项目在原址改扩建，不新增用地，根据云南省国土空间规划“一张图”信息系统的查询，项目占地范围内不涉及永久基本农田、生态保护红线，项目在城镇开发边界范围内</w:t>
                  </w:r>
                  <w:r>
                    <w:rPr>
                      <w:rFonts w:hint="default" w:ascii="Times New Roman" w:hAnsi="Times New Roman" w:eastAsia="宋体" w:cs="Times New Roman"/>
                      <w:color w:val="auto"/>
                      <w:sz w:val="21"/>
                      <w:szCs w:val="21"/>
                      <w:highlight w:val="none"/>
                    </w:rPr>
                    <w:t>。</w:t>
                  </w:r>
                </w:p>
              </w:tc>
              <w:tc>
                <w:tcPr>
                  <w:tcW w:w="607" w:type="pct"/>
                  <w:tcBorders>
                    <w:top w:val="single" w:color="auto" w:sz="4" w:space="0"/>
                    <w:left w:val="single" w:color="auto" w:sz="4" w:space="0"/>
                    <w:bottom w:val="single" w:color="auto" w:sz="4" w:space="0"/>
                    <w:right w:val="single" w:color="auto" w:sz="4" w:space="0"/>
                  </w:tcBorders>
                  <w:noWrap w:val="0"/>
                  <w:vAlign w:val="center"/>
                </w:tcPr>
                <w:p>
                  <w:pPr>
                    <w:pStyle w:val="63"/>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pct"/>
                  <w:vMerge w:val="restart"/>
                  <w:tcBorders>
                    <w:top w:val="single" w:color="auto" w:sz="4" w:space="0"/>
                    <w:left w:val="single" w:color="auto" w:sz="4" w:space="0"/>
                    <w:right w:val="single" w:color="auto" w:sz="4" w:space="0"/>
                  </w:tcBorders>
                  <w:noWrap w:val="0"/>
                  <w:vAlign w:val="center"/>
                </w:tcPr>
                <w:p>
                  <w:pPr>
                    <w:pStyle w:val="6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环境质量底线</w:t>
                  </w:r>
                </w:p>
              </w:tc>
              <w:tc>
                <w:tcPr>
                  <w:tcW w:w="1937" w:type="pct"/>
                  <w:tcBorders>
                    <w:top w:val="single" w:color="auto" w:sz="4" w:space="0"/>
                    <w:left w:val="single" w:color="auto" w:sz="4" w:space="0"/>
                    <w:bottom w:val="single" w:color="auto" w:sz="4" w:space="0"/>
                    <w:right w:val="single" w:color="auto" w:sz="4" w:space="0"/>
                  </w:tcBorders>
                  <w:noWrap w:val="0"/>
                  <w:vAlign w:val="center"/>
                </w:tcPr>
                <w:p>
                  <w:pPr>
                    <w:pStyle w:val="63"/>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到2025年，地表水国考断面达到或优于Ⅲ类的比例81.5%，45个省控地表水断面水质优良（达到或优于Ⅲ类）比例达到80%，劣</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5 \* ROMAN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V</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类水体全面消除，县级以上22个集中式饮用水水源达到或优于Ⅲ类比例为100%</w:t>
                  </w:r>
                </w:p>
              </w:tc>
              <w:tc>
                <w:tcPr>
                  <w:tcW w:w="1670" w:type="pct"/>
                  <w:tcBorders>
                    <w:top w:val="single" w:color="auto" w:sz="4" w:space="0"/>
                    <w:left w:val="single" w:color="auto" w:sz="4" w:space="0"/>
                    <w:bottom w:val="single" w:color="auto" w:sz="4" w:space="0"/>
                    <w:right w:val="single" w:color="auto" w:sz="4" w:space="0"/>
                  </w:tcBorders>
                  <w:noWrap w:val="0"/>
                  <w:vAlign w:val="center"/>
                </w:tcPr>
                <w:p>
                  <w:pPr>
                    <w:pStyle w:val="63"/>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项目评价区涉及的地表水体为项目</w:t>
                  </w:r>
                  <w:r>
                    <w:rPr>
                      <w:rFonts w:hint="default" w:ascii="Times New Roman" w:hAnsi="Times New Roman" w:eastAsia="宋体" w:cs="Times New Roman"/>
                      <w:color w:val="auto"/>
                      <w:sz w:val="21"/>
                      <w:szCs w:val="21"/>
                      <w:highlight w:val="none"/>
                      <w:lang w:val="en-US" w:eastAsia="zh-CN"/>
                    </w:rPr>
                    <w:t>东北侧11</w:t>
                  </w:r>
                  <w:r>
                    <w:rPr>
                      <w:rFonts w:hint="default" w:ascii="Times New Roman" w:hAnsi="Times New Roman" w:eastAsia="宋体" w:cs="Times New Roman"/>
                      <w:color w:val="auto"/>
                      <w:sz w:val="21"/>
                      <w:szCs w:val="21"/>
                      <w:highlight w:val="none"/>
                    </w:rPr>
                    <w:t>00m处的</w:t>
                  </w:r>
                  <w:r>
                    <w:rPr>
                      <w:rFonts w:hint="default" w:ascii="Times New Roman" w:hAnsi="Times New Roman" w:eastAsia="宋体" w:cs="Times New Roman"/>
                      <w:color w:val="auto"/>
                      <w:sz w:val="21"/>
                      <w:szCs w:val="21"/>
                      <w:highlight w:val="none"/>
                      <w:lang w:val="en-US" w:eastAsia="zh-CN"/>
                    </w:rPr>
                    <w:t>南盘江</w:t>
                  </w:r>
                  <w:r>
                    <w:rPr>
                      <w:rFonts w:hint="default" w:ascii="Times New Roman" w:hAnsi="Times New Roman" w:eastAsia="宋体" w:cs="Times New Roman"/>
                      <w:color w:val="auto"/>
                      <w:sz w:val="21"/>
                      <w:szCs w:val="21"/>
                      <w:highlight w:val="none"/>
                    </w:rPr>
                    <w:t>，根据《昆明市和滇中产业新区水功能区划》（2011-2030版），属于南盘江宜良工业、农业、渔业用水区，2020规划水平年水质保护目标为Ⅳ类，2030规划水平年水质保护目标为Ⅲ类。执行《地表水环境质量标准》（GB3838-2002）Ⅲ类水质标准。</w:t>
                  </w:r>
                  <w:r>
                    <w:rPr>
                      <w:rFonts w:hint="default" w:ascii="Times New Roman" w:hAnsi="Times New Roman" w:eastAsia="宋体" w:cs="Times New Roman"/>
                      <w:color w:val="auto"/>
                      <w:sz w:val="21"/>
                      <w:szCs w:val="21"/>
                      <w:highlight w:val="none"/>
                      <w:lang w:val="en-US" w:eastAsia="zh-CN"/>
                    </w:rPr>
                    <w:t>南盘江</w:t>
                  </w:r>
                  <w:r>
                    <w:rPr>
                      <w:rFonts w:hint="default" w:ascii="Times New Roman" w:hAnsi="Times New Roman" w:eastAsia="宋体" w:cs="Times New Roman"/>
                      <w:color w:val="auto"/>
                      <w:sz w:val="21"/>
                      <w:szCs w:val="21"/>
                      <w:highlight w:val="none"/>
                    </w:rPr>
                    <w:t>水质能满足《地表水环境质量标准》（GB3838-2002）Ⅲ</w:t>
                  </w:r>
                  <w:r>
                    <w:rPr>
                      <w:rFonts w:hint="eastAsia"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类水质量标准。项目</w:t>
                  </w:r>
                  <w:r>
                    <w:rPr>
                      <w:rFonts w:hint="default" w:ascii="Times New Roman" w:hAnsi="Times New Roman" w:eastAsia="宋体" w:cs="Times New Roman"/>
                      <w:color w:val="auto"/>
                      <w:sz w:val="21"/>
                      <w:szCs w:val="21"/>
                      <w:highlight w:val="none"/>
                      <w:lang w:val="en-US" w:eastAsia="zh-CN"/>
                    </w:rPr>
                    <w:t>在原址改扩建，不新增用地，项目生活污水为依托，产生的生活污水通过化粪池处理后进入收集池回用于生产；</w:t>
                  </w:r>
                  <w:r>
                    <w:rPr>
                      <w:rFonts w:hint="default" w:ascii="Times New Roman" w:hAnsi="Times New Roman" w:eastAsia="宋体" w:cs="Times New Roman"/>
                      <w:color w:val="auto"/>
                      <w:kern w:val="2"/>
                      <w:sz w:val="21"/>
                      <w:szCs w:val="21"/>
                      <w:highlight w:val="none"/>
                      <w:lang w:val="en-US" w:eastAsia="zh-CN" w:bidi="ar-SA"/>
                    </w:rPr>
                    <w:t>污泥渗滤液在污泥堆放池中通过管道收集后回用于制砖过程；</w:t>
                  </w:r>
                  <w:r>
                    <w:rPr>
                      <w:rFonts w:hint="default" w:ascii="Times New Roman" w:hAnsi="Times New Roman" w:eastAsia="宋体" w:cs="Times New Roman"/>
                      <w:color w:val="auto"/>
                      <w:sz w:val="21"/>
                      <w:szCs w:val="21"/>
                      <w:highlight w:val="none"/>
                      <w:lang w:val="en-US" w:eastAsia="zh-CN"/>
                    </w:rPr>
                    <w:t>吸收液</w:t>
                  </w:r>
                  <w:r>
                    <w:rPr>
                      <w:rFonts w:hint="default" w:ascii="Times New Roman" w:hAnsi="Times New Roman" w:eastAsia="宋体" w:cs="Times New Roman"/>
                      <w:color w:val="auto"/>
                      <w:sz w:val="21"/>
                      <w:szCs w:val="21"/>
                      <w:highlight w:val="none"/>
                    </w:rPr>
                    <w:t>循环使用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bidi="ar-SA"/>
                    </w:rPr>
                    <w:t>项目</w:t>
                  </w:r>
                  <w:r>
                    <w:rPr>
                      <w:rFonts w:hint="default" w:ascii="Times New Roman" w:hAnsi="Times New Roman" w:eastAsia="宋体" w:cs="Times New Roman"/>
                      <w:color w:val="auto"/>
                      <w:sz w:val="21"/>
                      <w:szCs w:val="21"/>
                      <w:highlight w:val="none"/>
                    </w:rPr>
                    <w:t>废水不直接外排；对周边地表水环境影响不大，符合环境质量底线要求。</w:t>
                  </w:r>
                </w:p>
              </w:tc>
              <w:tc>
                <w:tcPr>
                  <w:tcW w:w="607" w:type="pct"/>
                  <w:tcBorders>
                    <w:top w:val="single" w:color="auto" w:sz="4" w:space="0"/>
                    <w:left w:val="single" w:color="auto" w:sz="4" w:space="0"/>
                    <w:bottom w:val="single" w:color="auto" w:sz="4" w:space="0"/>
                    <w:right w:val="single" w:color="auto" w:sz="4" w:space="0"/>
                  </w:tcBorders>
                  <w:noWrap w:val="0"/>
                  <w:vAlign w:val="center"/>
                </w:tcPr>
                <w:p>
                  <w:pPr>
                    <w:pStyle w:val="6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pct"/>
                  <w:vMerge w:val="continue"/>
                  <w:tcBorders>
                    <w:left w:val="single" w:color="auto" w:sz="4" w:space="0"/>
                    <w:right w:val="single" w:color="auto" w:sz="4" w:space="0"/>
                  </w:tcBorders>
                  <w:noWrap w:val="0"/>
                  <w:vAlign w:val="center"/>
                </w:tcPr>
                <w:p>
                  <w:pPr>
                    <w:pStyle w:val="6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1937" w:type="pct"/>
                  <w:tcBorders>
                    <w:top w:val="single" w:color="auto" w:sz="4" w:space="0"/>
                    <w:left w:val="single" w:color="auto" w:sz="4" w:space="0"/>
                    <w:bottom w:val="single" w:color="auto" w:sz="4" w:space="0"/>
                    <w:right w:val="single" w:color="auto" w:sz="4" w:space="0"/>
                  </w:tcBorders>
                  <w:noWrap w:val="0"/>
                  <w:vAlign w:val="center"/>
                </w:tcPr>
                <w:p>
                  <w:pPr>
                    <w:pStyle w:val="63"/>
                    <w:keepNext w:val="0"/>
                    <w:keepLines w:val="0"/>
                    <w:widowControl/>
                    <w:suppressLineNumbers w:val="0"/>
                    <w:spacing w:before="0" w:beforeAutospacing="0" w:after="0" w:afterAutospacing="0" w:line="240" w:lineRule="auto"/>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到2025年，空气质量优良天数比率达99.1%，细颗粒物（PM</w:t>
                  </w:r>
                  <w:r>
                    <w:rPr>
                      <w:rFonts w:hint="default" w:ascii="Times New Roman" w:hAnsi="Times New Roman" w:eastAsia="宋体" w:cs="Times New Roman"/>
                      <w:color w:val="auto"/>
                      <w:sz w:val="21"/>
                      <w:szCs w:val="21"/>
                      <w:highlight w:val="none"/>
                      <w:vertAlign w:val="subscript"/>
                    </w:rPr>
                    <w:t>2.5</w:t>
                  </w:r>
                  <w:r>
                    <w:rPr>
                      <w:rFonts w:hint="default" w:ascii="Times New Roman" w:hAnsi="Times New Roman" w:eastAsia="宋体" w:cs="Times New Roman"/>
                      <w:color w:val="auto"/>
                      <w:sz w:val="21"/>
                      <w:szCs w:val="21"/>
                      <w:highlight w:val="none"/>
                    </w:rPr>
                    <w:t>）浓度不高于24微克/立方米，重污染天数为0。</w:t>
                  </w:r>
                </w:p>
              </w:tc>
              <w:tc>
                <w:tcPr>
                  <w:tcW w:w="1670" w:type="pct"/>
                  <w:tcBorders>
                    <w:top w:val="single" w:color="auto" w:sz="4" w:space="0"/>
                    <w:left w:val="single" w:color="auto" w:sz="4" w:space="0"/>
                    <w:bottom w:val="single" w:color="auto" w:sz="4" w:space="0"/>
                    <w:right w:val="single" w:color="auto" w:sz="4" w:space="0"/>
                  </w:tcBorders>
                  <w:noWrap w:val="0"/>
                  <w:vAlign w:val="center"/>
                </w:tcPr>
                <w:p>
                  <w:pPr>
                    <w:pStyle w:val="63"/>
                    <w:keepNext w:val="0"/>
                    <w:keepLines w:val="0"/>
                    <w:widowControl/>
                    <w:suppressLineNumbers w:val="0"/>
                    <w:spacing w:before="0" w:beforeAutospacing="0" w:after="0" w:afterAutospacing="0" w:line="240" w:lineRule="auto"/>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据昆明市生态环境局2025年6月发布的《2024年度昆明市生态环境状况公报》，</w:t>
                  </w:r>
                  <w:r>
                    <w:rPr>
                      <w:rFonts w:hint="default" w:ascii="Times New Roman" w:hAnsi="Times New Roman" w:eastAsia="宋体" w:cs="Times New Roman"/>
                      <w:bCs/>
                      <w:color w:val="auto"/>
                      <w:sz w:val="21"/>
                      <w:szCs w:val="21"/>
                      <w:highlight w:val="none"/>
                    </w:rPr>
                    <w:t>2024年昆明市主城区外所辖的8个县(市)、区环境空气质量总体保持良好，各项污染物平均浓度均达到《环境空气质量标准》(GB3095-2012)二级标准</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空气优良天数比例范围为97.50%~100%，与2023年相比，石林县、富民县、宜良县、东川区、寻甸县、嵩明县、禄劝县空气优良天数比例均有提高</w:t>
                  </w:r>
                  <w:r>
                    <w:rPr>
                      <w:rFonts w:hint="default" w:ascii="Times New Roman" w:hAnsi="Times New Roman" w:eastAsia="宋体" w:cs="Times New Roman"/>
                      <w:color w:val="auto"/>
                      <w:sz w:val="21"/>
                      <w:szCs w:val="21"/>
                      <w:highlight w:val="none"/>
                    </w:rPr>
                    <w:t>。项目隧道焙烧窑的焙烧烟气经一套双碱法脱硫除尘装置处理后排放。破碎、筛分粉尘经集气罩+布袋除尘器处理后排放。油烟废气采用油烟净化设施处理后排放。项目对周边环境空气影响不大，符合环境质量底线要求。</w:t>
                  </w:r>
                </w:p>
              </w:tc>
              <w:tc>
                <w:tcPr>
                  <w:tcW w:w="607" w:type="pct"/>
                  <w:tcBorders>
                    <w:top w:val="single" w:color="auto" w:sz="4" w:space="0"/>
                    <w:left w:val="single" w:color="auto" w:sz="4" w:space="0"/>
                    <w:bottom w:val="single" w:color="auto" w:sz="4" w:space="0"/>
                    <w:right w:val="single" w:color="auto" w:sz="4" w:space="0"/>
                  </w:tcBorders>
                  <w:noWrap w:val="0"/>
                  <w:vAlign w:val="center"/>
                </w:tcPr>
                <w:p>
                  <w:pPr>
                    <w:pStyle w:val="63"/>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pct"/>
                  <w:vMerge w:val="continue"/>
                  <w:tcBorders>
                    <w:left w:val="single" w:color="auto" w:sz="4" w:space="0"/>
                    <w:bottom w:val="single" w:color="auto" w:sz="4" w:space="0"/>
                    <w:right w:val="single" w:color="auto" w:sz="4" w:space="0"/>
                  </w:tcBorders>
                  <w:noWrap w:val="0"/>
                  <w:vAlign w:val="center"/>
                </w:tcPr>
                <w:p>
                  <w:pPr>
                    <w:pStyle w:val="6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1937" w:type="pct"/>
                  <w:tcBorders>
                    <w:top w:val="single" w:color="auto" w:sz="4" w:space="0"/>
                    <w:left w:val="single" w:color="auto" w:sz="4" w:space="0"/>
                    <w:bottom w:val="single" w:color="auto" w:sz="4" w:space="0"/>
                    <w:right w:val="single" w:color="auto" w:sz="4" w:space="0"/>
                  </w:tcBorders>
                  <w:noWrap w:val="0"/>
                  <w:vAlign w:val="center"/>
                </w:tcPr>
                <w:p>
                  <w:pPr>
                    <w:pStyle w:val="63"/>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到2025年，全市土壤环境质量总体保持稳定，局部稳中向好，受污染耕地安全利用率不低于90%，重点建设用地安全利用得到有效保障。</w:t>
                  </w:r>
                </w:p>
              </w:tc>
              <w:tc>
                <w:tcPr>
                  <w:tcW w:w="1670" w:type="pct"/>
                  <w:tcBorders>
                    <w:top w:val="single" w:color="auto" w:sz="4" w:space="0"/>
                    <w:left w:val="single" w:color="auto" w:sz="4" w:space="0"/>
                    <w:bottom w:val="single" w:color="auto" w:sz="4" w:space="0"/>
                    <w:right w:val="single" w:color="auto" w:sz="4" w:space="0"/>
                  </w:tcBorders>
                  <w:noWrap w:val="0"/>
                  <w:vAlign w:val="center"/>
                </w:tcPr>
                <w:p>
                  <w:pPr>
                    <w:pStyle w:val="63"/>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项目化粪池、</w:t>
                  </w:r>
                  <w:r>
                    <w:rPr>
                      <w:rFonts w:hint="default" w:ascii="Times New Roman" w:hAnsi="Times New Roman" w:eastAsia="宋体" w:cs="Times New Roman"/>
                      <w:color w:val="auto"/>
                      <w:sz w:val="21"/>
                      <w:szCs w:val="21"/>
                      <w:highlight w:val="none"/>
                      <w:lang w:val="en-US" w:eastAsia="zh-CN"/>
                    </w:rPr>
                    <w:t>集水池、循环池、污泥堆放池</w:t>
                  </w:r>
                  <w:r>
                    <w:rPr>
                      <w:rFonts w:hint="default" w:ascii="Times New Roman" w:hAnsi="Times New Roman" w:eastAsia="宋体" w:cs="Times New Roman"/>
                      <w:color w:val="auto"/>
                      <w:sz w:val="21"/>
                      <w:szCs w:val="21"/>
                      <w:highlight w:val="none"/>
                    </w:rPr>
                    <w:t>区域</w:t>
                  </w:r>
                  <w:r>
                    <w:rPr>
                      <w:rFonts w:hint="default" w:ascii="Times New Roman" w:hAnsi="Times New Roman" w:eastAsia="宋体" w:cs="Times New Roman"/>
                      <w:color w:val="auto"/>
                      <w:sz w:val="21"/>
                      <w:szCs w:val="21"/>
                      <w:highlight w:val="none"/>
                      <w:lang w:val="en-US" w:eastAsia="zh-CN"/>
                    </w:rPr>
                    <w:t>均</w:t>
                  </w:r>
                  <w:r>
                    <w:rPr>
                      <w:rFonts w:hint="default" w:ascii="Times New Roman" w:hAnsi="Times New Roman" w:eastAsia="宋体" w:cs="Times New Roman"/>
                      <w:color w:val="auto"/>
                      <w:sz w:val="21"/>
                      <w:szCs w:val="21"/>
                      <w:highlight w:val="none"/>
                    </w:rPr>
                    <w:t>采取防渗措施，不会造成土壤直接污染，不会突破土壤环境质量底线。</w:t>
                  </w:r>
                </w:p>
              </w:tc>
              <w:tc>
                <w:tcPr>
                  <w:tcW w:w="607" w:type="pct"/>
                  <w:tcBorders>
                    <w:top w:val="single" w:color="auto" w:sz="4" w:space="0"/>
                    <w:left w:val="single" w:color="auto" w:sz="4" w:space="0"/>
                    <w:bottom w:val="single" w:color="auto" w:sz="4" w:space="0"/>
                    <w:right w:val="single" w:color="auto" w:sz="4" w:space="0"/>
                  </w:tcBorders>
                  <w:noWrap w:val="0"/>
                  <w:vAlign w:val="center"/>
                </w:tcPr>
                <w:p>
                  <w:pPr>
                    <w:pStyle w:val="6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pct"/>
                  <w:tcBorders>
                    <w:top w:val="single" w:color="auto" w:sz="4" w:space="0"/>
                    <w:left w:val="single" w:color="auto" w:sz="4" w:space="0"/>
                    <w:bottom w:val="single" w:color="auto" w:sz="4" w:space="0"/>
                    <w:right w:val="single" w:color="auto" w:sz="4" w:space="0"/>
                  </w:tcBorders>
                  <w:noWrap w:val="0"/>
                  <w:vAlign w:val="center"/>
                </w:tcPr>
                <w:p>
                  <w:pPr>
                    <w:pStyle w:val="6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资源利用上线</w:t>
                  </w:r>
                </w:p>
              </w:tc>
              <w:tc>
                <w:tcPr>
                  <w:tcW w:w="1937" w:type="pct"/>
                  <w:tcBorders>
                    <w:top w:val="single" w:color="auto" w:sz="4" w:space="0"/>
                    <w:left w:val="single" w:color="auto" w:sz="4" w:space="0"/>
                    <w:bottom w:val="single" w:color="auto" w:sz="4" w:space="0"/>
                    <w:right w:val="single" w:color="auto" w:sz="4" w:space="0"/>
                  </w:tcBorders>
                  <w:noWrap w:val="0"/>
                  <w:vAlign w:val="center"/>
                </w:tcPr>
                <w:p>
                  <w:pPr>
                    <w:pStyle w:val="63"/>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到2025年，按照国家、省、市有关要求和规划，按时完成全市用水总量、用水效率、限制纳污“三条红线”水资源上限控制指标；按时完成耕地保有量、基本农田保护面积、建设用地总规模等土地资源利用上限控制指标；按时完成单位GDP能耗下降率、能源消费总量等能源控制指标；矿产资源开采与保护达到预期目标；河湖岸线资源管控达到相关要求。</w:t>
                  </w:r>
                </w:p>
              </w:tc>
              <w:tc>
                <w:tcPr>
                  <w:tcW w:w="1670" w:type="pct"/>
                  <w:tcBorders>
                    <w:top w:val="single" w:color="auto" w:sz="4" w:space="0"/>
                    <w:left w:val="single" w:color="auto" w:sz="4" w:space="0"/>
                    <w:bottom w:val="single" w:color="auto" w:sz="4" w:space="0"/>
                    <w:right w:val="single" w:color="auto" w:sz="4" w:space="0"/>
                  </w:tcBorders>
                  <w:noWrap w:val="0"/>
                  <w:vAlign w:val="center"/>
                </w:tcPr>
                <w:p>
                  <w:pPr>
                    <w:pStyle w:val="63"/>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本项目消耗电能</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煤</w:t>
                  </w:r>
                  <w:r>
                    <w:rPr>
                      <w:rFonts w:hint="default" w:ascii="Times New Roman" w:hAnsi="Times New Roman" w:eastAsia="宋体" w:cs="Times New Roman"/>
                      <w:color w:val="auto"/>
                      <w:sz w:val="21"/>
                      <w:szCs w:val="21"/>
                      <w:highlight w:val="none"/>
                    </w:rPr>
                    <w:t>，项目运营期资源消耗量相对区域利用总量较少，未达到区域资源利用上限；不涉及基本农田占用，土地资源消耗符合要求。能源依托当地电网、供应商供应。</w:t>
                  </w:r>
                </w:p>
              </w:tc>
              <w:tc>
                <w:tcPr>
                  <w:tcW w:w="607" w:type="pct"/>
                  <w:tcBorders>
                    <w:top w:val="single" w:color="auto" w:sz="4" w:space="0"/>
                    <w:left w:val="single" w:color="auto" w:sz="4" w:space="0"/>
                    <w:bottom w:val="single" w:color="auto" w:sz="4" w:space="0"/>
                    <w:right w:val="single" w:color="auto" w:sz="4" w:space="0"/>
                  </w:tcBorders>
                  <w:noWrap w:val="0"/>
                  <w:vAlign w:val="center"/>
                </w:tcPr>
                <w:p>
                  <w:pPr>
                    <w:pStyle w:val="6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项目与</w:t>
            </w:r>
            <w:r>
              <w:rPr>
                <w:rFonts w:hint="default" w:ascii="Times New Roman" w:hAnsi="Times New Roman" w:eastAsia="宋体" w:cs="Times New Roman"/>
                <w:color w:val="auto"/>
                <w:sz w:val="24"/>
                <w:szCs w:val="24"/>
                <w:highlight w:val="none"/>
                <w:lang w:val="en-US" w:eastAsia="zh-CN"/>
              </w:rPr>
              <w:t>云南省国土空间规划“一张图”查询</w:t>
            </w:r>
            <w:r>
              <w:rPr>
                <w:rFonts w:hint="default" w:ascii="Times New Roman" w:hAnsi="Times New Roman" w:eastAsia="宋体" w:cs="Times New Roman"/>
                <w:color w:val="auto"/>
                <w:sz w:val="24"/>
                <w:szCs w:val="24"/>
                <w:highlight w:val="none"/>
              </w:rPr>
              <w:t>如下：</w:t>
            </w: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drawing>
                <wp:inline distT="0" distB="0" distL="114300" distR="114300">
                  <wp:extent cx="3967480" cy="2068830"/>
                  <wp:effectExtent l="0" t="0" r="13970" b="7620"/>
                  <wp:docPr id="1" name="图片 24" descr="2261329d597370e2d1d13bf147254d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descr="2261329d597370e2d1d13bf147254da6"/>
                          <pic:cNvPicPr>
                            <a:picLocks noChangeAspect="1"/>
                          </pic:cNvPicPr>
                        </pic:nvPicPr>
                        <pic:blipFill>
                          <a:blip r:embed="rId6"/>
                          <a:stretch>
                            <a:fillRect/>
                          </a:stretch>
                        </pic:blipFill>
                        <pic:spPr>
                          <a:xfrm>
                            <a:off x="0" y="0"/>
                            <a:ext cx="3967480" cy="2068830"/>
                          </a:xfrm>
                          <a:prstGeom prst="rect">
                            <a:avLst/>
                          </a:prstGeom>
                          <a:noFill/>
                          <a:ln>
                            <a:noFill/>
                          </a:ln>
                        </pic:spPr>
                      </pic:pic>
                    </a:graphicData>
                  </a:graphic>
                </wp:inline>
              </w:drawing>
            </w:r>
          </w:p>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i w:val="0"/>
                <w:iCs w:val="0"/>
                <w:color w:val="auto"/>
                <w:szCs w:val="21"/>
                <w:highlight w:val="none"/>
              </w:rPr>
            </w:pPr>
            <w:r>
              <w:rPr>
                <w:rFonts w:hint="default" w:ascii="Times New Roman" w:hAnsi="Times New Roman" w:eastAsia="宋体" w:cs="Times New Roman"/>
                <w:b/>
                <w:bCs/>
                <w:i w:val="0"/>
                <w:iCs w:val="0"/>
                <w:color w:val="auto"/>
                <w:szCs w:val="21"/>
                <w:highlight w:val="none"/>
              </w:rPr>
              <w:t>图1-</w:t>
            </w:r>
            <w:r>
              <w:rPr>
                <w:rFonts w:hint="default" w:ascii="Times New Roman" w:hAnsi="Times New Roman" w:eastAsia="宋体" w:cs="Times New Roman"/>
                <w:b/>
                <w:bCs/>
                <w:i w:val="0"/>
                <w:iCs w:val="0"/>
                <w:color w:val="auto"/>
                <w:szCs w:val="21"/>
                <w:highlight w:val="none"/>
                <w:lang w:val="en-US" w:eastAsia="zh-CN"/>
              </w:rPr>
              <w:t>1</w:t>
            </w:r>
            <w:r>
              <w:rPr>
                <w:rFonts w:hint="default" w:ascii="Times New Roman" w:hAnsi="Times New Roman" w:eastAsia="宋体" w:cs="Times New Roman"/>
                <w:b/>
                <w:bCs/>
                <w:i w:val="0"/>
                <w:iCs w:val="0"/>
                <w:color w:val="auto"/>
                <w:szCs w:val="21"/>
                <w:highlight w:val="none"/>
              </w:rPr>
              <w:t xml:space="preserve">  项目</w:t>
            </w:r>
            <w:r>
              <w:rPr>
                <w:rFonts w:hint="default" w:ascii="Times New Roman" w:hAnsi="Times New Roman" w:eastAsia="宋体" w:cs="Times New Roman"/>
                <w:b/>
                <w:bCs/>
                <w:i w:val="0"/>
                <w:iCs w:val="0"/>
                <w:color w:val="auto"/>
                <w:szCs w:val="21"/>
                <w:highlight w:val="none"/>
                <w:lang w:val="en-US" w:eastAsia="zh-CN"/>
              </w:rPr>
              <w:t>与国土空间规划</w:t>
            </w:r>
            <w:r>
              <w:rPr>
                <w:rFonts w:hint="default" w:ascii="Times New Roman" w:hAnsi="Times New Roman" w:eastAsia="宋体" w:cs="Times New Roman"/>
                <w:b/>
                <w:bCs/>
                <w:i w:val="0"/>
                <w:iCs w:val="0"/>
                <w:color w:val="auto"/>
                <w:szCs w:val="21"/>
                <w:highlight w:val="none"/>
              </w:rPr>
              <w:t>查询图</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因此，本项目符合生态保护红线和一般生态空间的相关要求；符合环境质量底线的相关要求；符合资源利用上线的相关要求。</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同时根据云南省生态环境分区管控公共服务查询平台的查询，项目属于云南宜良产业园区重点管控单元</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该单元管控要求如下：</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表1-</w:t>
            </w:r>
            <w:r>
              <w:rPr>
                <w:rFonts w:hint="default" w:ascii="Times New Roman" w:hAnsi="Times New Roman" w:eastAsia="宋体" w:cs="Times New Roman"/>
                <w:b/>
                <w:color w:val="auto"/>
                <w:szCs w:val="21"/>
                <w:highlight w:val="none"/>
                <w:lang w:val="en-US" w:eastAsia="zh-CN"/>
              </w:rPr>
              <w:t>3</w:t>
            </w:r>
            <w:r>
              <w:rPr>
                <w:rFonts w:hint="default" w:ascii="Times New Roman" w:hAnsi="Times New Roman" w:eastAsia="宋体" w:cs="Times New Roman"/>
                <w:b/>
                <w:color w:val="auto"/>
                <w:szCs w:val="21"/>
                <w:highlight w:val="none"/>
              </w:rPr>
              <w:t xml:space="preserve">  与环境准入负面清单的符合性分析</w:t>
            </w:r>
          </w:p>
          <w:tbl>
            <w:tblPr>
              <w:tblStyle w:val="2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51"/>
              <w:gridCol w:w="2259"/>
              <w:gridCol w:w="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环境准入负面清单</w:t>
                  </w:r>
                </w:p>
              </w:tc>
              <w:tc>
                <w:tcPr>
                  <w:tcW w:w="180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项目情况</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空间布局约束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267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1.禁止不符合产业政策、不符合片区产业定位企业入驻。</w:t>
                  </w:r>
                </w:p>
              </w:tc>
              <w:tc>
                <w:tcPr>
                  <w:tcW w:w="180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项目位于</w:t>
                  </w:r>
                  <w:r>
                    <w:rPr>
                      <w:rFonts w:hint="default" w:ascii="Times New Roman" w:hAnsi="Times New Roman" w:eastAsia="宋体" w:cs="Times New Roman"/>
                      <w:color w:val="auto"/>
                      <w:sz w:val="21"/>
                      <w:szCs w:val="21"/>
                      <w:highlight w:val="none"/>
                      <w:lang w:eastAsia="zh-CN"/>
                    </w:rPr>
                    <w:t>云南省昆明市宜良县北古城镇凤莱村委会下前所村</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主要是</w:t>
                  </w:r>
                  <w:r>
                    <w:rPr>
                      <w:rFonts w:hint="default" w:ascii="Times New Roman" w:hAnsi="Times New Roman" w:eastAsia="宋体" w:cs="Times New Roman"/>
                      <w:color w:val="auto"/>
                      <w:sz w:val="21"/>
                      <w:szCs w:val="21"/>
                      <w:highlight w:val="none"/>
                    </w:rPr>
                    <w:t>页岩砖</w:t>
                  </w:r>
                  <w:r>
                    <w:rPr>
                      <w:rFonts w:hint="default" w:ascii="Times New Roman" w:hAnsi="Times New Roman" w:eastAsia="宋体" w:cs="Times New Roman"/>
                      <w:color w:val="auto"/>
                      <w:sz w:val="21"/>
                      <w:szCs w:val="21"/>
                      <w:highlight w:val="none"/>
                      <w:lang w:val="en-US" w:eastAsia="zh-CN"/>
                    </w:rPr>
                    <w:t>烧制，项目不在产业园区内，项目在原址改扩建，不新增占地。</w:t>
                  </w:r>
                  <w:r>
                    <w:rPr>
                      <w:rFonts w:hint="default" w:ascii="Times New Roman" w:hAnsi="Times New Roman" w:eastAsia="宋体" w:cs="Times New Roman"/>
                      <w:color w:val="auto"/>
                      <w:sz w:val="21"/>
                      <w:szCs w:val="21"/>
                      <w:highlight w:val="none"/>
                    </w:rPr>
                    <w:t>本项目不属于《产业结构调整指导目录（2024年本）》中的限制类、淘汰类项目，为</w:t>
                  </w:r>
                  <w:r>
                    <w:rPr>
                      <w:rFonts w:hint="default" w:ascii="Times New Roman" w:hAnsi="Times New Roman" w:eastAsia="宋体" w:cs="Times New Roman"/>
                      <w:color w:val="auto"/>
                      <w:sz w:val="21"/>
                      <w:szCs w:val="21"/>
                      <w:highlight w:val="none"/>
                      <w:lang w:val="en-US" w:eastAsia="zh-CN"/>
                    </w:rPr>
                    <w:t>鼓励</w:t>
                  </w:r>
                  <w:r>
                    <w:rPr>
                      <w:rFonts w:hint="default" w:ascii="Times New Roman" w:hAnsi="Times New Roman" w:eastAsia="宋体" w:cs="Times New Roman"/>
                      <w:color w:val="auto"/>
                      <w:sz w:val="21"/>
                      <w:szCs w:val="21"/>
                      <w:highlight w:val="none"/>
                    </w:rPr>
                    <w:t>类项目，项目建设符合国家产业政策。</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不冲突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267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2.北古城组团禁止发展农林、房地产（规划居住区除外）、食品、医药等易受冶金、化工、建材行业污染影响的行业；农产品加工园区禁止发展易对食品加工生产造成污染影响的冶金、化工、建材等行业。</w:t>
                  </w:r>
                </w:p>
              </w:tc>
              <w:tc>
                <w:tcPr>
                  <w:tcW w:w="180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项目位于</w:t>
                  </w:r>
                  <w:r>
                    <w:rPr>
                      <w:rFonts w:hint="default" w:ascii="Times New Roman" w:hAnsi="Times New Roman" w:eastAsia="宋体" w:cs="Times New Roman"/>
                      <w:color w:val="auto"/>
                      <w:sz w:val="21"/>
                      <w:szCs w:val="21"/>
                      <w:highlight w:val="none"/>
                      <w:lang w:eastAsia="zh-CN"/>
                    </w:rPr>
                    <w:t>云南省昆明市宜良县北古城镇凤莱村委会下前所村</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主要是</w:t>
                  </w:r>
                  <w:r>
                    <w:rPr>
                      <w:rFonts w:hint="default" w:ascii="Times New Roman" w:hAnsi="Times New Roman" w:eastAsia="宋体" w:cs="Times New Roman"/>
                      <w:color w:val="auto"/>
                      <w:sz w:val="21"/>
                      <w:szCs w:val="21"/>
                      <w:highlight w:val="none"/>
                    </w:rPr>
                    <w:t>页岩砖</w:t>
                  </w:r>
                  <w:r>
                    <w:rPr>
                      <w:rFonts w:hint="default" w:ascii="Times New Roman" w:hAnsi="Times New Roman" w:eastAsia="宋体" w:cs="Times New Roman"/>
                      <w:color w:val="auto"/>
                      <w:sz w:val="21"/>
                      <w:szCs w:val="21"/>
                      <w:highlight w:val="none"/>
                      <w:lang w:val="en-US" w:eastAsia="zh-CN"/>
                    </w:rPr>
                    <w:t>烧制，项目不在产业园区内，项目在原址改扩建，不新增占地。</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不冲突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267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3.限制机电产品制造等高耗水和水污染严重企业。</w:t>
                  </w:r>
                </w:p>
              </w:tc>
              <w:tc>
                <w:tcPr>
                  <w:tcW w:w="180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项目不属于</w:t>
                  </w:r>
                  <w:r>
                    <w:rPr>
                      <w:rFonts w:hint="default" w:ascii="Times New Roman" w:hAnsi="Times New Roman" w:eastAsia="宋体" w:cs="Times New Roman"/>
                      <w:color w:val="auto"/>
                      <w:sz w:val="21"/>
                      <w:szCs w:val="21"/>
                      <w:highlight w:val="none"/>
                    </w:rPr>
                    <w:t>机电产品制造等高耗水和水污染严重</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企业</w:t>
                  </w:r>
                  <w:r>
                    <w:rPr>
                      <w:rFonts w:hint="default" w:ascii="Times New Roman" w:hAnsi="Times New Roman" w:eastAsia="宋体" w:cs="Times New Roman"/>
                      <w:color w:val="auto"/>
                      <w:sz w:val="21"/>
                      <w:szCs w:val="21"/>
                      <w:highlight w:val="none"/>
                      <w:lang w:eastAsia="zh-CN"/>
                    </w:rPr>
                    <w:t>。</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符合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污染物排放管控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7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南盘江未达标前，规划区涉及钢铁、制浆造纸行业新增主要污染物排放量的重点行业建设项目外排废水实行超标污染物倍量削减替代，未超标污染物等量削减替代；其他非重点行业建设项目外排废水均不得直接排入地表水体，应经过园区污水处理厂处理达标后，外排进入地表水体。</w:t>
                  </w:r>
                </w:p>
              </w:tc>
              <w:tc>
                <w:tcPr>
                  <w:tcW w:w="180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项目不属于</w:t>
                  </w:r>
                  <w:r>
                    <w:rPr>
                      <w:rFonts w:hint="default" w:ascii="Times New Roman" w:hAnsi="Times New Roman" w:eastAsia="宋体" w:cs="Times New Roman"/>
                      <w:color w:val="auto"/>
                      <w:sz w:val="21"/>
                      <w:szCs w:val="21"/>
                      <w:highlight w:val="none"/>
                    </w:rPr>
                    <w:t>钢铁、制浆造纸行业</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且项目生产废水回用，生活污水通过化粪池处理后进入收集池回用于生产；</w:t>
                  </w:r>
                  <w:r>
                    <w:rPr>
                      <w:rFonts w:hint="default" w:ascii="Times New Roman" w:hAnsi="Times New Roman" w:eastAsia="宋体" w:cs="Times New Roman"/>
                      <w:color w:val="auto"/>
                      <w:kern w:val="2"/>
                      <w:sz w:val="21"/>
                      <w:szCs w:val="21"/>
                      <w:highlight w:val="none"/>
                      <w:lang w:val="en-US" w:eastAsia="zh-CN" w:bidi="ar-SA"/>
                    </w:rPr>
                    <w:t>污泥渗滤液在污泥堆放池中通过管道收集后回用于制砖过程；</w:t>
                  </w:r>
                  <w:r>
                    <w:rPr>
                      <w:rFonts w:hint="default" w:ascii="Times New Roman" w:hAnsi="Times New Roman" w:eastAsia="宋体" w:cs="Times New Roman"/>
                      <w:color w:val="auto"/>
                      <w:sz w:val="21"/>
                      <w:szCs w:val="21"/>
                      <w:highlight w:val="none"/>
                      <w:lang w:val="en-US" w:eastAsia="zh-CN"/>
                    </w:rPr>
                    <w:t>吸收液</w:t>
                  </w:r>
                  <w:r>
                    <w:rPr>
                      <w:rFonts w:hint="default" w:ascii="Times New Roman" w:hAnsi="Times New Roman" w:eastAsia="宋体" w:cs="Times New Roman"/>
                      <w:color w:val="auto"/>
                      <w:sz w:val="21"/>
                      <w:szCs w:val="21"/>
                      <w:highlight w:val="none"/>
                    </w:rPr>
                    <w:t>循环使用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bidi="ar-SA"/>
                    </w:rPr>
                    <w:t>项目</w:t>
                  </w:r>
                  <w:r>
                    <w:rPr>
                      <w:rFonts w:hint="default" w:ascii="Times New Roman" w:hAnsi="Times New Roman" w:eastAsia="宋体" w:cs="Times New Roman"/>
                      <w:color w:val="auto"/>
                      <w:sz w:val="21"/>
                      <w:szCs w:val="21"/>
                      <w:highlight w:val="none"/>
                    </w:rPr>
                    <w:t>废水不直接外排</w:t>
                  </w:r>
                  <w:r>
                    <w:rPr>
                      <w:rFonts w:hint="default" w:ascii="Times New Roman" w:hAnsi="Times New Roman" w:eastAsia="宋体" w:cs="Times New Roman"/>
                      <w:color w:val="auto"/>
                      <w:sz w:val="21"/>
                      <w:szCs w:val="21"/>
                      <w:highlight w:val="none"/>
                      <w:lang w:eastAsia="zh-CN"/>
                    </w:rPr>
                    <w:t>。</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7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2.维持污染物现状水平，不得突破现状排放总量。</w:t>
                  </w:r>
                </w:p>
              </w:tc>
              <w:tc>
                <w:tcPr>
                  <w:tcW w:w="180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项目位于</w:t>
                  </w:r>
                  <w:r>
                    <w:rPr>
                      <w:rFonts w:hint="default" w:ascii="Times New Roman" w:hAnsi="Times New Roman" w:eastAsia="宋体" w:cs="Times New Roman"/>
                      <w:color w:val="auto"/>
                      <w:sz w:val="21"/>
                      <w:szCs w:val="21"/>
                      <w:highlight w:val="none"/>
                      <w:lang w:eastAsia="zh-CN"/>
                    </w:rPr>
                    <w:t>云南省昆明市宜良县北古城镇凤莱村委会下前所村</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主要是</w:t>
                  </w:r>
                  <w:r>
                    <w:rPr>
                      <w:rFonts w:hint="default" w:ascii="Times New Roman" w:hAnsi="Times New Roman" w:eastAsia="宋体" w:cs="Times New Roman"/>
                      <w:color w:val="auto"/>
                      <w:sz w:val="21"/>
                      <w:szCs w:val="21"/>
                      <w:highlight w:val="none"/>
                    </w:rPr>
                    <w:t>页岩砖</w:t>
                  </w:r>
                  <w:r>
                    <w:rPr>
                      <w:rFonts w:hint="default" w:ascii="Times New Roman" w:hAnsi="Times New Roman" w:eastAsia="宋体" w:cs="Times New Roman"/>
                      <w:color w:val="auto"/>
                      <w:sz w:val="21"/>
                      <w:szCs w:val="21"/>
                      <w:highlight w:val="none"/>
                      <w:lang w:val="en-US" w:eastAsia="zh-CN"/>
                    </w:rPr>
                    <w:t>烧制，项目不在产业园区内。</w:t>
                  </w:r>
                  <w:r>
                    <w:rPr>
                      <w:rFonts w:hint="default" w:ascii="Times New Roman" w:hAnsi="Times New Roman" w:eastAsia="宋体" w:cs="Times New Roman"/>
                      <w:color w:val="auto"/>
                      <w:szCs w:val="21"/>
                      <w:highlight w:val="none"/>
                      <w:lang w:val="en-US" w:eastAsia="zh-CN"/>
                    </w:rPr>
                    <w:t>项目烟尘排放量为</w:t>
                  </w:r>
                  <w:r>
                    <w:rPr>
                      <w:rFonts w:hint="default" w:ascii="Times New Roman" w:hAnsi="Times New Roman" w:eastAsia="宋体" w:cs="Times New Roman"/>
                      <w:bCs w:val="0"/>
                      <w:color w:val="auto"/>
                      <w:sz w:val="21"/>
                      <w:szCs w:val="21"/>
                      <w:highlight w:val="none"/>
                      <w:lang w:val="en-US" w:eastAsia="zh-CN"/>
                    </w:rPr>
                    <w:t>5.6544t/a，</w:t>
                  </w: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Cs w:val="21"/>
                      <w:highlight w:val="none"/>
                      <w:lang w:val="en-US" w:eastAsia="zh-CN"/>
                    </w:rPr>
                    <w:t>排放量为</w:t>
                  </w:r>
                  <w:r>
                    <w:rPr>
                      <w:rFonts w:hint="default" w:ascii="Times New Roman" w:hAnsi="Times New Roman" w:eastAsia="宋体" w:cs="Times New Roman"/>
                      <w:bCs w:val="0"/>
                      <w:color w:val="auto"/>
                      <w:sz w:val="21"/>
                      <w:szCs w:val="21"/>
                      <w:highlight w:val="none"/>
                      <w:lang w:val="en-US" w:eastAsia="zh-CN"/>
                    </w:rPr>
                    <w:t>10.416t/a，</w:t>
                  </w: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X</w:t>
                  </w:r>
                  <w:r>
                    <w:rPr>
                      <w:rFonts w:hint="default" w:ascii="Times New Roman" w:hAnsi="Times New Roman" w:eastAsia="宋体" w:cs="Times New Roman"/>
                      <w:color w:val="auto"/>
                      <w:szCs w:val="21"/>
                      <w:highlight w:val="none"/>
                      <w:lang w:val="en-US" w:eastAsia="zh-CN"/>
                    </w:rPr>
                    <w:t>排放量为</w:t>
                  </w:r>
                  <w:r>
                    <w:rPr>
                      <w:rFonts w:hint="default" w:ascii="Times New Roman" w:hAnsi="Times New Roman" w:eastAsia="宋体" w:cs="Times New Roman"/>
                      <w:bCs w:val="0"/>
                      <w:color w:val="auto"/>
                      <w:sz w:val="21"/>
                      <w:szCs w:val="21"/>
                      <w:highlight w:val="none"/>
                      <w:lang w:val="en-US" w:eastAsia="zh-CN"/>
                    </w:rPr>
                    <w:t>20.212t/a，</w:t>
                  </w:r>
                  <w:r>
                    <w:rPr>
                      <w:rFonts w:hint="default" w:ascii="Times New Roman" w:hAnsi="Times New Roman" w:eastAsia="宋体" w:cs="Times New Roman"/>
                      <w:color w:val="auto"/>
                      <w:sz w:val="21"/>
                      <w:szCs w:val="21"/>
                      <w:highlight w:val="none"/>
                      <w:lang w:val="en-US" w:eastAsia="zh-CN"/>
                    </w:rPr>
                    <w:t>氟化物</w:t>
                  </w:r>
                  <w:r>
                    <w:rPr>
                      <w:rFonts w:hint="default" w:ascii="Times New Roman" w:hAnsi="Times New Roman" w:eastAsia="宋体" w:cs="Times New Roman"/>
                      <w:color w:val="auto"/>
                      <w:szCs w:val="21"/>
                      <w:highlight w:val="none"/>
                      <w:lang w:val="en-US" w:eastAsia="zh-CN"/>
                    </w:rPr>
                    <w:t>排放量为</w:t>
                  </w:r>
                  <w:r>
                    <w:rPr>
                      <w:rFonts w:hint="default" w:ascii="Times New Roman" w:hAnsi="Times New Roman" w:eastAsia="宋体" w:cs="Times New Roman"/>
                      <w:bCs w:val="0"/>
                      <w:color w:val="auto"/>
                      <w:sz w:val="21"/>
                      <w:szCs w:val="21"/>
                      <w:highlight w:val="none"/>
                      <w:lang w:val="en-US" w:eastAsia="zh-CN"/>
                    </w:rPr>
                    <w:t>0.9688t/a，</w:t>
                  </w:r>
                  <w:r>
                    <w:rPr>
                      <w:rFonts w:hint="default" w:ascii="Times New Roman" w:hAnsi="Times New Roman" w:eastAsia="宋体" w:cs="Times New Roman"/>
                      <w:color w:val="auto"/>
                      <w:kern w:val="0"/>
                      <w:sz w:val="21"/>
                      <w:szCs w:val="21"/>
                      <w:highlight w:val="none"/>
                      <w:lang w:val="en-US" w:eastAsia="zh-CN" w:bidi="ar"/>
                    </w:rPr>
                    <w:t>粉尘</w:t>
                  </w:r>
                  <w:r>
                    <w:rPr>
                      <w:rFonts w:hint="eastAsia" w:ascii="Times New Roman" w:hAnsi="Times New Roman" w:eastAsia="宋体" w:cs="Times New Roman"/>
                      <w:color w:val="auto"/>
                      <w:kern w:val="0"/>
                      <w:sz w:val="21"/>
                      <w:szCs w:val="21"/>
                      <w:highlight w:val="none"/>
                      <w:lang w:val="en-US" w:eastAsia="zh-CN" w:bidi="ar"/>
                    </w:rPr>
                    <w:t>排放量为</w:t>
                  </w:r>
                  <w:r>
                    <w:rPr>
                      <w:rFonts w:hint="default" w:ascii="Times New Roman" w:hAnsi="Times New Roman" w:eastAsia="宋体" w:cs="Times New Roman"/>
                      <w:bCs/>
                      <w:color w:val="auto"/>
                      <w:sz w:val="21"/>
                      <w:szCs w:val="21"/>
                      <w:highlight w:val="none"/>
                      <w:lang w:val="en-US" w:eastAsia="zh-CN"/>
                    </w:rPr>
                    <w:t>3.1449</w:t>
                  </w:r>
                  <w:r>
                    <w:rPr>
                      <w:rFonts w:hint="default" w:ascii="Times New Roman" w:hAnsi="Times New Roman" w:eastAsia="宋体" w:cs="Times New Roman"/>
                      <w:bCs w:val="0"/>
                      <w:color w:val="auto"/>
                      <w:sz w:val="21"/>
                      <w:szCs w:val="21"/>
                      <w:highlight w:val="none"/>
                      <w:lang w:val="en-US" w:eastAsia="zh-CN"/>
                    </w:rPr>
                    <w:t>t/a，</w:t>
                  </w:r>
                  <w:r>
                    <w:rPr>
                      <w:rFonts w:hint="default" w:ascii="Times New Roman" w:hAnsi="Times New Roman" w:eastAsia="宋体" w:cs="Times New Roman"/>
                      <w:color w:val="auto"/>
                      <w:kern w:val="0"/>
                      <w:sz w:val="21"/>
                      <w:szCs w:val="21"/>
                      <w:highlight w:val="none"/>
                      <w:lang w:val="en-US" w:eastAsia="zh-CN" w:bidi="ar"/>
                    </w:rPr>
                    <w:t>硫化氢</w:t>
                  </w:r>
                  <w:r>
                    <w:rPr>
                      <w:rFonts w:hint="eastAsia" w:ascii="Times New Roman" w:hAnsi="Times New Roman" w:eastAsia="宋体" w:cs="Times New Roman"/>
                      <w:color w:val="auto"/>
                      <w:kern w:val="0"/>
                      <w:sz w:val="21"/>
                      <w:szCs w:val="21"/>
                      <w:highlight w:val="none"/>
                      <w:lang w:val="en-US" w:eastAsia="zh-CN" w:bidi="ar"/>
                    </w:rPr>
                    <w:t>排放量为</w:t>
                  </w:r>
                  <w:r>
                    <w:rPr>
                      <w:rFonts w:hint="default" w:ascii="Times New Roman" w:hAnsi="Times New Roman" w:eastAsia="宋体" w:cs="Times New Roman"/>
                      <w:bCs/>
                      <w:color w:val="auto"/>
                      <w:sz w:val="21"/>
                      <w:szCs w:val="21"/>
                      <w:highlight w:val="none"/>
                      <w:lang w:val="en-US" w:eastAsia="zh-CN"/>
                    </w:rPr>
                    <w:t>4.75*10</w:t>
                  </w:r>
                  <w:r>
                    <w:rPr>
                      <w:rFonts w:hint="default" w:ascii="Times New Roman" w:hAnsi="Times New Roman" w:eastAsia="宋体" w:cs="Times New Roman"/>
                      <w:bCs/>
                      <w:color w:val="auto"/>
                      <w:sz w:val="21"/>
                      <w:szCs w:val="21"/>
                      <w:highlight w:val="none"/>
                      <w:vertAlign w:val="superscript"/>
                      <w:lang w:val="en-US" w:eastAsia="zh-CN"/>
                    </w:rPr>
                    <w:t>-5</w:t>
                  </w:r>
                  <w:r>
                    <w:rPr>
                      <w:rFonts w:hint="default" w:ascii="Times New Roman" w:hAnsi="Times New Roman" w:eastAsia="宋体" w:cs="Times New Roman"/>
                      <w:bCs w:val="0"/>
                      <w:color w:val="auto"/>
                      <w:sz w:val="21"/>
                      <w:szCs w:val="21"/>
                      <w:highlight w:val="none"/>
                      <w:lang w:val="en-US" w:eastAsia="zh-CN"/>
                    </w:rPr>
                    <w:t>t/a，</w:t>
                  </w:r>
                  <w:r>
                    <w:rPr>
                      <w:rFonts w:hint="default" w:ascii="Times New Roman" w:hAnsi="Times New Roman" w:eastAsia="宋体" w:cs="Times New Roman"/>
                      <w:color w:val="auto"/>
                      <w:kern w:val="0"/>
                      <w:sz w:val="21"/>
                      <w:szCs w:val="21"/>
                      <w:highlight w:val="none"/>
                      <w:lang w:val="en-US" w:eastAsia="zh-CN" w:bidi="ar"/>
                    </w:rPr>
                    <w:t>氨</w:t>
                  </w:r>
                  <w:r>
                    <w:rPr>
                      <w:rFonts w:hint="eastAsia" w:ascii="Times New Roman" w:hAnsi="Times New Roman" w:eastAsia="宋体" w:cs="Times New Roman"/>
                      <w:color w:val="auto"/>
                      <w:kern w:val="0"/>
                      <w:sz w:val="21"/>
                      <w:szCs w:val="21"/>
                      <w:highlight w:val="none"/>
                      <w:lang w:val="en-US" w:eastAsia="zh-CN" w:bidi="ar"/>
                    </w:rPr>
                    <w:t>排放量为</w:t>
                  </w:r>
                  <w:r>
                    <w:rPr>
                      <w:rFonts w:hint="default" w:ascii="Times New Roman" w:hAnsi="Times New Roman" w:eastAsia="宋体" w:cs="Times New Roman"/>
                      <w:bCs/>
                      <w:color w:val="auto"/>
                      <w:sz w:val="21"/>
                      <w:szCs w:val="21"/>
                      <w:highlight w:val="none"/>
                      <w:lang w:val="en-US" w:eastAsia="zh-CN"/>
                    </w:rPr>
                    <w:t>6.8*10</w:t>
                  </w:r>
                  <w:r>
                    <w:rPr>
                      <w:rFonts w:hint="default" w:ascii="Times New Roman" w:hAnsi="Times New Roman" w:eastAsia="宋体" w:cs="Times New Roman"/>
                      <w:bCs/>
                      <w:color w:val="auto"/>
                      <w:sz w:val="21"/>
                      <w:szCs w:val="21"/>
                      <w:highlight w:val="none"/>
                      <w:vertAlign w:val="superscript"/>
                      <w:lang w:val="en-US" w:eastAsia="zh-CN"/>
                    </w:rPr>
                    <w:t>-4</w:t>
                  </w:r>
                  <w:r>
                    <w:rPr>
                      <w:rFonts w:hint="default" w:ascii="Times New Roman" w:hAnsi="Times New Roman" w:eastAsia="宋体" w:cs="Times New Roman"/>
                      <w:bCs w:val="0"/>
                      <w:color w:val="auto"/>
                      <w:sz w:val="21"/>
                      <w:szCs w:val="21"/>
                      <w:highlight w:val="none"/>
                      <w:lang w:val="en-US" w:eastAsia="zh-CN"/>
                    </w:rPr>
                    <w:t>t/a</w:t>
                  </w:r>
                  <w:r>
                    <w:rPr>
                      <w:rFonts w:hint="eastAsia" w:ascii="Times New Roman" w:hAnsi="Times New Roman" w:eastAsia="宋体" w:cs="Times New Roman"/>
                      <w:bCs w:val="0"/>
                      <w:color w:val="auto"/>
                      <w:sz w:val="21"/>
                      <w:szCs w:val="21"/>
                      <w:highlight w:val="none"/>
                      <w:lang w:val="en-US" w:eastAsia="zh-CN"/>
                    </w:rPr>
                    <w:t>。不会突破</w:t>
                  </w:r>
                  <w:r>
                    <w:rPr>
                      <w:rFonts w:hint="default" w:ascii="Times New Roman" w:hAnsi="Times New Roman" w:eastAsia="宋体" w:cs="Times New Roman"/>
                      <w:color w:val="auto"/>
                      <w:sz w:val="21"/>
                      <w:szCs w:val="21"/>
                      <w:highlight w:val="none"/>
                    </w:rPr>
                    <w:t>现状排放总量</w:t>
                  </w:r>
                  <w:r>
                    <w:rPr>
                      <w:rFonts w:hint="eastAsia" w:ascii="Times New Roman" w:hAnsi="Times New Roman" w:eastAsia="宋体" w:cs="Times New Roman"/>
                      <w:color w:val="auto"/>
                      <w:sz w:val="21"/>
                      <w:szCs w:val="21"/>
                      <w:highlight w:val="none"/>
                      <w:lang w:eastAsia="zh-CN"/>
                    </w:rPr>
                    <w:t>。</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不冲突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267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3.新增金属冶炼项目排放水平需满足超低排放要求。</w:t>
                  </w:r>
                </w:p>
              </w:tc>
              <w:tc>
                <w:tcPr>
                  <w:tcW w:w="180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项目不涉及</w:t>
                  </w:r>
                  <w:r>
                    <w:rPr>
                      <w:rFonts w:hint="default" w:ascii="Times New Roman" w:hAnsi="Times New Roman" w:eastAsia="宋体" w:cs="Times New Roman"/>
                      <w:color w:val="auto"/>
                      <w:sz w:val="21"/>
                      <w:szCs w:val="21"/>
                      <w:highlight w:val="none"/>
                    </w:rPr>
                    <w:t>金属冶炼</w:t>
                  </w:r>
                  <w:r>
                    <w:rPr>
                      <w:rFonts w:hint="default" w:ascii="Times New Roman" w:hAnsi="Times New Roman" w:eastAsia="宋体" w:cs="Times New Roman"/>
                      <w:color w:val="auto"/>
                      <w:sz w:val="21"/>
                      <w:szCs w:val="21"/>
                      <w:highlight w:val="none"/>
                      <w:lang w:eastAsia="zh-CN"/>
                    </w:rPr>
                    <w:t>。</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7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4.属于地下水岩溶发育区项目入驻时，项目环评加强地下水评价，严格落实地下水防护，按照《地下水管理条例》等相关要求落实相关防护措施。</w:t>
                  </w:r>
                </w:p>
              </w:tc>
              <w:tc>
                <w:tcPr>
                  <w:tcW w:w="180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项目在原址改扩建，不新增占地，不属于</w:t>
                  </w:r>
                  <w:r>
                    <w:rPr>
                      <w:rFonts w:hint="default" w:ascii="Times New Roman" w:hAnsi="Times New Roman" w:eastAsia="宋体" w:cs="Times New Roman"/>
                      <w:color w:val="auto"/>
                      <w:sz w:val="21"/>
                      <w:szCs w:val="21"/>
                      <w:highlight w:val="none"/>
                    </w:rPr>
                    <w:t>地下水岩溶发育区</w:t>
                  </w:r>
                  <w:r>
                    <w:rPr>
                      <w:rFonts w:hint="default" w:ascii="Times New Roman" w:hAnsi="Times New Roman" w:eastAsia="宋体" w:cs="Times New Roman"/>
                      <w:color w:val="auto"/>
                      <w:sz w:val="21"/>
                      <w:szCs w:val="21"/>
                      <w:highlight w:val="none"/>
                      <w:lang w:eastAsia="zh-CN"/>
                    </w:rPr>
                    <w:t>。</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7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5.入驻企业产生的各种工业固体废物，应满足“减量化、资源化、无害化”要求，实现废物的综合利用。</w:t>
                  </w:r>
                </w:p>
              </w:tc>
              <w:tc>
                <w:tcPr>
                  <w:tcW w:w="180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项目位于</w:t>
                  </w:r>
                  <w:r>
                    <w:rPr>
                      <w:rFonts w:hint="default" w:ascii="Times New Roman" w:hAnsi="Times New Roman" w:eastAsia="宋体" w:cs="Times New Roman"/>
                      <w:color w:val="auto"/>
                      <w:sz w:val="21"/>
                      <w:szCs w:val="21"/>
                      <w:highlight w:val="none"/>
                      <w:lang w:eastAsia="zh-CN"/>
                    </w:rPr>
                    <w:t>云南省昆明市宜良县北古城镇凤莱村委会下前所村</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主要是</w:t>
                  </w:r>
                  <w:r>
                    <w:rPr>
                      <w:rFonts w:hint="default" w:ascii="Times New Roman" w:hAnsi="Times New Roman" w:eastAsia="宋体" w:cs="Times New Roman"/>
                      <w:color w:val="auto"/>
                      <w:sz w:val="21"/>
                      <w:szCs w:val="21"/>
                      <w:highlight w:val="none"/>
                    </w:rPr>
                    <w:t>页岩砖</w:t>
                  </w:r>
                  <w:r>
                    <w:rPr>
                      <w:rFonts w:hint="default" w:ascii="Times New Roman" w:hAnsi="Times New Roman" w:eastAsia="宋体" w:cs="Times New Roman"/>
                      <w:color w:val="auto"/>
                      <w:sz w:val="21"/>
                      <w:szCs w:val="21"/>
                      <w:highlight w:val="none"/>
                      <w:lang w:val="en-US" w:eastAsia="zh-CN"/>
                    </w:rPr>
                    <w:t>烧制，项目不在产业园区内。本次改扩建是用污泥替代部分页岩制砖，是对</w:t>
                  </w:r>
                  <w:r>
                    <w:rPr>
                      <w:rFonts w:hint="default" w:ascii="Times New Roman" w:hAnsi="Times New Roman" w:eastAsia="宋体" w:cs="Times New Roman"/>
                      <w:color w:val="auto"/>
                      <w:sz w:val="21"/>
                      <w:szCs w:val="21"/>
                      <w:highlight w:val="none"/>
                    </w:rPr>
                    <w:t>废物的综合利用</w:t>
                  </w:r>
                  <w:r>
                    <w:rPr>
                      <w:rFonts w:hint="default" w:ascii="Times New Roman" w:hAnsi="Times New Roman" w:eastAsia="宋体" w:cs="Times New Roman"/>
                      <w:color w:val="auto"/>
                      <w:sz w:val="21"/>
                      <w:szCs w:val="21"/>
                      <w:highlight w:val="none"/>
                      <w:lang w:eastAsia="zh-CN"/>
                    </w:rPr>
                    <w:t>。</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环境风险防控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trPr>
              <w:tc>
                <w:tcPr>
                  <w:tcW w:w="267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1.片区内企业入驻项目需与敏感点保持相关法律法规等要求的环境防护距离要求。</w:t>
                  </w:r>
                </w:p>
              </w:tc>
              <w:tc>
                <w:tcPr>
                  <w:tcW w:w="180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项目位于</w:t>
                  </w:r>
                  <w:r>
                    <w:rPr>
                      <w:rFonts w:hint="default" w:ascii="Times New Roman" w:hAnsi="Times New Roman" w:eastAsia="宋体" w:cs="Times New Roman"/>
                      <w:color w:val="auto"/>
                      <w:sz w:val="21"/>
                      <w:szCs w:val="21"/>
                      <w:highlight w:val="none"/>
                      <w:lang w:eastAsia="zh-CN"/>
                    </w:rPr>
                    <w:t>云南省昆明市宜良县北古城镇凤莱村委会下前所村</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主要是</w:t>
                  </w:r>
                  <w:r>
                    <w:rPr>
                      <w:rFonts w:hint="default" w:ascii="Times New Roman" w:hAnsi="Times New Roman" w:eastAsia="宋体" w:cs="Times New Roman"/>
                      <w:color w:val="auto"/>
                      <w:sz w:val="21"/>
                      <w:szCs w:val="21"/>
                      <w:highlight w:val="none"/>
                    </w:rPr>
                    <w:t>页岩砖</w:t>
                  </w:r>
                  <w:r>
                    <w:rPr>
                      <w:rFonts w:hint="default" w:ascii="Times New Roman" w:hAnsi="Times New Roman" w:eastAsia="宋体" w:cs="Times New Roman"/>
                      <w:color w:val="auto"/>
                      <w:sz w:val="21"/>
                      <w:szCs w:val="21"/>
                      <w:highlight w:val="none"/>
                      <w:lang w:val="en-US" w:eastAsia="zh-CN"/>
                    </w:rPr>
                    <w:t>烧制，项目不在产业园区内。项目不设置</w:t>
                  </w:r>
                  <w:r>
                    <w:rPr>
                      <w:rFonts w:hint="default" w:ascii="Times New Roman" w:hAnsi="Times New Roman" w:eastAsia="宋体" w:cs="Times New Roman"/>
                      <w:color w:val="auto"/>
                      <w:sz w:val="21"/>
                      <w:szCs w:val="21"/>
                      <w:highlight w:val="none"/>
                    </w:rPr>
                    <w:t>环境防护距离</w:t>
                  </w:r>
                  <w:r>
                    <w:rPr>
                      <w:rFonts w:hint="default" w:ascii="Times New Roman" w:hAnsi="Times New Roman" w:eastAsia="宋体" w:cs="Times New Roman"/>
                      <w:color w:val="auto"/>
                      <w:sz w:val="21"/>
                      <w:szCs w:val="21"/>
                      <w:highlight w:val="none"/>
                      <w:lang w:val="en-US" w:eastAsia="zh-CN"/>
                    </w:rPr>
                    <w:t>。</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trPr>
              <w:tc>
                <w:tcPr>
                  <w:tcW w:w="267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2.制定突发环境事件应急预案，完善风险管理机制，加强风险控制防范。</w:t>
                  </w:r>
                </w:p>
              </w:tc>
              <w:tc>
                <w:tcPr>
                  <w:tcW w:w="180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环评要求，项目运营期对照</w:t>
                  </w:r>
                  <w:r>
                    <w:rPr>
                      <w:rFonts w:hint="default" w:ascii="Times New Roman" w:hAnsi="Times New Roman" w:eastAsia="宋体" w:cs="Times New Roman"/>
                      <w:color w:val="auto"/>
                      <w:sz w:val="21"/>
                      <w:szCs w:val="21"/>
                      <w:highlight w:val="none"/>
                    </w:rPr>
                    <w:t>《企业事业单位突发环境事件应急预案备案管理办法（试行）》（环发[2015]4号文）中的要求，编制突发环境事件应急预案并在当地环保部门备案。</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trPr>
              <w:tc>
                <w:tcPr>
                  <w:tcW w:w="267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3.禁止建设项目超标排放重金属、“三致物”、剧毒物质污染物，严格控制排放持久性有机污染物。</w:t>
                  </w:r>
                </w:p>
              </w:tc>
              <w:tc>
                <w:tcPr>
                  <w:tcW w:w="180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项目不涉及</w:t>
                  </w:r>
                  <w:r>
                    <w:rPr>
                      <w:rFonts w:hint="default" w:ascii="Times New Roman" w:hAnsi="Times New Roman" w:eastAsia="宋体" w:cs="Times New Roman"/>
                      <w:color w:val="auto"/>
                      <w:sz w:val="21"/>
                      <w:szCs w:val="21"/>
                      <w:highlight w:val="none"/>
                    </w:rPr>
                    <w:t>重金属、“三致物”、剧毒物质污染物</w:t>
                  </w:r>
                  <w:r>
                    <w:rPr>
                      <w:rFonts w:hint="default" w:ascii="Times New Roman" w:hAnsi="Times New Roman" w:eastAsia="宋体" w:cs="Times New Roman"/>
                      <w:color w:val="auto"/>
                      <w:sz w:val="21"/>
                      <w:szCs w:val="21"/>
                      <w:highlight w:val="none"/>
                      <w:lang w:val="en-US" w:eastAsia="zh-CN"/>
                    </w:rPr>
                    <w:t>排放。</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5000"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资源开发效率要求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267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1.入驻企业工业用水鼓励优先使用再生水，禁止无相关许可手续取用地下水作为生产用水。</w:t>
                  </w:r>
                </w:p>
              </w:tc>
              <w:tc>
                <w:tcPr>
                  <w:tcW w:w="180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项目不涉及取水，废水回用，不直接外排。</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267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2.入驻企业工业用水重复利用率不低于80%。</w:t>
                  </w:r>
                </w:p>
              </w:tc>
              <w:tc>
                <w:tcPr>
                  <w:tcW w:w="180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项目废水回用，不直接外排。</w:t>
                  </w:r>
                </w:p>
              </w:tc>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项目与云南省生态环境分区管控公共服务查询平台的管控单元图如下：</w:t>
            </w:r>
          </w:p>
          <w:p>
            <w:pPr>
              <w:pStyle w:val="88"/>
              <w:keepNext w:val="0"/>
              <w:suppressLineNumbers w:val="0"/>
              <w:spacing w:beforeAutospacing="0" w:afterAutospacing="0"/>
              <w:ind w:right="0" w:firstLineChars="0"/>
              <w:jc w:val="both"/>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drawing>
                <wp:inline distT="0" distB="0" distL="114300" distR="114300">
                  <wp:extent cx="3977005" cy="5687695"/>
                  <wp:effectExtent l="0" t="0" r="4445" b="8255"/>
                  <wp:docPr id="2" name="图片 25" descr="管控单元截图2026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5" descr="管控单元截图20260512"/>
                          <pic:cNvPicPr>
                            <a:picLocks noChangeAspect="1"/>
                          </pic:cNvPicPr>
                        </pic:nvPicPr>
                        <pic:blipFill>
                          <a:blip r:embed="rId7"/>
                          <a:stretch>
                            <a:fillRect/>
                          </a:stretch>
                        </pic:blipFill>
                        <pic:spPr>
                          <a:xfrm>
                            <a:off x="0" y="0"/>
                            <a:ext cx="3977005" cy="5687695"/>
                          </a:xfrm>
                          <a:prstGeom prst="rect">
                            <a:avLst/>
                          </a:prstGeom>
                          <a:noFill/>
                          <a:ln>
                            <a:noFill/>
                          </a:ln>
                        </pic:spPr>
                      </pic:pic>
                    </a:graphicData>
                  </a:graphic>
                </wp:inline>
              </w:drawing>
            </w:r>
          </w:p>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i w:val="0"/>
                <w:iCs w:val="0"/>
                <w:color w:val="auto"/>
                <w:szCs w:val="21"/>
                <w:highlight w:val="none"/>
              </w:rPr>
            </w:pPr>
            <w:r>
              <w:rPr>
                <w:rFonts w:hint="default" w:ascii="Times New Roman" w:hAnsi="Times New Roman" w:eastAsia="宋体" w:cs="Times New Roman"/>
                <w:b/>
                <w:bCs/>
                <w:i w:val="0"/>
                <w:iCs w:val="0"/>
                <w:color w:val="auto"/>
                <w:szCs w:val="21"/>
                <w:highlight w:val="none"/>
              </w:rPr>
              <w:t>图1-</w:t>
            </w:r>
            <w:r>
              <w:rPr>
                <w:rFonts w:hint="default" w:ascii="Times New Roman" w:hAnsi="Times New Roman" w:eastAsia="宋体" w:cs="Times New Roman"/>
                <w:b/>
                <w:bCs/>
                <w:i w:val="0"/>
                <w:iCs w:val="0"/>
                <w:color w:val="auto"/>
                <w:szCs w:val="21"/>
                <w:highlight w:val="none"/>
                <w:lang w:val="en-US" w:eastAsia="zh-CN"/>
              </w:rPr>
              <w:t>2</w:t>
            </w:r>
            <w:r>
              <w:rPr>
                <w:rFonts w:hint="default" w:ascii="Times New Roman" w:hAnsi="Times New Roman" w:eastAsia="宋体" w:cs="Times New Roman"/>
                <w:b/>
                <w:bCs/>
                <w:i w:val="0"/>
                <w:iCs w:val="0"/>
                <w:color w:val="auto"/>
                <w:szCs w:val="21"/>
                <w:highlight w:val="none"/>
              </w:rPr>
              <w:t xml:space="preserve">  项目管控单元图查询图</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因此，本项目符合环境准入负面清单的相关内容。</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综上所述，项目建设符合《昆明市生态环境分区管控动态更新方案（2023年）》中相关内容。</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2、产业政策符合性分析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项目为粘土砖瓦及建筑砌块制</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固体废物治理</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val="en-US" w:eastAsia="zh-CN"/>
              </w:rPr>
              <w:t>在原址改扩建，不新增占地，用污泥替代部分页岩做为制砖材料。</w:t>
            </w:r>
            <w:r>
              <w:rPr>
                <w:rFonts w:hint="default" w:ascii="Times New Roman" w:hAnsi="Times New Roman" w:eastAsia="宋体" w:cs="Times New Roman"/>
                <w:color w:val="auto"/>
                <w:kern w:val="0"/>
                <w:sz w:val="24"/>
                <w:szCs w:val="24"/>
                <w:highlight w:val="none"/>
              </w:rPr>
              <w:t>对照国家发展和改革委员会颁布的《产业结构调整指导目录（2024年本）》中</w:t>
            </w:r>
            <w:r>
              <w:rPr>
                <w:rFonts w:hint="default" w:ascii="Times New Roman" w:hAnsi="Times New Roman" w:eastAsia="宋体" w:cs="Times New Roman"/>
                <w:color w:val="auto"/>
                <w:kern w:val="0"/>
                <w:sz w:val="24"/>
                <w:szCs w:val="24"/>
                <w:highlight w:val="none"/>
                <w:lang w:val="en-US" w:eastAsia="zh-CN"/>
              </w:rPr>
              <w:t>“四十二、环境保护与资源节约综合利用”：“城镇污水垃圾处理：高效、低能耗污水处理与再生技术开发，城镇垃圾、农村生活垃圾、城镇生活污水、农村生活污水、污泥及其他固体废弃物减量化、资源化、无害化处理和综合利用工程，餐厨废弃物资源化利用技术开发及设施建设，垃圾分类技术、设备、设施，城镇、农村分布式小型化有机垃圾处理技术开发，污水处理厂污泥协同处置工程”的相关要求</w:t>
            </w:r>
            <w:r>
              <w:rPr>
                <w:rFonts w:hint="default" w:ascii="Times New Roman" w:hAnsi="Times New Roman" w:eastAsia="宋体" w:cs="Times New Roman"/>
                <w:color w:val="auto"/>
                <w:kern w:val="0"/>
                <w:sz w:val="24"/>
                <w:szCs w:val="24"/>
                <w:highlight w:val="none"/>
              </w:rPr>
              <w:t>，项目属于</w:t>
            </w:r>
            <w:r>
              <w:rPr>
                <w:rFonts w:hint="default" w:ascii="Times New Roman" w:hAnsi="Times New Roman" w:eastAsia="宋体" w:cs="Times New Roman"/>
                <w:color w:val="auto"/>
                <w:kern w:val="0"/>
                <w:sz w:val="24"/>
                <w:szCs w:val="24"/>
                <w:highlight w:val="none"/>
                <w:lang w:val="en-US" w:eastAsia="zh-CN"/>
              </w:rPr>
              <w:t>鼓励类</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val="en-US" w:eastAsia="zh-CN"/>
              </w:rPr>
              <w:t>项目使用的生产设备均不属于限制类和淘汰类中的相关规定，项目</w:t>
            </w:r>
            <w:r>
              <w:rPr>
                <w:rFonts w:hint="default" w:ascii="Times New Roman" w:hAnsi="Times New Roman" w:eastAsia="宋体" w:cs="Times New Roman"/>
                <w:color w:val="auto"/>
                <w:kern w:val="0"/>
                <w:sz w:val="24"/>
                <w:szCs w:val="24"/>
                <w:highlight w:val="none"/>
              </w:rPr>
              <w:t>符合国家有关法律和政策规定。</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项目于202</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月1</w:t>
            </w:r>
            <w:r>
              <w:rPr>
                <w:rFonts w:hint="default"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日取得</w:t>
            </w:r>
            <w:r>
              <w:rPr>
                <w:rFonts w:hint="default" w:ascii="Times New Roman" w:hAnsi="Times New Roman" w:eastAsia="宋体" w:cs="Times New Roman"/>
                <w:color w:val="auto"/>
                <w:sz w:val="24"/>
                <w:szCs w:val="24"/>
                <w:highlight w:val="none"/>
                <w:lang w:val="en-US" w:eastAsia="zh-CN"/>
              </w:rPr>
              <w:t>宜良县发展和改革局</w:t>
            </w:r>
            <w:r>
              <w:rPr>
                <w:rFonts w:hint="default" w:ascii="Times New Roman" w:hAnsi="Times New Roman" w:eastAsia="宋体" w:cs="Times New Roman"/>
                <w:color w:val="auto"/>
                <w:sz w:val="24"/>
                <w:szCs w:val="24"/>
                <w:highlight w:val="none"/>
              </w:rPr>
              <w:t>的云南省固定资产投资项目备案证，项目代码：</w:t>
            </w:r>
            <w:r>
              <w:rPr>
                <w:rFonts w:hint="default" w:ascii="Times New Roman" w:hAnsi="Times New Roman" w:eastAsia="宋体" w:cs="Times New Roman"/>
                <w:color w:val="auto"/>
                <w:sz w:val="24"/>
                <w:szCs w:val="24"/>
                <w:highlight w:val="none"/>
                <w:lang w:val="en-US" w:eastAsia="zh-CN"/>
              </w:rPr>
              <w:t>2026-530125-04-02-150941</w:t>
            </w:r>
            <w:r>
              <w:rPr>
                <w:rFonts w:hint="default" w:ascii="Times New Roman" w:hAnsi="Times New Roman" w:eastAsia="宋体" w:cs="Times New Roman"/>
                <w:color w:val="auto"/>
                <w:sz w:val="24"/>
                <w:szCs w:val="24"/>
                <w:highlight w:val="none"/>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kern w:val="0"/>
                <w:sz w:val="24"/>
                <w:szCs w:val="24"/>
                <w:highlight w:val="none"/>
              </w:rPr>
              <w:t>因此，本项目建设符合国家产业政策。</w:t>
            </w:r>
          </w:p>
          <w:p>
            <w:pPr>
              <w:pStyle w:val="2"/>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color w:val="auto"/>
                <w:sz w:val="24"/>
                <w:szCs w:val="24"/>
                <w:highlight w:val="none"/>
              </w:rPr>
              <w:t>3、项目</w:t>
            </w:r>
            <w:r>
              <w:rPr>
                <w:rFonts w:hint="default" w:ascii="Times New Roman" w:hAnsi="Times New Roman" w:eastAsia="宋体" w:cs="Times New Roman"/>
                <w:b/>
                <w:bCs/>
                <w:color w:val="auto"/>
                <w:sz w:val="24"/>
                <w:szCs w:val="24"/>
                <w:highlight w:val="none"/>
              </w:rPr>
              <w:t>与《长江经济带发展负面清单指南》（试行，2022年版）符合性分析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项目与《长江经济带发展负面清单指南》（试行，2022年版）符合性如下：</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表1-</w:t>
            </w:r>
            <w:r>
              <w:rPr>
                <w:rFonts w:hint="default" w:ascii="Times New Roman" w:hAnsi="Times New Roman" w:eastAsia="宋体" w:cs="Times New Roman"/>
                <w:b/>
                <w:color w:val="auto"/>
                <w:szCs w:val="21"/>
                <w:highlight w:val="none"/>
                <w:lang w:val="en-US" w:eastAsia="zh-CN"/>
              </w:rPr>
              <w:t>4</w:t>
            </w:r>
            <w:r>
              <w:rPr>
                <w:rFonts w:hint="default" w:ascii="Times New Roman" w:hAnsi="Times New Roman" w:eastAsia="宋体" w:cs="Times New Roman"/>
                <w:b/>
                <w:color w:val="auto"/>
                <w:szCs w:val="21"/>
                <w:highlight w:val="none"/>
              </w:rPr>
              <w:t xml:space="preserve">  与长江经济带发展负面清单指南符合性分析一览表</w:t>
            </w:r>
          </w:p>
          <w:tbl>
            <w:tblPr>
              <w:tblStyle w:val="23"/>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652"/>
              <w:gridCol w:w="3293"/>
              <w:gridCol w:w="1373"/>
              <w:gridCol w:w="93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5" w:hRule="atLeast"/>
                <w:tblHeader/>
                <w:jc w:val="center"/>
              </w:trPr>
              <w:tc>
                <w:tcPr>
                  <w:tcW w:w="521"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序号</w:t>
                  </w:r>
                </w:p>
              </w:tc>
              <w:tc>
                <w:tcPr>
                  <w:tcW w:w="26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要求（摘录）</w:t>
                  </w:r>
                </w:p>
              </w:tc>
              <w:tc>
                <w:tcPr>
                  <w:tcW w:w="1098"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项目情况</w:t>
                  </w:r>
                </w:p>
              </w:tc>
              <w:tc>
                <w:tcPr>
                  <w:tcW w:w="74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是否属于负面清单</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521"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26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禁止建设不符合全国和省</w:t>
                  </w:r>
                  <w:r>
                    <w:rPr>
                      <w:rFonts w:hint="default" w:ascii="Times New Roman" w:hAnsi="Times New Roman" w:eastAsia="宋体" w:cs="Times New Roman"/>
                      <w:color w:val="auto"/>
                      <w:kern w:val="0"/>
                      <w:sz w:val="21"/>
                      <w:szCs w:val="21"/>
                      <w:highlight w:val="none"/>
                    </w:rPr>
                    <w:cr/>
                  </w:r>
                  <w:r>
                    <w:rPr>
                      <w:rFonts w:hint="default" w:ascii="Times New Roman" w:hAnsi="Times New Roman" w:eastAsia="宋体" w:cs="Times New Roman"/>
                      <w:color w:val="auto"/>
                      <w:kern w:val="0"/>
                      <w:sz w:val="21"/>
                      <w:szCs w:val="21"/>
                      <w:highlight w:val="none"/>
                    </w:rPr>
                    <w:t>港口布局规划以及港口总体规划的码头项目，禁止建设不符合《长江干线过江通道布局规划》的过长江通道项目。</w:t>
                  </w:r>
                </w:p>
              </w:tc>
              <w:tc>
                <w:tcPr>
                  <w:tcW w:w="1098"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项目不属于码头。</w:t>
                  </w:r>
                </w:p>
              </w:tc>
              <w:tc>
                <w:tcPr>
                  <w:tcW w:w="747"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不属于</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521"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p>
              </w:tc>
              <w:tc>
                <w:tcPr>
                  <w:tcW w:w="2633" w:type="pct"/>
                  <w:noWrap w:val="0"/>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禁止在自然保护区核心区、缓冲区的岸线和河段范围内投资建设旅游和生产经营项目。禁止在风景名胜区核心景区的岸线和河段范围内投资建设与风景名胜资源保护无关的项目。</w:t>
                  </w:r>
                </w:p>
              </w:tc>
              <w:tc>
                <w:tcPr>
                  <w:tcW w:w="1098"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项目不涉及自然保护区、风景名胜区。</w:t>
                  </w:r>
                </w:p>
              </w:tc>
              <w:tc>
                <w:tcPr>
                  <w:tcW w:w="747"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不属于</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521"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tc>
              <w:tc>
                <w:tcPr>
                  <w:tcW w:w="2633" w:type="pct"/>
                  <w:noWrap w:val="0"/>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禁止在饮用水水源一级保护区的岸线和河段范围内新建、</w:t>
                  </w:r>
                  <w:r>
                    <w:rPr>
                      <w:rFonts w:hint="default" w:ascii="Times New Roman" w:hAnsi="Times New Roman" w:eastAsia="宋体" w:cs="Times New Roman"/>
                      <w:color w:val="auto"/>
                      <w:kern w:val="0"/>
                      <w:sz w:val="21"/>
                      <w:szCs w:val="21"/>
                      <w:highlight w:val="none"/>
                      <w:lang w:eastAsia="zh-CN"/>
                    </w:rPr>
                    <w:t>改建</w:t>
                  </w:r>
                  <w:r>
                    <w:rPr>
                      <w:rFonts w:hint="default" w:ascii="Times New Roman" w:hAnsi="Times New Roman" w:eastAsia="宋体" w:cs="Times New Roman"/>
                      <w:color w:val="auto"/>
                      <w:kern w:val="0"/>
                      <w:sz w:val="21"/>
                      <w:szCs w:val="21"/>
                      <w:highlight w:val="none"/>
                    </w:rPr>
                    <w:t>、扩建与供水设施和保护水源无关的项目，以及网箱养殖、畜禽养殖、旅游等可能污染饮用水水体的投资建设项目。禁止在饮用水</w:t>
                  </w:r>
                  <w:r>
                    <w:rPr>
                      <w:rFonts w:hint="default" w:ascii="Times New Roman" w:hAnsi="Times New Roman" w:eastAsia="宋体" w:cs="Times New Roman"/>
                      <w:color w:val="auto"/>
                      <w:kern w:val="0"/>
                      <w:sz w:val="21"/>
                      <w:szCs w:val="21"/>
                      <w:highlight w:val="none"/>
                    </w:rPr>
                    <w:cr/>
                  </w:r>
                  <w:r>
                    <w:rPr>
                      <w:rFonts w:hint="default" w:ascii="Times New Roman" w:hAnsi="Times New Roman" w:eastAsia="宋体" w:cs="Times New Roman"/>
                      <w:color w:val="auto"/>
                      <w:kern w:val="0"/>
                      <w:sz w:val="21"/>
                      <w:szCs w:val="21"/>
                      <w:highlight w:val="none"/>
                    </w:rPr>
                    <w:t>源二级保护区的岸线和河段范围内新建、</w:t>
                  </w:r>
                  <w:r>
                    <w:rPr>
                      <w:rFonts w:hint="default" w:ascii="Times New Roman" w:hAnsi="Times New Roman" w:eastAsia="宋体" w:cs="Times New Roman"/>
                      <w:color w:val="auto"/>
                      <w:kern w:val="0"/>
                      <w:sz w:val="21"/>
                      <w:szCs w:val="21"/>
                      <w:highlight w:val="none"/>
                      <w:lang w:eastAsia="zh-CN"/>
                    </w:rPr>
                    <w:t>改建</w:t>
                  </w:r>
                  <w:r>
                    <w:rPr>
                      <w:rFonts w:hint="default" w:ascii="Times New Roman" w:hAnsi="Times New Roman" w:eastAsia="宋体" w:cs="Times New Roman"/>
                      <w:color w:val="auto"/>
                      <w:kern w:val="0"/>
                      <w:sz w:val="21"/>
                      <w:szCs w:val="21"/>
                      <w:highlight w:val="none"/>
                    </w:rPr>
                    <w:t>、扩建排放污染物的投资建设项目。</w:t>
                  </w:r>
                </w:p>
              </w:tc>
              <w:tc>
                <w:tcPr>
                  <w:tcW w:w="1098"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项目不涉及饮用水源保护区。</w:t>
                  </w:r>
                </w:p>
              </w:tc>
              <w:tc>
                <w:tcPr>
                  <w:tcW w:w="747"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不属于</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521"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w:t>
                  </w:r>
                </w:p>
              </w:tc>
              <w:tc>
                <w:tcPr>
                  <w:tcW w:w="2633" w:type="pct"/>
                  <w:noWrap w:val="0"/>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098"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项目不涉及水产种质资源保护区、国家湿地公园。</w:t>
                  </w:r>
                </w:p>
              </w:tc>
              <w:tc>
                <w:tcPr>
                  <w:tcW w:w="747"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不属于</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521"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c>
                <w:tcPr>
                  <w:tcW w:w="2633" w:type="pct"/>
                  <w:noWrap w:val="0"/>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098"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项目不涉及岸线保护区和保留区。</w:t>
                  </w:r>
                </w:p>
              </w:tc>
              <w:tc>
                <w:tcPr>
                  <w:tcW w:w="747"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不属于</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521"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w:t>
                  </w:r>
                </w:p>
              </w:tc>
              <w:tc>
                <w:tcPr>
                  <w:tcW w:w="2633" w:type="pct"/>
                  <w:noWrap w:val="0"/>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禁止未经许可在长江干支流及湖泊新设、改设或扩大排污口。</w:t>
                  </w:r>
                </w:p>
              </w:tc>
              <w:tc>
                <w:tcPr>
                  <w:tcW w:w="1098"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项目不设置入河排污。</w:t>
                  </w:r>
                </w:p>
              </w:tc>
              <w:tc>
                <w:tcPr>
                  <w:tcW w:w="747"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不属于</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521"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7</w:t>
                  </w:r>
                </w:p>
              </w:tc>
              <w:tc>
                <w:tcPr>
                  <w:tcW w:w="26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禁止在"一江一口两湖七河"和332个水生生物保护区开展生产性捕捞。</w:t>
                  </w:r>
                </w:p>
              </w:tc>
              <w:tc>
                <w:tcPr>
                  <w:tcW w:w="1098"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项目不涉及捕捞。</w:t>
                  </w:r>
                </w:p>
              </w:tc>
              <w:tc>
                <w:tcPr>
                  <w:tcW w:w="747"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不属于</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521"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8</w:t>
                  </w:r>
                </w:p>
              </w:tc>
              <w:tc>
                <w:tcPr>
                  <w:tcW w:w="2633" w:type="pct"/>
                  <w:noWrap w:val="0"/>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禁止在长江干支流、重要湖泊岸线一公里范围内新建、扩建化工园区和化工项目。禁止在长江干流岸线三公里范围</w:t>
                  </w:r>
                  <w:r>
                    <w:rPr>
                      <w:rFonts w:hint="default" w:ascii="Times New Roman" w:hAnsi="Times New Roman" w:eastAsia="宋体" w:cs="Times New Roman"/>
                      <w:color w:val="auto"/>
                      <w:kern w:val="0"/>
                      <w:sz w:val="21"/>
                      <w:szCs w:val="21"/>
                      <w:highlight w:val="none"/>
                    </w:rPr>
                    <w:cr/>
                  </w:r>
                  <w:r>
                    <w:rPr>
                      <w:rFonts w:hint="default" w:ascii="Times New Roman" w:hAnsi="Times New Roman" w:eastAsia="宋体" w:cs="Times New Roman"/>
                      <w:color w:val="auto"/>
                      <w:kern w:val="0"/>
                      <w:sz w:val="21"/>
                      <w:szCs w:val="21"/>
                      <w:highlight w:val="none"/>
                    </w:rPr>
                    <w:t>和重要支流岸线一公里范围内新建、</w:t>
                  </w:r>
                  <w:r>
                    <w:rPr>
                      <w:rFonts w:hint="default" w:ascii="Times New Roman" w:hAnsi="Times New Roman" w:eastAsia="宋体" w:cs="Times New Roman"/>
                      <w:color w:val="auto"/>
                      <w:kern w:val="0"/>
                      <w:sz w:val="21"/>
                      <w:szCs w:val="21"/>
                      <w:highlight w:val="none"/>
                      <w:lang w:eastAsia="zh-CN"/>
                    </w:rPr>
                    <w:t>改建</w:t>
                  </w:r>
                  <w:r>
                    <w:rPr>
                      <w:rFonts w:hint="default" w:ascii="Times New Roman" w:hAnsi="Times New Roman" w:eastAsia="宋体" w:cs="Times New Roman"/>
                      <w:color w:val="auto"/>
                      <w:kern w:val="0"/>
                      <w:sz w:val="21"/>
                      <w:szCs w:val="21"/>
                      <w:highlight w:val="none"/>
                    </w:rPr>
                    <w:t>、扩建尾矿库、冶炼渣库和磷石膏库，以提升安全、生态环境保护水平为目的的</w:t>
                  </w:r>
                  <w:r>
                    <w:rPr>
                      <w:rFonts w:hint="default" w:ascii="Times New Roman" w:hAnsi="Times New Roman" w:eastAsia="宋体" w:cs="Times New Roman"/>
                      <w:color w:val="auto"/>
                      <w:kern w:val="0"/>
                      <w:sz w:val="21"/>
                      <w:szCs w:val="21"/>
                      <w:highlight w:val="none"/>
                      <w:lang w:eastAsia="zh-CN"/>
                    </w:rPr>
                    <w:t>改建</w:t>
                  </w:r>
                  <w:r>
                    <w:rPr>
                      <w:rFonts w:hint="default" w:ascii="Times New Roman" w:hAnsi="Times New Roman" w:eastAsia="宋体" w:cs="Times New Roman"/>
                      <w:color w:val="auto"/>
                      <w:kern w:val="0"/>
                      <w:sz w:val="21"/>
                      <w:szCs w:val="21"/>
                      <w:highlight w:val="none"/>
                    </w:rPr>
                    <w:t>除外。</w:t>
                  </w:r>
                </w:p>
              </w:tc>
              <w:tc>
                <w:tcPr>
                  <w:tcW w:w="1098"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项目不在长江流域干支流、重要湖泊岸线一公里范围内建设化工、尾矿库、冶炼渣库和磷石膏库。</w:t>
                  </w:r>
                </w:p>
              </w:tc>
              <w:tc>
                <w:tcPr>
                  <w:tcW w:w="747"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不属于</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521"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c>
                <w:tcPr>
                  <w:tcW w:w="2633" w:type="pct"/>
                  <w:noWrap w:val="0"/>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禁止在合规园区外新建、扩建钢铁、石化、化工、焦化、建材、有色、制浆造纸等高污染项目。</w:t>
                  </w:r>
                </w:p>
              </w:tc>
              <w:tc>
                <w:tcPr>
                  <w:tcW w:w="1098"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项目在</w:t>
                  </w:r>
                  <w:r>
                    <w:rPr>
                      <w:rFonts w:hint="default" w:ascii="Times New Roman" w:hAnsi="Times New Roman" w:eastAsia="宋体" w:cs="Times New Roman"/>
                      <w:color w:val="auto"/>
                      <w:kern w:val="0"/>
                      <w:sz w:val="21"/>
                      <w:szCs w:val="21"/>
                      <w:highlight w:val="none"/>
                      <w:lang w:val="en-US" w:eastAsia="zh-CN"/>
                    </w:rPr>
                    <w:t>原址改扩建，不新增占地</w:t>
                  </w:r>
                  <w:r>
                    <w:rPr>
                      <w:rFonts w:hint="default" w:ascii="Times New Roman" w:hAnsi="Times New Roman" w:eastAsia="宋体" w:cs="Times New Roman"/>
                      <w:color w:val="auto"/>
                      <w:kern w:val="0"/>
                      <w:sz w:val="21"/>
                      <w:szCs w:val="21"/>
                      <w:highlight w:val="none"/>
                    </w:rPr>
                    <w:t>。</w:t>
                  </w:r>
                </w:p>
              </w:tc>
              <w:tc>
                <w:tcPr>
                  <w:tcW w:w="747"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不属于</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521"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w:t>
                  </w:r>
                </w:p>
              </w:tc>
              <w:tc>
                <w:tcPr>
                  <w:tcW w:w="2633" w:type="pct"/>
                  <w:noWrap w:val="0"/>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禁止新建、扩建不符合国家石化、现代煤化工等产业布局规划的项目。</w:t>
                  </w:r>
                </w:p>
              </w:tc>
              <w:tc>
                <w:tcPr>
                  <w:tcW w:w="1098"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项目不属于石化、现代煤化工等产业。</w:t>
                  </w:r>
                </w:p>
              </w:tc>
              <w:tc>
                <w:tcPr>
                  <w:tcW w:w="747"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不属于</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521"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w:t>
                  </w:r>
                </w:p>
              </w:tc>
              <w:tc>
                <w:tcPr>
                  <w:tcW w:w="2633" w:type="pct"/>
                  <w:noWrap w:val="0"/>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.禁止新建、扩建法律法规和相关政策明令禁止的落后产能项目。禁止新建、扩建不符合国家产能置换要求的严重过剩产能行业的项目。禁止新建、扩建不符合要求的高耗能高排放项目。</w:t>
                  </w:r>
                </w:p>
              </w:tc>
              <w:tc>
                <w:tcPr>
                  <w:tcW w:w="1098"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项目不属于落后产能项目，不属于高耗能高排放项目。</w:t>
                  </w:r>
                </w:p>
              </w:tc>
              <w:tc>
                <w:tcPr>
                  <w:tcW w:w="747"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不属于</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项目不属于《长江经济带发展负面清单指南》（试行，2022年版）中负面清单内容。</w:t>
            </w:r>
          </w:p>
          <w:p>
            <w:pPr>
              <w:pStyle w:val="8"/>
              <w:keepNext w:val="0"/>
              <w:keepLines w:val="0"/>
              <w:suppressLineNumbers w:val="0"/>
              <w:spacing w:beforeAutospacing="0" w:afterAutospacing="0"/>
              <w:ind w:lef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4、项目与《云南省长江经济带发展负面清单指南实施细则》(试行，2022年)符合性分析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highlight w:val="none"/>
              </w:rPr>
              <w:t>项目与《云南省长江经济带发展负面清单指南实施细则》(试行，2022年)对比分析如下：</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表1-</w:t>
            </w:r>
            <w:r>
              <w:rPr>
                <w:rFonts w:hint="default" w:ascii="Times New Roman" w:hAnsi="Times New Roman" w:eastAsia="宋体" w:cs="Times New Roman"/>
                <w:b/>
                <w:color w:val="auto"/>
                <w:szCs w:val="21"/>
                <w:highlight w:val="none"/>
                <w:lang w:val="en-US" w:eastAsia="zh-CN"/>
              </w:rPr>
              <w:t>5</w:t>
            </w:r>
            <w:r>
              <w:rPr>
                <w:rFonts w:hint="default" w:ascii="Times New Roman" w:hAnsi="Times New Roman" w:eastAsia="宋体" w:cs="Times New Roman"/>
                <w:b/>
                <w:color w:val="auto"/>
                <w:szCs w:val="21"/>
                <w:highlight w:val="none"/>
              </w:rPr>
              <w:t xml:space="preserve">   项目与《云南省长江经济带发展负面清单指南实施细则(试行，2022年)》相符性分析</w:t>
            </w:r>
          </w:p>
          <w:tbl>
            <w:tblPr>
              <w:tblStyle w:val="23"/>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649"/>
              <w:gridCol w:w="3296"/>
              <w:gridCol w:w="1374"/>
              <w:gridCol w:w="93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blHeader/>
                <w:jc w:val="center"/>
              </w:trPr>
              <w:tc>
                <w:tcPr>
                  <w:tcW w:w="519"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序号</w:t>
                  </w:r>
                </w:p>
              </w:tc>
              <w:tc>
                <w:tcPr>
                  <w:tcW w:w="263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要求（摘录）</w:t>
                  </w:r>
                </w:p>
              </w:tc>
              <w:tc>
                <w:tcPr>
                  <w:tcW w:w="1098"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项目情况</w:t>
                  </w:r>
                </w:p>
              </w:tc>
              <w:tc>
                <w:tcPr>
                  <w:tcW w:w="74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符合性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519"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263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禁止新建、</w:t>
                  </w:r>
                  <w:r>
                    <w:rPr>
                      <w:rFonts w:hint="default" w:ascii="Times New Roman" w:hAnsi="Times New Roman" w:eastAsia="宋体" w:cs="Times New Roman"/>
                      <w:color w:val="auto"/>
                      <w:kern w:val="0"/>
                      <w:sz w:val="21"/>
                      <w:szCs w:val="21"/>
                      <w:highlight w:val="none"/>
                      <w:lang w:eastAsia="zh-CN"/>
                    </w:rPr>
                    <w:t>改建</w:t>
                  </w:r>
                  <w:r>
                    <w:rPr>
                      <w:rFonts w:hint="default" w:ascii="Times New Roman" w:hAnsi="Times New Roman" w:eastAsia="宋体" w:cs="Times New Roman"/>
                      <w:color w:val="auto"/>
                      <w:kern w:val="0"/>
                      <w:sz w:val="21"/>
                      <w:szCs w:val="21"/>
                      <w:highlight w:val="none"/>
                    </w:rPr>
                    <w:t>和扩建不符合《全国内河航道与港口布局规划》等全国港口规划和《昭通市港口码头岸线规划(金沙江段2019年-2035年)》、《景洪港总体规划(2019-2035年)》等州(市)级以上港口布局规划以及港口总体规划的码头项目。</w:t>
                  </w:r>
                </w:p>
              </w:tc>
              <w:tc>
                <w:tcPr>
                  <w:tcW w:w="1098"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项目在</w:t>
                  </w:r>
                  <w:r>
                    <w:rPr>
                      <w:rFonts w:hint="default" w:ascii="Times New Roman" w:hAnsi="Times New Roman" w:eastAsia="宋体" w:cs="Times New Roman"/>
                      <w:color w:val="auto"/>
                      <w:kern w:val="0"/>
                      <w:sz w:val="21"/>
                      <w:szCs w:val="21"/>
                      <w:highlight w:val="none"/>
                      <w:lang w:val="en-US" w:eastAsia="zh-CN"/>
                    </w:rPr>
                    <w:t>原址改扩建，不新增占地，</w:t>
                  </w:r>
                  <w:r>
                    <w:rPr>
                      <w:rFonts w:hint="default" w:ascii="Times New Roman" w:hAnsi="Times New Roman" w:eastAsia="宋体" w:cs="Times New Roman"/>
                      <w:color w:val="auto"/>
                      <w:kern w:val="0"/>
                      <w:sz w:val="21"/>
                      <w:szCs w:val="21"/>
                      <w:highlight w:val="none"/>
                    </w:rPr>
                    <w:t>本项目不属于码头项目。</w:t>
                  </w:r>
                </w:p>
              </w:tc>
              <w:tc>
                <w:tcPr>
                  <w:tcW w:w="746"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519"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p>
              </w:tc>
              <w:tc>
                <w:tcPr>
                  <w:tcW w:w="2634" w:type="pct"/>
                  <w:noWrap w:val="0"/>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098" w:type="pct"/>
                  <w:noWrap w:val="0"/>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w:t>
                  </w:r>
                  <w:r>
                    <w:rPr>
                      <w:rFonts w:hint="default" w:ascii="Times New Roman" w:hAnsi="Times New Roman" w:eastAsia="宋体" w:cs="Times New Roman"/>
                      <w:color w:val="auto"/>
                      <w:sz w:val="21"/>
                      <w:szCs w:val="21"/>
                      <w:highlight w:val="none"/>
                    </w:rPr>
                    <w:t>位于</w:t>
                  </w:r>
                  <w:r>
                    <w:rPr>
                      <w:rFonts w:hint="default" w:ascii="Times New Roman" w:hAnsi="Times New Roman" w:eastAsia="宋体" w:cs="Times New Roman"/>
                      <w:color w:val="auto"/>
                      <w:sz w:val="21"/>
                      <w:szCs w:val="21"/>
                      <w:highlight w:val="none"/>
                      <w:lang w:eastAsia="zh-CN"/>
                    </w:rPr>
                    <w:t>云南省昆明市宜良县北古城镇凤莱村委会下前所村</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kern w:val="0"/>
                      <w:sz w:val="21"/>
                      <w:szCs w:val="21"/>
                      <w:highlight w:val="none"/>
                    </w:rPr>
                    <w:t>在</w:t>
                  </w:r>
                  <w:r>
                    <w:rPr>
                      <w:rFonts w:hint="default" w:ascii="Times New Roman" w:hAnsi="Times New Roman" w:eastAsia="宋体" w:cs="Times New Roman"/>
                      <w:color w:val="auto"/>
                      <w:kern w:val="0"/>
                      <w:sz w:val="21"/>
                      <w:szCs w:val="21"/>
                      <w:highlight w:val="none"/>
                      <w:lang w:val="en-US" w:eastAsia="zh-CN"/>
                    </w:rPr>
                    <w:t>原址改扩建，不新增占地，</w:t>
                  </w:r>
                  <w:r>
                    <w:rPr>
                      <w:rFonts w:hint="default" w:ascii="Times New Roman" w:hAnsi="Times New Roman" w:eastAsia="宋体" w:cs="Times New Roman"/>
                      <w:color w:val="auto"/>
                      <w:kern w:val="0"/>
                      <w:sz w:val="21"/>
                      <w:szCs w:val="21"/>
                      <w:highlight w:val="none"/>
                    </w:rPr>
                    <w:t>占地范围不涉及自然保护区核心区、缓冲区。</w:t>
                  </w:r>
                </w:p>
              </w:tc>
              <w:tc>
                <w:tcPr>
                  <w:tcW w:w="746"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519"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tc>
              <w:tc>
                <w:tcPr>
                  <w:tcW w:w="263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1098"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w:t>
                  </w:r>
                  <w:r>
                    <w:rPr>
                      <w:rFonts w:hint="default" w:ascii="Times New Roman" w:hAnsi="Times New Roman" w:eastAsia="宋体" w:cs="Times New Roman"/>
                      <w:color w:val="auto"/>
                      <w:sz w:val="21"/>
                      <w:szCs w:val="21"/>
                      <w:highlight w:val="none"/>
                    </w:rPr>
                    <w:t>位于</w:t>
                  </w:r>
                  <w:r>
                    <w:rPr>
                      <w:rFonts w:hint="default" w:ascii="Times New Roman" w:hAnsi="Times New Roman" w:eastAsia="宋体" w:cs="Times New Roman"/>
                      <w:color w:val="auto"/>
                      <w:sz w:val="21"/>
                      <w:szCs w:val="21"/>
                      <w:highlight w:val="none"/>
                      <w:lang w:eastAsia="zh-CN"/>
                    </w:rPr>
                    <w:t>云南省昆明市宜良县北古城镇凤莱村委会下前所村</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kern w:val="0"/>
                      <w:sz w:val="21"/>
                      <w:szCs w:val="21"/>
                      <w:highlight w:val="none"/>
                    </w:rPr>
                    <w:t>在</w:t>
                  </w:r>
                  <w:r>
                    <w:rPr>
                      <w:rFonts w:hint="default" w:ascii="Times New Roman" w:hAnsi="Times New Roman" w:eastAsia="宋体" w:cs="Times New Roman"/>
                      <w:color w:val="auto"/>
                      <w:kern w:val="0"/>
                      <w:sz w:val="21"/>
                      <w:szCs w:val="21"/>
                      <w:highlight w:val="none"/>
                      <w:lang w:val="en-US" w:eastAsia="zh-CN"/>
                    </w:rPr>
                    <w:t>原址改扩建，不新增占地，</w:t>
                  </w:r>
                  <w:r>
                    <w:rPr>
                      <w:rFonts w:hint="default" w:ascii="Times New Roman" w:hAnsi="Times New Roman" w:eastAsia="宋体" w:cs="Times New Roman"/>
                      <w:color w:val="auto"/>
                      <w:sz w:val="21"/>
                      <w:szCs w:val="21"/>
                      <w:highlight w:val="none"/>
                    </w:rPr>
                    <w:t>占地范围</w:t>
                  </w:r>
                  <w:r>
                    <w:rPr>
                      <w:rFonts w:hint="default" w:ascii="Times New Roman" w:hAnsi="Times New Roman" w:eastAsia="宋体" w:cs="Times New Roman"/>
                      <w:color w:val="auto"/>
                      <w:kern w:val="0"/>
                      <w:sz w:val="21"/>
                      <w:szCs w:val="21"/>
                      <w:highlight w:val="none"/>
                    </w:rPr>
                    <w:t>不涉及风景名胜区。</w:t>
                  </w:r>
                </w:p>
              </w:tc>
              <w:tc>
                <w:tcPr>
                  <w:tcW w:w="746"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519"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w:t>
                  </w:r>
                </w:p>
              </w:tc>
              <w:tc>
                <w:tcPr>
                  <w:tcW w:w="263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禁止在饮用水水源一级保护区的岸线和河段范围内新建、</w:t>
                  </w:r>
                  <w:r>
                    <w:rPr>
                      <w:rFonts w:hint="default" w:ascii="Times New Roman" w:hAnsi="Times New Roman" w:eastAsia="宋体" w:cs="Times New Roman"/>
                      <w:color w:val="auto"/>
                      <w:kern w:val="0"/>
                      <w:sz w:val="21"/>
                      <w:szCs w:val="21"/>
                      <w:highlight w:val="none"/>
                      <w:lang w:eastAsia="zh-CN"/>
                    </w:rPr>
                    <w:t>改建</w:t>
                  </w:r>
                  <w:r>
                    <w:rPr>
                      <w:rFonts w:hint="default" w:ascii="Times New Roman" w:hAnsi="Times New Roman" w:eastAsia="宋体" w:cs="Times New Roman"/>
                      <w:color w:val="auto"/>
                      <w:kern w:val="0"/>
                      <w:sz w:val="21"/>
                      <w:szCs w:val="21"/>
                      <w:highlight w:val="none"/>
                    </w:rPr>
                    <w:t>、扩建与供水设施和保护水源无关的投资建设项目以及网箱养殖、畜禽养殖、旅游等可能污染饮用水水体的投资建设项目。禁止在饮用水水源二级保护区的岸线和河段范围内新建、</w:t>
                  </w:r>
                  <w:r>
                    <w:rPr>
                      <w:rFonts w:hint="default" w:ascii="Times New Roman" w:hAnsi="Times New Roman" w:eastAsia="宋体" w:cs="Times New Roman"/>
                      <w:color w:val="auto"/>
                      <w:kern w:val="0"/>
                      <w:sz w:val="21"/>
                      <w:szCs w:val="21"/>
                      <w:highlight w:val="none"/>
                      <w:lang w:eastAsia="zh-CN"/>
                    </w:rPr>
                    <w:t>改建</w:t>
                  </w:r>
                  <w:r>
                    <w:rPr>
                      <w:rFonts w:hint="default" w:ascii="Times New Roman" w:hAnsi="Times New Roman" w:eastAsia="宋体" w:cs="Times New Roman"/>
                      <w:color w:val="auto"/>
                      <w:kern w:val="0"/>
                      <w:sz w:val="21"/>
                      <w:szCs w:val="21"/>
                      <w:highlight w:val="none"/>
                    </w:rPr>
                    <w:t>、扩建排放污染物的投资建设项目。</w:t>
                  </w:r>
                </w:p>
              </w:tc>
              <w:tc>
                <w:tcPr>
                  <w:tcW w:w="1098"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w:t>
                  </w:r>
                  <w:r>
                    <w:rPr>
                      <w:rFonts w:hint="default" w:ascii="Times New Roman" w:hAnsi="Times New Roman" w:eastAsia="宋体" w:cs="Times New Roman"/>
                      <w:color w:val="auto"/>
                      <w:sz w:val="21"/>
                      <w:szCs w:val="21"/>
                      <w:highlight w:val="none"/>
                    </w:rPr>
                    <w:t>位于</w:t>
                  </w:r>
                  <w:r>
                    <w:rPr>
                      <w:rFonts w:hint="default" w:ascii="Times New Roman" w:hAnsi="Times New Roman" w:eastAsia="宋体" w:cs="Times New Roman"/>
                      <w:color w:val="auto"/>
                      <w:sz w:val="21"/>
                      <w:szCs w:val="21"/>
                      <w:highlight w:val="none"/>
                      <w:lang w:eastAsia="zh-CN"/>
                    </w:rPr>
                    <w:t>云南省昆明市宜良县北古城镇凤莱村委会下前所村</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kern w:val="0"/>
                      <w:sz w:val="21"/>
                      <w:szCs w:val="21"/>
                      <w:highlight w:val="none"/>
                    </w:rPr>
                    <w:t>在</w:t>
                  </w:r>
                  <w:r>
                    <w:rPr>
                      <w:rFonts w:hint="default" w:ascii="Times New Roman" w:hAnsi="Times New Roman" w:eastAsia="宋体" w:cs="Times New Roman"/>
                      <w:color w:val="auto"/>
                      <w:kern w:val="0"/>
                      <w:sz w:val="21"/>
                      <w:szCs w:val="21"/>
                      <w:highlight w:val="none"/>
                      <w:lang w:val="en-US" w:eastAsia="zh-CN"/>
                    </w:rPr>
                    <w:t>原址改扩建，不新增占地，</w:t>
                  </w:r>
                  <w:r>
                    <w:rPr>
                      <w:rFonts w:hint="default" w:ascii="Times New Roman" w:hAnsi="Times New Roman" w:eastAsia="宋体" w:cs="Times New Roman"/>
                      <w:color w:val="auto"/>
                      <w:sz w:val="21"/>
                      <w:szCs w:val="21"/>
                      <w:highlight w:val="none"/>
                    </w:rPr>
                    <w:t>占地范围</w:t>
                  </w:r>
                  <w:r>
                    <w:rPr>
                      <w:rFonts w:hint="default" w:ascii="Times New Roman" w:hAnsi="Times New Roman" w:eastAsia="宋体" w:cs="Times New Roman"/>
                      <w:color w:val="auto"/>
                      <w:kern w:val="0"/>
                      <w:sz w:val="21"/>
                      <w:szCs w:val="21"/>
                      <w:highlight w:val="none"/>
                    </w:rPr>
                    <w:t>不涉及饮用水水源保护区。</w:t>
                  </w:r>
                </w:p>
              </w:tc>
              <w:tc>
                <w:tcPr>
                  <w:tcW w:w="746"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519"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c>
                <w:tcPr>
                  <w:tcW w:w="2634" w:type="pct"/>
                  <w:noWrap w:val="0"/>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098"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w:t>
                  </w:r>
                  <w:r>
                    <w:rPr>
                      <w:rFonts w:hint="default" w:ascii="Times New Roman" w:hAnsi="Times New Roman" w:eastAsia="宋体" w:cs="Times New Roman"/>
                      <w:color w:val="auto"/>
                      <w:sz w:val="21"/>
                      <w:szCs w:val="21"/>
                      <w:highlight w:val="none"/>
                    </w:rPr>
                    <w:t>位于</w:t>
                  </w:r>
                  <w:r>
                    <w:rPr>
                      <w:rFonts w:hint="default" w:ascii="Times New Roman" w:hAnsi="Times New Roman" w:eastAsia="宋体" w:cs="Times New Roman"/>
                      <w:color w:val="auto"/>
                      <w:sz w:val="21"/>
                      <w:szCs w:val="21"/>
                      <w:highlight w:val="none"/>
                      <w:lang w:eastAsia="zh-CN"/>
                    </w:rPr>
                    <w:t>云南省昆明市宜良县北古城镇凤莱村委会下前所村</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kern w:val="0"/>
                      <w:sz w:val="21"/>
                      <w:szCs w:val="21"/>
                      <w:highlight w:val="none"/>
                    </w:rPr>
                    <w:t>在</w:t>
                  </w:r>
                  <w:r>
                    <w:rPr>
                      <w:rFonts w:hint="default" w:ascii="Times New Roman" w:hAnsi="Times New Roman" w:eastAsia="宋体" w:cs="Times New Roman"/>
                      <w:color w:val="auto"/>
                      <w:kern w:val="0"/>
                      <w:sz w:val="21"/>
                      <w:szCs w:val="21"/>
                      <w:highlight w:val="none"/>
                      <w:lang w:val="en-US" w:eastAsia="zh-CN"/>
                    </w:rPr>
                    <w:t>原址改扩建，不新增占地，</w:t>
                  </w:r>
                  <w:r>
                    <w:rPr>
                      <w:rFonts w:hint="default" w:ascii="Times New Roman" w:hAnsi="Times New Roman" w:eastAsia="宋体" w:cs="Times New Roman"/>
                      <w:color w:val="auto"/>
                      <w:sz w:val="21"/>
                      <w:szCs w:val="21"/>
                      <w:highlight w:val="none"/>
                    </w:rPr>
                    <w:t>占地范围</w:t>
                  </w:r>
                  <w:r>
                    <w:rPr>
                      <w:rFonts w:hint="default" w:ascii="Times New Roman" w:hAnsi="Times New Roman" w:eastAsia="宋体" w:cs="Times New Roman"/>
                      <w:color w:val="auto"/>
                      <w:kern w:val="0"/>
                      <w:sz w:val="21"/>
                      <w:szCs w:val="21"/>
                      <w:highlight w:val="none"/>
                    </w:rPr>
                    <w:t>不涉及水产种质资源保护区，不在国家湿地公园划定范围内。</w:t>
                  </w:r>
                </w:p>
              </w:tc>
              <w:tc>
                <w:tcPr>
                  <w:tcW w:w="746"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519"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w:t>
                  </w:r>
                </w:p>
              </w:tc>
              <w:tc>
                <w:tcPr>
                  <w:tcW w:w="2634" w:type="pct"/>
                  <w:noWrap w:val="0"/>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098"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项目不在长江流域河湖岸线、金沙江干流、九大高原湖泊保护区、保留区范围内投资建设项目。</w:t>
                  </w:r>
                </w:p>
              </w:tc>
              <w:tc>
                <w:tcPr>
                  <w:tcW w:w="746"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519"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7</w:t>
                  </w:r>
                </w:p>
              </w:tc>
              <w:tc>
                <w:tcPr>
                  <w:tcW w:w="2634" w:type="pct"/>
                  <w:noWrap w:val="0"/>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1098"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项目不在金沙江干流、长江一级支流、九大高原湖泊流域划定范围内排污。</w:t>
                  </w:r>
                </w:p>
              </w:tc>
              <w:tc>
                <w:tcPr>
                  <w:tcW w:w="746"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519"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8</w:t>
                  </w:r>
                </w:p>
              </w:tc>
              <w:tc>
                <w:tcPr>
                  <w:tcW w:w="2634" w:type="pct"/>
                  <w:noWrap w:val="0"/>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禁止在金沙江干流、长江一级支流、水生生物保护区和长江流域禁捕水域开展天然渔业资源生产性捕捞。</w:t>
                  </w:r>
                </w:p>
              </w:tc>
              <w:tc>
                <w:tcPr>
                  <w:tcW w:w="1098"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项目不在金沙江干流、长江一级支流划定范围内。</w:t>
                  </w:r>
                </w:p>
              </w:tc>
              <w:tc>
                <w:tcPr>
                  <w:tcW w:w="746"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519"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9</w:t>
                  </w:r>
                </w:p>
              </w:tc>
              <w:tc>
                <w:tcPr>
                  <w:tcW w:w="2634" w:type="pct"/>
                  <w:noWrap w:val="0"/>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禁止在金沙江干流，长江一级支流和九大高原湖泊岸线一公里范围内新建、扩建化工园区和化工项目。禁止在金沙江干流岸线三公里范围内和长江一级支流岸线一公里范围内新建、</w:t>
                  </w:r>
                  <w:r>
                    <w:rPr>
                      <w:rFonts w:hint="default" w:ascii="Times New Roman" w:hAnsi="Times New Roman" w:eastAsia="宋体" w:cs="Times New Roman"/>
                      <w:color w:val="auto"/>
                      <w:kern w:val="0"/>
                      <w:sz w:val="21"/>
                      <w:szCs w:val="21"/>
                      <w:highlight w:val="none"/>
                      <w:lang w:eastAsia="zh-CN"/>
                    </w:rPr>
                    <w:t>改建</w:t>
                  </w:r>
                  <w:r>
                    <w:rPr>
                      <w:rFonts w:hint="default" w:ascii="Times New Roman" w:hAnsi="Times New Roman" w:eastAsia="宋体" w:cs="Times New Roman"/>
                      <w:color w:val="auto"/>
                      <w:kern w:val="0"/>
                      <w:sz w:val="21"/>
                      <w:szCs w:val="21"/>
                      <w:highlight w:val="none"/>
                    </w:rPr>
                    <w:t>、扩建尾矿库、冶炼渣库和磷石膏库，以提升安全、生态环境保护水平为目的的</w:t>
                  </w:r>
                  <w:r>
                    <w:rPr>
                      <w:rFonts w:hint="default" w:ascii="Times New Roman" w:hAnsi="Times New Roman" w:eastAsia="宋体" w:cs="Times New Roman"/>
                      <w:color w:val="auto"/>
                      <w:kern w:val="0"/>
                      <w:sz w:val="21"/>
                      <w:szCs w:val="21"/>
                      <w:highlight w:val="none"/>
                      <w:lang w:eastAsia="zh-CN"/>
                    </w:rPr>
                    <w:t>改建</w:t>
                  </w:r>
                  <w:r>
                    <w:rPr>
                      <w:rFonts w:hint="default" w:ascii="Times New Roman" w:hAnsi="Times New Roman" w:eastAsia="宋体" w:cs="Times New Roman"/>
                      <w:color w:val="auto"/>
                      <w:kern w:val="0"/>
                      <w:sz w:val="21"/>
                      <w:szCs w:val="21"/>
                      <w:highlight w:val="none"/>
                    </w:rPr>
                    <w:t>除外。</w:t>
                  </w:r>
                </w:p>
              </w:tc>
              <w:tc>
                <w:tcPr>
                  <w:tcW w:w="1098" w:type="pct"/>
                  <w:noWrap w:val="0"/>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项目不在金沙江干流、长江一级支流、九大高原湖泊岸线一公里范围内投资建设项目。</w:t>
                  </w:r>
                </w:p>
              </w:tc>
              <w:tc>
                <w:tcPr>
                  <w:tcW w:w="746"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519"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c>
                <w:tcPr>
                  <w:tcW w:w="2634" w:type="pct"/>
                  <w:noWrap w:val="0"/>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禁止在合规园区外新建、扩建钢铁、石化、化工，焦化、建材、有色、制浆造纸行业中的高污染项目。</w:t>
                  </w:r>
                </w:p>
              </w:tc>
              <w:tc>
                <w:tcPr>
                  <w:tcW w:w="1098"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rPr>
                    <w:t>项目</w:t>
                  </w:r>
                  <w:r>
                    <w:rPr>
                      <w:rFonts w:hint="default" w:ascii="Times New Roman" w:hAnsi="Times New Roman" w:eastAsia="宋体" w:cs="Times New Roman"/>
                      <w:color w:val="auto"/>
                      <w:sz w:val="21"/>
                      <w:szCs w:val="21"/>
                      <w:highlight w:val="none"/>
                    </w:rPr>
                    <w:t>位于</w:t>
                  </w:r>
                  <w:r>
                    <w:rPr>
                      <w:rFonts w:hint="default" w:ascii="Times New Roman" w:hAnsi="Times New Roman" w:eastAsia="宋体" w:cs="Times New Roman"/>
                      <w:color w:val="auto"/>
                      <w:sz w:val="21"/>
                      <w:szCs w:val="21"/>
                      <w:highlight w:val="none"/>
                      <w:lang w:eastAsia="zh-CN"/>
                    </w:rPr>
                    <w:t>云南省昆明市宜良县北古城镇凤莱村委会下前所村</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kern w:val="0"/>
                      <w:sz w:val="21"/>
                      <w:szCs w:val="21"/>
                      <w:highlight w:val="none"/>
                    </w:rPr>
                    <w:t>在</w:t>
                  </w:r>
                  <w:r>
                    <w:rPr>
                      <w:rFonts w:hint="default" w:ascii="Times New Roman" w:hAnsi="Times New Roman" w:eastAsia="宋体" w:cs="Times New Roman"/>
                      <w:color w:val="auto"/>
                      <w:kern w:val="0"/>
                      <w:sz w:val="21"/>
                      <w:szCs w:val="21"/>
                      <w:highlight w:val="none"/>
                      <w:lang w:val="en-US" w:eastAsia="zh-CN"/>
                    </w:rPr>
                    <w:t>原址改扩建，不新增占地</w:t>
                  </w:r>
                  <w:r>
                    <w:rPr>
                      <w:rFonts w:hint="default" w:ascii="Times New Roman" w:hAnsi="Times New Roman" w:eastAsia="宋体" w:cs="Times New Roman"/>
                      <w:color w:val="auto"/>
                      <w:kern w:val="0"/>
                      <w:sz w:val="21"/>
                      <w:szCs w:val="21"/>
                      <w:highlight w:val="none"/>
                    </w:rPr>
                    <w:t>。</w:t>
                  </w:r>
                </w:p>
              </w:tc>
              <w:tc>
                <w:tcPr>
                  <w:tcW w:w="746"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519"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w:t>
                  </w:r>
                </w:p>
              </w:tc>
              <w:tc>
                <w:tcPr>
                  <w:tcW w:w="2634" w:type="pct"/>
                  <w:noWrap w:val="0"/>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禁止新建、扩建不符合国家石化、现代煤化工等产业布局规划的项目。禁止列入《云南省城镇人口密集区危险化学品生产企业搬迁改造名单》的搬迁改造企业在原址新建、扩建危险化学品生产项目。</w:t>
                  </w:r>
                </w:p>
              </w:tc>
              <w:tc>
                <w:tcPr>
                  <w:tcW w:w="1098"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项目不属于《云南省城镇人口密集区危险化学品生产企业搬迁改造名单》的搬迁改造企业。</w:t>
                  </w:r>
                </w:p>
              </w:tc>
              <w:tc>
                <w:tcPr>
                  <w:tcW w:w="746"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519"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w:t>
                  </w:r>
                </w:p>
              </w:tc>
              <w:tc>
                <w:tcPr>
                  <w:tcW w:w="2634" w:type="pct"/>
                  <w:noWrap w:val="0"/>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1098" w:type="pct"/>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根据《产业结构调整指导目录》（2024年本），项目</w:t>
                  </w:r>
                  <w:r>
                    <w:rPr>
                      <w:rFonts w:hint="default" w:ascii="Times New Roman" w:hAnsi="Times New Roman" w:eastAsia="宋体" w:cs="Times New Roman"/>
                      <w:color w:val="auto"/>
                      <w:sz w:val="21"/>
                      <w:szCs w:val="21"/>
                      <w:highlight w:val="none"/>
                      <w:lang w:val="en-US" w:eastAsia="zh-CN"/>
                    </w:rPr>
                    <w:t>为</w:t>
                  </w:r>
                  <w:r>
                    <w:rPr>
                      <w:rFonts w:hint="default" w:ascii="Times New Roman" w:hAnsi="Times New Roman" w:eastAsia="宋体" w:cs="Times New Roman"/>
                      <w:color w:val="auto"/>
                      <w:sz w:val="21"/>
                      <w:szCs w:val="21"/>
                      <w:highlight w:val="none"/>
                    </w:rPr>
                    <w:t>鼓励类，项目建设符合国家产业政策。项目不属于高耗能、高耗水企业；项目建设符合相关要求。</w:t>
                  </w:r>
                </w:p>
              </w:tc>
              <w:tc>
                <w:tcPr>
                  <w:tcW w:w="746"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综上所述，项目符合《云南省长江经济带发展负面清单指南实施细则》(试行，2022年)的相关要求。</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kern w:val="0"/>
                <w:sz w:val="24"/>
                <w:szCs w:val="24"/>
                <w:highlight w:val="none"/>
                <w:lang w:bidi="ar"/>
              </w:rPr>
            </w:pPr>
            <w:r>
              <w:rPr>
                <w:rFonts w:hint="default" w:ascii="Times New Roman" w:hAnsi="Times New Roman" w:eastAsia="宋体" w:cs="Times New Roman"/>
                <w:b/>
                <w:bCs/>
                <w:color w:val="auto"/>
                <w:sz w:val="24"/>
                <w:szCs w:val="24"/>
                <w:highlight w:val="none"/>
              </w:rPr>
              <w:t>5、</w:t>
            </w:r>
            <w:r>
              <w:rPr>
                <w:rFonts w:hint="default" w:ascii="Times New Roman" w:hAnsi="Times New Roman" w:eastAsia="宋体" w:cs="Times New Roman"/>
                <w:b/>
                <w:bCs/>
                <w:color w:val="auto"/>
                <w:kern w:val="0"/>
                <w:sz w:val="24"/>
                <w:szCs w:val="24"/>
                <w:highlight w:val="none"/>
                <w:lang w:bidi="ar"/>
              </w:rPr>
              <w:t>项目与《昆明市大气污染防治条例》相符性分析</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rPr>
              <w:t>2020年11月25日，云南省第十三届人民代表大会常务委员会第二十一次会议审查通过了《昆明市大气污染防治条例》，自2021年3月1日起正式施行。本项目与《昆明市大气污染防治条例》符合性分析详见下表。</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bCs/>
                <w:color w:val="auto"/>
                <w:szCs w:val="21"/>
                <w:highlight w:val="none"/>
              </w:rPr>
              <w:t>表 1-</w:t>
            </w:r>
            <w:r>
              <w:rPr>
                <w:rFonts w:hint="default" w:ascii="Times New Roman" w:hAnsi="Times New Roman" w:eastAsia="宋体" w:cs="Times New Roman"/>
                <w:b/>
                <w:bCs/>
                <w:color w:val="auto"/>
                <w:szCs w:val="21"/>
                <w:highlight w:val="none"/>
                <w:lang w:val="en-US" w:eastAsia="zh-CN"/>
              </w:rPr>
              <w:t>6</w:t>
            </w:r>
            <w:r>
              <w:rPr>
                <w:rFonts w:hint="default" w:ascii="Times New Roman" w:hAnsi="Times New Roman" w:eastAsia="宋体" w:cs="Times New Roman"/>
                <w:b/>
                <w:bCs/>
                <w:color w:val="auto"/>
                <w:szCs w:val="21"/>
                <w:highlight w:val="none"/>
              </w:rPr>
              <w:t xml:space="preserve"> </w:t>
            </w:r>
            <w:r>
              <w:rPr>
                <w:rFonts w:hint="default" w:ascii="Times New Roman" w:hAnsi="Times New Roman" w:eastAsia="宋体" w:cs="Times New Roman"/>
                <w:b/>
                <w:bCs/>
                <w:color w:val="auto"/>
                <w:kern w:val="0"/>
                <w:szCs w:val="21"/>
                <w:highlight w:val="none"/>
              </w:rPr>
              <w:t xml:space="preserve"> </w:t>
            </w:r>
            <w:r>
              <w:rPr>
                <w:rFonts w:hint="default" w:ascii="Times New Roman" w:hAnsi="Times New Roman" w:eastAsia="宋体" w:cs="Times New Roman"/>
                <w:b/>
                <w:color w:val="auto"/>
                <w:szCs w:val="21"/>
                <w:highlight w:val="none"/>
              </w:rPr>
              <w:t>项目与《昆明市大气污染防治条例》符合性分析</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2693"/>
              <w:gridCol w:w="2444"/>
              <w:gridCol w:w="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95" w:type="pct"/>
                  <w:noWrap w:val="0"/>
                  <w:vAlign w:val="center"/>
                </w:tcPr>
                <w:p>
                  <w:pPr>
                    <w:pStyle w:val="91"/>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序号</w:t>
                  </w:r>
                </w:p>
              </w:tc>
              <w:tc>
                <w:tcPr>
                  <w:tcW w:w="216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rPr>
                    <w:t>《昆明市大气污染防治条例》</w:t>
                  </w:r>
                </w:p>
              </w:tc>
              <w:tc>
                <w:tcPr>
                  <w:tcW w:w="196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sz w:val="21"/>
                      <w:szCs w:val="21"/>
                      <w:highlight w:val="none"/>
                    </w:rPr>
                    <w:t>本项目情况</w:t>
                  </w:r>
                </w:p>
              </w:tc>
              <w:tc>
                <w:tcPr>
                  <w:tcW w:w="57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 w:type="pct"/>
                  <w:noWrap w:val="0"/>
                  <w:vAlign w:val="center"/>
                </w:tcPr>
                <w:p>
                  <w:pPr>
                    <w:pStyle w:val="91"/>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2166" w:type="pct"/>
                  <w:noWrap w:val="0"/>
                  <w:vAlign w:val="center"/>
                </w:tcPr>
                <w:p>
                  <w:pPr>
                    <w:pStyle w:val="91"/>
                    <w:keepNext w:val="0"/>
                    <w:keepLines w:val="0"/>
                    <w:suppressLineNumbers w:val="0"/>
                    <w:spacing w:before="0" w:beforeAutospacing="0" w:after="0" w:afterAutospacing="0"/>
                    <w:ind w:left="0" w:right="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企业事业单位和其他生产经营者应当采取有效措施，防止、减少大气污染，对所造成的损害依法承担责任。</w:t>
                  </w:r>
                </w:p>
              </w:tc>
              <w:tc>
                <w:tcPr>
                  <w:tcW w:w="1967" w:type="pct"/>
                  <w:noWrap w:val="0"/>
                  <w:vAlign w:val="center"/>
                </w:tcPr>
                <w:p>
                  <w:pPr>
                    <w:pStyle w:val="91"/>
                    <w:keepNext w:val="0"/>
                    <w:keepLines w:val="0"/>
                    <w:suppressLineNumbers w:val="0"/>
                    <w:spacing w:before="0" w:beforeAutospacing="0" w:after="0" w:afterAutospacing="0"/>
                    <w:ind w:left="0" w:right="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项目在原址改扩建，不新增占地，用污泥替代部分页岩作为制砖材料。环保设施均为依托原有，项目所用的污染治理设施处理后废气可达标排放。</w:t>
                  </w:r>
                </w:p>
              </w:tc>
              <w:tc>
                <w:tcPr>
                  <w:tcW w:w="570" w:type="pct"/>
                  <w:noWrap w:val="0"/>
                  <w:vAlign w:val="center"/>
                </w:tcPr>
                <w:p>
                  <w:pPr>
                    <w:pStyle w:val="91"/>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 w:type="pct"/>
                  <w:noWrap w:val="0"/>
                  <w:vAlign w:val="center"/>
                </w:tcPr>
                <w:p>
                  <w:pPr>
                    <w:pStyle w:val="91"/>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2166" w:type="pct"/>
                  <w:noWrap w:val="0"/>
                  <w:vAlign w:val="center"/>
                </w:tcPr>
                <w:p>
                  <w:pPr>
                    <w:pStyle w:val="91"/>
                    <w:keepNext w:val="0"/>
                    <w:keepLines w:val="0"/>
                    <w:suppressLineNumbers w:val="0"/>
                    <w:spacing w:before="0" w:beforeAutospacing="0" w:after="0" w:afterAutospacing="0"/>
                    <w:ind w:left="0" w:right="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按照国家有关规定依法实行排污许可管理的单位，应当依法取得排污许可证，并按照排污许可证的规定排放大气污染物，禁止无排污许可证或者不按照排污许可证的规定排放大气污染物。</w:t>
                  </w:r>
                </w:p>
              </w:tc>
              <w:tc>
                <w:tcPr>
                  <w:tcW w:w="1967" w:type="pct"/>
                  <w:noWrap w:val="0"/>
                  <w:vAlign w:val="center"/>
                </w:tcPr>
                <w:p>
                  <w:pPr>
                    <w:pStyle w:val="91"/>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项目为改扩建项目，待取得环评批复，将依法按照相关要求变更排污许可证。</w:t>
                  </w:r>
                </w:p>
              </w:tc>
              <w:tc>
                <w:tcPr>
                  <w:tcW w:w="570" w:type="pct"/>
                  <w:noWrap w:val="0"/>
                  <w:vAlign w:val="center"/>
                </w:tcPr>
                <w:p>
                  <w:pPr>
                    <w:pStyle w:val="91"/>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 w:type="pct"/>
                  <w:noWrap w:val="0"/>
                  <w:vAlign w:val="center"/>
                </w:tcPr>
                <w:p>
                  <w:pPr>
                    <w:pStyle w:val="91"/>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p>
              </w:tc>
              <w:tc>
                <w:tcPr>
                  <w:tcW w:w="2166" w:type="pct"/>
                  <w:noWrap w:val="0"/>
                  <w:vAlign w:val="center"/>
                </w:tcPr>
                <w:p>
                  <w:pPr>
                    <w:pStyle w:val="91"/>
                    <w:keepNext w:val="0"/>
                    <w:keepLines w:val="0"/>
                    <w:suppressLineNumbers w:val="0"/>
                    <w:spacing w:before="0" w:beforeAutospacing="0" w:after="0" w:afterAutospacing="0"/>
                    <w:ind w:left="0" w:right="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本市实行重点大气污染物排放总量控制制度，逐步削减重点大气污染物排放总量。</w:t>
                  </w:r>
                </w:p>
                <w:p>
                  <w:pPr>
                    <w:pStyle w:val="91"/>
                    <w:keepNext w:val="0"/>
                    <w:keepLines w:val="0"/>
                    <w:suppressLineNumbers w:val="0"/>
                    <w:spacing w:before="0" w:beforeAutospacing="0" w:after="0" w:afterAutospacing="0"/>
                    <w:ind w:left="0" w:right="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市人民政府应当将省人民政府确定的重点大气污染物排放总量控制任务分解到各县（市、区）人民政府、开发（度假）园区管委会，并督促落实。禁止排放超过排放标准或者超过重点大气污染物排放总量控制指标的大气污染物。</w:t>
                  </w:r>
                </w:p>
              </w:tc>
              <w:tc>
                <w:tcPr>
                  <w:tcW w:w="1967" w:type="pct"/>
                  <w:noWrap w:val="0"/>
                  <w:vAlign w:val="center"/>
                </w:tcPr>
                <w:p>
                  <w:pPr>
                    <w:pStyle w:val="91"/>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项目产生的污染物主要为颗粒物、氮氧化物、二氧化硫、氟化物、氨、硫化氢、臭气浓度，</w:t>
                  </w:r>
                  <w:r>
                    <w:rPr>
                      <w:rFonts w:hint="default" w:ascii="Times New Roman" w:hAnsi="Times New Roman" w:eastAsia="宋体" w:cs="Times New Roman"/>
                      <w:color w:val="auto"/>
                      <w:kern w:val="0"/>
                      <w:sz w:val="21"/>
                      <w:szCs w:val="21"/>
                      <w:highlight w:val="none"/>
                    </w:rPr>
                    <w:t>项目</w:t>
                  </w:r>
                  <w:r>
                    <w:rPr>
                      <w:rFonts w:hint="default" w:ascii="Times New Roman" w:hAnsi="Times New Roman" w:eastAsia="宋体" w:cs="Times New Roman"/>
                      <w:color w:val="auto"/>
                      <w:sz w:val="21"/>
                      <w:szCs w:val="21"/>
                      <w:highlight w:val="none"/>
                    </w:rPr>
                    <w:t>焙烧烟气</w:t>
                  </w:r>
                  <w:r>
                    <w:rPr>
                      <w:rFonts w:hint="default" w:ascii="Times New Roman" w:hAnsi="Times New Roman" w:eastAsia="宋体" w:cs="Times New Roman"/>
                      <w:color w:val="auto"/>
                      <w:sz w:val="21"/>
                      <w:szCs w:val="21"/>
                      <w:highlight w:val="none"/>
                      <w:lang w:val="en-US" w:eastAsia="zh-CN"/>
                    </w:rPr>
                    <w:t>通过</w:t>
                  </w:r>
                  <w:r>
                    <w:rPr>
                      <w:rFonts w:hint="default" w:ascii="Times New Roman" w:hAnsi="Times New Roman" w:eastAsia="宋体" w:cs="Times New Roman"/>
                      <w:color w:val="auto"/>
                      <w:sz w:val="21"/>
                      <w:szCs w:val="21"/>
                      <w:highlight w:val="none"/>
                    </w:rPr>
                    <w:t>双碱法脱硫除尘装置</w:t>
                  </w:r>
                  <w:r>
                    <w:rPr>
                      <w:rFonts w:hint="default" w:ascii="Times New Roman" w:hAnsi="Times New Roman" w:eastAsia="宋体" w:cs="Times New Roman"/>
                      <w:color w:val="auto"/>
                      <w:kern w:val="0"/>
                      <w:sz w:val="21"/>
                      <w:szCs w:val="21"/>
                      <w:highlight w:val="none"/>
                    </w:rPr>
                    <w:t>处理后达标排放；</w:t>
                  </w:r>
                  <w:r>
                    <w:rPr>
                      <w:rFonts w:hint="default" w:ascii="Times New Roman" w:hAnsi="Times New Roman" w:eastAsia="宋体" w:cs="Times New Roman"/>
                      <w:color w:val="auto"/>
                      <w:sz w:val="21"/>
                      <w:szCs w:val="21"/>
                      <w:highlight w:val="none"/>
                    </w:rPr>
                    <w:t>破碎、筛分粉尘</w:t>
                  </w:r>
                  <w:r>
                    <w:rPr>
                      <w:rFonts w:hint="default" w:ascii="Times New Roman" w:hAnsi="Times New Roman" w:eastAsia="宋体" w:cs="Times New Roman"/>
                      <w:color w:val="auto"/>
                      <w:sz w:val="21"/>
                      <w:szCs w:val="21"/>
                      <w:highlight w:val="none"/>
                      <w:lang w:val="en-US" w:eastAsia="zh-CN"/>
                    </w:rPr>
                    <w:t>通过</w:t>
                  </w:r>
                  <w:r>
                    <w:rPr>
                      <w:rFonts w:hint="default" w:ascii="Times New Roman" w:hAnsi="Times New Roman" w:eastAsia="宋体" w:cs="Times New Roman"/>
                      <w:color w:val="auto"/>
                      <w:sz w:val="21"/>
                      <w:szCs w:val="21"/>
                      <w:highlight w:val="none"/>
                    </w:rPr>
                    <w:t>布袋除尘器</w:t>
                  </w:r>
                  <w:r>
                    <w:rPr>
                      <w:rFonts w:hint="default" w:ascii="Times New Roman" w:hAnsi="Times New Roman" w:eastAsia="宋体" w:cs="Times New Roman"/>
                      <w:color w:val="auto"/>
                      <w:kern w:val="0"/>
                      <w:sz w:val="21"/>
                      <w:szCs w:val="21"/>
                      <w:highlight w:val="none"/>
                    </w:rPr>
                    <w:t>处理后达标排放；</w:t>
                  </w:r>
                  <w:r>
                    <w:rPr>
                      <w:rFonts w:hint="default" w:ascii="Times New Roman" w:hAnsi="Times New Roman" w:eastAsia="宋体" w:cs="Times New Roman"/>
                      <w:color w:val="auto"/>
                      <w:kern w:val="0"/>
                      <w:sz w:val="21"/>
                      <w:szCs w:val="21"/>
                      <w:highlight w:val="none"/>
                      <w:lang w:val="en-US" w:eastAsia="zh-CN"/>
                    </w:rPr>
                    <w:t>堆场恶臭通过喷洒除臭剂</w:t>
                  </w:r>
                  <w:r>
                    <w:rPr>
                      <w:rFonts w:hint="default" w:ascii="Times New Roman" w:hAnsi="Times New Roman" w:eastAsia="宋体" w:cs="Times New Roman"/>
                      <w:color w:val="auto"/>
                      <w:kern w:val="0"/>
                      <w:sz w:val="21"/>
                      <w:szCs w:val="21"/>
                      <w:highlight w:val="none"/>
                    </w:rPr>
                    <w:t>处理后达标排放</w:t>
                  </w:r>
                  <w:r>
                    <w:rPr>
                      <w:rFonts w:hint="default" w:ascii="Times New Roman" w:hAnsi="Times New Roman" w:eastAsia="宋体" w:cs="Times New Roman"/>
                      <w:color w:val="auto"/>
                      <w:kern w:val="0"/>
                      <w:sz w:val="21"/>
                      <w:szCs w:val="21"/>
                      <w:highlight w:val="none"/>
                      <w:lang w:eastAsia="zh-CN"/>
                    </w:rPr>
                    <w:t>。</w:t>
                  </w:r>
                </w:p>
              </w:tc>
              <w:tc>
                <w:tcPr>
                  <w:tcW w:w="570" w:type="pct"/>
                  <w:noWrap w:val="0"/>
                  <w:vAlign w:val="center"/>
                </w:tcPr>
                <w:p>
                  <w:pPr>
                    <w:pStyle w:val="91"/>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 w:type="pct"/>
                  <w:noWrap w:val="0"/>
                  <w:vAlign w:val="center"/>
                </w:tcPr>
                <w:p>
                  <w:pPr>
                    <w:pStyle w:val="91"/>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w:t>
                  </w:r>
                </w:p>
              </w:tc>
              <w:tc>
                <w:tcPr>
                  <w:tcW w:w="2166" w:type="pct"/>
                  <w:noWrap w:val="0"/>
                  <w:vAlign w:val="center"/>
                </w:tcPr>
                <w:p>
                  <w:pPr>
                    <w:pStyle w:val="91"/>
                    <w:keepNext w:val="0"/>
                    <w:keepLines w:val="0"/>
                    <w:suppressLineNumbers w:val="0"/>
                    <w:spacing w:before="0" w:beforeAutospacing="0" w:after="0" w:afterAutospacing="0"/>
                    <w:ind w:left="0" w:right="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向大气排放污染物的企业事业单位和其他生产经营者，应当按照有关规定设置大气污染物排放口。</w:t>
                  </w:r>
                </w:p>
              </w:tc>
              <w:tc>
                <w:tcPr>
                  <w:tcW w:w="1967" w:type="pct"/>
                  <w:noWrap w:val="0"/>
                  <w:vAlign w:val="center"/>
                </w:tcPr>
                <w:p>
                  <w:pPr>
                    <w:pStyle w:val="91"/>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项目为改扩建项目，原有项目按照要求设置了2个有组织废气排放口。本次改扩建继续延用，不新增废气排放口。</w:t>
                  </w:r>
                </w:p>
              </w:tc>
              <w:tc>
                <w:tcPr>
                  <w:tcW w:w="570" w:type="pct"/>
                  <w:noWrap w:val="0"/>
                  <w:vAlign w:val="center"/>
                </w:tcPr>
                <w:p>
                  <w:pPr>
                    <w:pStyle w:val="91"/>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 w:type="pct"/>
                  <w:noWrap w:val="0"/>
                  <w:vAlign w:val="center"/>
                </w:tcPr>
                <w:p>
                  <w:pPr>
                    <w:pStyle w:val="91"/>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w:t>
                  </w:r>
                </w:p>
              </w:tc>
              <w:tc>
                <w:tcPr>
                  <w:tcW w:w="2166" w:type="pct"/>
                  <w:noWrap w:val="0"/>
                  <w:vAlign w:val="center"/>
                </w:tcPr>
                <w:p>
                  <w:pPr>
                    <w:pStyle w:val="91"/>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可能发生大气突发环境事件的企业事业单位应当按照有关规定编制应急预案，报所在地生态环境主管部门备案。</w:t>
                  </w:r>
                </w:p>
              </w:tc>
              <w:tc>
                <w:tcPr>
                  <w:tcW w:w="1967" w:type="pct"/>
                  <w:noWrap w:val="0"/>
                  <w:vAlign w:val="center"/>
                </w:tcPr>
                <w:p>
                  <w:pPr>
                    <w:pStyle w:val="91"/>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项目为改扩建项目，</w:t>
                  </w:r>
                  <w:r>
                    <w:rPr>
                      <w:rFonts w:hint="default" w:ascii="Times New Roman" w:hAnsi="Times New Roman" w:eastAsia="宋体" w:cs="Times New Roman"/>
                      <w:color w:val="auto"/>
                      <w:sz w:val="21"/>
                      <w:szCs w:val="21"/>
                      <w:highlight w:val="none"/>
                      <w:lang w:val="en-US" w:eastAsia="zh-CN"/>
                    </w:rPr>
                    <w:t>环评要求，项目运营期对照</w:t>
                  </w:r>
                  <w:r>
                    <w:rPr>
                      <w:rFonts w:hint="default" w:ascii="Times New Roman" w:hAnsi="Times New Roman" w:eastAsia="宋体" w:cs="Times New Roman"/>
                      <w:color w:val="auto"/>
                      <w:sz w:val="21"/>
                      <w:szCs w:val="21"/>
                      <w:highlight w:val="none"/>
                    </w:rPr>
                    <w:t>《企业事业单位突发环境事件应急预案备案管理办法（试行）》（环发[2015]4号文）中的要求，编制突发环境事件应急预案并在当地环保部门备案。</w:t>
                  </w:r>
                </w:p>
              </w:tc>
              <w:tc>
                <w:tcPr>
                  <w:tcW w:w="570" w:type="pct"/>
                  <w:noWrap w:val="0"/>
                  <w:vAlign w:val="center"/>
                </w:tcPr>
                <w:p>
                  <w:pPr>
                    <w:pStyle w:val="91"/>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符合</w:t>
                  </w:r>
                </w:p>
              </w:tc>
            </w:tr>
          </w:tbl>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zh-CN"/>
              </w:rPr>
              <w:t>综上所述，项目符合《昆明市大气污染防治条例》中的相关要求。</w:t>
            </w:r>
          </w:p>
          <w:p>
            <w:pPr>
              <w:pStyle w:val="2"/>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color w:val="auto"/>
                <w:sz w:val="24"/>
                <w:szCs w:val="24"/>
                <w:highlight w:val="none"/>
              </w:rPr>
              <w:t>6、</w:t>
            </w:r>
            <w:r>
              <w:rPr>
                <w:rFonts w:hint="default" w:ascii="Times New Roman" w:hAnsi="Times New Roman" w:eastAsia="宋体" w:cs="Times New Roman"/>
                <w:b/>
                <w:bCs/>
                <w:color w:val="auto"/>
                <w:sz w:val="24"/>
                <w:szCs w:val="24"/>
                <w:highlight w:val="none"/>
              </w:rPr>
              <w:t>项目与《昆明市“十四五”生态环境保护规划》符合性分析</w:t>
            </w:r>
          </w:p>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十四五”期间，昆明市将深入开展大气环境综合管理，扎实推进重点区域联防联控，以大气污染物协同控制和分区巩固治理为主线，强化高水平大气污染治理，精准施治推进生态环境治理能力现代化，继续深入打好大气污染防治攻坚战。</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表1-7  项目与《昆明市“十四五”生态环境保护规划》的符合性分析</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9"/>
              <w:gridCol w:w="426"/>
              <w:gridCol w:w="2768"/>
              <w:gridCol w:w="1943"/>
              <w:gridCol w:w="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序号</w:t>
                  </w:r>
                </w:p>
              </w:tc>
              <w:tc>
                <w:tcPr>
                  <w:tcW w:w="3194"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相关要求</w:t>
                  </w:r>
                </w:p>
              </w:tc>
              <w:tc>
                <w:tcPr>
                  <w:tcW w:w="194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项目情况</w:t>
                  </w:r>
                </w:p>
              </w:tc>
              <w:tc>
                <w:tcPr>
                  <w:tcW w:w="58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0"/>
                  <w:vAlign w:val="center"/>
                </w:tcPr>
                <w:p>
                  <w:pPr>
                    <w:pStyle w:val="91"/>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426" w:type="dxa"/>
                  <w:noWrap w:val="0"/>
                  <w:vAlign w:val="center"/>
                </w:tcPr>
                <w:p>
                  <w:pPr>
                    <w:pStyle w:val="91"/>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稳定巩固大气环境质量</w:t>
                  </w:r>
                </w:p>
              </w:tc>
              <w:tc>
                <w:tcPr>
                  <w:tcW w:w="2768" w:type="dxa"/>
                  <w:noWrap w:val="0"/>
                  <w:vAlign w:val="center"/>
                </w:tcPr>
                <w:p>
                  <w:pPr>
                    <w:pStyle w:val="91"/>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推动工业炉窑深度治理，开展钢铁、焦化、建材、铸造、有色等重点行业的工业炉窑综合治理工作，严格控制物料储存、输送及生产工艺过程无组织排放，全面提升无组织排放管控水平。实施重点行业NOx等污染物深度治理，实施水泥熟料窑生产线烟气脱硝提升工程，烟气综合脱硝率提升至60%及以上。严格执行排污许可管理制度，加强对排放二氧化硫和氮氧化物重点企业脱硫脱硝设施在线运行监管，提高脱硫脱硝设施运行保障率和脱硫脱硝效率，2025年底前，全面完成钢铁企业超低排放改造。持续开展燃煤锅炉整治，推进每小时65蒸吨以上的燃煤锅炉超低排放改造。燃气锅炉推行低氮燃烧，氮氧化物排放浓度不高于50毫克/立方米。重点涉气排放企业逐步取消烟气旁路，因安全生产无法取消的，安装在线监管系统。在综合整治的基础上，强化“散乱污”工业企业（场所）排查整治和监管，有效杜绝类似企业对大气环境的污染。</w:t>
                  </w:r>
                </w:p>
              </w:tc>
              <w:tc>
                <w:tcPr>
                  <w:tcW w:w="1943" w:type="dxa"/>
                  <w:noWrap w:val="0"/>
                  <w:vAlign w:val="center"/>
                </w:tcPr>
                <w:p>
                  <w:pPr>
                    <w:pStyle w:val="91"/>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项目焙烧烟气通过双碱法脱硫除尘装置处理后达标排放；项目为改扩建，原有项目已安装在线监管系统，排放的废气满足《砖瓦工业大气污染物排放标准》（GB29620-2013）中表2标准限值。改扩建后用污泥代替部分页岩制砖，本次改扩建后产能增加1200万块，改扩建后产能为6200万块页岩砖。项目改扩建完成后，在线监管系统继续沿用。</w:t>
                  </w:r>
                </w:p>
              </w:tc>
              <w:tc>
                <w:tcPr>
                  <w:tcW w:w="586" w:type="dxa"/>
                  <w:noWrap w:val="0"/>
                  <w:vAlign w:val="center"/>
                </w:tcPr>
                <w:p>
                  <w:pPr>
                    <w:pStyle w:val="91"/>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0"/>
                  <w:vAlign w:val="center"/>
                </w:tcPr>
                <w:p>
                  <w:pPr>
                    <w:pStyle w:val="91"/>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426" w:type="dxa"/>
                  <w:noWrap w:val="0"/>
                  <w:vAlign w:val="center"/>
                </w:tcPr>
                <w:p>
                  <w:pPr>
                    <w:pStyle w:val="91"/>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持续改善水生态环境质量</w:t>
                  </w:r>
                </w:p>
              </w:tc>
              <w:tc>
                <w:tcPr>
                  <w:tcW w:w="2768" w:type="dxa"/>
                  <w:noWrap w:val="0"/>
                  <w:vAlign w:val="center"/>
                </w:tcPr>
                <w:p>
                  <w:pPr>
                    <w:pStyle w:val="91"/>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着力加强水环境治理、严格水资源保护、加快修复河湖水生态等重点任务。持续完善体制机制，进一步完善河（湖）长组织体系，进一步夯实责任机制，进一步健全考核问责机制，健全公众参与机制。进一步明确各级河（湖）长职责，把河湖巡查工作落到实处，强化监督考核，形成党政负责、相关部门协同的工作格局。同时，加快推动示范河湖建设，充分发挥示范河湖引领带动全市河湖管护工作的作用，完善水生态安全保障体系。</w:t>
                  </w:r>
                </w:p>
              </w:tc>
              <w:tc>
                <w:tcPr>
                  <w:tcW w:w="1943" w:type="dxa"/>
                  <w:noWrap w:val="0"/>
                  <w:vAlign w:val="center"/>
                </w:tcPr>
                <w:p>
                  <w:pPr>
                    <w:pStyle w:val="91"/>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项目生产无废水产生，</w:t>
                  </w:r>
                  <w:r>
                    <w:rPr>
                      <w:rFonts w:hint="default" w:ascii="Times New Roman" w:hAnsi="Times New Roman" w:eastAsia="宋体" w:cs="Times New Roman"/>
                      <w:color w:val="auto"/>
                      <w:sz w:val="21"/>
                      <w:szCs w:val="21"/>
                      <w:highlight w:val="none"/>
                      <w:lang w:val="en-US" w:eastAsia="zh-CN"/>
                    </w:rPr>
                    <w:t>项目生活污水为依托，产生的生活污水通过化粪池处理后进入收集池回用于生产；</w:t>
                  </w:r>
                  <w:r>
                    <w:rPr>
                      <w:rFonts w:hint="default" w:ascii="Times New Roman" w:hAnsi="Times New Roman" w:eastAsia="宋体" w:cs="Times New Roman"/>
                      <w:color w:val="auto"/>
                      <w:kern w:val="2"/>
                      <w:sz w:val="21"/>
                      <w:szCs w:val="21"/>
                      <w:highlight w:val="none"/>
                      <w:lang w:val="en-US" w:eastAsia="zh-CN" w:bidi="ar-SA"/>
                    </w:rPr>
                    <w:t>污泥渗滤液在污泥堆放池中通过管道收集后回用于制砖过程；</w:t>
                  </w:r>
                  <w:r>
                    <w:rPr>
                      <w:rFonts w:hint="default" w:ascii="Times New Roman" w:hAnsi="Times New Roman" w:eastAsia="宋体" w:cs="Times New Roman"/>
                      <w:color w:val="auto"/>
                      <w:sz w:val="21"/>
                      <w:szCs w:val="21"/>
                      <w:highlight w:val="none"/>
                      <w:lang w:val="en-US" w:eastAsia="zh-CN"/>
                    </w:rPr>
                    <w:t>吸收液</w:t>
                  </w:r>
                  <w:r>
                    <w:rPr>
                      <w:rFonts w:hint="default" w:ascii="Times New Roman" w:hAnsi="Times New Roman" w:eastAsia="宋体" w:cs="Times New Roman"/>
                      <w:color w:val="auto"/>
                      <w:sz w:val="21"/>
                      <w:szCs w:val="21"/>
                      <w:highlight w:val="none"/>
                    </w:rPr>
                    <w:t>循环使用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bidi="ar-SA"/>
                    </w:rPr>
                    <w:t>项目</w:t>
                  </w:r>
                  <w:r>
                    <w:rPr>
                      <w:rFonts w:hint="default" w:ascii="Times New Roman" w:hAnsi="Times New Roman" w:eastAsia="宋体" w:cs="Times New Roman"/>
                      <w:color w:val="auto"/>
                      <w:sz w:val="21"/>
                      <w:szCs w:val="21"/>
                      <w:highlight w:val="none"/>
                    </w:rPr>
                    <w:t>废水不直接外排；</w:t>
                  </w:r>
                  <w:r>
                    <w:rPr>
                      <w:rFonts w:hint="default" w:ascii="Times New Roman" w:hAnsi="Times New Roman" w:eastAsia="宋体" w:cs="Times New Roman"/>
                      <w:b w:val="0"/>
                      <w:bCs w:val="0"/>
                      <w:color w:val="auto"/>
                      <w:sz w:val="21"/>
                      <w:szCs w:val="21"/>
                      <w:highlight w:val="none"/>
                      <w:lang w:val="en-US" w:eastAsia="zh-CN"/>
                    </w:rPr>
                    <w:t>不设废水排污口，不会对地表水环境产生影响。</w:t>
                  </w:r>
                </w:p>
              </w:tc>
              <w:tc>
                <w:tcPr>
                  <w:tcW w:w="586" w:type="dxa"/>
                  <w:noWrap w:val="0"/>
                  <w:vAlign w:val="center"/>
                </w:tcPr>
                <w:p>
                  <w:pPr>
                    <w:pStyle w:val="91"/>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0"/>
                  <w:vAlign w:val="center"/>
                </w:tcPr>
                <w:p>
                  <w:pPr>
                    <w:pStyle w:val="91"/>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p>
              </w:tc>
              <w:tc>
                <w:tcPr>
                  <w:tcW w:w="426" w:type="dxa"/>
                  <w:noWrap w:val="0"/>
                  <w:vAlign w:val="center"/>
                </w:tcPr>
                <w:p>
                  <w:pPr>
                    <w:pStyle w:val="91"/>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加快声环境质量改善与提升</w:t>
                  </w:r>
                </w:p>
              </w:tc>
              <w:tc>
                <w:tcPr>
                  <w:tcW w:w="2768" w:type="dxa"/>
                  <w:noWrap w:val="0"/>
                  <w:vAlign w:val="center"/>
                </w:tcPr>
                <w:p>
                  <w:pPr>
                    <w:pStyle w:val="91"/>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加强工业噪声污染防控。严格限制在居民密集区、学校、医院等附近新建、改建、扩建有噪声或震动危害的企业、车间和其他设备装置。加强工业园区噪声污染防治，按规范设置噪声防护范围，鼓励企业采用低噪声设备和工艺，严肃查处工业企业噪声超标排放及扰民问题。</w:t>
                  </w:r>
                </w:p>
              </w:tc>
              <w:tc>
                <w:tcPr>
                  <w:tcW w:w="1943" w:type="dxa"/>
                  <w:noWrap w:val="0"/>
                  <w:vAlign w:val="center"/>
                </w:tcPr>
                <w:p>
                  <w:pPr>
                    <w:pStyle w:val="91"/>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本项目周边50m范围内无声环境敏感目标，周边无较大噪声源，生产采用低噪声设备，产噪大的设备安装于厂房中，噪声经减振、厂房隔声后对周边环境影响较小。</w:t>
                  </w:r>
                </w:p>
              </w:tc>
              <w:tc>
                <w:tcPr>
                  <w:tcW w:w="586" w:type="dxa"/>
                  <w:noWrap w:val="0"/>
                  <w:vAlign w:val="center"/>
                </w:tcPr>
                <w:p>
                  <w:pPr>
                    <w:pStyle w:val="91"/>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符合</w:t>
                  </w:r>
                </w:p>
              </w:tc>
            </w:tr>
          </w:tbl>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综上所述，</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符合</w:t>
            </w:r>
            <w:r>
              <w:rPr>
                <w:rFonts w:hint="default" w:ascii="Times New Roman" w:hAnsi="Times New Roman" w:eastAsia="宋体" w:cs="Times New Roman"/>
                <w:color w:val="auto"/>
                <w:sz w:val="24"/>
                <w:szCs w:val="24"/>
                <w:highlight w:val="none"/>
              </w:rPr>
              <w:t>与《昆明市“十四五”生态环境保护规划》</w:t>
            </w:r>
            <w:r>
              <w:rPr>
                <w:rFonts w:hint="default" w:ascii="Times New Roman" w:hAnsi="Times New Roman" w:eastAsia="宋体" w:cs="Times New Roman"/>
                <w:color w:val="auto"/>
                <w:sz w:val="24"/>
                <w:szCs w:val="24"/>
                <w:highlight w:val="none"/>
                <w:lang w:val="en-US" w:eastAsia="zh-CN"/>
              </w:rPr>
              <w:t>的相关要求</w:t>
            </w:r>
            <w:r>
              <w:rPr>
                <w:rFonts w:hint="default" w:ascii="Times New Roman" w:hAnsi="Times New Roman" w:eastAsia="宋体" w:cs="Times New Roman"/>
                <w:color w:val="auto"/>
                <w:sz w:val="24"/>
                <w:szCs w:val="24"/>
                <w:highlight w:val="none"/>
              </w:rPr>
              <w:t>。</w:t>
            </w:r>
          </w:p>
          <w:p>
            <w:pPr>
              <w:keepNext w:val="0"/>
              <w:keepLines w:val="0"/>
              <w:widowControl/>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7、项目与《云南省空气质量持续改善行动实施方案》符合性分析</w:t>
            </w:r>
          </w:p>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项目与《云南省空气质量持续改善行动实施方案》符合性分析如下：</w:t>
            </w:r>
          </w:p>
          <w:p>
            <w:pPr>
              <w:pStyle w:val="8"/>
              <w:keepNext w:val="0"/>
              <w:keepLines w:val="0"/>
              <w:suppressLineNumbers w:val="0"/>
              <w:spacing w:beforeAutospacing="0" w:after="0" w:afterAutospacing="0"/>
              <w:ind w:lef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表1-</w:t>
            </w:r>
            <w:r>
              <w:rPr>
                <w:rFonts w:hint="default" w:ascii="Times New Roman" w:hAnsi="Times New Roman" w:eastAsia="宋体" w:cs="Times New Roman"/>
                <w:b/>
                <w:bCs/>
                <w:color w:val="auto"/>
                <w:sz w:val="21"/>
                <w:szCs w:val="21"/>
                <w:highlight w:val="none"/>
                <w:lang w:val="en-US" w:eastAsia="zh-CN"/>
              </w:rPr>
              <w:t>8</w:t>
            </w:r>
            <w:r>
              <w:rPr>
                <w:rFonts w:hint="default" w:ascii="Times New Roman" w:hAnsi="Times New Roman" w:eastAsia="宋体" w:cs="Times New Roman"/>
                <w:b/>
                <w:bCs/>
                <w:color w:val="auto"/>
                <w:sz w:val="21"/>
                <w:szCs w:val="21"/>
                <w:highlight w:val="none"/>
              </w:rPr>
              <w:t xml:space="preserve">  与《云南省空气质量持续改善行动实施方案》对照分析</w:t>
            </w:r>
          </w:p>
          <w:tbl>
            <w:tblPr>
              <w:tblStyle w:val="2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64"/>
              <w:gridCol w:w="2387"/>
              <w:gridCol w:w="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2606" w:type="pct"/>
                  <w:noWrap w:val="0"/>
                  <w:vAlign w:val="center"/>
                </w:tcPr>
                <w:p>
                  <w:pPr>
                    <w:pStyle w:val="8"/>
                    <w:keepNext w:val="0"/>
                    <w:keepLines w:val="0"/>
                    <w:suppressLineNumbers w:val="0"/>
                    <w:spacing w:beforeAutospacing="0" w:after="0" w:afterAutospacing="0"/>
                    <w:ind w:lef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要求</w:t>
                  </w:r>
                </w:p>
              </w:tc>
              <w:tc>
                <w:tcPr>
                  <w:tcW w:w="19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4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2606"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坚决遏制“两高一低”项目盲目上马。新</w:t>
                  </w:r>
                  <w:r>
                    <w:rPr>
                      <w:rFonts w:hint="default" w:ascii="Times New Roman" w:hAnsi="Times New Roman" w:eastAsia="宋体" w:cs="Times New Roman"/>
                      <w:color w:val="auto"/>
                      <w:sz w:val="21"/>
                      <w:szCs w:val="21"/>
                      <w:highlight w:val="none"/>
                      <w:lang w:eastAsia="zh-CN"/>
                    </w:rPr>
                    <w:t>改扩建</w:t>
                  </w:r>
                  <w:r>
                    <w:rPr>
                      <w:rFonts w:hint="default" w:ascii="Times New Roman" w:hAnsi="Times New Roman" w:eastAsia="宋体" w:cs="Times New Roman"/>
                      <w:color w:val="auto"/>
                      <w:sz w:val="21"/>
                      <w:szCs w:val="21"/>
                      <w:highlight w:val="none"/>
                    </w:rPr>
                    <w:t>项目严格落实国家和省产业规划、产业政策、生态环境分区管控方案、规划环评、项目环评、节能审查、产能置换、重点污染物总量控制、污染物排放区域削减、碳排放达峰目标等相关要求，原则上采用清洁运输方式。加快推进钢铁产业转型升级，鼓励钢铁、焦化、烧结一体化布局，减少独立焦化、烧结、球团和热轧企业及工序。到2025年，短流程炼钢产量占比达15%。</w:t>
                  </w:r>
                </w:p>
              </w:tc>
              <w:tc>
                <w:tcPr>
                  <w:tcW w:w="1906"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项目不属于</w:t>
                  </w:r>
                  <w:r>
                    <w:rPr>
                      <w:rFonts w:hint="default" w:ascii="Times New Roman" w:hAnsi="Times New Roman" w:eastAsia="宋体" w:cs="Times New Roman"/>
                      <w:color w:val="auto"/>
                      <w:sz w:val="21"/>
                      <w:szCs w:val="21"/>
                      <w:highlight w:val="none"/>
                    </w:rPr>
                    <w:t>“两高一低”项目</w:t>
                  </w:r>
                  <w:r>
                    <w:rPr>
                      <w:rFonts w:hint="default" w:ascii="Times New Roman" w:hAnsi="Times New Roman" w:eastAsia="宋体" w:cs="Times New Roman"/>
                      <w:color w:val="auto"/>
                      <w:sz w:val="21"/>
                      <w:szCs w:val="21"/>
                      <w:highlight w:val="none"/>
                      <w:lang w:eastAsia="zh-CN"/>
                    </w:rPr>
                    <w:t>。</w:t>
                  </w:r>
                </w:p>
              </w:tc>
              <w:tc>
                <w:tcPr>
                  <w:tcW w:w="4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2606"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推动落后产能退出。推动能耗、环保、质量、安全、技术达不到标准和生产不合格产品或淘汰类产能依法依规关停退出。不予审批限制类新建项目，按照国家要求对属于限制类的现有生产能力进行升级改造。</w:t>
                  </w:r>
                </w:p>
              </w:tc>
              <w:tc>
                <w:tcPr>
                  <w:tcW w:w="1906"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根据</w:t>
                  </w:r>
                  <w:r>
                    <w:rPr>
                      <w:rFonts w:hint="default" w:ascii="Times New Roman" w:hAnsi="Times New Roman" w:eastAsia="宋体" w:cs="Times New Roman"/>
                      <w:color w:val="auto"/>
                      <w:sz w:val="21"/>
                      <w:szCs w:val="21"/>
                      <w:highlight w:val="none"/>
                    </w:rPr>
                    <w:t>《产业结构调整指导目录（2024年本）》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rPr>
                    <w:t>为</w:t>
                  </w:r>
                  <w:r>
                    <w:rPr>
                      <w:rFonts w:hint="default" w:ascii="Times New Roman" w:hAnsi="Times New Roman" w:eastAsia="宋体" w:cs="Times New Roman"/>
                      <w:color w:val="auto"/>
                      <w:sz w:val="21"/>
                      <w:szCs w:val="21"/>
                      <w:highlight w:val="none"/>
                      <w:lang w:val="en-US" w:eastAsia="zh-CN"/>
                    </w:rPr>
                    <w:t>鼓励</w:t>
                  </w:r>
                  <w:r>
                    <w:rPr>
                      <w:rFonts w:hint="default" w:ascii="Times New Roman" w:hAnsi="Times New Roman" w:eastAsia="宋体" w:cs="Times New Roman"/>
                      <w:color w:val="auto"/>
                      <w:sz w:val="21"/>
                      <w:szCs w:val="21"/>
                      <w:highlight w:val="none"/>
                    </w:rPr>
                    <w:t>类项目，项目建设符合国家产业政策。</w:t>
                  </w:r>
                </w:p>
              </w:tc>
              <w:tc>
                <w:tcPr>
                  <w:tcW w:w="4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2606"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推动工业炉窑清洁能源替代。有序推进以电代煤，积极稳妥推进以气代煤。对以煤、石油焦、渣油、重油等为燃料的工业炉窑，加快使用工业余热、电能、天然气等清洁能源进行替代。</w:t>
                  </w:r>
                </w:p>
              </w:tc>
              <w:tc>
                <w:tcPr>
                  <w:tcW w:w="1906"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项目使用页岩、污泥、褐煤、炉渣为原材料制砖，</w:t>
                  </w:r>
                  <w:r>
                    <w:rPr>
                      <w:rFonts w:hint="default" w:ascii="Times New Roman" w:hAnsi="Times New Roman" w:eastAsia="宋体" w:cs="Times New Roman"/>
                      <w:b w:val="0"/>
                      <w:bCs w:val="0"/>
                      <w:color w:val="auto"/>
                      <w:sz w:val="21"/>
                      <w:szCs w:val="21"/>
                      <w:highlight w:val="none"/>
                      <w:lang w:val="en-US" w:eastAsia="zh-CN"/>
                    </w:rPr>
                    <w:t>项目焙烧烟气通过双碱法脱硫除尘装置处理后达标排放；排放的废气满足《砖瓦工业大气污染物排放标准》（GB29620-2013）标准限值。</w:t>
                  </w:r>
                </w:p>
              </w:tc>
              <w:tc>
                <w:tcPr>
                  <w:tcW w:w="4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bl>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综上所述，项目建设符合《云南省空气质量持续改善行动实施方案》的相关要求。</w:t>
            </w:r>
          </w:p>
          <w:p>
            <w:pPr>
              <w:keepNext w:val="0"/>
              <w:keepLines w:val="0"/>
              <w:widowControl/>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rPr>
              <w:t>项目与《昆明市空气质量持续改善行动实施方案》符合性析</w:t>
            </w:r>
          </w:p>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项目与《昆明市空气质量持续改善行动实施方案》符合性分析如下：</w:t>
            </w:r>
          </w:p>
          <w:p>
            <w:pPr>
              <w:pStyle w:val="8"/>
              <w:keepNext w:val="0"/>
              <w:keepLines w:val="0"/>
              <w:suppressLineNumbers w:val="0"/>
              <w:spacing w:beforeAutospacing="0" w:after="0" w:afterAutospacing="0"/>
              <w:ind w:lef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表1-</w:t>
            </w:r>
            <w:r>
              <w:rPr>
                <w:rFonts w:hint="default" w:ascii="Times New Roman" w:hAnsi="Times New Roman" w:eastAsia="宋体" w:cs="Times New Roman"/>
                <w:b/>
                <w:bCs/>
                <w:color w:val="auto"/>
                <w:sz w:val="21"/>
                <w:szCs w:val="21"/>
                <w:highlight w:val="none"/>
                <w:lang w:val="en-US" w:eastAsia="zh-CN"/>
              </w:rPr>
              <w:t>9</w:t>
            </w:r>
            <w:r>
              <w:rPr>
                <w:rFonts w:hint="default" w:ascii="Times New Roman" w:hAnsi="Times New Roman" w:eastAsia="宋体" w:cs="Times New Roman"/>
                <w:b/>
                <w:bCs/>
                <w:color w:val="auto"/>
                <w:sz w:val="21"/>
                <w:szCs w:val="21"/>
                <w:highlight w:val="none"/>
              </w:rPr>
              <w:t xml:space="preserve">  与《云南省空气质量持续改善行动实施方案》对照分析</w:t>
            </w:r>
          </w:p>
          <w:tbl>
            <w:tblPr>
              <w:tblStyle w:val="2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64"/>
              <w:gridCol w:w="2387"/>
              <w:gridCol w:w="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2606" w:type="pct"/>
                  <w:noWrap w:val="0"/>
                  <w:vAlign w:val="center"/>
                </w:tcPr>
                <w:p>
                  <w:pPr>
                    <w:pStyle w:val="8"/>
                    <w:keepNext w:val="0"/>
                    <w:keepLines w:val="0"/>
                    <w:suppressLineNumbers w:val="0"/>
                    <w:spacing w:beforeAutospacing="0" w:after="0" w:afterAutospacing="0"/>
                    <w:ind w:lef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要求</w:t>
                  </w:r>
                </w:p>
              </w:tc>
              <w:tc>
                <w:tcPr>
                  <w:tcW w:w="19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4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2606"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坚决遏制“两高一低”项目盲目上马。完成生态保护红线、环境质量底线、资源利用上线、环境准入清单编制并运用。新</w:t>
                  </w:r>
                  <w:r>
                    <w:rPr>
                      <w:rFonts w:hint="default" w:ascii="Times New Roman" w:hAnsi="Times New Roman" w:eastAsia="宋体" w:cs="Times New Roman"/>
                      <w:color w:val="auto"/>
                      <w:sz w:val="21"/>
                      <w:szCs w:val="21"/>
                      <w:highlight w:val="none"/>
                      <w:lang w:eastAsia="zh-CN"/>
                    </w:rPr>
                    <w:t>改建</w:t>
                  </w:r>
                  <w:r>
                    <w:rPr>
                      <w:rFonts w:hint="default" w:ascii="Times New Roman" w:hAnsi="Times New Roman" w:eastAsia="宋体" w:cs="Times New Roman"/>
                      <w:color w:val="auto"/>
                      <w:sz w:val="21"/>
                      <w:szCs w:val="21"/>
                      <w:highlight w:val="none"/>
                    </w:rPr>
                    <w:t>“两高一低”项目要严格落实国家、省、市产业规划、产业政策、生态环境分区管控、环境影响评价、规划环评、项目环评、节能审查、产能置换、重点污染物总量控制、污染物排放区域削减、碳排放达峰目标等相关要求，原则上采用清洁运输方式。按照“整体推进、一企一策”的要求，加快实施钢铁、石化化工、有色、建材等行业绿色技术应用、重大节能装备应用、能量系统优化、公辅设施改造、原料优化调整、余热余压利用的节能低碳改造。严格落实钢铁、水泥、平板玻璃、电解铝等行业产能置换政策，严管严控新增电解铝产能。按时限要求推进钢铁产业转型升级。鼓励钢铁、焦化、烧结一体化布局，减少独立焦化、烧结、球团和热轧企业及工序。加强煤炭洗选，淘汰落后煤炭洗选产能。有序引导高炉—转炉长流程炼钢转型为电炉短流程炼钢。2025年，短流程炼钢产量占比达10%。</w:t>
                  </w:r>
                </w:p>
              </w:tc>
              <w:tc>
                <w:tcPr>
                  <w:tcW w:w="1906"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项目不属于</w:t>
                  </w:r>
                  <w:r>
                    <w:rPr>
                      <w:rFonts w:hint="default" w:ascii="Times New Roman" w:hAnsi="Times New Roman" w:eastAsia="宋体" w:cs="Times New Roman"/>
                      <w:color w:val="auto"/>
                      <w:sz w:val="21"/>
                      <w:szCs w:val="21"/>
                      <w:highlight w:val="none"/>
                    </w:rPr>
                    <w:t>“两高一低”项目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本次改扩建是用污泥替代部分页岩制砖，不涉及落后产能，符合</w:t>
                  </w:r>
                  <w:r>
                    <w:rPr>
                      <w:rFonts w:hint="default" w:ascii="Times New Roman" w:hAnsi="Times New Roman" w:eastAsia="宋体" w:cs="Times New Roman"/>
                      <w:color w:val="auto"/>
                      <w:sz w:val="21"/>
                      <w:szCs w:val="21"/>
                      <w:highlight w:val="none"/>
                    </w:rPr>
                    <w:t>《产业结构调整指导目录（2024年本）》</w:t>
                  </w:r>
                  <w:r>
                    <w:rPr>
                      <w:rFonts w:hint="default" w:ascii="Times New Roman" w:hAnsi="Times New Roman" w:eastAsia="宋体" w:cs="Times New Roman"/>
                      <w:color w:val="auto"/>
                      <w:sz w:val="21"/>
                      <w:szCs w:val="21"/>
                      <w:highlight w:val="none"/>
                      <w:lang w:val="en-US" w:eastAsia="zh-CN"/>
                    </w:rPr>
                    <w:t>的相关规划要求。</w:t>
                  </w:r>
                </w:p>
              </w:tc>
              <w:tc>
                <w:tcPr>
                  <w:tcW w:w="4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2606"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推动落后产能退出。进一步提高重点区域钢铁、焦化、电解铝等产业落后产能能耗、环保、质量、安全、技术等要求，逐步退出限制类涉气行业工艺和装备；逐步淘汰步进式烧结机和球团竖炉以及半封闭式硅锰合金、镍铁、高碳铬铁、高碳锰铁电炉。推动能耗、环保、质量、安全、技术达不到标准和生产不合格产品或淘汰类产能依法依规关停退出。涉及产能置换的项目，被置换产能及其配套设施关停后，新建项目方可投产。不予审批限制类新建项目，按照国家要求对属于限制类新建项目的现有生产能力进行升级改造。</w:t>
                  </w:r>
                </w:p>
              </w:tc>
              <w:tc>
                <w:tcPr>
                  <w:tcW w:w="1906"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项目不属于</w:t>
                  </w:r>
                  <w:r>
                    <w:rPr>
                      <w:rFonts w:hint="default" w:ascii="Times New Roman" w:hAnsi="Times New Roman" w:eastAsia="宋体" w:cs="Times New Roman"/>
                      <w:color w:val="auto"/>
                      <w:sz w:val="21"/>
                      <w:szCs w:val="21"/>
                      <w:highlight w:val="none"/>
                    </w:rPr>
                    <w:t>钢铁、焦化、电解铝</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等产业，项目能耗、</w:t>
                  </w:r>
                  <w:r>
                    <w:rPr>
                      <w:rFonts w:hint="default" w:ascii="Times New Roman" w:hAnsi="Times New Roman" w:eastAsia="宋体" w:cs="Times New Roman"/>
                      <w:color w:val="auto"/>
                      <w:sz w:val="21"/>
                      <w:szCs w:val="21"/>
                      <w:highlight w:val="none"/>
                    </w:rPr>
                    <w:t>环保、质量、安全、技术</w:t>
                  </w:r>
                  <w:r>
                    <w:rPr>
                      <w:rFonts w:hint="default" w:ascii="Times New Roman" w:hAnsi="Times New Roman" w:eastAsia="宋体" w:cs="Times New Roman"/>
                      <w:color w:val="auto"/>
                      <w:sz w:val="21"/>
                      <w:szCs w:val="21"/>
                      <w:highlight w:val="none"/>
                      <w:lang w:val="en-US" w:eastAsia="zh-CN"/>
                    </w:rPr>
                    <w:t>均能达到标准，项目产能合规，本次项目为改扩建，是用污泥替代部分页岩制砖，项目建设符合</w:t>
                  </w:r>
                  <w:r>
                    <w:rPr>
                      <w:rFonts w:hint="default" w:ascii="Times New Roman" w:hAnsi="Times New Roman" w:eastAsia="宋体" w:cs="Times New Roman"/>
                      <w:color w:val="auto"/>
                      <w:sz w:val="21"/>
                      <w:szCs w:val="21"/>
                      <w:highlight w:val="none"/>
                    </w:rPr>
                    <w:t>《产业结构调整指导目录（2024年本）》</w:t>
                  </w:r>
                  <w:r>
                    <w:rPr>
                      <w:rFonts w:hint="default" w:ascii="Times New Roman" w:hAnsi="Times New Roman" w:eastAsia="宋体" w:cs="Times New Roman"/>
                      <w:color w:val="auto"/>
                      <w:sz w:val="21"/>
                      <w:szCs w:val="21"/>
                      <w:highlight w:val="none"/>
                      <w:lang w:val="en-US" w:eastAsia="zh-CN"/>
                    </w:rPr>
                    <w:t>的相关规划要求。</w:t>
                  </w:r>
                </w:p>
              </w:tc>
              <w:tc>
                <w:tcPr>
                  <w:tcW w:w="4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2606"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推动传统产业升级改造。制定涉气集群产业发展规划，严格项目审批，严防污染下乡。持续加强产业集群环境治理，明确产业布局和方向，提高产业集群项目准入类别，促进产业向“专精特新”转型发展。因地制宜建设集中喷涂、有机溶剂集中回收处置、活性炭集中再生中心。同时针对现有产业集中区域制定专项整治提升方案，依法淘汰关停一批、搬迁入园一批、就地改造一批、做优做强一批。</w:t>
                  </w:r>
                </w:p>
              </w:tc>
              <w:tc>
                <w:tcPr>
                  <w:tcW w:w="1906"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项目不涉及</w:t>
                  </w:r>
                  <w:r>
                    <w:rPr>
                      <w:rFonts w:hint="default" w:ascii="Times New Roman" w:hAnsi="Times New Roman" w:eastAsia="宋体" w:cs="Times New Roman"/>
                      <w:color w:val="auto"/>
                      <w:sz w:val="21"/>
                      <w:szCs w:val="21"/>
                      <w:highlight w:val="none"/>
                    </w:rPr>
                    <w:t>喷涂</w:t>
                  </w:r>
                  <w:r>
                    <w:rPr>
                      <w:rFonts w:hint="default" w:ascii="Times New Roman" w:hAnsi="Times New Roman" w:eastAsia="宋体" w:cs="Times New Roman"/>
                      <w:color w:val="auto"/>
                      <w:sz w:val="21"/>
                      <w:szCs w:val="21"/>
                      <w:highlight w:val="none"/>
                      <w:lang w:val="en-US" w:eastAsia="zh-CN"/>
                    </w:rPr>
                    <w:t>及有机溶剂的使用，项目产生的废气为烟尘、二氧化硫、氮氧化物、氟化物采用</w:t>
                  </w:r>
                  <w:r>
                    <w:rPr>
                      <w:rFonts w:hint="default" w:ascii="Times New Roman" w:hAnsi="Times New Roman" w:eastAsia="宋体" w:cs="Times New Roman"/>
                      <w:color w:val="auto"/>
                      <w:sz w:val="21"/>
                      <w:szCs w:val="21"/>
                      <w:highlight w:val="none"/>
                    </w:rPr>
                    <w:t>双碱法脱硫除尘装置</w:t>
                  </w:r>
                  <w:r>
                    <w:rPr>
                      <w:rFonts w:hint="default" w:ascii="Times New Roman" w:hAnsi="Times New Roman" w:eastAsia="宋体" w:cs="Times New Roman"/>
                      <w:color w:val="auto"/>
                      <w:sz w:val="21"/>
                      <w:szCs w:val="21"/>
                      <w:highlight w:val="none"/>
                      <w:lang w:val="en-US" w:eastAsia="zh-CN"/>
                    </w:rPr>
                    <w:t>处理后排放。破碎、筛分粉尘采用布袋除尘器处理后排放。项目不属于宜良县</w:t>
                  </w:r>
                  <w:r>
                    <w:rPr>
                      <w:rFonts w:hint="default" w:ascii="Times New Roman" w:hAnsi="Times New Roman" w:eastAsia="宋体" w:cs="Times New Roman"/>
                      <w:color w:val="auto"/>
                      <w:sz w:val="21"/>
                      <w:szCs w:val="21"/>
                      <w:highlight w:val="none"/>
                    </w:rPr>
                    <w:t>淘汰</w:t>
                  </w:r>
                  <w:r>
                    <w:rPr>
                      <w:rFonts w:hint="default" w:ascii="Times New Roman" w:hAnsi="Times New Roman" w:eastAsia="宋体" w:cs="Times New Roman"/>
                      <w:color w:val="auto"/>
                      <w:sz w:val="21"/>
                      <w:szCs w:val="21"/>
                      <w:highlight w:val="none"/>
                      <w:lang w:val="en-US" w:eastAsia="zh-CN"/>
                    </w:rPr>
                    <w:t>企业，本次项目在原址改扩建，不新增占地。符合</w:t>
                  </w:r>
                  <w:r>
                    <w:rPr>
                      <w:rFonts w:hint="default" w:ascii="Times New Roman" w:hAnsi="Times New Roman" w:eastAsia="宋体" w:cs="Times New Roman"/>
                      <w:color w:val="auto"/>
                      <w:sz w:val="21"/>
                      <w:szCs w:val="21"/>
                      <w:highlight w:val="none"/>
                    </w:rPr>
                    <w:t>《产业结构调整指导目录（2024年本）》</w:t>
                  </w:r>
                  <w:r>
                    <w:rPr>
                      <w:rFonts w:hint="default" w:ascii="Times New Roman" w:hAnsi="Times New Roman" w:eastAsia="宋体" w:cs="Times New Roman"/>
                      <w:color w:val="auto"/>
                      <w:sz w:val="21"/>
                      <w:szCs w:val="21"/>
                      <w:highlight w:val="none"/>
                      <w:lang w:val="en-US" w:eastAsia="zh-CN"/>
                    </w:rPr>
                    <w:t>的相关规划要求。</w:t>
                  </w:r>
                </w:p>
              </w:tc>
              <w:tc>
                <w:tcPr>
                  <w:tcW w:w="4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2606"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优化含VOCs原辅材料和产品结构。严格控制生产和使用高VOCs含量涂料、油墨、胶粘剂、清洗剂等建设项目，提高低（无）VOCs含量产品比重。实施源头替代工程，加大工业涂装、包装印刷和电子行业低（无）VOCs含量原辅材料替代力度，室外构筑物防护和城市道路交通标志推广使用低（无）VOCs含量涂料。在生产、销售、进口、使用等环节严格执行VOCs含量限值标准。</w:t>
                  </w:r>
                </w:p>
              </w:tc>
              <w:tc>
                <w:tcPr>
                  <w:tcW w:w="1906"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项目不涉及</w:t>
                  </w:r>
                  <w:r>
                    <w:rPr>
                      <w:rFonts w:hint="default" w:ascii="Times New Roman" w:hAnsi="Times New Roman" w:eastAsia="宋体" w:cs="Times New Roman"/>
                      <w:color w:val="auto"/>
                      <w:sz w:val="21"/>
                      <w:szCs w:val="21"/>
                      <w:highlight w:val="none"/>
                    </w:rPr>
                    <w:t>含VOCs原辅材料和产品结构</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不产生</w:t>
                  </w:r>
                  <w:r>
                    <w:rPr>
                      <w:rFonts w:hint="default" w:ascii="Times New Roman" w:hAnsi="Times New Roman" w:eastAsia="宋体" w:cs="Times New Roman"/>
                      <w:color w:val="auto"/>
                      <w:sz w:val="21"/>
                      <w:szCs w:val="21"/>
                      <w:highlight w:val="none"/>
                    </w:rPr>
                    <w:t>VOCs</w:t>
                  </w:r>
                  <w:r>
                    <w:rPr>
                      <w:rFonts w:hint="default" w:ascii="Times New Roman" w:hAnsi="Times New Roman" w:eastAsia="宋体" w:cs="Times New Roman"/>
                      <w:color w:val="auto"/>
                      <w:sz w:val="21"/>
                      <w:szCs w:val="21"/>
                      <w:highlight w:val="none"/>
                      <w:lang w:val="en-US" w:eastAsia="zh-CN"/>
                    </w:rPr>
                    <w:t>废气。</w:t>
                  </w:r>
                </w:p>
              </w:tc>
              <w:tc>
                <w:tcPr>
                  <w:tcW w:w="4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2606"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推动绿色环保产业健康发展。在低（无）VOCs含量原辅材料生产和使用、VOCs污染治理、超低排放、环境和大气成分监测等领域支持培育一批龙头企业。治理环保领域低价低质中标乱象，营造公平竞争环境。推动产业健康有序发展。</w:t>
                  </w:r>
                </w:p>
              </w:tc>
              <w:tc>
                <w:tcPr>
                  <w:tcW w:w="1906"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项目不涉及</w:t>
                  </w:r>
                  <w:r>
                    <w:rPr>
                      <w:rFonts w:hint="default" w:ascii="Times New Roman" w:hAnsi="Times New Roman" w:eastAsia="宋体" w:cs="Times New Roman"/>
                      <w:color w:val="auto"/>
                      <w:sz w:val="21"/>
                      <w:szCs w:val="21"/>
                      <w:highlight w:val="none"/>
                    </w:rPr>
                    <w:t>VOCs含量原辅材料生产和使用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不产生</w:t>
                  </w:r>
                  <w:r>
                    <w:rPr>
                      <w:rFonts w:hint="default" w:ascii="Times New Roman" w:hAnsi="Times New Roman" w:eastAsia="宋体" w:cs="Times New Roman"/>
                      <w:color w:val="auto"/>
                      <w:sz w:val="21"/>
                      <w:szCs w:val="21"/>
                      <w:highlight w:val="none"/>
                    </w:rPr>
                    <w:t>VOCs</w:t>
                  </w:r>
                  <w:r>
                    <w:rPr>
                      <w:rFonts w:hint="default" w:ascii="Times New Roman" w:hAnsi="Times New Roman" w:eastAsia="宋体" w:cs="Times New Roman"/>
                      <w:color w:val="auto"/>
                      <w:sz w:val="21"/>
                      <w:szCs w:val="21"/>
                      <w:highlight w:val="none"/>
                      <w:lang w:val="en-US" w:eastAsia="zh-CN"/>
                    </w:rPr>
                    <w:t>废气。</w:t>
                  </w:r>
                </w:p>
              </w:tc>
              <w:tc>
                <w:tcPr>
                  <w:tcW w:w="4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综上所述，项目建设符合《昆明市空气质量持续改善行动实施方案》的相关要求。</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9、</w:t>
            </w:r>
            <w:r>
              <w:rPr>
                <w:rFonts w:hint="default" w:ascii="Times New Roman" w:hAnsi="Times New Roman" w:eastAsia="宋体" w:cs="Times New Roman"/>
                <w:b/>
                <w:bCs/>
                <w:color w:val="auto"/>
                <w:sz w:val="24"/>
                <w:szCs w:val="24"/>
                <w:highlight w:val="none"/>
              </w:rPr>
              <w:t>项目与《关于加快烧结砖瓦行业转型发展的若干意见》相符性分析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根据《关于加快烧结砖瓦行业转型发展的若干意见》（工业和信息化部、环境保护部、国家安全监管总局相关要求，项目符合性分析如下：</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表1</w:t>
            </w:r>
            <w:r>
              <w:rPr>
                <w:rFonts w:hint="default" w:ascii="Times New Roman" w:hAnsi="Times New Roman" w:eastAsia="宋体" w:cs="Times New Roman"/>
                <w:b/>
                <w:bCs/>
                <w:color w:val="auto"/>
                <w:szCs w:val="21"/>
                <w:highlight w:val="none"/>
                <w:lang w:val="en-US" w:eastAsia="zh-CN"/>
              </w:rPr>
              <w:t>-10</w:t>
            </w:r>
            <w:r>
              <w:rPr>
                <w:rFonts w:hint="default" w:ascii="Times New Roman" w:hAnsi="Times New Roman" w:eastAsia="宋体" w:cs="Times New Roman"/>
                <w:b/>
                <w:bCs/>
                <w:color w:val="auto"/>
                <w:szCs w:val="21"/>
                <w:highlight w:val="none"/>
              </w:rPr>
              <w:t xml:space="preserve">   </w:t>
            </w:r>
            <w:r>
              <w:rPr>
                <w:rFonts w:hint="default" w:ascii="Times New Roman" w:hAnsi="Times New Roman" w:eastAsia="宋体" w:cs="Times New Roman"/>
                <w:b/>
                <w:bCs/>
                <w:color w:val="auto"/>
                <w:szCs w:val="21"/>
                <w:highlight w:val="none"/>
                <w:lang w:val="en-US" w:eastAsia="zh-CN"/>
              </w:rPr>
              <w:t>项目</w:t>
            </w:r>
            <w:r>
              <w:rPr>
                <w:rFonts w:hint="default" w:ascii="Times New Roman" w:hAnsi="Times New Roman" w:eastAsia="宋体" w:cs="Times New Roman"/>
                <w:b/>
                <w:bCs/>
                <w:color w:val="auto"/>
                <w:szCs w:val="21"/>
                <w:highlight w:val="none"/>
              </w:rPr>
              <w:t>与关于加快烧结砖瓦行业转型发展的若干意见相符性分析</w:t>
            </w:r>
          </w:p>
          <w:tbl>
            <w:tblPr>
              <w:tblStyle w:val="23"/>
              <w:tblW w:w="499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3458"/>
              <w:gridCol w:w="2319"/>
              <w:gridCol w:w="47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276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相关要求</w:t>
                  </w:r>
                </w:p>
              </w:tc>
              <w:tc>
                <w:tcPr>
                  <w:tcW w:w="185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379"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2765"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到2020年末，供给结构进一步优化，品种质量全面适应建筑工业化和城乡建筑及基础设施发展的新要求；治污减排水平大幅提高，全面实现达标排放，环境敏感区内实现错峰生产和更严格排放限值要求；节能降耗取得新进展，落后产品和落后产能基本淘汰，再生资源在原燃料中占比持续上升。重点发展结构功能一体化的烧结多孔砖、空心砖、自保温砌块、复合保温砌块、清水墙砖、透水路面砖、烧结墙板等产品。</w:t>
                  </w:r>
                </w:p>
              </w:tc>
              <w:tc>
                <w:tcPr>
                  <w:tcW w:w="185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项目为改扩建项目，</w:t>
                  </w:r>
                  <w:r>
                    <w:rPr>
                      <w:rFonts w:hint="default" w:ascii="Times New Roman" w:hAnsi="Times New Roman" w:eastAsia="宋体" w:cs="Times New Roman"/>
                      <w:color w:val="auto"/>
                      <w:kern w:val="0"/>
                      <w:sz w:val="21"/>
                      <w:szCs w:val="21"/>
                      <w:highlight w:val="none"/>
                    </w:rPr>
                    <w:t>项目能源为电和煤；项目用电量不大，煤既是燃料又是原料</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采用隧道窑焙烧，</w:t>
                  </w:r>
                  <w:r>
                    <w:rPr>
                      <w:rFonts w:hint="default" w:ascii="Times New Roman" w:hAnsi="Times New Roman" w:eastAsia="宋体" w:cs="Times New Roman"/>
                      <w:color w:val="auto"/>
                      <w:kern w:val="0"/>
                      <w:sz w:val="21"/>
                      <w:szCs w:val="21"/>
                      <w:highlight w:val="none"/>
                      <w:lang w:val="en-US" w:eastAsia="zh-CN"/>
                    </w:rPr>
                    <w:t>根据</w:t>
                  </w:r>
                  <w:r>
                    <w:rPr>
                      <w:rFonts w:hint="default" w:ascii="Times New Roman" w:hAnsi="Times New Roman" w:eastAsia="宋体" w:cs="Times New Roman"/>
                      <w:color w:val="auto"/>
                      <w:kern w:val="0"/>
                      <w:sz w:val="21"/>
                      <w:szCs w:val="21"/>
                      <w:highlight w:val="none"/>
                    </w:rPr>
                    <w:t>《产业结构调整指导目录》（20</w:t>
                  </w:r>
                  <w:r>
                    <w:rPr>
                      <w:rFonts w:hint="default" w:ascii="Times New Roman" w:hAnsi="Times New Roman" w:eastAsia="宋体" w:cs="Times New Roman"/>
                      <w:color w:val="auto"/>
                      <w:kern w:val="0"/>
                      <w:sz w:val="21"/>
                      <w:szCs w:val="21"/>
                      <w:highlight w:val="none"/>
                      <w:lang w:val="en-US" w:eastAsia="zh-CN"/>
                    </w:rPr>
                    <w:t>24</w:t>
                  </w:r>
                  <w:r>
                    <w:rPr>
                      <w:rFonts w:hint="default" w:ascii="Times New Roman" w:hAnsi="Times New Roman" w:eastAsia="宋体" w:cs="Times New Roman"/>
                      <w:color w:val="auto"/>
                      <w:kern w:val="0"/>
                      <w:sz w:val="21"/>
                      <w:szCs w:val="21"/>
                      <w:highlight w:val="none"/>
                    </w:rPr>
                    <w:t>年本）</w:t>
                  </w:r>
                  <w:r>
                    <w:rPr>
                      <w:rFonts w:hint="default" w:ascii="Times New Roman" w:hAnsi="Times New Roman" w:eastAsia="宋体" w:cs="Times New Roman"/>
                      <w:color w:val="auto"/>
                      <w:kern w:val="0"/>
                      <w:sz w:val="21"/>
                      <w:szCs w:val="21"/>
                      <w:highlight w:val="none"/>
                      <w:lang w:val="en-US" w:eastAsia="zh-CN"/>
                    </w:rPr>
                    <w:t>项目</w:t>
                  </w:r>
                  <w:r>
                    <w:rPr>
                      <w:rFonts w:hint="default" w:ascii="Times New Roman" w:hAnsi="Times New Roman" w:eastAsia="宋体" w:cs="Times New Roman"/>
                      <w:color w:val="auto"/>
                      <w:kern w:val="0"/>
                      <w:sz w:val="21"/>
                      <w:szCs w:val="21"/>
                      <w:highlight w:val="none"/>
                    </w:rPr>
                    <w:t>属于</w:t>
                  </w:r>
                  <w:r>
                    <w:rPr>
                      <w:rFonts w:hint="default" w:ascii="Times New Roman" w:hAnsi="Times New Roman" w:eastAsia="宋体" w:cs="Times New Roman"/>
                      <w:color w:val="auto"/>
                      <w:kern w:val="0"/>
                      <w:sz w:val="21"/>
                      <w:szCs w:val="21"/>
                      <w:highlight w:val="none"/>
                      <w:lang w:val="en-US" w:eastAsia="zh-CN"/>
                    </w:rPr>
                    <w:t>鼓励</w:t>
                  </w:r>
                  <w:r>
                    <w:rPr>
                      <w:rFonts w:hint="default" w:ascii="Times New Roman" w:hAnsi="Times New Roman" w:eastAsia="宋体" w:cs="Times New Roman"/>
                      <w:color w:val="auto"/>
                      <w:kern w:val="0"/>
                      <w:sz w:val="21"/>
                      <w:szCs w:val="21"/>
                      <w:highlight w:val="none"/>
                    </w:rPr>
                    <w:t>类，符合国家产业政策。</w:t>
                  </w:r>
                </w:p>
              </w:tc>
              <w:tc>
                <w:tcPr>
                  <w:tcW w:w="379"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2765"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淘汰落后产品和落后产能。认真落实《产业结构调整指导 目录（2011 年本）（2013年修订）》和《关于利用综合标准依法依规推动落后产能退出的指导意见》（工信部联产业〔2017〕30号），依法淘汰落后工艺、装备和产品。执行环保、节能等强制性标准规范，强化环保、节能、质量、安全等执法监管，利用法治化市场化手段，督促达不到环保、能耗等标准的砖瓦企业加快整改，对整改仍不达标的依法责令关停，淘汰整改达标无望的生产线，鼓励东中部地区率先淘汰轮窑生产线。</w:t>
                  </w:r>
                </w:p>
              </w:tc>
              <w:tc>
                <w:tcPr>
                  <w:tcW w:w="1854"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根据</w:t>
                  </w:r>
                  <w:r>
                    <w:rPr>
                      <w:rFonts w:hint="default" w:ascii="Times New Roman" w:hAnsi="Times New Roman" w:eastAsia="宋体" w:cs="Times New Roman"/>
                      <w:color w:val="auto"/>
                      <w:kern w:val="0"/>
                      <w:sz w:val="21"/>
                      <w:szCs w:val="21"/>
                      <w:highlight w:val="none"/>
                    </w:rPr>
                    <w:t>《产业结构调整指导目录》（20</w:t>
                  </w:r>
                  <w:r>
                    <w:rPr>
                      <w:rFonts w:hint="default" w:ascii="Times New Roman" w:hAnsi="Times New Roman" w:eastAsia="宋体" w:cs="Times New Roman"/>
                      <w:color w:val="auto"/>
                      <w:kern w:val="0"/>
                      <w:sz w:val="21"/>
                      <w:szCs w:val="21"/>
                      <w:highlight w:val="none"/>
                      <w:lang w:val="en-US" w:eastAsia="zh-CN"/>
                    </w:rPr>
                    <w:t>24</w:t>
                  </w:r>
                  <w:r>
                    <w:rPr>
                      <w:rFonts w:hint="default" w:ascii="Times New Roman" w:hAnsi="Times New Roman" w:eastAsia="宋体" w:cs="Times New Roman"/>
                      <w:color w:val="auto"/>
                      <w:kern w:val="0"/>
                      <w:sz w:val="21"/>
                      <w:szCs w:val="21"/>
                      <w:highlight w:val="none"/>
                    </w:rPr>
                    <w:t>年本）</w:t>
                  </w:r>
                  <w:r>
                    <w:rPr>
                      <w:rFonts w:hint="default" w:ascii="Times New Roman" w:hAnsi="Times New Roman" w:eastAsia="宋体" w:cs="Times New Roman"/>
                      <w:color w:val="auto"/>
                      <w:kern w:val="0"/>
                      <w:sz w:val="21"/>
                      <w:szCs w:val="21"/>
                      <w:highlight w:val="none"/>
                      <w:lang w:val="en-US" w:eastAsia="zh-CN"/>
                    </w:rPr>
                    <w:t>项目</w:t>
                  </w:r>
                  <w:r>
                    <w:rPr>
                      <w:rFonts w:hint="default" w:ascii="Times New Roman" w:hAnsi="Times New Roman" w:eastAsia="宋体" w:cs="Times New Roman"/>
                      <w:color w:val="auto"/>
                      <w:kern w:val="0"/>
                      <w:sz w:val="21"/>
                      <w:szCs w:val="21"/>
                      <w:highlight w:val="none"/>
                    </w:rPr>
                    <w:t>属于</w:t>
                  </w:r>
                  <w:r>
                    <w:rPr>
                      <w:rFonts w:hint="default" w:ascii="Times New Roman" w:hAnsi="Times New Roman" w:eastAsia="宋体" w:cs="Times New Roman"/>
                      <w:color w:val="auto"/>
                      <w:kern w:val="0"/>
                      <w:sz w:val="21"/>
                      <w:szCs w:val="21"/>
                      <w:highlight w:val="none"/>
                      <w:lang w:val="en-US" w:eastAsia="zh-CN"/>
                    </w:rPr>
                    <w:t>鼓励</w:t>
                  </w:r>
                  <w:r>
                    <w:rPr>
                      <w:rFonts w:hint="default" w:ascii="Times New Roman" w:hAnsi="Times New Roman" w:eastAsia="宋体" w:cs="Times New Roman"/>
                      <w:color w:val="auto"/>
                      <w:kern w:val="0"/>
                      <w:sz w:val="21"/>
                      <w:szCs w:val="21"/>
                      <w:highlight w:val="none"/>
                    </w:rPr>
                    <w:t>类，符合国家产业政策。项目采用隧道窑焙烧，不属于落后产能、产品、工艺、装备，符合《关于利用综合标准依法依规推动落后产能退出的指导意见》（工信部联产业〔2017〕30号）</w:t>
                  </w:r>
                  <w:r>
                    <w:rPr>
                      <w:rFonts w:hint="default" w:ascii="Times New Roman" w:hAnsi="Times New Roman" w:eastAsia="宋体" w:cs="Times New Roman"/>
                      <w:color w:val="auto"/>
                      <w:kern w:val="0"/>
                      <w:sz w:val="21"/>
                      <w:szCs w:val="21"/>
                      <w:highlight w:val="none"/>
                      <w:lang w:val="en-US" w:eastAsia="zh-CN"/>
                    </w:rPr>
                    <w:t>的要求。</w:t>
                  </w:r>
                </w:p>
              </w:tc>
              <w:tc>
                <w:tcPr>
                  <w:tcW w:w="37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2765" w:type="pct"/>
                  <w:tcBorders>
                    <w:tl2br w:val="nil"/>
                    <w:tr2bl w:val="nil"/>
                  </w:tcBorders>
                  <w:noWrap w:val="0"/>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狠抓治污减排。开发并推广适用于砖瓦窑炉烟气脱硫、脱硝、除尘综合治理成套技术和装备，鼓励采用低氮烧成技术，使用清洁燃料（洁净煤制气或天然气）。开展清洁生产技术改造，原燃料应密闭存储或采取防风、抑尘、降尘等措施。严格控制并强化治理原燃料破碎、干燥焙烧、制备成型等工段无组织排放烟（粉）尘。安装污染物在线监控系统并与监管部门联网，主动披露污染物排放信息。全面实施排污许可证，严格按证排放污染物，禁止无证排污。加强氟化物等其他有毒有害污染物治理技术研发和应用。</w:t>
                  </w:r>
                </w:p>
              </w:tc>
              <w:tc>
                <w:tcPr>
                  <w:tcW w:w="1854"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项目堆场采用彩钢瓦顶棚，三面围挡，内设一套喷淋设施；破碎、筛分粉尘采用布袋除尘器收集处理后达标排放；焙烧烟气采用</w:t>
                  </w:r>
                  <w:r>
                    <w:rPr>
                      <w:rFonts w:hint="default" w:ascii="Times New Roman" w:hAnsi="Times New Roman" w:eastAsia="宋体" w:cs="Times New Roman"/>
                      <w:color w:val="auto"/>
                      <w:sz w:val="21"/>
                      <w:szCs w:val="21"/>
                      <w:highlight w:val="none"/>
                    </w:rPr>
                    <w:t>双碱法脱硫除尘装置</w:t>
                  </w:r>
                  <w:r>
                    <w:rPr>
                      <w:rFonts w:hint="default" w:ascii="Times New Roman" w:hAnsi="Times New Roman" w:eastAsia="宋体" w:cs="Times New Roman"/>
                      <w:color w:val="auto"/>
                      <w:kern w:val="0"/>
                      <w:sz w:val="21"/>
                      <w:szCs w:val="21"/>
                      <w:highlight w:val="none"/>
                    </w:rPr>
                    <w:t>处理后达标排放；</w:t>
                  </w:r>
                  <w:r>
                    <w:rPr>
                      <w:rFonts w:hint="default" w:ascii="Times New Roman" w:hAnsi="Times New Roman" w:eastAsia="宋体" w:cs="Times New Roman"/>
                      <w:color w:val="auto"/>
                      <w:kern w:val="0"/>
                      <w:sz w:val="21"/>
                      <w:szCs w:val="21"/>
                      <w:highlight w:val="none"/>
                      <w:lang w:val="en-US" w:eastAsia="zh-CN"/>
                    </w:rPr>
                    <w:t>项目建设完成后，根据</w:t>
                  </w:r>
                  <w:r>
                    <w:rPr>
                      <w:rFonts w:hint="default" w:ascii="Times New Roman" w:hAnsi="Times New Roman" w:eastAsia="宋体" w:cs="Times New Roman"/>
                      <w:color w:val="auto"/>
                      <w:sz w:val="21"/>
                      <w:szCs w:val="21"/>
                      <w:highlight w:val="none"/>
                      <w:lang w:bidi="ar"/>
                    </w:rPr>
                    <w:t>国家排污许可要求，</w:t>
                  </w:r>
                  <w:r>
                    <w:rPr>
                      <w:rFonts w:hint="default" w:ascii="Times New Roman" w:hAnsi="Times New Roman" w:eastAsia="宋体" w:cs="Times New Roman"/>
                      <w:color w:val="auto"/>
                      <w:sz w:val="21"/>
                      <w:szCs w:val="21"/>
                      <w:highlight w:val="none"/>
                      <w:lang w:val="en-US" w:eastAsia="zh-CN" w:bidi="ar"/>
                    </w:rPr>
                    <w:t>变更</w:t>
                  </w:r>
                  <w:r>
                    <w:rPr>
                      <w:rFonts w:hint="default" w:ascii="Times New Roman" w:hAnsi="Times New Roman" w:eastAsia="宋体" w:cs="Times New Roman"/>
                      <w:color w:val="auto"/>
                      <w:sz w:val="21"/>
                      <w:szCs w:val="21"/>
                      <w:highlight w:val="none"/>
                      <w:lang w:bidi="ar"/>
                    </w:rPr>
                    <w:t>排污许可证，合法排污。</w:t>
                  </w:r>
                </w:p>
              </w:tc>
              <w:tc>
                <w:tcPr>
                  <w:tcW w:w="37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2765" w:type="pct"/>
                  <w:tcBorders>
                    <w:tl2br w:val="nil"/>
                    <w:tr2bl w:val="nil"/>
                  </w:tcBorders>
                  <w:noWrap w:val="0"/>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加快自动化改造，推进智能制造。从原料制备、挤出成型、干燥焙烧、包装入库到运输，实现全过程自动化生产、信息化控制。</w:t>
                  </w:r>
                </w:p>
              </w:tc>
              <w:tc>
                <w:tcPr>
                  <w:tcW w:w="1854"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项目采用连续式隧道窑生产工艺</w:t>
                  </w:r>
                  <w:r>
                    <w:rPr>
                      <w:rStyle w:val="54"/>
                      <w:rFonts w:hint="default" w:ascii="Times New Roman" w:hAnsi="Times New Roman" w:eastAsia="宋体" w:cs="Times New Roman"/>
                      <w:color w:val="auto"/>
                      <w:sz w:val="21"/>
                      <w:szCs w:val="21"/>
                      <w:highlight w:val="none"/>
                    </w:rPr>
                    <w:t>，生产全过程实现自动化生产，</w:t>
                  </w:r>
                  <w:r>
                    <w:rPr>
                      <w:rFonts w:hint="default" w:ascii="Times New Roman" w:hAnsi="Times New Roman" w:eastAsia="宋体" w:cs="Times New Roman"/>
                      <w:color w:val="auto"/>
                      <w:kern w:val="0"/>
                      <w:sz w:val="21"/>
                      <w:szCs w:val="21"/>
                      <w:highlight w:val="none"/>
                    </w:rPr>
                    <w:t>符合要求。</w:t>
                  </w:r>
                </w:p>
              </w:tc>
              <w:tc>
                <w:tcPr>
                  <w:tcW w:w="37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符合</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综上所述，项目符合《关于加快烧结砖瓦行业转型发展的若干意见》的相关要求。</w:t>
            </w:r>
          </w:p>
          <w:p>
            <w:pPr>
              <w:keepNext w:val="0"/>
              <w:keepLines w:val="0"/>
              <w:numPr>
                <w:ilvl w:val="0"/>
                <w:numId w:val="0"/>
              </w:numPr>
              <w:suppressLineNumbers w:val="0"/>
              <w:spacing w:before="0" w:beforeAutospacing="0" w:after="0" w:afterAutospacing="0" w:line="360" w:lineRule="auto"/>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sz w:val="24"/>
                <w:szCs w:val="24"/>
                <w:highlight w:val="none"/>
                <w:lang w:val="en-US" w:eastAsia="zh-CN"/>
              </w:rPr>
              <w:t>10、项目与《云南省地下水管理办法》符合</w:t>
            </w:r>
            <w:r>
              <w:rPr>
                <w:rFonts w:hint="default" w:ascii="Times New Roman" w:hAnsi="Times New Roman" w:eastAsia="宋体" w:cs="Times New Roman"/>
                <w:b/>
                <w:bCs/>
                <w:color w:val="auto"/>
                <w:sz w:val="24"/>
                <w:szCs w:val="24"/>
                <w:highlight w:val="none"/>
              </w:rPr>
              <w:t>性分析</w:t>
            </w:r>
          </w:p>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项目与</w:t>
            </w:r>
            <w:r>
              <w:rPr>
                <w:rFonts w:hint="default" w:ascii="Times New Roman" w:hAnsi="Times New Roman" w:eastAsia="宋体" w:cs="Times New Roman"/>
                <w:color w:val="auto"/>
                <w:sz w:val="24"/>
                <w:szCs w:val="24"/>
                <w:highlight w:val="none"/>
                <w:lang w:val="en-US" w:eastAsia="zh-CN"/>
              </w:rPr>
              <w:t>《云南省地下水管理办法》</w:t>
            </w:r>
            <w:r>
              <w:rPr>
                <w:rFonts w:hint="default" w:ascii="Times New Roman" w:hAnsi="Times New Roman" w:eastAsia="宋体" w:cs="Times New Roman"/>
                <w:color w:val="auto"/>
                <w:sz w:val="24"/>
                <w:szCs w:val="24"/>
                <w:highlight w:val="none"/>
              </w:rPr>
              <w:t>符合性分析如下：</w:t>
            </w:r>
          </w:p>
          <w:p>
            <w:pPr>
              <w:pStyle w:val="8"/>
              <w:keepNext w:val="0"/>
              <w:keepLines w:val="0"/>
              <w:suppressLineNumbers w:val="0"/>
              <w:spacing w:beforeAutospacing="0" w:after="0" w:afterAutospacing="0"/>
              <w:ind w:lef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表1-</w:t>
            </w:r>
            <w:r>
              <w:rPr>
                <w:rFonts w:hint="default" w:ascii="Times New Roman" w:hAnsi="Times New Roman" w:eastAsia="宋体" w:cs="Times New Roman"/>
                <w:b/>
                <w:bCs/>
                <w:color w:val="auto"/>
                <w:sz w:val="21"/>
                <w:szCs w:val="21"/>
                <w:highlight w:val="none"/>
                <w:lang w:val="en-US" w:eastAsia="zh-CN"/>
              </w:rPr>
              <w:t>11</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项目</w:t>
            </w:r>
            <w:r>
              <w:rPr>
                <w:rFonts w:hint="default" w:ascii="Times New Roman" w:hAnsi="Times New Roman" w:eastAsia="宋体" w:cs="Times New Roman"/>
                <w:b/>
                <w:bCs/>
                <w:color w:val="auto"/>
                <w:sz w:val="21"/>
                <w:szCs w:val="21"/>
                <w:highlight w:val="none"/>
              </w:rPr>
              <w:t>与</w:t>
            </w:r>
            <w:r>
              <w:rPr>
                <w:rFonts w:hint="default" w:ascii="Times New Roman" w:hAnsi="Times New Roman" w:eastAsia="宋体" w:cs="Times New Roman"/>
                <w:b/>
                <w:bCs/>
                <w:color w:val="auto"/>
                <w:sz w:val="21"/>
                <w:szCs w:val="21"/>
                <w:highlight w:val="none"/>
                <w:lang w:val="en-US" w:eastAsia="zh-CN"/>
              </w:rPr>
              <w:t>《云南省地下水管理办法》</w:t>
            </w:r>
            <w:r>
              <w:rPr>
                <w:rFonts w:hint="default" w:ascii="Times New Roman" w:hAnsi="Times New Roman" w:eastAsia="宋体" w:cs="Times New Roman"/>
                <w:b/>
                <w:bCs/>
                <w:color w:val="auto"/>
                <w:sz w:val="21"/>
                <w:szCs w:val="21"/>
                <w:highlight w:val="none"/>
              </w:rPr>
              <w:t>对照分析</w:t>
            </w:r>
          </w:p>
          <w:tbl>
            <w:tblPr>
              <w:tblStyle w:val="2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64"/>
              <w:gridCol w:w="2387"/>
              <w:gridCol w:w="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2606" w:type="pct"/>
                  <w:noWrap w:val="0"/>
                  <w:vAlign w:val="center"/>
                </w:tcPr>
                <w:p>
                  <w:pPr>
                    <w:pStyle w:val="8"/>
                    <w:keepNext w:val="0"/>
                    <w:keepLines w:val="0"/>
                    <w:suppressLineNumbers w:val="0"/>
                    <w:spacing w:beforeAutospacing="0" w:after="0" w:afterAutospacing="0"/>
                    <w:ind w:lef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要求</w:t>
                  </w:r>
                </w:p>
              </w:tc>
              <w:tc>
                <w:tcPr>
                  <w:tcW w:w="19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4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2606" w:type="pct"/>
                  <w:noWrap w:val="0"/>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禁止下列污染或者可能污染地下水的行为：</w:t>
                  </w:r>
                </w:p>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（一）利用渗井、渗坑、裂隙、溶洞以及私设暗管等逃避监管的方式排放水污染物；</w:t>
                  </w:r>
                </w:p>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（二）利用岩层孔隙、裂隙、溶洞、废弃矿坑等贮存石化原料及产品、农药、危险废物、城镇污水处理设施产生的污泥和处理后的污泥或者其他有毒有害物质；</w:t>
                  </w:r>
                </w:p>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（三）利用无防渗漏措施的沟渠、坑塘等输送或者贮存含有毒污染物的废水、含病原体的污水和其他废弃物；</w:t>
                  </w:r>
                </w:p>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（四）法律、法规禁止的其他污染或者可能污染地下水的行为。</w:t>
                  </w:r>
                </w:p>
              </w:tc>
              <w:tc>
                <w:tcPr>
                  <w:tcW w:w="1906" w:type="pct"/>
                  <w:noWrap w:val="0"/>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1、项目废水回用，不直接外排；</w:t>
                  </w:r>
                </w:p>
                <w:p>
                  <w:pPr>
                    <w:keepNext w:val="0"/>
                    <w:keepLines w:val="0"/>
                    <w:suppressLineNumbers w:val="0"/>
                    <w:spacing w:before="0" w:beforeAutospacing="0" w:after="0" w:afterAutospacing="0"/>
                    <w:ind w:left="0" w:right="0"/>
                    <w:contextualSpacing/>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2、项目使用的污泥堆放在</w:t>
                  </w:r>
                  <w:r>
                    <w:rPr>
                      <w:rFonts w:hint="default" w:ascii="Times New Roman" w:hAnsi="Times New Roman" w:eastAsia="宋体" w:cs="Times New Roman"/>
                      <w:color w:val="auto"/>
                      <w:sz w:val="21"/>
                      <w:szCs w:val="21"/>
                      <w:highlight w:val="none"/>
                      <w:lang w:val="en-US" w:eastAsia="zh-CN"/>
                    </w:rPr>
                    <w:t>原料堆场中的污泥堆放池；污泥堆放池采用素土夯实+混凝土+铺设防渗膜的措施，</w:t>
                  </w:r>
                  <w:r>
                    <w:rPr>
                      <w:rFonts w:hint="default" w:ascii="Times New Roman" w:hAnsi="Times New Roman" w:eastAsia="宋体" w:cs="Times New Roman"/>
                      <w:color w:val="auto"/>
                      <w:sz w:val="21"/>
                      <w:szCs w:val="21"/>
                      <w:highlight w:val="none"/>
                    </w:rPr>
                    <w:t>防渗层渗透系数≤10</w:t>
                  </w:r>
                  <w:r>
                    <w:rPr>
                      <w:rFonts w:hint="default" w:ascii="Times New Roman" w:hAnsi="Times New Roman" w:eastAsia="宋体" w:cs="Times New Roman"/>
                      <w:color w:val="auto"/>
                      <w:sz w:val="21"/>
                      <w:szCs w:val="21"/>
                      <w:highlight w:val="none"/>
                      <w:vertAlign w:val="superscript"/>
                    </w:rPr>
                    <w:t>⁻</w:t>
                  </w:r>
                  <w:r>
                    <w:rPr>
                      <w:rFonts w:hint="default" w:ascii="Times New Roman" w:hAnsi="Times New Roman" w:eastAsia="宋体" w:cs="Times New Roman"/>
                      <w:color w:val="auto"/>
                      <w:sz w:val="21"/>
                      <w:szCs w:val="21"/>
                      <w:highlight w:val="none"/>
                      <w:vertAlign w:val="superscript"/>
                      <w:lang w:val="en-US" w:eastAsia="zh-CN"/>
                    </w:rPr>
                    <w:t>7</w:t>
                  </w:r>
                  <w:r>
                    <w:rPr>
                      <w:rFonts w:hint="default" w:ascii="Times New Roman" w:hAnsi="Times New Roman" w:eastAsia="宋体" w:cs="Times New Roman"/>
                      <w:color w:val="auto"/>
                      <w:sz w:val="21"/>
                      <w:szCs w:val="21"/>
                      <w:highlight w:val="none"/>
                    </w:rPr>
                    <w:t>cm/s</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项目在污泥堆放池中铺设管道，</w:t>
                  </w:r>
                  <w:r>
                    <w:rPr>
                      <w:rFonts w:hint="default" w:ascii="Times New Roman" w:hAnsi="Times New Roman" w:eastAsia="宋体" w:cs="Times New Roman"/>
                      <w:color w:val="auto"/>
                      <w:kern w:val="2"/>
                      <w:sz w:val="21"/>
                      <w:szCs w:val="21"/>
                      <w:highlight w:val="none"/>
                      <w:lang w:val="en-US" w:eastAsia="zh-CN" w:bidi="ar-SA"/>
                    </w:rPr>
                    <w:t>污泥渗滤液通过管道收集后回用于制砖过程，废水不外排；</w:t>
                  </w:r>
                  <w:r>
                    <w:rPr>
                      <w:rFonts w:hint="default" w:ascii="Times New Roman" w:hAnsi="Times New Roman" w:eastAsia="宋体" w:cs="Times New Roman"/>
                      <w:color w:val="auto"/>
                      <w:sz w:val="21"/>
                      <w:szCs w:val="21"/>
                      <w:highlight w:val="none"/>
                      <w:lang w:val="en-US" w:eastAsia="zh-CN"/>
                    </w:rPr>
                    <w:t>原料堆场设置为彩钢瓦顶棚，厂房密闭，留有进出口，原料堆场已做一般防渗。</w:t>
                  </w:r>
                </w:p>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3、项目原料堆场已做一般防渗，项目废水回用，废水中不含病原体、有毒有害污染物。</w:t>
                  </w:r>
                </w:p>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4、项目废水回用，化粪池防渗层采用素土夯实+M10砂浆砌砖墙；集水池防渗层采用素土夯实+铺设防渗膜；渗透数达到≤10</w:t>
                  </w:r>
                  <w:r>
                    <w:rPr>
                      <w:rFonts w:hint="default" w:ascii="Times New Roman" w:hAnsi="Times New Roman" w:eastAsia="宋体" w:cs="Times New Roman"/>
                      <w:color w:val="auto"/>
                      <w:kern w:val="0"/>
                      <w:sz w:val="21"/>
                      <w:szCs w:val="21"/>
                      <w:highlight w:val="none"/>
                      <w:vertAlign w:val="superscript"/>
                      <w:lang w:val="en-US" w:eastAsia="zh-CN"/>
                    </w:rPr>
                    <w:t>-7</w:t>
                  </w:r>
                  <w:r>
                    <w:rPr>
                      <w:rFonts w:hint="default" w:ascii="Times New Roman" w:hAnsi="Times New Roman" w:eastAsia="宋体" w:cs="Times New Roman"/>
                      <w:color w:val="auto"/>
                      <w:kern w:val="0"/>
                      <w:sz w:val="21"/>
                      <w:szCs w:val="21"/>
                      <w:highlight w:val="none"/>
                      <w:lang w:val="en-US" w:eastAsia="zh-CN"/>
                    </w:rPr>
                    <w:t>cm/s。</w:t>
                  </w:r>
                  <w:r>
                    <w:rPr>
                      <w:rFonts w:hint="default" w:ascii="Times New Roman" w:hAnsi="Times New Roman" w:eastAsia="宋体" w:cs="Times New Roman"/>
                      <w:color w:val="auto"/>
                      <w:sz w:val="21"/>
                      <w:szCs w:val="21"/>
                      <w:highlight w:val="none"/>
                      <w:lang w:val="en-US" w:eastAsia="zh-CN"/>
                    </w:rPr>
                    <w:t>污泥堆放池采用素土夯实+混凝土+铺设防渗膜的措施，</w:t>
                  </w:r>
                  <w:r>
                    <w:rPr>
                      <w:rFonts w:hint="default" w:ascii="Times New Roman" w:hAnsi="Times New Roman" w:eastAsia="宋体" w:cs="Times New Roman"/>
                      <w:color w:val="auto"/>
                      <w:sz w:val="21"/>
                      <w:szCs w:val="21"/>
                      <w:highlight w:val="none"/>
                    </w:rPr>
                    <w:t>防渗层渗透系数≤10</w:t>
                  </w:r>
                  <w:r>
                    <w:rPr>
                      <w:rFonts w:hint="default" w:ascii="Times New Roman" w:hAnsi="Times New Roman" w:eastAsia="宋体" w:cs="Times New Roman"/>
                      <w:color w:val="auto"/>
                      <w:sz w:val="21"/>
                      <w:szCs w:val="21"/>
                      <w:highlight w:val="none"/>
                      <w:vertAlign w:val="superscript"/>
                    </w:rPr>
                    <w:t>⁻</w:t>
                  </w:r>
                  <w:r>
                    <w:rPr>
                      <w:rFonts w:hint="default" w:ascii="Times New Roman" w:hAnsi="Times New Roman" w:eastAsia="宋体" w:cs="Times New Roman"/>
                      <w:color w:val="auto"/>
                      <w:sz w:val="21"/>
                      <w:szCs w:val="21"/>
                      <w:highlight w:val="none"/>
                      <w:vertAlign w:val="superscript"/>
                      <w:lang w:val="en-US" w:eastAsia="zh-CN"/>
                    </w:rPr>
                    <w:t>7</w:t>
                  </w:r>
                  <w:r>
                    <w:rPr>
                      <w:rFonts w:hint="default" w:ascii="Times New Roman" w:hAnsi="Times New Roman" w:eastAsia="宋体" w:cs="Times New Roman"/>
                      <w:color w:val="auto"/>
                      <w:sz w:val="21"/>
                      <w:szCs w:val="21"/>
                      <w:highlight w:val="none"/>
                    </w:rPr>
                    <w:t>cm/s</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不会对区域地下水环境造成污染。</w:t>
                  </w:r>
                </w:p>
              </w:tc>
              <w:tc>
                <w:tcPr>
                  <w:tcW w:w="4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2606" w:type="pct"/>
                  <w:noWrap w:val="0"/>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企业事业单位和其他生产经营者应当采取下列措施，防止地下水污染：</w:t>
                  </w:r>
                </w:p>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（一）兴建地下工程设施或者进行地下勘探、采矿等活动，依法编制的环境影响评价文件中，应当包括地下水污染防治的内容，并采取防护性措施；</w:t>
                  </w:r>
                </w:p>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（二）化学品生产企业以及工业集聚区、矿山开采区、尾矿库、危险废物处置场、垃圾填埋场等的运营、管理单位，应当采取防渗漏等措施，建设地下水水质监测井，按照有关标准和技术规范进行监测；</w:t>
                  </w:r>
                </w:p>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（三）加油站等的地下油罐应当使用双层罐或者采取建造防渗池等其他有效措施，并按照有关标准和技术规范进行防渗漏监测；</w:t>
                  </w:r>
                </w:p>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（四）存放可溶性剧毒废渣的场所，应当采取防水、防渗漏、防流失的措施；</w:t>
                  </w:r>
                </w:p>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（五）法律、法规规定应当采取的其他防止地下水污染的措施。</w:t>
                  </w:r>
                </w:p>
              </w:tc>
              <w:tc>
                <w:tcPr>
                  <w:tcW w:w="1906" w:type="pct"/>
                  <w:noWrap w:val="0"/>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1、项目不涉及</w:t>
                  </w:r>
                  <w:r>
                    <w:rPr>
                      <w:rFonts w:hint="default" w:ascii="Times New Roman" w:hAnsi="Times New Roman" w:eastAsia="宋体" w:cs="Times New Roman"/>
                      <w:color w:val="auto"/>
                      <w:kern w:val="0"/>
                      <w:sz w:val="21"/>
                      <w:szCs w:val="21"/>
                      <w:highlight w:val="none"/>
                    </w:rPr>
                    <w:t>地下勘探、采矿</w:t>
                  </w:r>
                  <w:r>
                    <w:rPr>
                      <w:rFonts w:hint="default" w:ascii="Times New Roman" w:hAnsi="Times New Roman" w:eastAsia="宋体" w:cs="Times New Roman"/>
                      <w:color w:val="auto"/>
                      <w:kern w:val="0"/>
                      <w:sz w:val="21"/>
                      <w:szCs w:val="21"/>
                      <w:highlight w:val="none"/>
                      <w:lang w:eastAsia="zh-CN"/>
                    </w:rPr>
                    <w:t>；</w:t>
                  </w:r>
                </w:p>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2、项目不涉及</w:t>
                  </w:r>
                  <w:r>
                    <w:rPr>
                      <w:rFonts w:hint="default" w:ascii="Times New Roman" w:hAnsi="Times New Roman" w:eastAsia="宋体" w:cs="Times New Roman"/>
                      <w:color w:val="auto"/>
                      <w:kern w:val="0"/>
                      <w:sz w:val="21"/>
                      <w:szCs w:val="21"/>
                      <w:highlight w:val="none"/>
                    </w:rPr>
                    <w:t>化学品生产</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矿山开采、尾矿库、危险废物处置、垃圾填埋</w:t>
                  </w:r>
                  <w:r>
                    <w:rPr>
                      <w:rFonts w:hint="default" w:ascii="Times New Roman" w:hAnsi="Times New Roman" w:eastAsia="宋体" w:cs="Times New Roman"/>
                      <w:color w:val="auto"/>
                      <w:kern w:val="0"/>
                      <w:sz w:val="21"/>
                      <w:szCs w:val="21"/>
                      <w:highlight w:val="none"/>
                      <w:lang w:val="en-US" w:eastAsia="zh-CN"/>
                    </w:rPr>
                    <w:t>等活动；</w:t>
                  </w:r>
                </w:p>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3、项目不属于加油站建设；</w:t>
                  </w:r>
                </w:p>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4、项目不涉及</w:t>
                  </w:r>
                  <w:r>
                    <w:rPr>
                      <w:rFonts w:hint="default" w:ascii="Times New Roman" w:hAnsi="Times New Roman" w:eastAsia="宋体" w:cs="Times New Roman"/>
                      <w:color w:val="auto"/>
                      <w:kern w:val="0"/>
                      <w:sz w:val="21"/>
                      <w:szCs w:val="21"/>
                      <w:highlight w:val="none"/>
                    </w:rPr>
                    <w:t>可溶性剧毒废渣</w:t>
                  </w:r>
                  <w:r>
                    <w:rPr>
                      <w:rFonts w:hint="default" w:ascii="Times New Roman" w:hAnsi="Times New Roman" w:eastAsia="宋体" w:cs="Times New Roman"/>
                      <w:color w:val="auto"/>
                      <w:kern w:val="0"/>
                      <w:sz w:val="21"/>
                      <w:szCs w:val="21"/>
                      <w:highlight w:val="none"/>
                      <w:lang w:val="en-US" w:eastAsia="zh-CN"/>
                    </w:rPr>
                    <w:t>对的贮存；</w:t>
                  </w:r>
                </w:p>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5、项目废水回用，化粪池防渗层采用素土夯实+M10砂浆砌砖墙；集水池防渗层采用素土夯实+铺设防渗膜；渗透数达到≤10</w:t>
                  </w:r>
                  <w:r>
                    <w:rPr>
                      <w:rFonts w:hint="default" w:ascii="Times New Roman" w:hAnsi="Times New Roman" w:eastAsia="宋体" w:cs="Times New Roman"/>
                      <w:color w:val="auto"/>
                      <w:kern w:val="0"/>
                      <w:sz w:val="21"/>
                      <w:szCs w:val="21"/>
                      <w:highlight w:val="none"/>
                      <w:vertAlign w:val="superscript"/>
                      <w:lang w:val="en-US" w:eastAsia="zh-CN"/>
                    </w:rPr>
                    <w:t>-7</w:t>
                  </w:r>
                  <w:r>
                    <w:rPr>
                      <w:rFonts w:hint="default" w:ascii="Times New Roman" w:hAnsi="Times New Roman" w:eastAsia="宋体" w:cs="Times New Roman"/>
                      <w:color w:val="auto"/>
                      <w:kern w:val="0"/>
                      <w:sz w:val="21"/>
                      <w:szCs w:val="21"/>
                      <w:highlight w:val="none"/>
                      <w:lang w:val="en-US" w:eastAsia="zh-CN"/>
                    </w:rPr>
                    <w:t>cm/s。</w:t>
                  </w:r>
                  <w:r>
                    <w:rPr>
                      <w:rFonts w:hint="default" w:ascii="Times New Roman" w:hAnsi="Times New Roman" w:eastAsia="宋体" w:cs="Times New Roman"/>
                      <w:color w:val="auto"/>
                      <w:sz w:val="21"/>
                      <w:szCs w:val="21"/>
                      <w:highlight w:val="none"/>
                      <w:lang w:val="en-US" w:eastAsia="zh-CN"/>
                    </w:rPr>
                    <w:t>污泥堆放池采用素土夯实+混凝土+铺设防渗膜的措施，</w:t>
                  </w:r>
                  <w:r>
                    <w:rPr>
                      <w:rFonts w:hint="default" w:ascii="Times New Roman" w:hAnsi="Times New Roman" w:eastAsia="宋体" w:cs="Times New Roman"/>
                      <w:color w:val="auto"/>
                      <w:sz w:val="21"/>
                      <w:szCs w:val="21"/>
                      <w:highlight w:val="none"/>
                    </w:rPr>
                    <w:t>防渗层渗透系数≤10</w:t>
                  </w:r>
                  <w:r>
                    <w:rPr>
                      <w:rFonts w:hint="default" w:ascii="Times New Roman" w:hAnsi="Times New Roman" w:eastAsia="宋体" w:cs="Times New Roman"/>
                      <w:color w:val="auto"/>
                      <w:sz w:val="21"/>
                      <w:szCs w:val="21"/>
                      <w:highlight w:val="none"/>
                      <w:vertAlign w:val="superscript"/>
                    </w:rPr>
                    <w:t>⁻</w:t>
                  </w:r>
                  <w:r>
                    <w:rPr>
                      <w:rFonts w:hint="default" w:ascii="Times New Roman" w:hAnsi="Times New Roman" w:eastAsia="宋体" w:cs="Times New Roman"/>
                      <w:color w:val="auto"/>
                      <w:sz w:val="21"/>
                      <w:szCs w:val="21"/>
                      <w:highlight w:val="none"/>
                      <w:vertAlign w:val="superscript"/>
                      <w:lang w:val="en-US" w:eastAsia="zh-CN"/>
                    </w:rPr>
                    <w:t>7</w:t>
                  </w:r>
                  <w:r>
                    <w:rPr>
                      <w:rFonts w:hint="default" w:ascii="Times New Roman" w:hAnsi="Times New Roman" w:eastAsia="宋体" w:cs="Times New Roman"/>
                      <w:color w:val="auto"/>
                      <w:sz w:val="21"/>
                      <w:szCs w:val="21"/>
                      <w:highlight w:val="none"/>
                    </w:rPr>
                    <w:t>cm/s</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不会对区域地下水环境造成污染。</w:t>
                  </w:r>
                </w:p>
              </w:tc>
              <w:tc>
                <w:tcPr>
                  <w:tcW w:w="4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综上所述，</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建设符合《云南省地下水管理办法》的相关要求。</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11、项目与《固体废物再生利用污染防治技术导则》（HJ1091-2020）符合性分析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项目与《固体废物再生利用污染防治技术导则》（HJ1091-2020）符合性分析如下：</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表1</w:t>
            </w:r>
            <w:r>
              <w:rPr>
                <w:rFonts w:hint="default" w:ascii="Times New Roman" w:hAnsi="Times New Roman" w:eastAsia="宋体" w:cs="Times New Roman"/>
                <w:b/>
                <w:bCs/>
                <w:color w:val="auto"/>
                <w:szCs w:val="21"/>
                <w:highlight w:val="none"/>
                <w:lang w:val="en-US" w:eastAsia="zh-CN"/>
              </w:rPr>
              <w:t>-12</w:t>
            </w:r>
            <w:r>
              <w:rPr>
                <w:rFonts w:hint="default" w:ascii="Times New Roman" w:hAnsi="Times New Roman" w:eastAsia="宋体" w:cs="Times New Roman"/>
                <w:b/>
                <w:bCs/>
                <w:color w:val="auto"/>
                <w:szCs w:val="21"/>
                <w:highlight w:val="none"/>
              </w:rPr>
              <w:t xml:space="preserve">  </w:t>
            </w:r>
            <w:r>
              <w:rPr>
                <w:rFonts w:hint="default" w:ascii="Times New Roman" w:hAnsi="Times New Roman" w:eastAsia="宋体" w:cs="Times New Roman"/>
                <w:b/>
                <w:bCs/>
                <w:color w:val="auto"/>
                <w:szCs w:val="21"/>
                <w:highlight w:val="none"/>
                <w:lang w:val="en-US" w:eastAsia="zh-CN"/>
              </w:rPr>
              <w:t>项目</w:t>
            </w:r>
            <w:r>
              <w:rPr>
                <w:rFonts w:hint="default" w:ascii="Times New Roman" w:hAnsi="Times New Roman" w:eastAsia="宋体" w:cs="Times New Roman"/>
                <w:b/>
                <w:bCs/>
                <w:color w:val="auto"/>
                <w:szCs w:val="21"/>
                <w:highlight w:val="none"/>
              </w:rPr>
              <w:t>与</w:t>
            </w:r>
            <w:r>
              <w:rPr>
                <w:rFonts w:hint="default" w:ascii="Times New Roman" w:hAnsi="Times New Roman" w:eastAsia="宋体" w:cs="Times New Roman"/>
                <w:b/>
                <w:bCs/>
                <w:color w:val="auto"/>
                <w:szCs w:val="21"/>
                <w:highlight w:val="none"/>
                <w:lang w:val="en-US" w:eastAsia="zh-CN"/>
              </w:rPr>
              <w:t>《固体废物再生利用污染防治技术导则》</w:t>
            </w:r>
            <w:r>
              <w:rPr>
                <w:rFonts w:hint="default" w:ascii="Times New Roman" w:hAnsi="Times New Roman" w:eastAsia="宋体" w:cs="Times New Roman"/>
                <w:b/>
                <w:bCs/>
                <w:color w:val="auto"/>
                <w:szCs w:val="21"/>
                <w:highlight w:val="none"/>
              </w:rPr>
              <w:t>相符性分析</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23"/>
              <w:gridCol w:w="1990"/>
              <w:gridCol w:w="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rPr>
                    <w:t>相关要求</w:t>
                  </w:r>
                </w:p>
              </w:tc>
              <w:tc>
                <w:tcPr>
                  <w:tcW w:w="1588"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rPr>
                    <w:t>本项目情况</w:t>
                  </w:r>
                </w:p>
              </w:tc>
              <w:tc>
                <w:tcPr>
                  <w:tcW w:w="598"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2812" w:type="pct"/>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widowControl w:val="0"/>
                    <w:suppressLineNumbers w:val="0"/>
                    <w:snapToGrid/>
                    <w:spacing w:before="0" w:beforeAutospacing="0" w:after="0" w:afterAutospacing="0" w:line="240" w:lineRule="auto"/>
                    <w:ind w:left="0" w:right="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一般规定</w:t>
                  </w:r>
                  <w:r>
                    <w:rPr>
                      <w:rFonts w:hint="default" w:ascii="Times New Roman" w:hAnsi="Times New Roman" w:eastAsia="宋体" w:cs="Times New Roman"/>
                      <w:color w:val="auto"/>
                      <w:sz w:val="21"/>
                      <w:szCs w:val="21"/>
                      <w:highlight w:val="none"/>
                      <w:lang w:eastAsia="zh-CN"/>
                    </w:rPr>
                    <w:t>：</w:t>
                  </w:r>
                </w:p>
                <w:p>
                  <w:pPr>
                    <w:pStyle w:val="8"/>
                    <w:keepNext w:val="0"/>
                    <w:keepLines w:val="0"/>
                    <w:widowControl w:val="0"/>
                    <w:suppressLineNumbers w:val="0"/>
                    <w:snapToGrid/>
                    <w:spacing w:before="0" w:beforeAutospacing="0" w:after="0" w:afterAutospacing="0" w:line="240" w:lineRule="auto"/>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①进行再生利用作业前，应明确固体废物的理化特性，并采取相应的安全防护措施，以防止固体废物在清洗、破碎、中和反应等过程中引起有毒有害物质的释放。②具有物理化学危险特性的固体废物，应首先进行稳定化处理。③应根据固体废物的特性设置必要的防扬撒、防渗漏、防腐蚀设施，配备废气处理、废水处理、噪声控制等污染防治设施，按要求对主要环境影响指标进行在线监测。④产生粉尘和有毒有害气体的作业区应采取除尘和有毒有害气体收集措施。扬尘点应设置吸尘罩和收尘设备，有毒有害气体逸散区应设置吸附（吸收）转化装置，保证作业</w:t>
                  </w:r>
                  <w:r>
                    <w:rPr>
                      <w:rFonts w:hint="default" w:ascii="Times New Roman" w:hAnsi="Times New Roman" w:eastAsia="宋体" w:cs="Times New Roman"/>
                      <w:color w:val="auto"/>
                      <w:sz w:val="21"/>
                      <w:szCs w:val="21"/>
                      <w:highlight w:val="none"/>
                    </w:rPr>
                    <w:t>区粉尘、有害气体浓度满足GBZ2.1的要求。</w:t>
                  </w:r>
                  <w:r>
                    <w:rPr>
                      <w:rFonts w:hint="default" w:ascii="Times New Roman" w:hAnsi="Times New Roman" w:eastAsia="宋体" w:cs="Times New Roman"/>
                      <w:color w:val="auto"/>
                      <w:sz w:val="21"/>
                      <w:szCs w:val="21"/>
                      <w:highlight w:val="none"/>
                      <w:lang w:val="en-US" w:eastAsia="zh-CN"/>
                    </w:rPr>
                    <w:t>⑤应采取大气污染控制措施，大气污染物排放应满足特定行业排放（控制）标准的要求。没有特定行业污染排放（控制）标准的，应满足 GB16297 的要求，特征污染物排放（控制）应满足环境影响评价要求。⑥应防止噪声污染。设备运转时厂界噪声应符合GB12348 的要求，作业车间噪声应符合GBZ2.2的要求。⑦产生的污泥、底渣、废油类等固体废物应按照其管理属性分别处置。不能自行综合利用或处置的，应交给有相应资质和处理能力的企业进行综合利用或处置。⑧危险废物的贮存、包装、处置等应符合GB18597、HJ2042 等危险废物专用标准的要求。</w:t>
                  </w:r>
                </w:p>
              </w:tc>
              <w:tc>
                <w:tcPr>
                  <w:tcW w:w="1588"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contextualSpacing/>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项目污泥来自于昆明第十四水质净化厂，昆明第十四水质净化厂主要处理生活污水，污泥为一般固废，</w:t>
                  </w:r>
                  <w:r>
                    <w:rPr>
                      <w:rFonts w:hint="default" w:ascii="Times New Roman" w:hAnsi="Times New Roman" w:eastAsia="宋体" w:cs="Times New Roman"/>
                      <w:color w:val="auto"/>
                      <w:sz w:val="21"/>
                      <w:szCs w:val="21"/>
                      <w:highlight w:val="none"/>
                    </w:rPr>
                    <w:t>不属于具有物理化学危险特性的固体废物；</w:t>
                  </w:r>
                  <w:r>
                    <w:rPr>
                      <w:rFonts w:hint="default" w:ascii="Times New Roman" w:hAnsi="Times New Roman" w:eastAsia="宋体" w:cs="Times New Roman"/>
                      <w:color w:val="auto"/>
                      <w:sz w:val="21"/>
                      <w:szCs w:val="21"/>
                      <w:highlight w:val="none"/>
                      <w:lang w:val="en-US" w:eastAsia="zh-CN"/>
                    </w:rPr>
                    <w:t>项目原料堆放区设置“三防”措施，且污泥堆放池采用素土夯实+混凝土+铺设防渗膜的措施，</w:t>
                  </w:r>
                  <w:r>
                    <w:rPr>
                      <w:rFonts w:hint="default" w:ascii="Times New Roman" w:hAnsi="Times New Roman" w:eastAsia="宋体" w:cs="Times New Roman"/>
                      <w:color w:val="auto"/>
                      <w:sz w:val="21"/>
                      <w:szCs w:val="21"/>
                      <w:highlight w:val="none"/>
                    </w:rPr>
                    <w:t>防渗层渗透系数≤10</w:t>
                  </w:r>
                  <w:r>
                    <w:rPr>
                      <w:rFonts w:hint="default" w:ascii="Times New Roman" w:hAnsi="Times New Roman" w:eastAsia="宋体" w:cs="Times New Roman"/>
                      <w:color w:val="auto"/>
                      <w:sz w:val="21"/>
                      <w:szCs w:val="21"/>
                      <w:highlight w:val="none"/>
                      <w:vertAlign w:val="superscript"/>
                    </w:rPr>
                    <w:t>⁻</w:t>
                  </w:r>
                  <w:r>
                    <w:rPr>
                      <w:rFonts w:hint="default" w:ascii="Times New Roman" w:hAnsi="Times New Roman" w:eastAsia="宋体" w:cs="Times New Roman"/>
                      <w:color w:val="auto"/>
                      <w:sz w:val="21"/>
                      <w:szCs w:val="21"/>
                      <w:highlight w:val="none"/>
                      <w:vertAlign w:val="superscript"/>
                      <w:lang w:val="en-US" w:eastAsia="zh-CN"/>
                    </w:rPr>
                    <w:t>7</w:t>
                  </w:r>
                  <w:r>
                    <w:rPr>
                      <w:rFonts w:hint="default" w:ascii="Times New Roman" w:hAnsi="Times New Roman" w:eastAsia="宋体" w:cs="Times New Roman"/>
                      <w:color w:val="auto"/>
                      <w:sz w:val="21"/>
                      <w:szCs w:val="21"/>
                      <w:highlight w:val="none"/>
                    </w:rPr>
                    <w:t>cm/s</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rPr>
                    <w:t>大气污染物通过处理后排放，废气满足相关标准限值。厂界噪声可达到《工业企业厂界噪声排放标准》（GB12348-2008）中</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类标准限值；项目运行过程中产生的危险废物依托现有危废</w:t>
                  </w:r>
                  <w:r>
                    <w:rPr>
                      <w:rFonts w:hint="default" w:ascii="Times New Roman" w:hAnsi="Times New Roman" w:eastAsia="宋体" w:cs="Times New Roman"/>
                      <w:color w:val="auto"/>
                      <w:sz w:val="21"/>
                      <w:szCs w:val="21"/>
                      <w:highlight w:val="none"/>
                      <w:lang w:val="en-US" w:eastAsia="zh-CN"/>
                    </w:rPr>
                    <w:t>贮存场所</w:t>
                  </w:r>
                  <w:r>
                    <w:rPr>
                      <w:rFonts w:hint="default" w:ascii="Times New Roman" w:hAnsi="Times New Roman" w:eastAsia="宋体" w:cs="Times New Roman"/>
                      <w:color w:val="auto"/>
                      <w:sz w:val="21"/>
                      <w:szCs w:val="21"/>
                      <w:highlight w:val="none"/>
                    </w:rPr>
                    <w:t>收集暂存，</w:t>
                  </w:r>
                  <w:r>
                    <w:rPr>
                      <w:rFonts w:hint="default" w:ascii="Times New Roman" w:hAnsi="Times New Roman" w:eastAsia="宋体" w:cs="Times New Roman"/>
                      <w:color w:val="auto"/>
                      <w:sz w:val="21"/>
                      <w:szCs w:val="21"/>
                      <w:highlight w:val="none"/>
                      <w:lang w:val="en-US" w:eastAsia="zh-CN"/>
                    </w:rPr>
                    <w:t>委托资质单位处置</w:t>
                  </w:r>
                  <w:r>
                    <w:rPr>
                      <w:rFonts w:hint="default" w:ascii="Times New Roman" w:hAnsi="Times New Roman" w:eastAsia="宋体" w:cs="Times New Roman"/>
                      <w:color w:val="auto"/>
                      <w:sz w:val="21"/>
                      <w:szCs w:val="21"/>
                      <w:highlight w:val="none"/>
                    </w:rPr>
                    <w:t>。</w:t>
                  </w:r>
                </w:p>
              </w:tc>
              <w:tc>
                <w:tcPr>
                  <w:tcW w:w="598" w:type="pct"/>
                  <w:tcBorders>
                    <w:top w:val="single" w:color="auto" w:sz="4" w:space="0"/>
                    <w:left w:val="nil"/>
                    <w:bottom w:val="single" w:color="auto" w:sz="4" w:space="0"/>
                    <w:right w:val="single" w:color="auto" w:sz="4" w:space="0"/>
                  </w:tcBorders>
                  <w:noWrap w:val="0"/>
                  <w:vAlign w:val="center"/>
                </w:tcPr>
                <w:p>
                  <w:pPr>
                    <w:pStyle w:val="8"/>
                    <w:keepNext w:val="0"/>
                    <w:keepLines w:val="0"/>
                    <w:widowControl w:val="0"/>
                    <w:suppressLineNumbers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2" w:type="pct"/>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widowControl w:val="0"/>
                    <w:suppressLineNumbers w:val="0"/>
                    <w:snapToGrid/>
                    <w:spacing w:before="0" w:beforeAutospacing="0" w:after="0" w:afterAutospacing="0" w:line="240" w:lineRule="auto"/>
                    <w:ind w:left="0" w:right="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干燥技术要求</w:t>
                  </w:r>
                  <w:r>
                    <w:rPr>
                      <w:rFonts w:hint="default" w:ascii="Times New Roman" w:hAnsi="Times New Roman" w:eastAsia="宋体" w:cs="Times New Roman"/>
                      <w:color w:val="auto"/>
                      <w:sz w:val="21"/>
                      <w:szCs w:val="21"/>
                      <w:highlight w:val="none"/>
                      <w:lang w:eastAsia="zh-CN"/>
                    </w:rPr>
                    <w:t>：</w:t>
                  </w:r>
                </w:p>
                <w:p>
                  <w:pPr>
                    <w:pStyle w:val="8"/>
                    <w:keepNext w:val="0"/>
                    <w:keepLines w:val="0"/>
                    <w:widowControl w:val="0"/>
                    <w:suppressLineNumbers w:val="0"/>
                    <w:snapToGrid/>
                    <w:spacing w:before="0" w:beforeAutospacing="0" w:after="0" w:afterAutospacing="0" w:line="240" w:lineRule="auto"/>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有下列任一种情况时，应选择闭路循环式干燥设备及废气处理设施，避免气体和颗粒状物质逸出造成大气污染。包括但不限于：</w:t>
                  </w:r>
                  <w:r>
                    <w:rPr>
                      <w:rFonts w:hint="default" w:ascii="Times New Roman" w:hAnsi="Times New Roman" w:eastAsia="宋体" w:cs="Times New Roman"/>
                      <w:color w:val="auto"/>
                      <w:sz w:val="21"/>
                      <w:szCs w:val="21"/>
                      <w:highlight w:val="none"/>
                      <w:lang w:val="en-US" w:eastAsia="zh-CN"/>
                    </w:rPr>
                    <w:t>①固体废物中含有挥发性有机类物质；②固体废物中含有有毒有害固体粉粒状物质；③固体废物中含有恶臭类物质；④固体废物干燥过程产生的粉尘在空气中可能形成爆炸混合物；⑤固体废物干燥过程中与氧接触易发生氧化反应的。</w:t>
                  </w:r>
                </w:p>
              </w:tc>
              <w:tc>
                <w:tcPr>
                  <w:tcW w:w="1588" w:type="pct"/>
                  <w:tcBorders>
                    <w:top w:val="single" w:color="auto" w:sz="4" w:space="0"/>
                    <w:left w:val="nil"/>
                    <w:bottom w:val="single" w:color="auto" w:sz="4" w:space="0"/>
                    <w:right w:val="single" w:color="auto" w:sz="4" w:space="0"/>
                  </w:tcBorders>
                  <w:noWrap w:val="0"/>
                  <w:vAlign w:val="center"/>
                </w:tcPr>
                <w:p>
                  <w:pPr>
                    <w:pStyle w:val="8"/>
                    <w:keepNext w:val="0"/>
                    <w:keepLines w:val="0"/>
                    <w:widowControl w:val="0"/>
                    <w:suppressLineNumbers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 w:val="21"/>
                      <w:szCs w:val="21"/>
                      <w:highlight w:val="none"/>
                      <w:lang w:val="en-US" w:eastAsia="zh-CN"/>
                    </w:rPr>
                    <w:t>使用的</w:t>
                  </w:r>
                  <w:r>
                    <w:rPr>
                      <w:rFonts w:hint="default" w:ascii="Times New Roman" w:hAnsi="Times New Roman" w:eastAsia="宋体" w:cs="Times New Roman"/>
                      <w:color w:val="auto"/>
                      <w:sz w:val="21"/>
                      <w:szCs w:val="21"/>
                      <w:highlight w:val="none"/>
                    </w:rPr>
                    <w:t>污泥不含有毒有害固体粉粒状物质等物质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堆场产生的恶臭通过喷洒除臭剂的措施处理后达标排放。</w:t>
                  </w:r>
                </w:p>
              </w:tc>
              <w:tc>
                <w:tcPr>
                  <w:tcW w:w="598" w:type="pct"/>
                  <w:tcBorders>
                    <w:top w:val="single" w:color="auto" w:sz="4" w:space="0"/>
                    <w:left w:val="nil"/>
                    <w:bottom w:val="single" w:color="auto" w:sz="4" w:space="0"/>
                    <w:right w:val="single" w:color="auto" w:sz="4" w:space="0"/>
                  </w:tcBorders>
                  <w:noWrap w:val="0"/>
                  <w:vAlign w:val="center"/>
                </w:tcPr>
                <w:p>
                  <w:pPr>
                    <w:pStyle w:val="8"/>
                    <w:keepNext w:val="0"/>
                    <w:keepLines w:val="0"/>
                    <w:widowControl w:val="0"/>
                    <w:suppressLineNumbers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2" w:type="pct"/>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widowControl w:val="0"/>
                    <w:suppressLineNumbers w:val="0"/>
                    <w:snapToGrid/>
                    <w:spacing w:before="0" w:beforeAutospacing="0" w:after="0" w:afterAutospacing="0" w:line="240" w:lineRule="auto"/>
                    <w:ind w:left="0" w:right="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破碎技术要求</w:t>
                  </w:r>
                  <w:r>
                    <w:rPr>
                      <w:rFonts w:hint="default" w:ascii="Times New Roman" w:hAnsi="Times New Roman" w:eastAsia="宋体" w:cs="Times New Roman"/>
                      <w:color w:val="auto"/>
                      <w:sz w:val="21"/>
                      <w:szCs w:val="21"/>
                      <w:highlight w:val="none"/>
                      <w:lang w:eastAsia="zh-CN"/>
                    </w:rPr>
                    <w:t>：</w:t>
                  </w:r>
                </w:p>
                <w:p>
                  <w:pPr>
                    <w:pStyle w:val="8"/>
                    <w:keepNext w:val="0"/>
                    <w:keepLines w:val="0"/>
                    <w:widowControl w:val="0"/>
                    <w:suppressLineNumbers w:val="0"/>
                    <w:snapToGrid/>
                    <w:spacing w:before="0" w:beforeAutospacing="0" w:after="0" w:afterAutospacing="0" w:line="240" w:lineRule="auto"/>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①易燃易爆或易释放挥发性毒性物质的固体废物，不应直接进行破碎处理。为防止爆燃，内部含有液体的固体废物（如废铅酸蓄电池、废溶剂桶等）在破碎处理前，应采用有效措施将液体清空，再进行破碎处理。含有不相容成分的固体废物不应进行混合破碎处理。②废塑料、废橡胶等固体废物的破碎宜采用干法破碎；铬渣、硼泥等固体废物的破碎宜采用湿法破碎。③固体废物破碎处理前应对其进行预处理，以保证给料的均匀性，防止非破碎物混入，引起破碎机械的过载损坏。④固体废物粉磨过程应严格控制粉尘的颗粒度、挥发性和火源等，防止发生粉尘爆炸。</w:t>
                  </w:r>
                </w:p>
              </w:tc>
              <w:tc>
                <w:tcPr>
                  <w:tcW w:w="1588" w:type="pct"/>
                  <w:tcBorders>
                    <w:top w:val="single" w:color="auto" w:sz="4" w:space="0"/>
                    <w:left w:val="nil"/>
                    <w:bottom w:val="single" w:color="auto" w:sz="4" w:space="0"/>
                    <w:right w:val="single" w:color="auto" w:sz="4" w:space="0"/>
                  </w:tcBorders>
                  <w:noWrap w:val="0"/>
                  <w:vAlign w:val="center"/>
                </w:tcPr>
                <w:p>
                  <w:pPr>
                    <w:pStyle w:val="8"/>
                    <w:keepNext w:val="0"/>
                    <w:keepLines w:val="0"/>
                    <w:widowControl w:val="0"/>
                    <w:suppressLineNumbers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 w:val="21"/>
                      <w:szCs w:val="21"/>
                      <w:highlight w:val="none"/>
                      <w:lang w:val="en-US" w:eastAsia="zh-CN"/>
                    </w:rPr>
                    <w:t>使用的</w:t>
                  </w:r>
                  <w:r>
                    <w:rPr>
                      <w:rFonts w:hint="default" w:ascii="Times New Roman" w:hAnsi="Times New Roman" w:eastAsia="宋体" w:cs="Times New Roman"/>
                      <w:color w:val="auto"/>
                      <w:sz w:val="21"/>
                      <w:szCs w:val="21"/>
                      <w:highlight w:val="none"/>
                    </w:rPr>
                    <w:t>污泥</w:t>
                  </w:r>
                  <w:r>
                    <w:rPr>
                      <w:rFonts w:hint="default" w:ascii="Times New Roman" w:hAnsi="Times New Roman" w:eastAsia="宋体" w:cs="Times New Roman"/>
                      <w:color w:val="auto"/>
                      <w:sz w:val="21"/>
                      <w:szCs w:val="21"/>
                      <w:highlight w:val="none"/>
                      <w:lang w:val="en-US" w:eastAsia="zh-CN"/>
                    </w:rPr>
                    <w:t>不属于易燃易爆或易释放挥发性毒性物质的固体废物；不涉及废塑料、废橡胶的使用，不涉及</w:t>
                  </w:r>
                  <w:r>
                    <w:rPr>
                      <w:rFonts w:hint="default" w:ascii="Times New Roman" w:hAnsi="Times New Roman" w:eastAsia="宋体" w:cs="Times New Roman"/>
                      <w:color w:val="auto"/>
                      <w:sz w:val="21"/>
                      <w:szCs w:val="21"/>
                      <w:highlight w:val="none"/>
                    </w:rPr>
                    <w:t>污泥</w:t>
                  </w:r>
                  <w:r>
                    <w:rPr>
                      <w:rFonts w:hint="default" w:ascii="Times New Roman" w:hAnsi="Times New Roman" w:eastAsia="宋体" w:cs="Times New Roman"/>
                      <w:color w:val="auto"/>
                      <w:sz w:val="21"/>
                      <w:szCs w:val="21"/>
                      <w:highlight w:val="none"/>
                      <w:lang w:val="en-US" w:eastAsia="zh-CN"/>
                    </w:rPr>
                    <w:t>破碎工序。</w:t>
                  </w:r>
                </w:p>
              </w:tc>
              <w:tc>
                <w:tcPr>
                  <w:tcW w:w="598" w:type="pct"/>
                  <w:tcBorders>
                    <w:top w:val="single" w:color="auto" w:sz="4" w:space="0"/>
                    <w:left w:val="nil"/>
                    <w:bottom w:val="single" w:color="auto" w:sz="4" w:space="0"/>
                    <w:right w:val="single" w:color="auto" w:sz="4" w:space="0"/>
                  </w:tcBorders>
                  <w:noWrap w:val="0"/>
                  <w:vAlign w:val="center"/>
                </w:tcPr>
                <w:p>
                  <w:pPr>
                    <w:pStyle w:val="8"/>
                    <w:keepNext w:val="0"/>
                    <w:keepLines w:val="0"/>
                    <w:widowControl w:val="0"/>
                    <w:suppressLineNumbers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综上所述，本项目</w:t>
            </w:r>
            <w:r>
              <w:rPr>
                <w:rFonts w:hint="default" w:ascii="Times New Roman" w:hAnsi="Times New Roman" w:eastAsia="宋体" w:cs="Times New Roman"/>
                <w:color w:val="auto"/>
                <w:sz w:val="24"/>
                <w:szCs w:val="24"/>
                <w:highlight w:val="none"/>
                <w:lang w:val="en-US" w:eastAsia="zh-CN"/>
              </w:rPr>
              <w:t>符合《固体废物再生利用污染防治技术导则》（HJ1091-2020）的相关要求。</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12、</w:t>
            </w:r>
            <w:r>
              <w:rPr>
                <w:rFonts w:hint="default" w:ascii="Times New Roman" w:hAnsi="Times New Roman" w:eastAsia="宋体" w:cs="Times New Roman"/>
                <w:b/>
                <w:bCs/>
                <w:color w:val="auto"/>
                <w:sz w:val="24"/>
                <w:szCs w:val="24"/>
                <w:highlight w:val="none"/>
              </w:rPr>
              <w:t>项目与《关于加快烧结砖瓦行业转型发展的若干意见》（工业和信息化部、环境保护部、国家安全监管总局；工信部联原[2017]279号）的相符性分析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项目与《关于加快烧结砖瓦行业转型发展的若干意见》</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[2017]279号</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相关要求分析如下：</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表1</w:t>
            </w:r>
            <w:r>
              <w:rPr>
                <w:rFonts w:hint="default" w:ascii="Times New Roman" w:hAnsi="Times New Roman" w:eastAsia="宋体" w:cs="Times New Roman"/>
                <w:b/>
                <w:bCs/>
                <w:color w:val="auto"/>
                <w:szCs w:val="21"/>
                <w:highlight w:val="none"/>
                <w:lang w:val="en-US" w:eastAsia="zh-CN"/>
              </w:rPr>
              <w:t>-13</w:t>
            </w:r>
            <w:r>
              <w:rPr>
                <w:rFonts w:hint="default" w:ascii="Times New Roman" w:hAnsi="Times New Roman" w:eastAsia="宋体" w:cs="Times New Roman"/>
                <w:b/>
                <w:bCs/>
                <w:color w:val="auto"/>
                <w:szCs w:val="21"/>
                <w:highlight w:val="none"/>
              </w:rPr>
              <w:t xml:space="preserve">   </w:t>
            </w:r>
            <w:r>
              <w:rPr>
                <w:rFonts w:hint="default" w:ascii="Times New Roman" w:hAnsi="Times New Roman" w:eastAsia="宋体" w:cs="Times New Roman"/>
                <w:b/>
                <w:bCs/>
                <w:color w:val="auto"/>
                <w:szCs w:val="21"/>
                <w:highlight w:val="none"/>
                <w:lang w:val="en-US" w:eastAsia="zh-CN"/>
              </w:rPr>
              <w:t>项目</w:t>
            </w:r>
            <w:r>
              <w:rPr>
                <w:rFonts w:hint="default" w:ascii="Times New Roman" w:hAnsi="Times New Roman" w:eastAsia="宋体" w:cs="Times New Roman"/>
                <w:b/>
                <w:bCs/>
                <w:color w:val="auto"/>
                <w:szCs w:val="21"/>
                <w:highlight w:val="none"/>
              </w:rPr>
              <w:t>与《关于加快烧结砖瓦行业转型发展的若干意见》相符性分析</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23"/>
              <w:gridCol w:w="1990"/>
              <w:gridCol w:w="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rPr>
                    <w:t>相关要求</w:t>
                  </w:r>
                </w:p>
              </w:tc>
              <w:tc>
                <w:tcPr>
                  <w:tcW w:w="1588"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rPr>
                    <w:t>本项目情况</w:t>
                  </w:r>
                </w:p>
              </w:tc>
              <w:tc>
                <w:tcPr>
                  <w:tcW w:w="598"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2" w:type="pct"/>
                  <w:tcBorders>
                    <w:top w:val="single" w:color="auto" w:sz="4" w:space="0"/>
                    <w:left w:val="single" w:color="auto" w:sz="4" w:space="0"/>
                    <w:bottom w:val="single" w:color="auto" w:sz="4" w:space="0"/>
                    <w:right w:val="single" w:color="auto" w:sz="4" w:space="0"/>
                  </w:tcBorders>
                  <w:noWrap w:val="0"/>
                  <w:vAlign w:val="center"/>
                </w:tcPr>
                <w:p>
                  <w:pPr>
                    <w:pStyle w:val="19"/>
                    <w:keepNext w:val="0"/>
                    <w:keepLines w:val="0"/>
                    <w:widowControl/>
                    <w:suppressLineNumbers w:val="0"/>
                    <w:spacing w:line="240" w:lineRule="auto"/>
                    <w:ind w:left="0" w:right="0" w:firstLine="0"/>
                    <w:jc w:val="both"/>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0"/>
                      <w:position w:val="0"/>
                      <w:sz w:val="21"/>
                      <w:szCs w:val="21"/>
                      <w:highlight w:val="none"/>
                    </w:rPr>
                    <w:t>砖瓦是关乎建筑物质量品质、寿命安全、节能防水和防灾减灾的基础建筑材料。新世纪以来，我国砖瓦行业取得了长足发展，较好满足了建筑发展需要，产品品种持续增多，装备水平稳步提高，企业规模逐步扩大，使用范围不断扩展，实心粘土砖等落后产品、高排放土窑和轮窑等落后产能加速淘汰，行业资源综合利用成效显著，正加速向无害化资源化消纳固体废弃物、构建循环经济产业链的绿色功能产业转型。但我国砖瓦行业整体大而不强，节能减排压力大，行业生产集中度低，全员劳动生产率不高，产品开发尚难以全面适应建筑工业化和城乡建筑及基础设施发展的新需求，日渐成为建材工业稳增长调结构增效益的短板。烧结砖瓦是砖瓦行业中产量占比最高、排污耗能最多的品种，加快砖瓦行业转型发展，当务之急是着手采取有效措施，引导烧结砖瓦行业加速推进绿色生产和智能制造，优化供给结构，加快转型发展。</w:t>
                  </w:r>
                </w:p>
              </w:tc>
              <w:tc>
                <w:tcPr>
                  <w:tcW w:w="1588" w:type="pct"/>
                  <w:tcBorders>
                    <w:top w:val="single" w:color="auto" w:sz="4" w:space="0"/>
                    <w:left w:val="nil"/>
                    <w:bottom w:val="single" w:color="auto" w:sz="4" w:space="0"/>
                    <w:right w:val="single" w:color="auto" w:sz="4" w:space="0"/>
                  </w:tcBorders>
                  <w:noWrap w:val="0"/>
                  <w:vAlign w:val="center"/>
                </w:tcPr>
                <w:p>
                  <w:pPr>
                    <w:pStyle w:val="8"/>
                    <w:keepNext w:val="0"/>
                    <w:keepLines w:val="0"/>
                    <w:widowControl w:val="0"/>
                    <w:suppressLineNumbers w:val="0"/>
                    <w:snapToGrid/>
                    <w:spacing w:before="0" w:beforeAutospacing="0" w:after="0" w:afterAutospacing="0" w:line="240" w:lineRule="auto"/>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项目采用连续式隧道窑生产工艺</w:t>
                  </w:r>
                  <w:r>
                    <w:rPr>
                      <w:rStyle w:val="54"/>
                      <w:rFonts w:hint="default" w:ascii="Times New Roman" w:hAnsi="Times New Roman" w:eastAsia="宋体" w:cs="Times New Roman"/>
                      <w:color w:val="auto"/>
                      <w:sz w:val="21"/>
                      <w:szCs w:val="21"/>
                      <w:highlight w:val="none"/>
                    </w:rPr>
                    <w:t>，生产过程实现自动化生产</w:t>
                  </w:r>
                  <w:r>
                    <w:rPr>
                      <w:rStyle w:val="54"/>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根据</w:t>
                  </w:r>
                  <w:r>
                    <w:rPr>
                      <w:rFonts w:hint="default" w:ascii="Times New Roman" w:hAnsi="Times New Roman" w:eastAsia="宋体" w:cs="Times New Roman"/>
                      <w:color w:val="auto"/>
                      <w:kern w:val="0"/>
                      <w:sz w:val="21"/>
                      <w:szCs w:val="21"/>
                      <w:highlight w:val="none"/>
                    </w:rPr>
                    <w:t>《产业结构调整指导目录》（20</w:t>
                  </w:r>
                  <w:r>
                    <w:rPr>
                      <w:rFonts w:hint="default" w:ascii="Times New Roman" w:hAnsi="Times New Roman" w:eastAsia="宋体" w:cs="Times New Roman"/>
                      <w:color w:val="auto"/>
                      <w:kern w:val="0"/>
                      <w:sz w:val="21"/>
                      <w:szCs w:val="21"/>
                      <w:highlight w:val="none"/>
                      <w:lang w:val="en-US" w:eastAsia="zh-CN"/>
                    </w:rPr>
                    <w:t>24</w:t>
                  </w:r>
                  <w:r>
                    <w:rPr>
                      <w:rFonts w:hint="default" w:ascii="Times New Roman" w:hAnsi="Times New Roman" w:eastAsia="宋体" w:cs="Times New Roman"/>
                      <w:color w:val="auto"/>
                      <w:kern w:val="0"/>
                      <w:sz w:val="21"/>
                      <w:szCs w:val="21"/>
                      <w:highlight w:val="none"/>
                    </w:rPr>
                    <w:t>年本）</w:t>
                  </w:r>
                  <w:r>
                    <w:rPr>
                      <w:rFonts w:hint="default" w:ascii="Times New Roman" w:hAnsi="Times New Roman" w:eastAsia="宋体" w:cs="Times New Roman"/>
                      <w:color w:val="auto"/>
                      <w:kern w:val="0"/>
                      <w:sz w:val="21"/>
                      <w:szCs w:val="21"/>
                      <w:highlight w:val="none"/>
                      <w:lang w:val="en-US" w:eastAsia="zh-CN"/>
                    </w:rPr>
                    <w:t>项目</w:t>
                  </w:r>
                  <w:r>
                    <w:rPr>
                      <w:rFonts w:hint="default" w:ascii="Times New Roman" w:hAnsi="Times New Roman" w:eastAsia="宋体" w:cs="Times New Roman"/>
                      <w:color w:val="auto"/>
                      <w:kern w:val="0"/>
                      <w:sz w:val="21"/>
                      <w:szCs w:val="21"/>
                      <w:highlight w:val="none"/>
                    </w:rPr>
                    <w:t>属于</w:t>
                  </w:r>
                  <w:r>
                    <w:rPr>
                      <w:rFonts w:hint="default" w:ascii="Times New Roman" w:hAnsi="Times New Roman" w:eastAsia="宋体" w:cs="Times New Roman"/>
                      <w:color w:val="auto"/>
                      <w:kern w:val="0"/>
                      <w:sz w:val="21"/>
                      <w:szCs w:val="21"/>
                      <w:highlight w:val="none"/>
                      <w:lang w:val="en-US" w:eastAsia="zh-CN"/>
                    </w:rPr>
                    <w:t>鼓励</w:t>
                  </w:r>
                  <w:r>
                    <w:rPr>
                      <w:rFonts w:hint="default" w:ascii="Times New Roman" w:hAnsi="Times New Roman" w:eastAsia="宋体" w:cs="Times New Roman"/>
                      <w:color w:val="auto"/>
                      <w:kern w:val="0"/>
                      <w:sz w:val="21"/>
                      <w:szCs w:val="21"/>
                      <w:highlight w:val="none"/>
                    </w:rPr>
                    <w:t>类，符合国家产业政策。</w:t>
                  </w:r>
                </w:p>
              </w:tc>
              <w:tc>
                <w:tcPr>
                  <w:tcW w:w="598" w:type="pct"/>
                  <w:tcBorders>
                    <w:top w:val="single" w:color="auto" w:sz="4" w:space="0"/>
                    <w:left w:val="nil"/>
                    <w:bottom w:val="single" w:color="auto" w:sz="4" w:space="0"/>
                    <w:right w:val="single" w:color="auto" w:sz="4" w:space="0"/>
                  </w:tcBorders>
                  <w:noWrap w:val="0"/>
                  <w:vAlign w:val="center"/>
                </w:tcPr>
                <w:p>
                  <w:pPr>
                    <w:pStyle w:val="8"/>
                    <w:keepNext w:val="0"/>
                    <w:keepLines w:val="0"/>
                    <w:widowControl w:val="0"/>
                    <w:suppressLineNumbers w:val="0"/>
                    <w:snapToGrid/>
                    <w:spacing w:before="0" w:beforeAutospacing="0" w:after="0" w:afterAutospacing="0" w:line="240" w:lineRule="auto"/>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2" w:type="pct"/>
                  <w:tcBorders>
                    <w:top w:val="single" w:color="auto" w:sz="4" w:space="0"/>
                    <w:left w:val="single" w:color="auto" w:sz="4" w:space="0"/>
                    <w:bottom w:val="single" w:color="auto" w:sz="4" w:space="0"/>
                    <w:right w:val="single" w:color="auto" w:sz="4" w:space="0"/>
                  </w:tcBorders>
                  <w:noWrap w:val="0"/>
                  <w:vAlign w:val="center"/>
                </w:tcPr>
                <w:p>
                  <w:pPr>
                    <w:pStyle w:val="19"/>
                    <w:keepNext w:val="0"/>
                    <w:keepLines w:val="0"/>
                    <w:widowControl/>
                    <w:suppressLineNumbers w:val="0"/>
                    <w:spacing w:line="240" w:lineRule="auto"/>
                    <w:ind w:left="0" w:right="0" w:firstLine="6"/>
                    <w:jc w:val="both"/>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0"/>
                      <w:position w:val="0"/>
                      <w:sz w:val="21"/>
                      <w:szCs w:val="21"/>
                      <w:highlight w:val="none"/>
                    </w:rPr>
                    <w:t>（一）发展绿色建筑、装配式建筑和海绵城市等建设所需新产品。大力发展轻质高强、保温防火、与建筑同寿命、多功能一体化的装配式墙材、屋面及围护结构部品。引导砖瓦产品向高掺量、高孔洞率、高强度、多功能和自装饰等方向发展，重点发展结构功能一体化的烧结多孔砖、空心砖、自保温砌块、复合保温砌块、清水墙砖、透水路面砖、烧结墙板等产品，防水防腐防火保温一体化的装配式墙材、屋面等产品，以及综合性能好的烧结瓦和太阳能屋面瓦等。（二）发展美丽乡村、传统建筑、园林园艺等建设所需新产品。统筹当地资源环境、建筑结构、文化风俗、市场需求等因素，发展高质量、低成本的砖瓦产品和具有传统文化特色的砖雕制品及砖筑文化制品，打造“产业+文化”发展模式，既满足广大农村农民建房、城市园林园艺景观建设的需要，又能满足传统建筑保护性修旧如旧和生态修复城市修补的需要，有力支撑传统建筑风格、中国文化元素传承。（三）淘汰落后产品和落后产能。认真落实《产业结构调整指导目录（2011 年本）（2013 年修订）》和《关于利用综合标准依法依规推动落后产能退出的指导意见》（工信部联产业〔2017〕30号），依法淘汰落后工艺、装备和产品。执行环保、节能等强制性标准规范，强化环保、节能、质量、安全等执法监管，利用法治化市场化手段，督促达不到环保、能耗等标准的砖瓦企业加快整改，对整改仍不达标的依法责令关停，淘汰整改达标无望的生产线，鼓励东中部地区率先淘汰轮窑生产线。</w:t>
                  </w:r>
                </w:p>
              </w:tc>
              <w:tc>
                <w:tcPr>
                  <w:tcW w:w="1588" w:type="pct"/>
                  <w:tcBorders>
                    <w:top w:val="single" w:color="auto" w:sz="4" w:space="0"/>
                    <w:left w:val="nil"/>
                    <w:bottom w:val="single" w:color="auto" w:sz="4" w:space="0"/>
                    <w:right w:val="single" w:color="auto" w:sz="4" w:space="0"/>
                  </w:tcBorders>
                  <w:noWrap w:val="0"/>
                  <w:vAlign w:val="center"/>
                </w:tcPr>
                <w:p>
                  <w:pPr>
                    <w:pStyle w:val="8"/>
                    <w:keepNext w:val="0"/>
                    <w:keepLines w:val="0"/>
                    <w:widowControl w:val="0"/>
                    <w:suppressLineNumbers w:val="0"/>
                    <w:snapToGrid/>
                    <w:spacing w:before="0" w:beforeAutospacing="0" w:after="0" w:afterAutospacing="0" w:line="240" w:lineRule="auto"/>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项目采用连续式隧道窑生产工艺</w:t>
                  </w:r>
                  <w:r>
                    <w:rPr>
                      <w:rStyle w:val="54"/>
                      <w:rFonts w:hint="default" w:ascii="Times New Roman" w:hAnsi="Times New Roman" w:eastAsia="宋体" w:cs="Times New Roman"/>
                      <w:color w:val="auto"/>
                      <w:sz w:val="21"/>
                      <w:szCs w:val="21"/>
                      <w:highlight w:val="none"/>
                    </w:rPr>
                    <w:t>，生产过程实现自动化生产</w:t>
                  </w:r>
                  <w:r>
                    <w:rPr>
                      <w:rStyle w:val="54"/>
                      <w:rFonts w:hint="default" w:ascii="Times New Roman" w:hAnsi="Times New Roman" w:eastAsia="宋体" w:cs="Times New Roman"/>
                      <w:color w:val="auto"/>
                      <w:sz w:val="21"/>
                      <w:szCs w:val="21"/>
                      <w:highlight w:val="none"/>
                      <w:lang w:eastAsia="zh-CN"/>
                    </w:rPr>
                    <w:t>，</w:t>
                  </w:r>
                  <w:r>
                    <w:rPr>
                      <w:rStyle w:val="54"/>
                      <w:rFonts w:hint="default" w:ascii="Times New Roman" w:hAnsi="Times New Roman" w:eastAsia="宋体" w:cs="Times New Roman"/>
                      <w:color w:val="auto"/>
                      <w:sz w:val="21"/>
                      <w:szCs w:val="21"/>
                      <w:highlight w:val="none"/>
                      <w:lang w:val="en-US" w:eastAsia="zh-CN"/>
                    </w:rPr>
                    <w:t>产品为</w:t>
                  </w:r>
                  <w:r>
                    <w:rPr>
                      <w:rFonts w:hint="default" w:ascii="Times New Roman" w:hAnsi="Times New Roman" w:eastAsia="宋体" w:cs="Times New Roman"/>
                      <w:bCs/>
                      <w:color w:val="auto"/>
                      <w:sz w:val="21"/>
                      <w:szCs w:val="21"/>
                      <w:highlight w:val="none"/>
                    </w:rPr>
                    <w:t>页岩烧结砖</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本次改扩建是用污泥替代部分页岩制砖，可以消纳部分固体废物，同时</w:t>
                  </w:r>
                  <w:r>
                    <w:rPr>
                      <w:rFonts w:hint="default" w:ascii="Times New Roman" w:hAnsi="Times New Roman" w:eastAsia="宋体" w:cs="Times New Roman"/>
                      <w:color w:val="auto"/>
                      <w:kern w:val="0"/>
                      <w:sz w:val="21"/>
                      <w:szCs w:val="21"/>
                      <w:highlight w:val="none"/>
                      <w:lang w:val="en-US" w:eastAsia="zh-CN"/>
                    </w:rPr>
                    <w:t>根据</w:t>
                  </w:r>
                  <w:r>
                    <w:rPr>
                      <w:rFonts w:hint="default" w:ascii="Times New Roman" w:hAnsi="Times New Roman" w:eastAsia="宋体" w:cs="Times New Roman"/>
                      <w:color w:val="auto"/>
                      <w:kern w:val="0"/>
                      <w:sz w:val="21"/>
                      <w:szCs w:val="21"/>
                      <w:highlight w:val="none"/>
                    </w:rPr>
                    <w:t>《产业结构调整指导目录》（20</w:t>
                  </w:r>
                  <w:r>
                    <w:rPr>
                      <w:rFonts w:hint="default" w:ascii="Times New Roman" w:hAnsi="Times New Roman" w:eastAsia="宋体" w:cs="Times New Roman"/>
                      <w:color w:val="auto"/>
                      <w:kern w:val="0"/>
                      <w:sz w:val="21"/>
                      <w:szCs w:val="21"/>
                      <w:highlight w:val="none"/>
                      <w:lang w:val="en-US" w:eastAsia="zh-CN"/>
                    </w:rPr>
                    <w:t>24</w:t>
                  </w:r>
                  <w:r>
                    <w:rPr>
                      <w:rFonts w:hint="default" w:ascii="Times New Roman" w:hAnsi="Times New Roman" w:eastAsia="宋体" w:cs="Times New Roman"/>
                      <w:color w:val="auto"/>
                      <w:kern w:val="0"/>
                      <w:sz w:val="21"/>
                      <w:szCs w:val="21"/>
                      <w:highlight w:val="none"/>
                    </w:rPr>
                    <w:t>年本）</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项目</w:t>
                  </w:r>
                  <w:r>
                    <w:rPr>
                      <w:rFonts w:hint="default" w:ascii="Times New Roman" w:hAnsi="Times New Roman" w:eastAsia="宋体" w:cs="Times New Roman"/>
                      <w:color w:val="auto"/>
                      <w:kern w:val="0"/>
                      <w:sz w:val="21"/>
                      <w:szCs w:val="21"/>
                      <w:highlight w:val="none"/>
                    </w:rPr>
                    <w:t>属于</w:t>
                  </w:r>
                  <w:r>
                    <w:rPr>
                      <w:rFonts w:hint="default" w:ascii="Times New Roman" w:hAnsi="Times New Roman" w:eastAsia="宋体" w:cs="Times New Roman"/>
                      <w:color w:val="auto"/>
                      <w:kern w:val="0"/>
                      <w:sz w:val="21"/>
                      <w:szCs w:val="21"/>
                      <w:highlight w:val="none"/>
                      <w:lang w:val="en-US" w:eastAsia="zh-CN"/>
                    </w:rPr>
                    <w:t>鼓励</w:t>
                  </w:r>
                  <w:r>
                    <w:rPr>
                      <w:rFonts w:hint="default" w:ascii="Times New Roman" w:hAnsi="Times New Roman" w:eastAsia="宋体" w:cs="Times New Roman"/>
                      <w:color w:val="auto"/>
                      <w:kern w:val="0"/>
                      <w:sz w:val="21"/>
                      <w:szCs w:val="21"/>
                      <w:highlight w:val="none"/>
                    </w:rPr>
                    <w:t>类，符合国家产业政策。</w:t>
                  </w:r>
                </w:p>
              </w:tc>
              <w:tc>
                <w:tcPr>
                  <w:tcW w:w="598" w:type="pct"/>
                  <w:tcBorders>
                    <w:top w:val="single" w:color="auto" w:sz="4" w:space="0"/>
                    <w:left w:val="nil"/>
                    <w:bottom w:val="single" w:color="auto" w:sz="4" w:space="0"/>
                    <w:right w:val="single" w:color="auto" w:sz="4" w:space="0"/>
                  </w:tcBorders>
                  <w:noWrap w:val="0"/>
                  <w:vAlign w:val="center"/>
                </w:tcPr>
                <w:p>
                  <w:pPr>
                    <w:pStyle w:val="8"/>
                    <w:keepNext w:val="0"/>
                    <w:keepLines w:val="0"/>
                    <w:widowControl w:val="0"/>
                    <w:suppressLineNumbers w:val="0"/>
                    <w:snapToGrid/>
                    <w:spacing w:before="0" w:beforeAutospacing="0" w:after="0" w:afterAutospacing="0" w:line="240" w:lineRule="auto"/>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2" w:type="pct"/>
                  <w:tcBorders>
                    <w:top w:val="single" w:color="auto" w:sz="4" w:space="0"/>
                    <w:left w:val="single" w:color="auto" w:sz="4" w:space="0"/>
                    <w:bottom w:val="single" w:color="auto" w:sz="4" w:space="0"/>
                    <w:right w:val="single" w:color="auto" w:sz="4" w:space="0"/>
                  </w:tcBorders>
                  <w:noWrap w:val="0"/>
                  <w:vAlign w:val="center"/>
                </w:tcPr>
                <w:p>
                  <w:pPr>
                    <w:pStyle w:val="19"/>
                    <w:keepNext w:val="0"/>
                    <w:keepLines w:val="0"/>
                    <w:widowControl/>
                    <w:suppressLineNumbers w:val="0"/>
                    <w:spacing w:line="240" w:lineRule="auto"/>
                    <w:ind w:left="0" w:right="0" w:firstLine="2"/>
                    <w:jc w:val="lef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0"/>
                      <w:position w:val="0"/>
                      <w:sz w:val="21"/>
                      <w:szCs w:val="21"/>
                      <w:highlight w:val="none"/>
                    </w:rPr>
                    <w:t>（一）狠抓治污减排。开发并推广适用于砖瓦窑炉烟气脱硫、脱硝、除尘综合治理成套技术和装备，鼓励采用低氮烧成技术，使用清洁燃料（洁净煤制气或天然气）。开展清洁生产技术改造，原燃料应密闭存储或采取防风、抑尘、降尘等措施。严格控制并强化治理原燃料破碎、干燥焙烧、制备成型等工段无组织排放烟（粉）尘。安装污染物在线监控系统并与监管部门联网，主动披露污染物排放信息。全面实施排污许可证，严格按证排放污染物，禁止无证排污。加强氟化物等其他有毒有害污染物治理技术研发和应用。（二）推进节能降耗。支持利用适用技术装备进行节能改造，提升砖瓦窑炉热工效率，推广大断面隧道窑和自动焙烧技术。鼓励烧结砖瓦生产企业推进合同能源管理，建立能耗综合监测系统，开展窑炉热平衡测试，对主要能源消耗、重点耗能设备实施实时可视化管理。对现有生产烧结墙体材料的企业，要确保达到GB 30526《烧结墙体材料单位产品能源消耗限额》限定值，争取达到先进值。引导生产烧结屋面材料的企业比照该标准执行。（三）强化综合利用。鼓励利用工业固废、矿物尾渣、淤泥、污泥、农林废弃物等替代一次原燃料，支持利用建筑垃圾生产砖瓦制品，进一步扩大资源综合利用范围，提高原燃料中固废掺配比例，减少对天然资源的消耗。加大力度研发利用砖瓦烧结窑炉协同处置河湖淤泥、建筑废弃土、建筑渣土及其他废弃物的成套技术，探索利用大型烧结砖隧道窑安全处置城市污泥，提高综合处置能力和利用效率。（四）实行错峰生产。认真执行《京津冀及周边地区2017 －2018 年秋冬季大气污染综合治理攻坚行动方案》，2017－2020 年在京津冀及周边地区全面实施采暖季砖瓦窑错峰生产，其中京津冀大气污染传输通道“2+26”城市的烧结砖瓦窑（不含天然气为燃料的）在整个采暖季实施错峰生产；河北、山西、山东、河南四省内“2+26”城市之外的其他地区的烧结砖瓦窑（不含天然气为燃料的），错峰时间由各地自行决定，原则上停产时间不低于两个月。北方其他采暖地区可根据当地情况参考执行。</w:t>
                  </w:r>
                </w:p>
              </w:tc>
              <w:tc>
                <w:tcPr>
                  <w:tcW w:w="1588" w:type="pct"/>
                  <w:tcBorders>
                    <w:top w:val="single" w:color="auto" w:sz="4" w:space="0"/>
                    <w:left w:val="nil"/>
                    <w:bottom w:val="single" w:color="auto" w:sz="4" w:space="0"/>
                    <w:right w:val="single" w:color="auto" w:sz="4" w:space="0"/>
                  </w:tcBorders>
                  <w:noWrap w:val="0"/>
                  <w:vAlign w:val="center"/>
                </w:tcPr>
                <w:p>
                  <w:pPr>
                    <w:pStyle w:val="8"/>
                    <w:keepNext w:val="0"/>
                    <w:keepLines w:val="0"/>
                    <w:widowControl w:val="0"/>
                    <w:suppressLineNumbers w:val="0"/>
                    <w:snapToGrid/>
                    <w:spacing w:before="0" w:beforeAutospacing="0" w:after="0" w:afterAutospacing="0" w:line="240" w:lineRule="auto"/>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项目</w:t>
                  </w:r>
                  <w:r>
                    <w:rPr>
                      <w:rFonts w:hint="default" w:ascii="Times New Roman" w:hAnsi="Times New Roman" w:eastAsia="宋体" w:cs="Times New Roman"/>
                      <w:color w:val="auto"/>
                      <w:sz w:val="21"/>
                      <w:szCs w:val="21"/>
                      <w:highlight w:val="none"/>
                    </w:rPr>
                    <w:t>焙烧烟气</w:t>
                  </w:r>
                  <w:r>
                    <w:rPr>
                      <w:rFonts w:hint="default" w:ascii="Times New Roman" w:hAnsi="Times New Roman" w:eastAsia="宋体" w:cs="Times New Roman"/>
                      <w:color w:val="auto"/>
                      <w:sz w:val="21"/>
                      <w:szCs w:val="21"/>
                      <w:highlight w:val="none"/>
                      <w:lang w:val="en-US" w:eastAsia="zh-CN"/>
                    </w:rPr>
                    <w:t>通过</w:t>
                  </w:r>
                  <w:r>
                    <w:rPr>
                      <w:rFonts w:hint="default" w:ascii="Times New Roman" w:hAnsi="Times New Roman" w:eastAsia="宋体" w:cs="Times New Roman"/>
                      <w:color w:val="auto"/>
                      <w:sz w:val="21"/>
                      <w:szCs w:val="21"/>
                      <w:highlight w:val="none"/>
                    </w:rPr>
                    <w:t>双碱法脱硫除尘装置</w:t>
                  </w:r>
                  <w:r>
                    <w:rPr>
                      <w:rFonts w:hint="default" w:ascii="Times New Roman" w:hAnsi="Times New Roman" w:eastAsia="宋体" w:cs="Times New Roman"/>
                      <w:color w:val="auto"/>
                      <w:kern w:val="0"/>
                      <w:sz w:val="21"/>
                      <w:szCs w:val="21"/>
                      <w:highlight w:val="none"/>
                    </w:rPr>
                    <w:t>处理后达标排放；</w:t>
                  </w:r>
                  <w:r>
                    <w:rPr>
                      <w:rFonts w:hint="default" w:ascii="Times New Roman" w:hAnsi="Times New Roman" w:eastAsia="宋体" w:cs="Times New Roman"/>
                      <w:color w:val="auto"/>
                      <w:kern w:val="0"/>
                      <w:sz w:val="21"/>
                      <w:szCs w:val="21"/>
                      <w:highlight w:val="none"/>
                      <w:lang w:val="en-US" w:eastAsia="zh-CN"/>
                    </w:rPr>
                    <w:t>项目为改扩建，原有项目已安装在线监管系统，项目改扩建完成后，在线监管系统继续使用。本次改扩建是用污泥替代部分页岩制砖，产能增加1200万块，在原址改扩建，不新增占地，改扩建后产能为6200万块，</w:t>
                  </w:r>
                  <w:r>
                    <w:rPr>
                      <w:rFonts w:hint="default" w:ascii="Times New Roman" w:hAnsi="Times New Roman" w:eastAsia="宋体" w:cs="Times New Roman"/>
                      <w:color w:val="auto"/>
                      <w:kern w:val="0"/>
                      <w:sz w:val="21"/>
                      <w:szCs w:val="21"/>
                      <w:highlight w:val="none"/>
                    </w:rPr>
                    <w:t>项目</w:t>
                  </w:r>
                  <w:r>
                    <w:rPr>
                      <w:rFonts w:hint="default" w:ascii="Times New Roman" w:hAnsi="Times New Roman" w:eastAsia="宋体" w:cs="Times New Roman"/>
                      <w:color w:val="auto"/>
                      <w:sz w:val="21"/>
                      <w:szCs w:val="21"/>
                      <w:highlight w:val="none"/>
                    </w:rPr>
                    <w:t>位于</w:t>
                  </w:r>
                  <w:r>
                    <w:rPr>
                      <w:rFonts w:hint="default" w:ascii="Times New Roman" w:hAnsi="Times New Roman" w:eastAsia="宋体" w:cs="Times New Roman"/>
                      <w:color w:val="auto"/>
                      <w:sz w:val="21"/>
                      <w:szCs w:val="21"/>
                      <w:highlight w:val="none"/>
                      <w:lang w:eastAsia="zh-CN"/>
                    </w:rPr>
                    <w:t>云南省昆明市宜良县北古城镇凤莱村委会下前所村</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不在</w:t>
                  </w:r>
                  <w:r>
                    <w:rPr>
                      <w:rFonts w:hint="default" w:ascii="Times New Roman" w:hAnsi="Times New Roman" w:eastAsia="宋体" w:cs="Times New Roman"/>
                      <w:color w:val="auto"/>
                      <w:spacing w:val="0"/>
                      <w:position w:val="0"/>
                      <w:sz w:val="21"/>
                      <w:szCs w:val="21"/>
                      <w:highlight w:val="none"/>
                    </w:rPr>
                    <w:t>京津冀及周边地区</w:t>
                  </w:r>
                  <w:r>
                    <w:rPr>
                      <w:rFonts w:hint="default" w:ascii="Times New Roman" w:hAnsi="Times New Roman" w:eastAsia="宋体"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lang w:val="en-US" w:eastAsia="zh-CN"/>
                    </w:rPr>
                    <w:t>不属于</w:t>
                  </w:r>
                  <w:r>
                    <w:rPr>
                      <w:rFonts w:hint="default" w:ascii="Times New Roman" w:hAnsi="Times New Roman" w:eastAsia="宋体" w:cs="Times New Roman"/>
                      <w:color w:val="auto"/>
                      <w:spacing w:val="0"/>
                      <w:position w:val="0"/>
                      <w:sz w:val="21"/>
                      <w:szCs w:val="21"/>
                      <w:highlight w:val="none"/>
                    </w:rPr>
                    <w:t>河北、山西、山东、河南</w:t>
                  </w:r>
                  <w:r>
                    <w:rPr>
                      <w:rFonts w:hint="default" w:ascii="Times New Roman" w:hAnsi="Times New Roman" w:eastAsia="宋体" w:cs="Times New Roman"/>
                      <w:color w:val="auto"/>
                      <w:spacing w:val="0"/>
                      <w:position w:val="0"/>
                      <w:sz w:val="21"/>
                      <w:szCs w:val="21"/>
                      <w:highlight w:val="none"/>
                      <w:lang w:eastAsia="zh-CN"/>
                    </w:rPr>
                    <w:t>。</w:t>
                  </w:r>
                </w:p>
              </w:tc>
              <w:tc>
                <w:tcPr>
                  <w:tcW w:w="598" w:type="pct"/>
                  <w:tcBorders>
                    <w:top w:val="single" w:color="auto" w:sz="4" w:space="0"/>
                    <w:left w:val="nil"/>
                    <w:bottom w:val="single" w:color="auto" w:sz="4" w:space="0"/>
                    <w:right w:val="single" w:color="auto" w:sz="4" w:space="0"/>
                  </w:tcBorders>
                  <w:noWrap w:val="0"/>
                  <w:vAlign w:val="center"/>
                </w:tcPr>
                <w:p>
                  <w:pPr>
                    <w:pStyle w:val="8"/>
                    <w:keepNext w:val="0"/>
                    <w:keepLines w:val="0"/>
                    <w:widowControl w:val="0"/>
                    <w:suppressLineNumbers w:val="0"/>
                    <w:snapToGrid/>
                    <w:spacing w:before="0" w:beforeAutospacing="0" w:after="0" w:afterAutospacing="0" w:line="240" w:lineRule="auto"/>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12" w:type="pct"/>
                  <w:tcBorders>
                    <w:top w:val="single" w:color="auto" w:sz="4" w:space="0"/>
                    <w:left w:val="single" w:color="auto" w:sz="4" w:space="0"/>
                    <w:bottom w:val="single" w:color="auto" w:sz="4" w:space="0"/>
                    <w:right w:val="single" w:color="auto" w:sz="4" w:space="0"/>
                  </w:tcBorders>
                  <w:noWrap w:val="0"/>
                  <w:vAlign w:val="center"/>
                </w:tcPr>
                <w:p>
                  <w:pPr>
                    <w:pStyle w:val="19"/>
                    <w:keepNext w:val="0"/>
                    <w:keepLines w:val="0"/>
                    <w:widowControl/>
                    <w:suppressLineNumbers w:val="0"/>
                    <w:spacing w:line="240" w:lineRule="auto"/>
                    <w:ind w:left="0" w:right="0" w:firstLine="0"/>
                    <w:jc w:val="both"/>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0"/>
                      <w:kern w:val="0"/>
                      <w:position w:val="0"/>
                      <w:sz w:val="21"/>
                      <w:szCs w:val="21"/>
                      <w:highlight w:val="none"/>
                      <w:lang w:val="en-US" w:eastAsia="zh-CN" w:bidi="ar"/>
                    </w:rPr>
                    <w:t>（一）加快自动化改造，推进智能制造。从原料制备、挤出成型、干燥焙烧、包装入库到运输，实现全过程自动化生产、信息化控制。推进互联网、云计算、大数据在砖瓦行业应用。开发推广电子计量精准控制配料和自动控制挤出成型、烘干焙烧系统。加快“机器代人”改造，实现高精度切坯、翻坯、码卸坯、包装仓储等环节自动化机器人化，提升砖瓦生产智能化和本质安全水平，逐步建立个性化定制的产品配送系统。（二）加强质量管理，提升质保能力。落实企业质量主体责任，完善质量管理体系和管理制度。推行砖瓦企业检验室建设，推进原料标准化，加强破碎、均化、陈化等过程管理，严控原料粒度及分布和颗粒级配，严格生产工艺规范，切实提高质量和产品合格率。探索建立可追溯的产品质量管理制度，支持企业发布质量自我声明承诺，编制发布企业社会责任报告，发挥诚信示范引领作用。（三）完善安全生产制度，积极防治职业病。督促企业建立健全安全生产和职业病危害防治责任制，配备符合规定的安全生产和职业病防护设施，完善应急管理体系，加强应急预案的培训和演练，提高处置突发事故的能力，实现安全管理从事后查处向预警预防转变。开展安全隐患全面排查和治理，完善配料、成型、烧成、仓储等工序安全防护措施和防尘措施，定期对工作场所职业病危害因素进行检测评价，为劳动者配备合格的劳动</w:t>
                  </w:r>
                  <w:r>
                    <w:rPr>
                      <w:rFonts w:hint="default"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spacing w:val="0"/>
                      <w:position w:val="0"/>
                      <w:sz w:val="21"/>
                      <w:szCs w:val="21"/>
                      <w:highlight w:val="none"/>
                    </w:rPr>
                    <w:t>防护用品，切实防治尘肺病等常见职业病。</w:t>
                  </w:r>
                </w:p>
              </w:tc>
              <w:tc>
                <w:tcPr>
                  <w:tcW w:w="1588" w:type="pct"/>
                  <w:tcBorders>
                    <w:top w:val="single" w:color="auto" w:sz="4" w:space="0"/>
                    <w:left w:val="nil"/>
                    <w:bottom w:val="single" w:color="auto" w:sz="4" w:space="0"/>
                    <w:right w:val="single" w:color="auto" w:sz="4" w:space="0"/>
                  </w:tcBorders>
                  <w:noWrap w:val="0"/>
                  <w:vAlign w:val="center"/>
                </w:tcPr>
                <w:p>
                  <w:pPr>
                    <w:pStyle w:val="8"/>
                    <w:keepNext w:val="0"/>
                    <w:keepLines w:val="0"/>
                    <w:widowControl w:val="0"/>
                    <w:suppressLineNumbers w:val="0"/>
                    <w:snapToGrid/>
                    <w:spacing w:before="0" w:beforeAutospacing="0" w:after="0" w:afterAutospacing="0" w:line="240" w:lineRule="auto"/>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0"/>
                      <w:kern w:val="0"/>
                      <w:position w:val="0"/>
                      <w:sz w:val="21"/>
                      <w:szCs w:val="21"/>
                      <w:highlight w:val="none"/>
                      <w:lang w:val="en-US" w:eastAsia="zh-CN" w:bidi="ar"/>
                    </w:rPr>
                    <w:t>项目从原料制备、挤出成型、干燥焙烧、包装入库到运输，基本实现自动化生产、信息化控制。</w:t>
                  </w:r>
                  <w:r>
                    <w:rPr>
                      <w:rFonts w:hint="default" w:ascii="Times New Roman" w:hAnsi="Times New Roman" w:eastAsia="宋体" w:cs="Times New Roman"/>
                      <w:b w:val="0"/>
                      <w:bCs w:val="0"/>
                      <w:color w:val="auto"/>
                      <w:sz w:val="21"/>
                      <w:szCs w:val="21"/>
                      <w:highlight w:val="none"/>
                      <w:lang w:val="en-US" w:eastAsia="zh-CN"/>
                    </w:rPr>
                    <w:t>项目为改扩建项目，</w:t>
                  </w:r>
                  <w:r>
                    <w:rPr>
                      <w:rFonts w:hint="default" w:ascii="Times New Roman" w:hAnsi="Times New Roman" w:eastAsia="宋体" w:cs="Times New Roman"/>
                      <w:color w:val="auto"/>
                      <w:sz w:val="21"/>
                      <w:szCs w:val="21"/>
                      <w:highlight w:val="none"/>
                      <w:lang w:val="en-US" w:eastAsia="zh-CN"/>
                    </w:rPr>
                    <w:t>环评要求，项目运营期对照</w:t>
                  </w:r>
                  <w:r>
                    <w:rPr>
                      <w:rFonts w:hint="default" w:ascii="Times New Roman" w:hAnsi="Times New Roman" w:eastAsia="宋体" w:cs="Times New Roman"/>
                      <w:color w:val="auto"/>
                      <w:sz w:val="21"/>
                      <w:szCs w:val="21"/>
                      <w:highlight w:val="none"/>
                    </w:rPr>
                    <w:t>《企业事业单位突发环境事件应急预案备案管理办法（试行）》（环发[2015]4号文）中的要求，编制突发环境事件应急预案并在当地环保部门备案。</w:t>
                  </w:r>
                  <w:r>
                    <w:rPr>
                      <w:rFonts w:hint="default" w:ascii="Times New Roman" w:hAnsi="Times New Roman" w:eastAsia="宋体" w:cs="Times New Roman"/>
                      <w:color w:val="auto"/>
                      <w:sz w:val="21"/>
                      <w:szCs w:val="21"/>
                      <w:highlight w:val="none"/>
                      <w:lang w:val="en-US" w:eastAsia="zh-CN"/>
                    </w:rPr>
                    <w:t>项目</w:t>
                  </w:r>
                  <w:r>
                    <w:rPr>
                      <w:rFonts w:hint="default" w:ascii="Times New Roman" w:hAnsi="Times New Roman" w:eastAsia="宋体" w:cs="Times New Roman"/>
                      <w:color w:val="auto"/>
                      <w:kern w:val="0"/>
                      <w:sz w:val="21"/>
                      <w:szCs w:val="21"/>
                      <w:highlight w:val="none"/>
                    </w:rPr>
                    <w:t>破碎、筛分粉尘拟采用布袋除尘器收集处理后达标排放；</w:t>
                  </w:r>
                  <w:r>
                    <w:rPr>
                      <w:rFonts w:hint="default" w:ascii="Times New Roman" w:hAnsi="Times New Roman" w:eastAsia="宋体" w:cs="Times New Roman"/>
                      <w:color w:val="auto"/>
                      <w:sz w:val="21"/>
                      <w:szCs w:val="21"/>
                      <w:highlight w:val="none"/>
                    </w:rPr>
                    <w:t>原料堆场粉尘采取彩</w:t>
                  </w:r>
                  <w:r>
                    <w:rPr>
                      <w:rFonts w:hint="default" w:ascii="Times New Roman" w:hAnsi="Times New Roman" w:eastAsia="宋体" w:cs="Times New Roman"/>
                      <w:bCs/>
                      <w:color w:val="auto"/>
                      <w:sz w:val="21"/>
                      <w:szCs w:val="21"/>
                      <w:highlight w:val="none"/>
                    </w:rPr>
                    <w:t>钢瓦顶棚、</w:t>
                  </w:r>
                  <w:r>
                    <w:rPr>
                      <w:rFonts w:hint="default" w:ascii="Times New Roman" w:hAnsi="Times New Roman" w:eastAsia="宋体" w:cs="Times New Roman"/>
                      <w:bCs/>
                      <w:color w:val="auto"/>
                      <w:sz w:val="21"/>
                      <w:szCs w:val="21"/>
                      <w:highlight w:val="none"/>
                      <w:lang w:val="en-US" w:eastAsia="zh-CN"/>
                    </w:rPr>
                    <w:t>厂房封闭（留有进出口）</w:t>
                  </w:r>
                  <w:r>
                    <w:rPr>
                      <w:rFonts w:hint="default" w:ascii="Times New Roman" w:hAnsi="Times New Roman" w:eastAsia="宋体" w:cs="Times New Roman"/>
                      <w:bCs/>
                      <w:color w:val="auto"/>
                      <w:sz w:val="21"/>
                      <w:szCs w:val="21"/>
                      <w:highlight w:val="none"/>
                    </w:rPr>
                    <w:t>、地面硬化、内设</w:t>
                  </w:r>
                  <w:r>
                    <w:rPr>
                      <w:rFonts w:hint="default" w:ascii="Times New Roman" w:hAnsi="Times New Roman" w:eastAsia="宋体" w:cs="Times New Roman"/>
                      <w:color w:val="auto"/>
                      <w:sz w:val="21"/>
                      <w:szCs w:val="21"/>
                      <w:highlight w:val="none"/>
                    </w:rPr>
                    <w:t>喷淋设施的措施</w:t>
                  </w:r>
                  <w:r>
                    <w:rPr>
                      <w:rFonts w:hint="default" w:ascii="Times New Roman" w:hAnsi="Times New Roman" w:eastAsia="宋体" w:cs="Times New Roman"/>
                      <w:color w:val="auto"/>
                      <w:sz w:val="21"/>
                      <w:szCs w:val="21"/>
                      <w:highlight w:val="none"/>
                      <w:lang w:val="en-US" w:eastAsia="zh-CN"/>
                    </w:rPr>
                    <w:t>处理；</w:t>
                  </w:r>
                  <w:r>
                    <w:rPr>
                      <w:rFonts w:hint="default" w:ascii="Times New Roman" w:hAnsi="Times New Roman" w:eastAsia="宋体" w:cs="Times New Roman"/>
                      <w:color w:val="auto"/>
                      <w:sz w:val="21"/>
                      <w:szCs w:val="21"/>
                      <w:highlight w:val="none"/>
                    </w:rPr>
                    <w:t>搅拌成型粉尘采取工序加水的措施</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运输扬尘采取洒水降尘措施</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通过上述措施后项目废气对环境影响较小。</w:t>
                  </w:r>
                </w:p>
              </w:tc>
              <w:tc>
                <w:tcPr>
                  <w:tcW w:w="598" w:type="pct"/>
                  <w:tcBorders>
                    <w:top w:val="single" w:color="auto" w:sz="4" w:space="0"/>
                    <w:left w:val="nil"/>
                    <w:bottom w:val="single" w:color="auto" w:sz="4" w:space="0"/>
                    <w:right w:val="single" w:color="auto" w:sz="4" w:space="0"/>
                  </w:tcBorders>
                  <w:noWrap w:val="0"/>
                  <w:vAlign w:val="center"/>
                </w:tcPr>
                <w:p>
                  <w:pPr>
                    <w:pStyle w:val="8"/>
                    <w:keepNext w:val="0"/>
                    <w:keepLines w:val="0"/>
                    <w:widowControl w:val="0"/>
                    <w:suppressLineNumbers w:val="0"/>
                    <w:snapToGrid/>
                    <w:spacing w:before="0" w:beforeAutospacing="0" w:after="0" w:afterAutospacing="0" w:line="240" w:lineRule="auto"/>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综上所述，项目符合</w:t>
            </w:r>
            <w:r>
              <w:rPr>
                <w:rFonts w:hint="default" w:ascii="Times New Roman" w:hAnsi="Times New Roman" w:eastAsia="宋体" w:cs="Times New Roman"/>
                <w:color w:val="auto"/>
                <w:sz w:val="24"/>
                <w:szCs w:val="24"/>
                <w:highlight w:val="none"/>
              </w:rPr>
              <w:t>《关于加快烧结砖瓦行业转型发展的若干意见》（工业和信息化部、环境保护部、国家安全监管总局；工信部联原[2017]279号）</w:t>
            </w:r>
            <w:r>
              <w:rPr>
                <w:rFonts w:hint="default" w:ascii="Times New Roman" w:hAnsi="Times New Roman" w:eastAsia="宋体" w:cs="Times New Roman"/>
                <w:color w:val="auto"/>
                <w:sz w:val="24"/>
                <w:szCs w:val="24"/>
                <w:highlight w:val="none"/>
                <w:lang w:val="en-US" w:eastAsia="zh-CN"/>
              </w:rPr>
              <w:t>的相关要求。</w:t>
            </w:r>
          </w:p>
          <w:p>
            <w:pPr>
              <w:keepNext w:val="0"/>
              <w:keepLines w:val="0"/>
              <w:widowControl/>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13</w:t>
            </w:r>
            <w:r>
              <w:rPr>
                <w:rFonts w:hint="default" w:ascii="Times New Roman" w:hAnsi="Times New Roman" w:eastAsia="宋体" w:cs="Times New Roman"/>
                <w:b/>
                <w:bCs/>
                <w:color w:val="auto"/>
                <w:sz w:val="24"/>
                <w:szCs w:val="24"/>
                <w:highlight w:val="none"/>
              </w:rPr>
              <w:t>、云南省主体功能区划</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highlight w:val="none"/>
                <w:lang w:bidi="ar"/>
              </w:rPr>
            </w:pPr>
            <w:r>
              <w:rPr>
                <w:rFonts w:hint="default" w:ascii="Times New Roman" w:hAnsi="Times New Roman" w:eastAsia="宋体" w:cs="Times New Roman"/>
                <w:bCs/>
                <w:color w:val="auto"/>
                <w:sz w:val="24"/>
                <w:szCs w:val="24"/>
                <w:highlight w:val="none"/>
                <w:lang w:bidi="ar"/>
              </w:rPr>
              <w:t>本项目位于</w:t>
            </w:r>
            <w:r>
              <w:rPr>
                <w:rFonts w:hint="default" w:ascii="Times New Roman" w:hAnsi="Times New Roman" w:eastAsia="宋体" w:cs="Times New Roman"/>
                <w:color w:val="auto"/>
                <w:kern w:val="0"/>
                <w:sz w:val="24"/>
                <w:szCs w:val="24"/>
                <w:highlight w:val="none"/>
                <w:u w:val="none"/>
                <w:lang w:eastAsia="zh-CN"/>
              </w:rPr>
              <w:t>云南省昆明市宜良县北古城镇凤莱村委会下前所村</w:t>
            </w:r>
            <w:r>
              <w:rPr>
                <w:rFonts w:hint="default" w:ascii="Times New Roman" w:hAnsi="Times New Roman" w:eastAsia="宋体" w:cs="Times New Roman"/>
                <w:bCs/>
                <w:color w:val="auto"/>
                <w:sz w:val="24"/>
                <w:szCs w:val="24"/>
                <w:highlight w:val="none"/>
                <w:lang w:bidi="ar"/>
              </w:rPr>
              <w:t>，对照《云南省主体功能区规划》，项目区属于《云南省主体功能区规划》中的国家重点开发区域，重点开发区域是指有一定经济基础，资源环境承载能力较强，发展潜力较大，聚集人口和经济条件较好，应该重点进行工业化、城镇化开发的城市化地区，其主体功能是提供工业品和服务产品，聚集经济和人口，但也要保护好基本农田、森林、水域，提供一定数量的农产品和生态产品。</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highlight w:val="none"/>
                <w:lang w:bidi="ar"/>
              </w:rPr>
            </w:pPr>
            <w:r>
              <w:rPr>
                <w:rFonts w:hint="default" w:ascii="Times New Roman" w:hAnsi="Times New Roman" w:eastAsia="宋体" w:cs="Times New Roman"/>
                <w:bCs/>
                <w:color w:val="auto"/>
                <w:sz w:val="24"/>
                <w:szCs w:val="24"/>
                <w:highlight w:val="none"/>
                <w:lang w:bidi="ar"/>
              </w:rPr>
              <w:t>本项目位于</w:t>
            </w:r>
            <w:r>
              <w:rPr>
                <w:rFonts w:hint="default" w:ascii="Times New Roman" w:hAnsi="Times New Roman" w:eastAsia="宋体" w:cs="Times New Roman"/>
                <w:color w:val="auto"/>
                <w:kern w:val="0"/>
                <w:sz w:val="24"/>
                <w:szCs w:val="24"/>
                <w:highlight w:val="none"/>
                <w:u w:val="none"/>
                <w:lang w:eastAsia="zh-CN"/>
              </w:rPr>
              <w:t>云南省昆明市宜良县北古城镇凤莱村委会下前所村</w:t>
            </w:r>
            <w:r>
              <w:rPr>
                <w:rFonts w:hint="default" w:ascii="Times New Roman" w:hAnsi="Times New Roman" w:eastAsia="宋体" w:cs="Times New Roman"/>
                <w:bCs/>
                <w:color w:val="auto"/>
                <w:sz w:val="24"/>
                <w:szCs w:val="24"/>
                <w:highlight w:val="none"/>
                <w:lang w:bidi="ar"/>
              </w:rPr>
              <w:t>，</w:t>
            </w:r>
            <w:r>
              <w:rPr>
                <w:rFonts w:hint="default" w:ascii="Times New Roman" w:hAnsi="Times New Roman" w:eastAsia="宋体" w:cs="Times New Roman"/>
                <w:bCs/>
                <w:color w:val="auto"/>
                <w:sz w:val="24"/>
                <w:szCs w:val="24"/>
                <w:highlight w:val="none"/>
                <w:lang w:val="en-US" w:eastAsia="zh-CN" w:bidi="ar"/>
              </w:rPr>
              <w:t>项目在原址改扩建，不新增用地。</w:t>
            </w:r>
            <w:r>
              <w:rPr>
                <w:rFonts w:hint="default" w:ascii="Times New Roman" w:hAnsi="Times New Roman" w:eastAsia="宋体" w:cs="Times New Roman"/>
                <w:bCs/>
                <w:color w:val="auto"/>
                <w:sz w:val="24"/>
                <w:szCs w:val="24"/>
                <w:highlight w:val="none"/>
                <w:lang w:bidi="ar"/>
              </w:rPr>
              <w:t>项目区不涉及自然保护区、风景名胜区、森林公园、地质公园、水源保护区、永久基本农田和生态功能区等</w:t>
            </w:r>
            <w:r>
              <w:rPr>
                <w:rFonts w:hint="default" w:ascii="Times New Roman" w:hAnsi="Times New Roman" w:eastAsia="宋体" w:cs="Times New Roman"/>
                <w:bCs/>
                <w:color w:val="auto"/>
                <w:sz w:val="24"/>
                <w:szCs w:val="24"/>
                <w:highlight w:val="none"/>
                <w:lang w:eastAsia="zh-CN" w:bidi="ar"/>
              </w:rPr>
              <w:t>，</w:t>
            </w:r>
            <w:r>
              <w:rPr>
                <w:rFonts w:hint="default" w:ascii="Times New Roman" w:hAnsi="Times New Roman" w:eastAsia="宋体" w:cs="Times New Roman"/>
                <w:bCs/>
                <w:color w:val="auto"/>
                <w:sz w:val="24"/>
                <w:szCs w:val="24"/>
                <w:highlight w:val="none"/>
                <w:lang w:bidi="ar"/>
              </w:rPr>
              <w:t>项目建设符合《云南省主体功能区规划》的相关要求。</w:t>
            </w:r>
          </w:p>
          <w:p>
            <w:pPr>
              <w:keepNext w:val="0"/>
              <w:keepLines w:val="0"/>
              <w:widowControl/>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w:t>
            </w: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、云南省生态功能区划</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highlight w:val="none"/>
                <w:lang w:bidi="ar"/>
              </w:rPr>
            </w:pPr>
            <w:r>
              <w:rPr>
                <w:rFonts w:hint="default" w:ascii="Times New Roman" w:hAnsi="Times New Roman" w:eastAsia="宋体" w:cs="Times New Roman"/>
                <w:bCs/>
                <w:color w:val="auto"/>
                <w:sz w:val="24"/>
                <w:szCs w:val="24"/>
                <w:highlight w:val="none"/>
                <w:lang w:bidi="ar"/>
              </w:rPr>
              <w:t>根据《云南省生态功能区划》，项目属Ⅲ1-6昆明、玉溪高原湖盆城镇生态功能区，以丘状高原地貌为主。西部点苍山降雨量可达到1500毫米以上，东部降雨量在1000毫米左右，部分地区不足800毫米。点苍山植被垂直带分布明显，高原面上的植被以云南松林为主。土壤类型以红壤和石灰土为主。主要环境问题为农业面源污染，环境污染、水资源和土地资源短缺。生态敏感性为高原湖盆和城乡交错带的生态脆弱性。主要生态系统服务功能为昆明中心城市建设及维护高原湖泊群及周边地区的生态安全。保护措施与发展方向为调整产业结构，发展循环经济，推行清洁生产，治理高原湖泊水体污染和流域区的面源污染。</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Cs/>
                <w:color w:val="auto"/>
                <w:sz w:val="24"/>
                <w:szCs w:val="24"/>
                <w:highlight w:val="none"/>
                <w:lang w:val="en-US" w:eastAsia="zh-CN" w:bidi="ar"/>
              </w:rPr>
              <w:t>宜良县</w:t>
            </w:r>
            <w:r>
              <w:rPr>
                <w:rFonts w:hint="default" w:ascii="Times New Roman" w:hAnsi="Times New Roman" w:eastAsia="宋体" w:cs="Times New Roman"/>
                <w:bCs/>
                <w:color w:val="auto"/>
                <w:sz w:val="24"/>
                <w:szCs w:val="24"/>
                <w:highlight w:val="none"/>
                <w:lang w:bidi="ar"/>
              </w:rPr>
              <w:t>年平均降雨量</w:t>
            </w:r>
            <w:r>
              <w:rPr>
                <w:rFonts w:hint="default" w:ascii="Times New Roman" w:hAnsi="Times New Roman" w:eastAsia="宋体" w:cs="Times New Roman"/>
                <w:bCs/>
                <w:color w:val="auto"/>
                <w:sz w:val="24"/>
                <w:szCs w:val="24"/>
                <w:highlight w:val="none"/>
                <w:lang w:val="en-US" w:eastAsia="zh-CN" w:bidi="ar"/>
              </w:rPr>
              <w:t>912.2</w:t>
            </w:r>
            <w:r>
              <w:rPr>
                <w:rFonts w:hint="default" w:ascii="Times New Roman" w:hAnsi="Times New Roman" w:eastAsia="宋体" w:cs="Times New Roman"/>
                <w:bCs/>
                <w:color w:val="auto"/>
                <w:sz w:val="24"/>
                <w:szCs w:val="24"/>
                <w:highlight w:val="none"/>
                <w:lang w:bidi="ar"/>
              </w:rPr>
              <w:t>mm，植被以云南松</w:t>
            </w:r>
            <w:r>
              <w:rPr>
                <w:rFonts w:hint="default" w:ascii="Times New Roman" w:hAnsi="Times New Roman" w:eastAsia="宋体" w:cs="Times New Roman"/>
                <w:bCs/>
                <w:color w:val="auto"/>
                <w:sz w:val="24"/>
                <w:szCs w:val="24"/>
                <w:highlight w:val="none"/>
                <w:lang w:eastAsia="zh-CN" w:bidi="ar"/>
              </w:rPr>
              <w:t>、</w:t>
            </w:r>
            <w:r>
              <w:rPr>
                <w:rFonts w:hint="default" w:ascii="Times New Roman" w:hAnsi="Times New Roman" w:eastAsia="宋体" w:cs="Times New Roman"/>
                <w:bCs/>
                <w:color w:val="auto"/>
                <w:sz w:val="24"/>
                <w:szCs w:val="24"/>
                <w:highlight w:val="none"/>
                <w:lang w:val="en-US" w:eastAsia="zh-CN" w:bidi="ar"/>
              </w:rPr>
              <w:t>华山松</w:t>
            </w:r>
            <w:r>
              <w:rPr>
                <w:rFonts w:hint="default" w:ascii="Times New Roman" w:hAnsi="Times New Roman" w:eastAsia="宋体" w:cs="Times New Roman"/>
                <w:bCs/>
                <w:color w:val="auto"/>
                <w:sz w:val="24"/>
                <w:szCs w:val="24"/>
                <w:highlight w:val="none"/>
                <w:lang w:bidi="ar"/>
              </w:rPr>
              <w:t>为主。土壤类型以红壤为主。地带性植被为亚热带常绿阔叶林，周边植被主要</w:t>
            </w:r>
            <w:r>
              <w:rPr>
                <w:rFonts w:hint="default" w:ascii="Times New Roman" w:hAnsi="Times New Roman" w:eastAsia="宋体" w:cs="Times New Roman"/>
                <w:bCs/>
                <w:color w:val="auto"/>
                <w:sz w:val="24"/>
                <w:szCs w:val="24"/>
                <w:highlight w:val="none"/>
                <w:lang w:val="en-US" w:eastAsia="zh-CN" w:bidi="ar"/>
              </w:rPr>
              <w:t>以</w:t>
            </w:r>
            <w:r>
              <w:rPr>
                <w:rFonts w:hint="default" w:ascii="Times New Roman" w:hAnsi="Times New Roman" w:eastAsia="宋体" w:cs="Times New Roman"/>
                <w:bCs/>
                <w:color w:val="auto"/>
                <w:sz w:val="24"/>
                <w:szCs w:val="24"/>
                <w:highlight w:val="none"/>
                <w:lang w:bidi="ar"/>
              </w:rPr>
              <w:t>云南松为主；项目区周边土壤类型以红壤为主。</w:t>
            </w:r>
            <w:r>
              <w:rPr>
                <w:rFonts w:hint="default" w:ascii="Times New Roman" w:hAnsi="Times New Roman" w:eastAsia="宋体" w:cs="Times New Roman"/>
                <w:bCs/>
                <w:color w:val="auto"/>
                <w:sz w:val="24"/>
                <w:szCs w:val="24"/>
                <w:highlight w:val="none"/>
                <w:lang w:val="en-US" w:eastAsia="zh-CN" w:bidi="ar"/>
              </w:rPr>
              <w:t>项目在原址改扩建，不新增用地，</w:t>
            </w:r>
            <w:r>
              <w:rPr>
                <w:rFonts w:hint="default" w:ascii="Times New Roman" w:hAnsi="Times New Roman" w:eastAsia="宋体" w:cs="Times New Roman"/>
                <w:bCs/>
                <w:color w:val="auto"/>
                <w:sz w:val="24"/>
                <w:szCs w:val="24"/>
                <w:highlight w:val="none"/>
                <w:lang w:bidi="ar"/>
              </w:rPr>
              <w:t>项目区域内不存在原生绿化，项目周边无自然保护区、风景名胜区、森林公园、历史文化遗迹等需要特殊保护的生态敏感目标分布。项目运营期废水、废气、固废均合理处置，因此，项目的建设不违反云南省生态功能区划中确定的保护措施和发展方向，总体上项目建设符合《云南省生态功能区划》的要求。</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color w:val="auto"/>
                <w:sz w:val="24"/>
                <w:szCs w:val="24"/>
                <w:highlight w:val="none"/>
              </w:rPr>
              <w:t>1</w:t>
            </w:r>
            <w:r>
              <w:rPr>
                <w:rFonts w:hint="default" w:ascii="Times New Roman" w:hAnsi="Times New Roman" w:eastAsia="宋体" w:cs="Times New Roman"/>
                <w:b/>
                <w:color w:val="auto"/>
                <w:sz w:val="24"/>
                <w:szCs w:val="24"/>
                <w:highlight w:val="none"/>
                <w:lang w:val="en-US" w:eastAsia="zh-CN"/>
              </w:rPr>
              <w:t>5</w:t>
            </w:r>
            <w:r>
              <w:rPr>
                <w:rFonts w:hint="default" w:ascii="Times New Roman" w:hAnsi="Times New Roman" w:eastAsia="宋体" w:cs="Times New Roman"/>
                <w:b/>
                <w:color w:val="auto"/>
                <w:sz w:val="24"/>
                <w:szCs w:val="24"/>
                <w:highlight w:val="none"/>
              </w:rPr>
              <w:t>、建设项目选址及平面布置合理性分析</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lang w:bidi="ar"/>
              </w:rPr>
            </w:pPr>
            <w:r>
              <w:rPr>
                <w:rFonts w:hint="default" w:ascii="Times New Roman" w:hAnsi="Times New Roman" w:eastAsia="宋体" w:cs="Times New Roman"/>
                <w:b/>
                <w:bCs/>
                <w:color w:val="auto"/>
                <w:sz w:val="24"/>
                <w:szCs w:val="24"/>
                <w:highlight w:val="none"/>
                <w:lang w:bidi="ar"/>
              </w:rPr>
              <w:t>1</w:t>
            </w:r>
            <w:r>
              <w:rPr>
                <w:rFonts w:hint="default" w:ascii="Times New Roman" w:hAnsi="Times New Roman" w:eastAsia="宋体" w:cs="Times New Roman"/>
                <w:b/>
                <w:bCs/>
                <w:color w:val="auto"/>
                <w:sz w:val="24"/>
                <w:szCs w:val="24"/>
                <w:highlight w:val="none"/>
                <w:lang w:val="en-US" w:eastAsia="zh-CN" w:bidi="ar"/>
              </w:rPr>
              <w:t>5</w:t>
            </w:r>
            <w:r>
              <w:rPr>
                <w:rFonts w:hint="default" w:ascii="Times New Roman" w:hAnsi="Times New Roman" w:eastAsia="宋体" w:cs="Times New Roman"/>
                <w:b/>
                <w:bCs/>
                <w:color w:val="auto"/>
                <w:sz w:val="24"/>
                <w:szCs w:val="24"/>
                <w:highlight w:val="none"/>
                <w:lang w:bidi="ar"/>
              </w:rPr>
              <w:t>.1选址合理性分析</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本项目位于</w:t>
            </w:r>
            <w:r>
              <w:rPr>
                <w:rFonts w:hint="default" w:ascii="Times New Roman" w:hAnsi="Times New Roman" w:eastAsia="宋体" w:cs="Times New Roman"/>
                <w:color w:val="auto"/>
                <w:kern w:val="0"/>
                <w:sz w:val="24"/>
                <w:szCs w:val="24"/>
                <w:highlight w:val="none"/>
                <w:u w:val="none"/>
                <w:lang w:eastAsia="zh-CN"/>
              </w:rPr>
              <w:t>云南省昆明市宜良县北古城镇凤莱村委会下前所村</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项目在原址改扩建，不新增用地，</w:t>
            </w:r>
            <w:r>
              <w:rPr>
                <w:rFonts w:hint="default" w:ascii="Times New Roman" w:hAnsi="Times New Roman" w:eastAsia="宋体" w:cs="Times New Roman"/>
                <w:color w:val="auto"/>
                <w:sz w:val="24"/>
                <w:szCs w:val="24"/>
                <w:highlight w:val="none"/>
              </w:rPr>
              <w:t>项目符合国家产业政策、符合相关规划、相关环保要求。项目选址不涉及国务院、国家有关部门、省（自治区、直辖市）人民政府、县人民政府规定的饮用水水源保护区、自然保护区、风景名胜区、生态功能保护区、森林公园、地质公园、世界遗产地、国家重点文物保护单位、历史文化保护地，不占用基本农田及公益林地，区内无国家规定的保护动植物。项目各工序污染源采取相应的污染控制措施后，均可实现达标排放，不会对区域环境产生明显影响。</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综上所述，项目建设符合规划要求，项目的建设选址合理。</w:t>
            </w:r>
          </w:p>
          <w:p>
            <w:pPr>
              <w:pStyle w:val="2"/>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w:t>
            </w:r>
            <w:r>
              <w:rPr>
                <w:rFonts w:hint="default"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rPr>
              <w:t>.2与周边环境相容性分析</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rPr>
              <w:t>项目所在区域环境质量现状较好，具有足够的环境容量，项目区废气、废水、噪声通过落实环评要求的环保措施后，均能达标排放；项目固废处置率100%。项目产生的污染物通过采取相应措施处理后，对周边环境影响较小不会改变该区域环境功能区划，对周围环境影响可接受。根据现场调查，项目周边企业情况如下。</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表1-1</w:t>
            </w:r>
            <w:r>
              <w:rPr>
                <w:rFonts w:hint="default" w:ascii="Times New Roman" w:hAnsi="Times New Roman" w:eastAsia="宋体" w:cs="Times New Roman"/>
                <w:b/>
                <w:bCs/>
                <w:color w:val="auto"/>
                <w:szCs w:val="21"/>
                <w:highlight w:val="none"/>
                <w:lang w:val="en-US" w:eastAsia="zh-CN"/>
              </w:rPr>
              <w:t>3</w:t>
            </w:r>
            <w:r>
              <w:rPr>
                <w:rFonts w:hint="default" w:ascii="Times New Roman" w:hAnsi="Times New Roman" w:eastAsia="宋体" w:cs="Times New Roman"/>
                <w:b/>
                <w:bCs/>
                <w:color w:val="auto"/>
                <w:szCs w:val="21"/>
                <w:highlight w:val="none"/>
              </w:rPr>
              <w:t xml:space="preserve">  项目周边企业情况表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67"/>
              <w:gridCol w:w="1590"/>
              <w:gridCol w:w="1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159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方位</w:t>
                  </w:r>
                </w:p>
              </w:tc>
              <w:tc>
                <w:tcPr>
                  <w:tcW w:w="1505"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砂石料加工厂</w:t>
                  </w:r>
                </w:p>
              </w:tc>
              <w:tc>
                <w:tcPr>
                  <w:tcW w:w="159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北侧</w:t>
                  </w:r>
                </w:p>
              </w:tc>
              <w:tc>
                <w:tcPr>
                  <w:tcW w:w="1505"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126</w:t>
                  </w:r>
                  <w:r>
                    <w:rPr>
                      <w:rFonts w:hint="default" w:ascii="Times New Roman" w:hAnsi="Times New Roman" w:eastAsia="宋体" w:cs="Times New Roman"/>
                      <w:color w:val="auto"/>
                      <w:sz w:val="21"/>
                      <w:szCs w:val="21"/>
                      <w:highlight w:val="non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木材切片厂</w:t>
                  </w:r>
                </w:p>
              </w:tc>
              <w:tc>
                <w:tcPr>
                  <w:tcW w:w="159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东侧</w:t>
                  </w:r>
                </w:p>
              </w:tc>
              <w:tc>
                <w:tcPr>
                  <w:tcW w:w="1505"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临近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养鸡场</w:t>
                  </w:r>
                </w:p>
              </w:tc>
              <w:tc>
                <w:tcPr>
                  <w:tcW w:w="159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南侧/西南侧</w:t>
                  </w:r>
                </w:p>
              </w:tc>
              <w:tc>
                <w:tcPr>
                  <w:tcW w:w="1505"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70m</w:t>
                  </w:r>
                  <w:r>
                    <w:rPr>
                      <w:rFonts w:hint="default" w:ascii="Times New Roman" w:hAnsi="Times New Roman" w:eastAsia="宋体" w:cs="Times New Roman"/>
                      <w:color w:val="auto"/>
                      <w:sz w:val="21"/>
                      <w:szCs w:val="21"/>
                      <w:highlight w:val="none"/>
                      <w:lang w:val="en-US" w:eastAsia="zh-CN"/>
                    </w:rPr>
                    <w:t>/165</w:t>
                  </w:r>
                  <w:r>
                    <w:rPr>
                      <w:rFonts w:hint="default" w:ascii="Times New Roman" w:hAnsi="Times New Roman" w:eastAsia="宋体" w:cs="Times New Roman"/>
                      <w:color w:val="auto"/>
                      <w:sz w:val="21"/>
                      <w:szCs w:val="21"/>
                      <w:highlight w:val="none"/>
                    </w:rPr>
                    <w:t>m</w:t>
                  </w:r>
                </w:p>
              </w:tc>
            </w:tr>
          </w:tbl>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从对项目周边企业情况调查可知，周围的企业对本项目无制约性因素，本项目产生的废气合理处置后均能够达标排放，废水、固废均合理处置，因此项目生产的污染对其影响较小，对其他周围企业的影响也很小。</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综上所述，本项目与周围企业相容，项目建设符合当地环境容量，与周围环境相容。</w:t>
            </w:r>
          </w:p>
          <w:p>
            <w:pPr>
              <w:pStyle w:val="2"/>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w:t>
            </w:r>
            <w:r>
              <w:rPr>
                <w:rFonts w:hint="default"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rPr>
              <w:t>.3平面布置合理性</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项目位于</w:t>
            </w:r>
            <w:r>
              <w:rPr>
                <w:rFonts w:hint="default" w:ascii="Times New Roman" w:hAnsi="Times New Roman" w:eastAsia="宋体" w:cs="Times New Roman"/>
                <w:color w:val="auto"/>
                <w:kern w:val="0"/>
                <w:sz w:val="24"/>
                <w:szCs w:val="24"/>
                <w:highlight w:val="none"/>
                <w:u w:val="none"/>
                <w:lang w:eastAsia="zh-CN"/>
              </w:rPr>
              <w:t>云南省昆明市宜良县北古城镇凤莱村委会下前所村</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在原址改扩建，不新增用地；生产区包括原料堆场、给料机、破碎区、螺旋搅拌区、陈化区、制砖切砖区、砖坯放置区、烘干窑、焙烧窑、成品出口。成品堆放区位于项目东侧，生活区位于项目北侧，厂区道路通畅，</w:t>
            </w:r>
            <w:r>
              <w:rPr>
                <w:rFonts w:hint="default" w:ascii="Times New Roman" w:hAnsi="Times New Roman" w:eastAsia="宋体" w:cs="Times New Roman"/>
                <w:color w:val="auto"/>
                <w:sz w:val="24"/>
                <w:szCs w:val="24"/>
                <w:highlight w:val="none"/>
              </w:rPr>
              <w:t>项目总体布局比较简单，从厂区总平面布置来看，功能分区相对合理。总平面布置按场地的自然条件，生产要求与功能需求、行业需求等相关规范进行设计。满足消防、安全、卫生等规范要求，对周围环境影响较小。</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rPr>
              <w:t>综上所述，本项目平面布置合理，功能分区明确。</w:t>
            </w:r>
          </w:p>
          <w:p>
            <w:pPr>
              <w:pStyle w:val="8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highlight w:val="none"/>
              </w:rPr>
            </w:pPr>
          </w:p>
          <w:p>
            <w:pPr>
              <w:pStyle w:val="8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highlight w:val="none"/>
              </w:rPr>
            </w:pPr>
          </w:p>
          <w:p>
            <w:pPr>
              <w:pStyle w:val="8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highlight w:val="none"/>
              </w:rPr>
            </w:pPr>
          </w:p>
          <w:p>
            <w:pPr>
              <w:pStyle w:val="8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highlight w:val="none"/>
              </w:rPr>
            </w:pPr>
          </w:p>
          <w:p>
            <w:pPr>
              <w:pStyle w:val="8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highlight w:val="none"/>
              </w:rPr>
            </w:pPr>
          </w:p>
          <w:p>
            <w:pPr>
              <w:pStyle w:val="8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highlight w:val="none"/>
              </w:rPr>
            </w:pPr>
          </w:p>
          <w:p>
            <w:pPr>
              <w:pStyle w:val="8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highlight w:val="none"/>
              </w:rPr>
            </w:pPr>
          </w:p>
          <w:p>
            <w:pPr>
              <w:pStyle w:val="8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highlight w:val="none"/>
              </w:rPr>
            </w:pPr>
          </w:p>
          <w:p>
            <w:pPr>
              <w:pStyle w:val="8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highlight w:val="none"/>
              </w:rPr>
            </w:pPr>
          </w:p>
        </w:tc>
      </w:tr>
    </w:tbl>
    <w:p>
      <w:pPr>
        <w:spacing w:line="360" w:lineRule="auto"/>
        <w:outlineLvl w:val="0"/>
        <w:rPr>
          <w:rFonts w:hint="default" w:ascii="Times New Roman" w:hAnsi="Times New Roman" w:eastAsia="宋体" w:cs="Times New Roman"/>
          <w:color w:val="auto"/>
          <w:szCs w:val="21"/>
          <w:highlight w:val="none"/>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pPr>
        <w:pStyle w:val="19"/>
        <w:jc w:val="center"/>
        <w:outlineLvl w:val="0"/>
        <w:rPr>
          <w:rFonts w:hint="default" w:ascii="Times New Roman" w:hAnsi="Times New Roman" w:eastAsia="宋体" w:cs="Times New Roman"/>
          <w:b/>
          <w:bCs/>
          <w:snapToGrid w:val="0"/>
          <w:color w:val="auto"/>
          <w:sz w:val="21"/>
          <w:szCs w:val="21"/>
          <w:highlight w:val="none"/>
        </w:rPr>
      </w:pPr>
      <w:bookmarkStart w:id="2" w:name="_Toc69726038"/>
      <w:r>
        <w:rPr>
          <w:rFonts w:hint="default" w:ascii="Times New Roman" w:hAnsi="Times New Roman" w:eastAsia="宋体" w:cs="Times New Roman"/>
          <w:b/>
          <w:bCs/>
          <w:snapToGrid w:val="0"/>
          <w:color w:val="auto"/>
          <w:sz w:val="21"/>
          <w:szCs w:val="21"/>
          <w:highlight w:val="none"/>
        </w:rPr>
        <w:t>二、建设项目工程分析</w:t>
      </w:r>
      <w:bookmarkEnd w:id="2"/>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7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noWrap w:val="0"/>
            <w:vAlign w:val="center"/>
          </w:tcPr>
          <w:p>
            <w:pPr>
              <w:pStyle w:val="1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建设内容</w:t>
            </w:r>
          </w:p>
        </w:tc>
        <w:tc>
          <w:tcPr>
            <w:tcW w:w="8171" w:type="dxa"/>
            <w:noWrap w:val="0"/>
            <w:vAlign w:val="top"/>
          </w:tcPr>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一、项目情况</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i w:val="0"/>
                <w:iCs w:val="0"/>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宜良前所月牙塘机制砖厂</w:t>
            </w:r>
            <w:r>
              <w:rPr>
                <w:rFonts w:hint="eastAsia" w:ascii="Times New Roman" w:hAnsi="Times New Roman" w:eastAsia="宋体" w:cs="Times New Roman"/>
                <w:color w:val="auto"/>
                <w:sz w:val="24"/>
                <w:szCs w:val="24"/>
                <w:highlight w:val="none"/>
                <w:lang w:val="en-US" w:eastAsia="zh-CN"/>
              </w:rPr>
              <w:t>于2011年成立，同时建设</w:t>
            </w:r>
            <w:r>
              <w:rPr>
                <w:rFonts w:hint="default" w:ascii="Times New Roman" w:hAnsi="Times New Roman" w:eastAsia="宋体" w:cs="Times New Roman"/>
                <w:bCs/>
                <w:i w:val="0"/>
                <w:iCs w:val="0"/>
                <w:color w:val="auto"/>
                <w:sz w:val="24"/>
                <w:szCs w:val="24"/>
                <w:highlight w:val="none"/>
              </w:rPr>
              <w:t>矿山</w:t>
            </w:r>
            <w:r>
              <w:rPr>
                <w:rFonts w:hint="eastAsia" w:ascii="Times New Roman" w:hAnsi="Times New Roman" w:eastAsia="宋体" w:cs="Times New Roman"/>
                <w:bCs/>
                <w:i w:val="0"/>
                <w:iCs w:val="0"/>
                <w:color w:val="auto"/>
                <w:sz w:val="24"/>
                <w:szCs w:val="24"/>
                <w:highlight w:val="none"/>
                <w:lang w:val="en-US" w:eastAsia="zh-CN"/>
              </w:rPr>
              <w:t>和砖厂，</w:t>
            </w:r>
            <w:r>
              <w:rPr>
                <w:rFonts w:hint="default" w:ascii="Times New Roman" w:hAnsi="Times New Roman" w:eastAsia="宋体" w:cs="Times New Roman"/>
                <w:bCs/>
                <w:i w:val="0"/>
                <w:iCs w:val="0"/>
                <w:color w:val="auto"/>
                <w:sz w:val="24"/>
                <w:szCs w:val="24"/>
                <w:highlight w:val="none"/>
              </w:rPr>
              <w:t>矿山名称为宜良前所月牙塘砖厂</w:t>
            </w:r>
            <w:r>
              <w:rPr>
                <w:rFonts w:hint="eastAsia" w:ascii="Times New Roman" w:hAnsi="Times New Roman" w:eastAsia="宋体" w:cs="Times New Roman"/>
                <w:bCs/>
                <w:i w:val="0"/>
                <w:iCs w:val="0"/>
                <w:color w:val="auto"/>
                <w:sz w:val="24"/>
                <w:szCs w:val="24"/>
                <w:highlight w:val="none"/>
                <w:lang w:eastAsia="zh-CN"/>
              </w:rPr>
              <w:t>（</w:t>
            </w:r>
            <w:r>
              <w:rPr>
                <w:rFonts w:hint="eastAsia" w:ascii="Times New Roman" w:hAnsi="Times New Roman" w:cs="Times New Roman"/>
                <w:bCs/>
                <w:color w:val="auto"/>
                <w:sz w:val="24"/>
              </w:rPr>
              <w:t>采矿权为宜良凤莱建材有限公司</w:t>
            </w:r>
            <w:r>
              <w:rPr>
                <w:rFonts w:hint="eastAsia" w:ascii="Times New Roman" w:hAnsi="Times New Roman" w:eastAsia="宋体" w:cs="Times New Roman"/>
                <w:bCs/>
                <w:i w:val="0"/>
                <w:iCs w:val="0"/>
                <w:color w:val="auto"/>
                <w:sz w:val="24"/>
                <w:szCs w:val="24"/>
                <w:highlight w:val="none"/>
                <w:lang w:eastAsia="zh-CN"/>
              </w:rPr>
              <w:t>）</w:t>
            </w:r>
            <w:r>
              <w:rPr>
                <w:rFonts w:hint="default" w:ascii="Times New Roman" w:hAnsi="Times New Roman" w:eastAsia="宋体" w:cs="Times New Roman"/>
                <w:bCs/>
                <w:i w:val="0"/>
                <w:iCs w:val="0"/>
                <w:color w:val="auto"/>
                <w:sz w:val="24"/>
                <w:szCs w:val="24"/>
                <w:highlight w:val="none"/>
                <w:lang w:eastAsia="zh-CN"/>
              </w:rPr>
              <w:t>，</w:t>
            </w:r>
            <w:r>
              <w:rPr>
                <w:rFonts w:hint="default" w:ascii="Times New Roman" w:hAnsi="Times New Roman" w:eastAsia="宋体" w:cs="Times New Roman"/>
                <w:b w:val="0"/>
                <w:bCs/>
                <w:i w:val="0"/>
                <w:iCs w:val="0"/>
                <w:color w:val="auto"/>
                <w:sz w:val="24"/>
                <w:szCs w:val="24"/>
                <w:highlight w:val="none"/>
                <w:lang w:val="en-US" w:eastAsia="zh-CN"/>
              </w:rPr>
              <w:t>砖厂</w:t>
            </w:r>
            <w:r>
              <w:rPr>
                <w:rFonts w:hint="default" w:ascii="Times New Roman" w:hAnsi="Times New Roman" w:eastAsia="宋体" w:cs="Times New Roman"/>
                <w:b w:val="0"/>
                <w:bCs/>
                <w:i w:val="0"/>
                <w:iCs w:val="0"/>
                <w:color w:val="auto"/>
                <w:sz w:val="24"/>
                <w:szCs w:val="24"/>
                <w:highlight w:val="none"/>
              </w:rPr>
              <w:t>名称为</w:t>
            </w:r>
            <w:r>
              <w:rPr>
                <w:rFonts w:hint="default" w:ascii="Times New Roman" w:hAnsi="Times New Roman" w:eastAsia="宋体" w:cs="Times New Roman"/>
                <w:b w:val="0"/>
                <w:bCs/>
                <w:i w:val="0"/>
                <w:iCs w:val="0"/>
                <w:color w:val="auto"/>
                <w:sz w:val="24"/>
                <w:szCs w:val="24"/>
                <w:highlight w:val="none"/>
                <w:lang w:val="en-US" w:eastAsia="zh-CN"/>
              </w:rPr>
              <w:t>宜良前所月牙塘机制砖厂。采矿权登记在宜良凤莱建材有限公司名下，与砖厂为关联主体</w:t>
            </w:r>
            <w:r>
              <w:rPr>
                <w:rFonts w:hint="eastAsia" w:ascii="Times New Roman" w:hAnsi="Times New Roman" w:eastAsia="宋体" w:cs="Times New Roman"/>
                <w:b w:val="0"/>
                <w:bCs/>
                <w:i w:val="0"/>
                <w:iCs w:val="0"/>
                <w:color w:val="auto"/>
                <w:sz w:val="24"/>
                <w:szCs w:val="24"/>
                <w:highlight w:val="none"/>
                <w:lang w:val="en-US" w:eastAsia="zh-CN"/>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i w:val="0"/>
                <w:iCs w:val="0"/>
                <w:color w:val="auto"/>
                <w:kern w:val="0"/>
                <w:sz w:val="24"/>
                <w:szCs w:val="24"/>
                <w:highlight w:val="none"/>
              </w:rPr>
              <w:t>宜良凤莱建材有限公司</w:t>
            </w:r>
            <w:r>
              <w:rPr>
                <w:rFonts w:hint="default" w:ascii="Times New Roman" w:hAnsi="Times New Roman" w:eastAsia="宋体" w:cs="Times New Roman"/>
                <w:bCs/>
                <w:i w:val="0"/>
                <w:iCs w:val="0"/>
                <w:color w:val="auto"/>
                <w:sz w:val="24"/>
                <w:szCs w:val="24"/>
                <w:highlight w:val="none"/>
              </w:rPr>
              <w:t>2010年11月19日取得采矿许可证，</w:t>
            </w:r>
            <w:r>
              <w:rPr>
                <w:rFonts w:hint="default" w:ascii="Times New Roman" w:hAnsi="Times New Roman" w:eastAsia="宋体" w:cs="Times New Roman"/>
                <w:b w:val="0"/>
                <w:bCs/>
                <w:i w:val="0"/>
                <w:iCs w:val="0"/>
                <w:color w:val="auto"/>
                <w:sz w:val="24"/>
                <w:szCs w:val="24"/>
                <w:highlight w:val="none"/>
              </w:rPr>
              <w:t>2013年、2017年</w:t>
            </w:r>
            <w:r>
              <w:rPr>
                <w:rFonts w:hint="default" w:ascii="Times New Roman" w:hAnsi="Times New Roman" w:eastAsia="宋体" w:cs="Times New Roman"/>
                <w:b w:val="0"/>
                <w:bCs/>
                <w:i w:val="0"/>
                <w:iCs w:val="0"/>
                <w:color w:val="auto"/>
                <w:kern w:val="0"/>
                <w:sz w:val="24"/>
                <w:szCs w:val="24"/>
                <w:highlight w:val="none"/>
              </w:rPr>
              <w:t>分别进行了矿山采矿证延续，</w:t>
            </w:r>
            <w:r>
              <w:rPr>
                <w:rFonts w:hint="default" w:ascii="Times New Roman" w:hAnsi="Times New Roman" w:eastAsia="宋体" w:cs="Times New Roman"/>
                <w:b w:val="0"/>
                <w:bCs/>
                <w:i w:val="0"/>
                <w:iCs w:val="0"/>
                <w:color w:val="auto"/>
                <w:kern w:val="0"/>
                <w:sz w:val="24"/>
                <w:szCs w:val="24"/>
                <w:highlight w:val="none"/>
                <w:lang w:val="en-US" w:eastAsia="zh-CN"/>
              </w:rPr>
              <w:t>2020年12月委托</w:t>
            </w:r>
            <w:r>
              <w:rPr>
                <w:rFonts w:hint="default" w:ascii="Times New Roman" w:hAnsi="Times New Roman" w:eastAsia="宋体" w:cs="Times New Roman"/>
                <w:b w:val="0"/>
                <w:bCs/>
                <w:i w:val="0"/>
                <w:iCs w:val="0"/>
                <w:color w:val="auto"/>
                <w:kern w:val="0"/>
                <w:sz w:val="24"/>
                <w:szCs w:val="24"/>
                <w:highlight w:val="none"/>
              </w:rPr>
              <w:t>大理万成环境工程有限公司</w:t>
            </w:r>
            <w:r>
              <w:rPr>
                <w:rFonts w:hint="default" w:ascii="Times New Roman" w:hAnsi="Times New Roman" w:eastAsia="宋体" w:cs="Times New Roman"/>
                <w:b w:val="0"/>
                <w:bCs/>
                <w:i w:val="0"/>
                <w:iCs w:val="0"/>
                <w:color w:val="auto"/>
                <w:kern w:val="0"/>
                <w:sz w:val="24"/>
                <w:szCs w:val="24"/>
                <w:highlight w:val="none"/>
                <w:lang w:val="en-US" w:eastAsia="zh-CN"/>
              </w:rPr>
              <w:t>为矿山编制</w:t>
            </w:r>
            <w:r>
              <w:rPr>
                <w:rFonts w:hint="default" w:ascii="Times New Roman" w:hAnsi="Times New Roman" w:eastAsia="宋体" w:cs="Times New Roman"/>
                <w:b w:val="0"/>
                <w:bCs/>
                <w:i w:val="0"/>
                <w:iCs w:val="0"/>
                <w:color w:val="auto"/>
                <w:kern w:val="0"/>
                <w:sz w:val="24"/>
                <w:szCs w:val="24"/>
                <w:highlight w:val="none"/>
              </w:rPr>
              <w:t>《云南省宜良前所月牙</w:t>
            </w:r>
            <w:r>
              <w:rPr>
                <w:rFonts w:hint="default" w:ascii="Times New Roman" w:hAnsi="Times New Roman" w:eastAsia="宋体" w:cs="Times New Roman"/>
                <w:i w:val="0"/>
                <w:iCs w:val="0"/>
                <w:color w:val="auto"/>
                <w:kern w:val="0"/>
                <w:sz w:val="24"/>
                <w:szCs w:val="24"/>
                <w:highlight w:val="none"/>
              </w:rPr>
              <w:t>塘砖厂砖瓦用页岩矿项目环境影响报告表》</w:t>
            </w:r>
            <w:r>
              <w:rPr>
                <w:rFonts w:hint="default" w:ascii="Times New Roman" w:hAnsi="Times New Roman" w:eastAsia="宋体" w:cs="Times New Roman"/>
                <w:i w:val="0"/>
                <w:iCs w:val="0"/>
                <w:color w:val="auto"/>
                <w:kern w:val="0"/>
                <w:sz w:val="24"/>
                <w:szCs w:val="24"/>
                <w:highlight w:val="none"/>
                <w:lang w:eastAsia="zh-CN"/>
              </w:rPr>
              <w:t>，</w:t>
            </w:r>
            <w:r>
              <w:rPr>
                <w:rFonts w:hint="default" w:ascii="Times New Roman" w:hAnsi="Times New Roman" w:eastAsia="宋体" w:cs="Times New Roman"/>
                <w:bCs/>
                <w:i w:val="0"/>
                <w:iCs w:val="0"/>
                <w:color w:val="auto"/>
                <w:sz w:val="24"/>
                <w:szCs w:val="24"/>
                <w:highlight w:val="none"/>
                <w:lang w:val="en-US" w:eastAsia="zh-CN"/>
              </w:rPr>
              <w:t>并于2021年8月取得</w:t>
            </w:r>
            <w:r>
              <w:rPr>
                <w:rFonts w:hint="default" w:ascii="Times New Roman" w:hAnsi="Times New Roman" w:eastAsia="宋体" w:cs="Times New Roman"/>
                <w:bCs/>
                <w:i w:val="0"/>
                <w:iCs w:val="0"/>
                <w:color w:val="auto"/>
                <w:sz w:val="24"/>
                <w:szCs w:val="24"/>
                <w:highlight w:val="none"/>
              </w:rPr>
              <w:t>《</w:t>
            </w:r>
            <w:r>
              <w:rPr>
                <w:rFonts w:hint="default" w:ascii="Times New Roman" w:hAnsi="Times New Roman" w:eastAsia="宋体" w:cs="Times New Roman"/>
                <w:i w:val="0"/>
                <w:iCs w:val="0"/>
                <w:color w:val="auto"/>
                <w:kern w:val="0"/>
                <w:sz w:val="24"/>
                <w:szCs w:val="24"/>
                <w:highlight w:val="none"/>
              </w:rPr>
              <w:t>云南省宜良前所月牙塘砖厂砖瓦用页岩矿项目</w:t>
            </w:r>
            <w:r>
              <w:rPr>
                <w:rFonts w:hint="default" w:ascii="Times New Roman" w:hAnsi="Times New Roman" w:eastAsia="宋体" w:cs="Times New Roman"/>
                <w:bCs/>
                <w:i w:val="0"/>
                <w:iCs w:val="0"/>
                <w:color w:val="auto"/>
                <w:sz w:val="24"/>
                <w:szCs w:val="24"/>
                <w:highlight w:val="none"/>
              </w:rPr>
              <w:t>环境影响报告表》</w:t>
            </w:r>
            <w:r>
              <w:rPr>
                <w:rFonts w:hint="default" w:ascii="Times New Roman" w:hAnsi="Times New Roman" w:eastAsia="宋体" w:cs="Times New Roman"/>
                <w:bCs/>
                <w:i w:val="0"/>
                <w:iCs w:val="0"/>
                <w:color w:val="auto"/>
                <w:sz w:val="24"/>
                <w:szCs w:val="24"/>
                <w:highlight w:val="none"/>
                <w:lang w:val="en-US" w:eastAsia="zh-CN"/>
              </w:rPr>
              <w:t>的批复（</w:t>
            </w:r>
            <w:r>
              <w:rPr>
                <w:rFonts w:hint="default" w:ascii="Times New Roman" w:hAnsi="Times New Roman" w:eastAsia="宋体" w:cs="Times New Roman"/>
                <w:bCs/>
                <w:i w:val="0"/>
                <w:iCs w:val="0"/>
                <w:color w:val="auto"/>
                <w:kern w:val="0"/>
                <w:sz w:val="24"/>
                <w:szCs w:val="24"/>
                <w:highlight w:val="none"/>
              </w:rPr>
              <w:t>宜生环[20</w:t>
            </w:r>
            <w:r>
              <w:rPr>
                <w:rFonts w:hint="default" w:ascii="Times New Roman" w:hAnsi="Times New Roman" w:eastAsia="宋体" w:cs="Times New Roman"/>
                <w:bCs/>
                <w:i w:val="0"/>
                <w:iCs w:val="0"/>
                <w:color w:val="auto"/>
                <w:kern w:val="0"/>
                <w:sz w:val="24"/>
                <w:szCs w:val="24"/>
                <w:highlight w:val="none"/>
                <w:lang w:val="en-US" w:eastAsia="zh-CN"/>
              </w:rPr>
              <w:t>21</w:t>
            </w:r>
            <w:r>
              <w:rPr>
                <w:rFonts w:hint="default" w:ascii="Times New Roman" w:hAnsi="Times New Roman" w:eastAsia="宋体" w:cs="Times New Roman"/>
                <w:bCs/>
                <w:i w:val="0"/>
                <w:iCs w:val="0"/>
                <w:color w:val="auto"/>
                <w:kern w:val="0"/>
                <w:sz w:val="24"/>
                <w:szCs w:val="24"/>
                <w:highlight w:val="none"/>
              </w:rPr>
              <w:t>]</w:t>
            </w:r>
            <w:r>
              <w:rPr>
                <w:rFonts w:hint="default" w:ascii="Times New Roman" w:hAnsi="Times New Roman" w:eastAsia="宋体" w:cs="Times New Roman"/>
                <w:bCs/>
                <w:i w:val="0"/>
                <w:iCs w:val="0"/>
                <w:color w:val="auto"/>
                <w:kern w:val="0"/>
                <w:sz w:val="24"/>
                <w:szCs w:val="24"/>
                <w:highlight w:val="none"/>
                <w:lang w:val="en-US" w:eastAsia="zh-CN"/>
              </w:rPr>
              <w:t>86</w:t>
            </w:r>
            <w:r>
              <w:rPr>
                <w:rFonts w:hint="default" w:ascii="Times New Roman" w:hAnsi="Times New Roman" w:eastAsia="宋体" w:cs="Times New Roman"/>
                <w:bCs/>
                <w:i w:val="0"/>
                <w:iCs w:val="0"/>
                <w:color w:val="auto"/>
                <w:kern w:val="0"/>
                <w:sz w:val="24"/>
                <w:szCs w:val="24"/>
                <w:highlight w:val="none"/>
              </w:rPr>
              <w:t>号</w:t>
            </w:r>
            <w:r>
              <w:rPr>
                <w:rFonts w:hint="default" w:ascii="Times New Roman" w:hAnsi="Times New Roman" w:eastAsia="宋体" w:cs="Times New Roman"/>
                <w:bCs/>
                <w:i w:val="0"/>
                <w:iCs w:val="0"/>
                <w:color w:val="auto"/>
                <w:sz w:val="24"/>
                <w:szCs w:val="24"/>
                <w:highlight w:val="none"/>
                <w:lang w:val="en-US" w:eastAsia="zh-CN"/>
              </w:rPr>
              <w:t>）（附件4）</w:t>
            </w:r>
            <w:r>
              <w:rPr>
                <w:rFonts w:hint="default"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color w:val="auto"/>
                <w:sz w:val="24"/>
                <w:szCs w:val="24"/>
                <w:highlight w:val="none"/>
              </w:rPr>
              <w:t>矿区面积0.0839km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，开采矿种</w:t>
            </w:r>
            <w:r>
              <w:rPr>
                <w:rFonts w:hint="default"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color w:val="auto"/>
                <w:sz w:val="24"/>
                <w:szCs w:val="24"/>
                <w:highlight w:val="none"/>
              </w:rPr>
              <w:t>砖瓦用页岩</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开采规模</w:t>
            </w:r>
            <w:r>
              <w:rPr>
                <w:rFonts w:hint="default"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color w:val="auto"/>
                <w:sz w:val="24"/>
                <w:szCs w:val="24"/>
                <w:highlight w:val="none"/>
              </w:rPr>
              <w:t>2</w:t>
            </w:r>
            <w:r>
              <w:rPr>
                <w:rFonts w:hint="default" w:ascii="Times New Roman" w:hAnsi="Times New Roman" w:eastAsia="宋体" w:cs="Times New Roman"/>
                <w:color w:val="auto"/>
                <w:kern w:val="0"/>
                <w:sz w:val="24"/>
                <w:szCs w:val="24"/>
                <w:highlight w:val="none"/>
              </w:rPr>
              <w:t>0万t/a</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目前矿山</w:t>
            </w:r>
            <w:r>
              <w:rPr>
                <w:rFonts w:hint="default" w:ascii="Times New Roman" w:hAnsi="Times New Roman" w:eastAsia="宋体" w:cs="Times New Roman"/>
                <w:bCs/>
                <w:color w:val="auto"/>
                <w:sz w:val="24"/>
                <w:szCs w:val="24"/>
                <w:highlight w:val="none"/>
                <w:lang w:val="en-US" w:eastAsia="zh-CN"/>
              </w:rPr>
              <w:t>验收</w:t>
            </w:r>
            <w:r>
              <w:rPr>
                <w:rFonts w:hint="eastAsia" w:ascii="Times New Roman" w:hAnsi="Times New Roman" w:eastAsia="宋体" w:cs="Times New Roman"/>
                <w:bCs/>
                <w:color w:val="auto"/>
                <w:sz w:val="24"/>
                <w:szCs w:val="24"/>
                <w:highlight w:val="none"/>
                <w:lang w:val="en-US" w:eastAsia="zh-CN"/>
              </w:rPr>
              <w:t>正在开展中</w:t>
            </w:r>
            <w:r>
              <w:rPr>
                <w:rFonts w:hint="default" w:ascii="Times New Roman" w:hAnsi="Times New Roman" w:eastAsia="宋体" w:cs="Times New Roman"/>
                <w:bCs/>
                <w:color w:val="auto"/>
                <w:sz w:val="24"/>
                <w:szCs w:val="24"/>
                <w:highlight w:val="none"/>
                <w:lang w:val="en-US" w:eastAsia="zh-CN"/>
              </w:rPr>
              <w:t>。矿山产出的页岩供给</w:t>
            </w:r>
            <w:r>
              <w:rPr>
                <w:rFonts w:hint="default" w:ascii="Times New Roman" w:hAnsi="Times New Roman" w:eastAsia="宋体" w:cs="Times New Roman"/>
                <w:color w:val="auto"/>
                <w:sz w:val="24"/>
                <w:szCs w:val="24"/>
                <w:highlight w:val="none"/>
                <w:lang w:val="en-US" w:eastAsia="zh-CN"/>
              </w:rPr>
              <w:t>宜良前所月牙塘机制砖厂制砖。</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宜良前所月牙塘机制砖厂</w:t>
            </w:r>
            <w:r>
              <w:rPr>
                <w:rFonts w:hint="default" w:ascii="Times New Roman" w:hAnsi="Times New Roman" w:eastAsia="宋体" w:cs="Times New Roman"/>
                <w:bCs/>
                <w:color w:val="auto"/>
                <w:sz w:val="24"/>
                <w:szCs w:val="24"/>
                <w:highlight w:val="none"/>
              </w:rPr>
              <w:t>2018年9月</w:t>
            </w:r>
            <w:r>
              <w:rPr>
                <w:rFonts w:hint="default" w:ascii="Times New Roman" w:hAnsi="Times New Roman" w:eastAsia="宋体" w:cs="Times New Roman"/>
                <w:bCs/>
                <w:color w:val="auto"/>
                <w:sz w:val="24"/>
                <w:szCs w:val="24"/>
                <w:highlight w:val="none"/>
                <w:lang w:val="en-US" w:eastAsia="zh-CN"/>
              </w:rPr>
              <w:t>委托</w:t>
            </w:r>
            <w:r>
              <w:rPr>
                <w:rFonts w:hint="default" w:ascii="Times New Roman" w:hAnsi="Times New Roman" w:eastAsia="宋体" w:cs="Times New Roman"/>
                <w:color w:val="auto"/>
                <w:sz w:val="24"/>
                <w:szCs w:val="24"/>
                <w:highlight w:val="none"/>
              </w:rPr>
              <w:t>临沧尚德环境技术有限公司</w:t>
            </w:r>
            <w:r>
              <w:rPr>
                <w:rFonts w:hint="default" w:ascii="Times New Roman" w:hAnsi="Times New Roman" w:eastAsia="宋体" w:cs="Times New Roman"/>
                <w:color w:val="auto"/>
                <w:sz w:val="24"/>
                <w:szCs w:val="24"/>
                <w:highlight w:val="none"/>
                <w:lang w:val="en-US" w:eastAsia="zh-CN"/>
              </w:rPr>
              <w:t>为砖厂</w:t>
            </w:r>
            <w:r>
              <w:rPr>
                <w:rFonts w:hint="default" w:ascii="Times New Roman" w:hAnsi="Times New Roman" w:eastAsia="宋体" w:cs="Times New Roman"/>
                <w:bCs/>
                <w:color w:val="auto"/>
                <w:sz w:val="24"/>
                <w:szCs w:val="24"/>
                <w:highlight w:val="none"/>
              </w:rPr>
              <w:t>编制《</w:t>
            </w:r>
            <w:r>
              <w:rPr>
                <w:rFonts w:hint="default" w:ascii="Times New Roman" w:hAnsi="Times New Roman" w:eastAsia="宋体" w:cs="Times New Roman"/>
                <w:color w:val="auto"/>
                <w:sz w:val="24"/>
                <w:szCs w:val="24"/>
                <w:highlight w:val="none"/>
                <w:lang w:val="en-US" w:eastAsia="zh-CN"/>
              </w:rPr>
              <w:t>宜良前所月牙塘机制砖厂年产5000万块页岩砖建设项目环境影响</w:t>
            </w:r>
            <w:r>
              <w:rPr>
                <w:rFonts w:hint="default" w:ascii="Times New Roman" w:hAnsi="Times New Roman" w:eastAsia="宋体" w:cs="Times New Roman"/>
                <w:bCs/>
                <w:color w:val="auto"/>
                <w:sz w:val="24"/>
                <w:szCs w:val="24"/>
                <w:highlight w:val="none"/>
              </w:rPr>
              <w:t>报告表》</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并于2019年6月取得</w:t>
            </w:r>
            <w:r>
              <w:rPr>
                <w:rFonts w:hint="default" w:ascii="Times New Roman" w:hAnsi="Times New Roman" w:eastAsia="宋体" w:cs="Times New Roman"/>
                <w:bCs/>
                <w:color w:val="auto"/>
                <w:kern w:val="0"/>
                <w:sz w:val="24"/>
                <w:szCs w:val="24"/>
                <w:highlight w:val="none"/>
              </w:rPr>
              <w:t>《关于对“年产5000万块页岩砖建设项目环境影响报告表”的批复》（宜生环[2019]47号）</w:t>
            </w:r>
            <w:r>
              <w:rPr>
                <w:rFonts w:hint="default" w:ascii="Times New Roman" w:hAnsi="Times New Roman" w:eastAsia="宋体" w:cs="Times New Roman"/>
                <w:bCs/>
                <w:color w:val="auto"/>
                <w:kern w:val="0"/>
                <w:sz w:val="24"/>
                <w:szCs w:val="24"/>
                <w:highlight w:val="none"/>
                <w:lang w:eastAsia="zh-CN"/>
              </w:rPr>
              <w:t>（</w:t>
            </w:r>
            <w:r>
              <w:rPr>
                <w:rFonts w:hint="default" w:ascii="Times New Roman" w:hAnsi="Times New Roman" w:eastAsia="宋体" w:cs="Times New Roman"/>
                <w:bCs/>
                <w:color w:val="auto"/>
                <w:kern w:val="0"/>
                <w:sz w:val="24"/>
                <w:szCs w:val="24"/>
                <w:highlight w:val="none"/>
                <w:lang w:val="en-US" w:eastAsia="zh-CN"/>
              </w:rPr>
              <w:t>附件5</w:t>
            </w:r>
            <w:r>
              <w:rPr>
                <w:rFonts w:hint="default" w:ascii="Times New Roman" w:hAnsi="Times New Roman" w:eastAsia="宋体" w:cs="Times New Roman"/>
                <w:bCs/>
                <w:color w:val="auto"/>
                <w:kern w:val="0"/>
                <w:sz w:val="24"/>
                <w:szCs w:val="24"/>
                <w:highlight w:val="none"/>
                <w:lang w:eastAsia="zh-CN"/>
              </w:rPr>
              <w:t>）。</w:t>
            </w:r>
            <w:r>
              <w:rPr>
                <w:rFonts w:hint="default" w:ascii="Times New Roman" w:hAnsi="Times New Roman" w:eastAsia="宋体" w:cs="Times New Roman"/>
                <w:bCs/>
                <w:color w:val="auto"/>
                <w:kern w:val="0"/>
                <w:sz w:val="24"/>
                <w:szCs w:val="24"/>
                <w:highlight w:val="none"/>
                <w:lang w:val="en-US" w:eastAsia="zh-CN"/>
              </w:rPr>
              <w:t>2019年8月</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color w:val="auto"/>
                <w:sz w:val="24"/>
                <w:szCs w:val="24"/>
                <w:highlight w:val="none"/>
                <w:lang w:val="en-US" w:eastAsia="zh-CN"/>
              </w:rPr>
              <w:t>宜良前所月牙塘机制砖厂年产5000万块页岩砖建设项目</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kern w:val="0"/>
                <w:sz w:val="24"/>
                <w:szCs w:val="24"/>
                <w:highlight w:val="none"/>
                <w:lang w:val="en-US" w:eastAsia="zh-CN"/>
              </w:rPr>
              <w:t>通过竣工</w:t>
            </w:r>
            <w:r>
              <w:rPr>
                <w:rFonts w:hint="default" w:ascii="Times New Roman" w:hAnsi="Times New Roman" w:eastAsia="宋体" w:cs="Times New Roman"/>
                <w:bCs/>
                <w:color w:val="auto"/>
                <w:sz w:val="24"/>
                <w:szCs w:val="24"/>
                <w:highlight w:val="none"/>
                <w:lang w:val="en-US" w:eastAsia="zh-CN"/>
              </w:rPr>
              <w:t>环境保</w:t>
            </w:r>
            <w:r>
              <w:rPr>
                <w:rFonts w:hint="default" w:ascii="Times New Roman" w:hAnsi="Times New Roman" w:eastAsia="宋体" w:cs="Times New Roman"/>
                <w:color w:val="auto"/>
                <w:sz w:val="24"/>
                <w:szCs w:val="24"/>
                <w:highlight w:val="none"/>
                <w:lang w:val="en-US" w:eastAsia="zh-CN"/>
              </w:rPr>
              <w:t>护验收（附件6）。2025年10月31日取得排污许可证，</w:t>
            </w:r>
            <w:r>
              <w:rPr>
                <w:rFonts w:hint="default" w:ascii="Times New Roman" w:hAnsi="Times New Roman" w:eastAsia="宋体" w:cs="Times New Roman"/>
                <w:color w:val="auto"/>
                <w:sz w:val="24"/>
                <w:szCs w:val="24"/>
                <w:highlight w:val="none"/>
              </w:rPr>
              <w:t>证书编号：91530125568811324P001V</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附件7</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已经编制突发环境事件应急预案，备案号：YYT-HUYA-2025。本</w:t>
            </w:r>
            <w:r>
              <w:rPr>
                <w:rFonts w:hint="default" w:ascii="Times New Roman" w:hAnsi="Times New Roman" w:eastAsia="宋体" w:cs="Times New Roman"/>
                <w:bCs/>
                <w:color w:val="auto"/>
                <w:sz w:val="24"/>
                <w:szCs w:val="24"/>
                <w:highlight w:val="none"/>
                <w:lang w:val="en-US" w:eastAsia="zh-CN"/>
              </w:rPr>
              <w:t>次环评仅对</w:t>
            </w:r>
            <w:r>
              <w:rPr>
                <w:rFonts w:hint="default" w:ascii="Times New Roman" w:hAnsi="Times New Roman" w:eastAsia="宋体" w:cs="Times New Roman"/>
                <w:color w:val="auto"/>
                <w:sz w:val="24"/>
                <w:szCs w:val="24"/>
                <w:highlight w:val="none"/>
                <w:lang w:val="en-US" w:eastAsia="zh-CN"/>
              </w:rPr>
              <w:t>宜良前所月牙塘机制砖厂</w:t>
            </w:r>
            <w:r>
              <w:rPr>
                <w:rFonts w:hint="default" w:ascii="Times New Roman" w:hAnsi="Times New Roman" w:eastAsia="宋体" w:cs="Times New Roman"/>
                <w:bCs/>
                <w:color w:val="auto"/>
                <w:sz w:val="24"/>
                <w:szCs w:val="24"/>
                <w:highlight w:val="none"/>
                <w:lang w:val="en-US" w:eastAsia="zh-CN"/>
              </w:rPr>
              <w:t>进行评价，不包括矿山开采。项目在原址改扩建，不新增用地，项目使用的原料页岩依旧来自矿山</w:t>
            </w:r>
            <w:r>
              <w:rPr>
                <w:rFonts w:hint="default" w:ascii="Times New Roman" w:hAnsi="Times New Roman" w:eastAsia="宋体" w:cs="Times New Roman"/>
                <w:bCs/>
                <w:color w:val="auto"/>
                <w:kern w:val="0"/>
                <w:sz w:val="24"/>
                <w:szCs w:val="24"/>
                <w:highlight w:val="none"/>
                <w:lang w:val="en-US" w:eastAsia="zh-CN"/>
              </w:rPr>
              <w:t>（</w:t>
            </w:r>
            <w:r>
              <w:rPr>
                <w:rFonts w:hint="default" w:ascii="Times New Roman" w:hAnsi="Times New Roman" w:eastAsia="宋体" w:cs="Times New Roman"/>
                <w:i w:val="0"/>
                <w:iCs w:val="0"/>
                <w:color w:val="auto"/>
                <w:kern w:val="0"/>
                <w:sz w:val="24"/>
                <w:szCs w:val="24"/>
                <w:highlight w:val="none"/>
              </w:rPr>
              <w:t>宜良凤莱建材有限公司</w:t>
            </w:r>
            <w:r>
              <w:rPr>
                <w:rFonts w:hint="default" w:ascii="Times New Roman" w:hAnsi="Times New Roman" w:eastAsia="宋体" w:cs="Times New Roman"/>
                <w:bCs/>
                <w:color w:val="auto"/>
                <w:kern w:val="0"/>
                <w:sz w:val="24"/>
                <w:szCs w:val="24"/>
                <w:highlight w:val="none"/>
                <w:lang w:val="en-US" w:eastAsia="zh-CN"/>
              </w:rPr>
              <w:t>），本次改扩建后产能增加1200万块，改扩建后产能为6200万块页岩砖。</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根据砖厂《报告表》、</w:t>
            </w:r>
            <w:r>
              <w:rPr>
                <w:rFonts w:hint="default" w:ascii="Times New Roman" w:hAnsi="Times New Roman" w:eastAsia="宋体" w:cs="Times New Roman"/>
                <w:bCs/>
                <w:color w:val="auto"/>
                <w:kern w:val="0"/>
                <w:sz w:val="24"/>
                <w:szCs w:val="24"/>
                <w:highlight w:val="none"/>
              </w:rPr>
              <w:t>《竣工环境保护验收监测表》</w:t>
            </w:r>
            <w:r>
              <w:rPr>
                <w:rFonts w:hint="default" w:ascii="Times New Roman" w:hAnsi="Times New Roman" w:eastAsia="宋体" w:cs="Times New Roman"/>
                <w:bCs/>
                <w:color w:val="auto"/>
                <w:kern w:val="0"/>
                <w:sz w:val="24"/>
                <w:szCs w:val="24"/>
                <w:highlight w:val="none"/>
                <w:lang w:eastAsia="zh-CN"/>
              </w:rPr>
              <w:t>、</w:t>
            </w:r>
            <w:r>
              <w:rPr>
                <w:rFonts w:hint="default" w:ascii="Times New Roman" w:hAnsi="Times New Roman" w:eastAsia="宋体" w:cs="Times New Roman"/>
                <w:bCs/>
                <w:color w:val="auto"/>
                <w:kern w:val="0"/>
                <w:sz w:val="24"/>
                <w:szCs w:val="24"/>
                <w:highlight w:val="none"/>
                <w:lang w:val="en-US" w:eastAsia="zh-CN"/>
              </w:rPr>
              <w:t>验收意见及现场勘查</w:t>
            </w:r>
            <w:r>
              <w:rPr>
                <w:rFonts w:hint="default" w:ascii="Times New Roman" w:hAnsi="Times New Roman" w:eastAsia="宋体" w:cs="Times New Roman"/>
                <w:bCs/>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原项目</w:t>
            </w:r>
            <w:r>
              <w:rPr>
                <w:rFonts w:hint="default" w:ascii="Times New Roman" w:hAnsi="Times New Roman" w:eastAsia="宋体" w:cs="Times New Roman"/>
                <w:iCs/>
                <w:color w:val="auto"/>
                <w:sz w:val="24"/>
                <w:szCs w:val="24"/>
                <w:highlight w:val="none"/>
              </w:rPr>
              <w:t>总建筑面积</w:t>
            </w:r>
            <w:r>
              <w:rPr>
                <w:rFonts w:hint="default" w:ascii="Times New Roman" w:hAnsi="Times New Roman" w:eastAsia="宋体" w:cs="Times New Roman"/>
                <w:iCs/>
                <w:color w:val="auto"/>
                <w:sz w:val="24"/>
                <w:szCs w:val="24"/>
                <w:highlight w:val="none"/>
                <w:lang w:val="en-US" w:eastAsia="zh-CN"/>
              </w:rPr>
              <w:t>20000</w:t>
            </w:r>
            <w:r>
              <w:rPr>
                <w:rFonts w:hint="default" w:ascii="Times New Roman" w:hAnsi="Times New Roman" w:eastAsia="宋体" w:cs="Times New Roman"/>
                <w:iCs/>
                <w:color w:val="auto"/>
                <w:sz w:val="24"/>
                <w:szCs w:val="24"/>
                <w:highlight w:val="none"/>
              </w:rPr>
              <w:t>m</w:t>
            </w:r>
            <w:r>
              <w:rPr>
                <w:rFonts w:hint="default" w:ascii="Times New Roman" w:hAnsi="Times New Roman" w:eastAsia="宋体" w:cs="Times New Roman"/>
                <w:iCs/>
                <w:color w:val="auto"/>
                <w:sz w:val="24"/>
                <w:szCs w:val="24"/>
                <w:highlight w:val="none"/>
                <w:vertAlign w:val="superscript"/>
              </w:rPr>
              <w:t>2</w:t>
            </w:r>
            <w:r>
              <w:rPr>
                <w:rFonts w:hint="default" w:ascii="Times New Roman" w:hAnsi="Times New Roman" w:eastAsia="宋体" w:cs="Times New Roman"/>
                <w:iCs/>
                <w:color w:val="auto"/>
                <w:sz w:val="24"/>
                <w:szCs w:val="24"/>
                <w:highlight w:val="none"/>
              </w:rPr>
              <w:t>，建设2条隧道窑（</w:t>
            </w:r>
            <w:r>
              <w:rPr>
                <w:rFonts w:hint="default" w:ascii="Times New Roman" w:hAnsi="Times New Roman" w:eastAsia="宋体" w:cs="Times New Roman"/>
                <w:iCs/>
                <w:color w:val="auto"/>
                <w:sz w:val="24"/>
                <w:szCs w:val="24"/>
                <w:highlight w:val="none"/>
                <w:lang w:val="en-US" w:eastAsia="zh-CN"/>
              </w:rPr>
              <w:t>2</w:t>
            </w:r>
            <w:r>
              <w:rPr>
                <w:rFonts w:hint="default" w:ascii="Times New Roman" w:hAnsi="Times New Roman" w:eastAsia="宋体" w:cs="Times New Roman"/>
                <w:iCs/>
                <w:color w:val="auto"/>
                <w:sz w:val="24"/>
                <w:szCs w:val="24"/>
                <w:highlight w:val="none"/>
              </w:rPr>
              <w:t>条焙烧窑、2条烘干窑）及配套设施，以页岩</w:t>
            </w:r>
            <w:r>
              <w:rPr>
                <w:rFonts w:hint="default" w:ascii="Times New Roman" w:hAnsi="Times New Roman" w:eastAsia="宋体" w:cs="Times New Roman"/>
                <w:bCs/>
                <w:color w:val="auto"/>
                <w:kern w:val="0"/>
                <w:sz w:val="24"/>
                <w:szCs w:val="24"/>
                <w:highlight w:val="none"/>
                <w:lang w:val="en-US" w:eastAsia="zh-CN"/>
              </w:rPr>
              <w:t>、泥煤、炉渣等为原料年生产5000万块页岩砖。本改扩建项目在原址改扩建，不新增占地；本次改扩建是用污泥替代部分页岩制砖，本次改扩建后产能增加1200万块，改扩建后产能为6200万块页岩砖。同时在原料堆场增加一个污泥堆放池，将原有强力搅拌机改为螺旋搅拌机，其余建设均为依托原有项目。</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项目于202</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月1</w:t>
            </w:r>
            <w:r>
              <w:rPr>
                <w:rFonts w:hint="default"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日取得</w:t>
            </w:r>
            <w:r>
              <w:rPr>
                <w:rFonts w:hint="default" w:ascii="Times New Roman" w:hAnsi="Times New Roman" w:eastAsia="宋体" w:cs="Times New Roman"/>
                <w:color w:val="auto"/>
                <w:sz w:val="24"/>
                <w:szCs w:val="24"/>
                <w:highlight w:val="none"/>
                <w:lang w:val="en-US" w:eastAsia="zh-CN"/>
              </w:rPr>
              <w:t>宜良县发展和改革局</w:t>
            </w:r>
            <w:r>
              <w:rPr>
                <w:rFonts w:hint="default" w:ascii="Times New Roman" w:hAnsi="Times New Roman" w:eastAsia="宋体" w:cs="Times New Roman"/>
                <w:color w:val="auto"/>
                <w:sz w:val="24"/>
                <w:szCs w:val="24"/>
                <w:highlight w:val="none"/>
              </w:rPr>
              <w:t>的云南省固定资产投资项目备案证，项目代码：</w:t>
            </w:r>
            <w:r>
              <w:rPr>
                <w:rFonts w:hint="default" w:ascii="Times New Roman" w:hAnsi="Times New Roman" w:eastAsia="宋体" w:cs="Times New Roman"/>
                <w:color w:val="auto"/>
                <w:sz w:val="24"/>
                <w:szCs w:val="24"/>
                <w:highlight w:val="none"/>
                <w:lang w:val="en-US" w:eastAsia="zh-CN"/>
              </w:rPr>
              <w:t>2026-530125-04-02-150941</w:t>
            </w:r>
            <w:r>
              <w:rPr>
                <w:rFonts w:hint="default" w:ascii="Times New Roman" w:hAnsi="Times New Roman" w:eastAsia="宋体" w:cs="Times New Roman"/>
                <w:color w:val="auto"/>
                <w:sz w:val="24"/>
                <w:szCs w:val="24"/>
                <w:highlight w:val="none"/>
              </w:rPr>
              <w:t>。</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z w:val="24"/>
                <w:szCs w:val="24"/>
                <w:highlight w:val="none"/>
              </w:rPr>
              <w:t>根据《国民经济行业分类》（GB/T4754-2017），本项目属于C3031粘土砖瓦及建筑砌块制</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N7723固体废物治理</w:t>
            </w:r>
            <w:r>
              <w:rPr>
                <w:rFonts w:hint="default" w:ascii="Times New Roman" w:hAnsi="Times New Roman" w:eastAsia="宋体" w:cs="Times New Roman"/>
                <w:color w:val="auto"/>
                <w:sz w:val="24"/>
                <w:szCs w:val="24"/>
                <w:highlight w:val="none"/>
              </w:rPr>
              <w:t>。根据《建设项目环境影响评价分类管理名录》（2021版），项目属于二十七条：非金属矿物制品业中的56条：砖瓦、石材等建筑材料制造</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四十七</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生态保护和环境治理业中的</w:t>
            </w:r>
            <w:r>
              <w:rPr>
                <w:rFonts w:hint="default" w:ascii="Times New Roman" w:hAnsi="Times New Roman" w:eastAsia="宋体" w:cs="Times New Roman"/>
                <w:color w:val="auto"/>
                <w:sz w:val="24"/>
                <w:szCs w:val="24"/>
                <w:highlight w:val="none"/>
                <w:lang w:val="en-US" w:eastAsia="zh-CN"/>
              </w:rPr>
              <w:t>103</w:t>
            </w:r>
            <w:r>
              <w:rPr>
                <w:rFonts w:hint="default" w:ascii="Times New Roman" w:hAnsi="Times New Roman" w:eastAsia="宋体" w:cs="Times New Roman"/>
                <w:color w:val="auto"/>
                <w:sz w:val="24"/>
                <w:szCs w:val="24"/>
                <w:highlight w:val="none"/>
              </w:rPr>
              <w:t>条：</w:t>
            </w:r>
            <w:r>
              <w:rPr>
                <w:rFonts w:hint="default" w:ascii="Times New Roman" w:hAnsi="Times New Roman" w:eastAsia="宋体"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rPr>
              <w:t>般工业固体废物（含污水处理污泥）、建筑施工废弃物处置及综合利用</w:t>
            </w:r>
            <w:r>
              <w:rPr>
                <w:rFonts w:hint="default" w:ascii="Times New Roman" w:hAnsi="Times New Roman" w:eastAsia="宋体" w:cs="Times New Roman"/>
                <w:color w:val="auto"/>
                <w:sz w:val="24"/>
                <w:szCs w:val="24"/>
                <w:highlight w:val="none"/>
                <w:lang w:val="en-US" w:eastAsia="zh-CN"/>
              </w:rPr>
              <w:t>--其他，</w:t>
            </w:r>
            <w:r>
              <w:rPr>
                <w:rFonts w:hint="default" w:ascii="Times New Roman" w:hAnsi="Times New Roman" w:eastAsia="宋体" w:cs="Times New Roman"/>
                <w:color w:val="auto"/>
                <w:sz w:val="24"/>
                <w:szCs w:val="24"/>
                <w:highlight w:val="none"/>
              </w:rPr>
              <w:t>项目使用</w:t>
            </w:r>
            <w:r>
              <w:rPr>
                <w:rFonts w:hint="default" w:ascii="Times New Roman" w:hAnsi="Times New Roman" w:eastAsia="宋体" w:cs="Times New Roman"/>
                <w:color w:val="auto"/>
                <w:sz w:val="24"/>
                <w:szCs w:val="24"/>
                <w:highlight w:val="none"/>
                <w:lang w:val="en-US" w:eastAsia="zh-CN"/>
              </w:rPr>
              <w:t>污</w:t>
            </w:r>
            <w:r>
              <w:rPr>
                <w:rFonts w:hint="default" w:ascii="Times New Roman" w:hAnsi="Times New Roman" w:eastAsia="宋体" w:cs="Times New Roman"/>
                <w:color w:val="auto"/>
                <w:spacing w:val="-1"/>
                <w:sz w:val="24"/>
                <w:szCs w:val="24"/>
                <w:highlight w:val="none"/>
                <w:lang w:val="en-US" w:eastAsia="zh-CN"/>
              </w:rPr>
              <w:t>泥代替部分页岩制砖</w:t>
            </w:r>
            <w:r>
              <w:rPr>
                <w:rFonts w:hint="default" w:ascii="Times New Roman" w:hAnsi="Times New Roman" w:eastAsia="宋体" w:cs="Times New Roman"/>
                <w:color w:val="auto"/>
                <w:spacing w:val="-1"/>
                <w:sz w:val="24"/>
                <w:szCs w:val="24"/>
                <w:highlight w:val="none"/>
              </w:rPr>
              <w:t>，需编制环境影响报告表。</w:t>
            </w:r>
          </w:p>
          <w:p>
            <w:pPr>
              <w:keepNext w:val="0"/>
              <w:keepLines w:val="0"/>
              <w:widowControl/>
              <w:suppressLineNumbers w:val="0"/>
              <w:spacing w:before="0" w:beforeAutospacing="0" w:after="0" w:afterAutospacing="0" w:line="360" w:lineRule="auto"/>
              <w:ind w:left="0" w:right="0" w:firstLine="476" w:firstLineChars="200"/>
              <w:jc w:val="left"/>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pacing w:val="-1"/>
                <w:sz w:val="24"/>
                <w:szCs w:val="24"/>
                <w:highlight w:val="none"/>
              </w:rPr>
              <w:t>受</w:t>
            </w:r>
            <w:r>
              <w:rPr>
                <w:rFonts w:hint="eastAsia" w:ascii="Times New Roman" w:hAnsi="Times New Roman" w:eastAsia="宋体" w:cs="Times New Roman"/>
                <w:color w:val="auto"/>
                <w:spacing w:val="-1"/>
                <w:sz w:val="24"/>
                <w:szCs w:val="24"/>
                <w:highlight w:val="none"/>
                <w:lang w:eastAsia="zh-CN"/>
              </w:rPr>
              <w:t>宜良前所月牙塘机制砖厂</w:t>
            </w:r>
            <w:r>
              <w:rPr>
                <w:rFonts w:hint="default" w:ascii="Times New Roman" w:hAnsi="Times New Roman" w:eastAsia="宋体" w:cs="Times New Roman"/>
                <w:color w:val="auto"/>
                <w:spacing w:val="-1"/>
                <w:sz w:val="24"/>
                <w:szCs w:val="24"/>
                <w:highlight w:val="none"/>
              </w:rPr>
              <w:t>（建设单位）委托，我单位承担该项目环境影响评价工作。我单位接受委托后，收集调查核实了相关材料，并组织专业人员对项目区域进行现场踏勘，按照环境影响评价法及有关技术导则要求，编制了《</w:t>
            </w:r>
            <w:r>
              <w:rPr>
                <w:rFonts w:hint="default" w:ascii="Times New Roman" w:hAnsi="Times New Roman" w:eastAsia="宋体" w:cs="Times New Roman"/>
                <w:color w:val="auto"/>
                <w:kern w:val="0"/>
                <w:sz w:val="24"/>
                <w:szCs w:val="24"/>
                <w:highlight w:val="none"/>
                <w:lang w:eastAsia="zh-CN"/>
              </w:rPr>
              <w:t>宜良前所月牙塘机制砖厂页岩砖污泥利用技改项目</w:t>
            </w:r>
            <w:r>
              <w:rPr>
                <w:rFonts w:hint="default" w:ascii="Times New Roman" w:hAnsi="Times New Roman" w:eastAsia="宋体" w:cs="Times New Roman"/>
                <w:color w:val="auto"/>
                <w:spacing w:val="-1"/>
                <w:sz w:val="24"/>
                <w:szCs w:val="24"/>
                <w:highlight w:val="none"/>
              </w:rPr>
              <w:t>环境影响报告表》，供建设单位上报审批，作为环境管理的依据。</w:t>
            </w:r>
          </w:p>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二、建设内容</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2.1项目概况</w:t>
            </w:r>
          </w:p>
          <w:p>
            <w:pPr>
              <w:keepNext w:val="0"/>
              <w:keepLines w:val="0"/>
              <w:widowControl/>
              <w:suppressLineNumbers w:val="0"/>
              <w:spacing w:before="0" w:beforeAutospacing="0" w:after="0" w:afterAutospacing="0" w:line="360" w:lineRule="auto"/>
              <w:ind w:left="0" w:right="0" w:firstLine="476" w:firstLineChars="200"/>
              <w:jc w:val="left"/>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①项目名称：</w:t>
            </w:r>
            <w:r>
              <w:rPr>
                <w:rFonts w:hint="default" w:ascii="Times New Roman" w:hAnsi="Times New Roman" w:eastAsia="宋体" w:cs="Times New Roman"/>
                <w:color w:val="auto"/>
                <w:kern w:val="0"/>
                <w:sz w:val="24"/>
                <w:szCs w:val="24"/>
                <w:highlight w:val="none"/>
                <w:lang w:eastAsia="zh-CN"/>
              </w:rPr>
              <w:t>宜良前所月牙塘机制砖厂页岩砖污泥利用技改项目</w:t>
            </w:r>
          </w:p>
          <w:p>
            <w:pPr>
              <w:keepNext w:val="0"/>
              <w:keepLines w:val="0"/>
              <w:widowControl/>
              <w:suppressLineNumbers w:val="0"/>
              <w:spacing w:before="0" w:beforeAutospacing="0" w:after="0" w:afterAutospacing="0" w:line="360" w:lineRule="auto"/>
              <w:ind w:left="0" w:right="0" w:firstLine="476" w:firstLineChars="200"/>
              <w:jc w:val="left"/>
              <w:rPr>
                <w:rFonts w:hint="default" w:ascii="Times New Roman" w:hAnsi="Times New Roman" w:eastAsia="宋体" w:cs="Times New Roman"/>
                <w:color w:val="auto"/>
                <w:spacing w:val="-1"/>
                <w:sz w:val="24"/>
                <w:szCs w:val="24"/>
                <w:highlight w:val="none"/>
                <w:lang w:eastAsia="zh-CN"/>
              </w:rPr>
            </w:pPr>
            <w:r>
              <w:rPr>
                <w:rFonts w:hint="default" w:ascii="Times New Roman" w:hAnsi="Times New Roman" w:eastAsia="宋体" w:cs="Times New Roman"/>
                <w:color w:val="auto"/>
                <w:spacing w:val="-1"/>
                <w:sz w:val="24"/>
                <w:szCs w:val="24"/>
                <w:highlight w:val="none"/>
              </w:rPr>
              <w:t>②建设单位：</w:t>
            </w:r>
            <w:r>
              <w:rPr>
                <w:rFonts w:hint="eastAsia" w:ascii="Times New Roman" w:hAnsi="Times New Roman" w:eastAsia="宋体" w:cs="Times New Roman"/>
                <w:color w:val="auto"/>
                <w:spacing w:val="-1"/>
                <w:sz w:val="24"/>
                <w:szCs w:val="24"/>
                <w:highlight w:val="none"/>
                <w:lang w:eastAsia="zh-CN"/>
              </w:rPr>
              <w:t>宜良前所月牙塘机制砖厂</w:t>
            </w:r>
          </w:p>
          <w:p>
            <w:pPr>
              <w:keepNext w:val="0"/>
              <w:keepLines w:val="0"/>
              <w:widowControl/>
              <w:suppressLineNumbers w:val="0"/>
              <w:spacing w:before="0" w:beforeAutospacing="0" w:after="0" w:afterAutospacing="0" w:line="360" w:lineRule="auto"/>
              <w:ind w:left="0" w:right="0" w:firstLine="476" w:firstLineChars="200"/>
              <w:jc w:val="left"/>
              <w:rPr>
                <w:rFonts w:hint="default" w:ascii="Times New Roman" w:hAnsi="Times New Roman" w:eastAsia="宋体" w:cs="Times New Roman"/>
                <w:color w:val="auto"/>
                <w:spacing w:val="-1"/>
                <w:sz w:val="24"/>
                <w:szCs w:val="24"/>
                <w:highlight w:val="none"/>
                <w:lang w:eastAsia="zh-CN"/>
              </w:rPr>
            </w:pPr>
            <w:r>
              <w:rPr>
                <w:rFonts w:hint="default" w:ascii="Times New Roman" w:hAnsi="Times New Roman" w:eastAsia="宋体" w:cs="Times New Roman"/>
                <w:color w:val="auto"/>
                <w:spacing w:val="-1"/>
                <w:sz w:val="24"/>
                <w:szCs w:val="24"/>
                <w:highlight w:val="none"/>
              </w:rPr>
              <w:t>③建设性质：</w:t>
            </w:r>
            <w:r>
              <w:rPr>
                <w:rFonts w:hint="default" w:ascii="Times New Roman" w:hAnsi="Times New Roman" w:eastAsia="宋体" w:cs="Times New Roman"/>
                <w:color w:val="auto"/>
                <w:spacing w:val="-1"/>
                <w:sz w:val="24"/>
                <w:szCs w:val="24"/>
                <w:highlight w:val="none"/>
                <w:lang w:val="en-US" w:eastAsia="zh-CN"/>
              </w:rPr>
              <w:t>改扩建</w:t>
            </w:r>
          </w:p>
          <w:p>
            <w:pPr>
              <w:keepNext w:val="0"/>
              <w:keepLines w:val="0"/>
              <w:widowControl/>
              <w:suppressLineNumbers w:val="0"/>
              <w:spacing w:before="0" w:beforeAutospacing="0" w:after="0" w:afterAutospacing="0" w:line="360" w:lineRule="auto"/>
              <w:ind w:left="0" w:right="0" w:firstLine="476" w:firstLineChars="200"/>
              <w:jc w:val="left"/>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④建设地点：</w:t>
            </w:r>
            <w:r>
              <w:rPr>
                <w:rFonts w:hint="default" w:ascii="Times New Roman" w:hAnsi="Times New Roman" w:eastAsia="宋体" w:cs="Times New Roman"/>
                <w:color w:val="auto"/>
                <w:kern w:val="0"/>
                <w:sz w:val="24"/>
                <w:szCs w:val="24"/>
                <w:highlight w:val="none"/>
                <w:u w:val="none"/>
                <w:lang w:eastAsia="zh-CN"/>
              </w:rPr>
              <w:t>云南省昆明市宜良县北古城镇凤莱村委会下前所村</w:t>
            </w:r>
          </w:p>
          <w:p>
            <w:pPr>
              <w:keepNext w:val="0"/>
              <w:keepLines w:val="0"/>
              <w:widowControl/>
              <w:suppressLineNumbers w:val="0"/>
              <w:spacing w:before="0" w:beforeAutospacing="0" w:after="0" w:afterAutospacing="0" w:line="360" w:lineRule="auto"/>
              <w:ind w:left="0" w:right="0" w:firstLine="476"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pacing w:val="-1"/>
                <w:sz w:val="24"/>
                <w:szCs w:val="24"/>
                <w:highlight w:val="none"/>
              </w:rPr>
              <w:t>⑤建设内容：</w:t>
            </w:r>
            <w:r>
              <w:rPr>
                <w:rFonts w:hint="default" w:ascii="Times New Roman" w:hAnsi="Times New Roman" w:eastAsia="宋体" w:cs="Times New Roman"/>
                <w:color w:val="auto"/>
                <w:sz w:val="24"/>
                <w:szCs w:val="24"/>
                <w:highlight w:val="none"/>
                <w:lang w:val="en-US" w:eastAsia="zh-CN"/>
              </w:rPr>
              <w:t>年产6200万块页岩砖</w:t>
            </w:r>
          </w:p>
          <w:p>
            <w:pPr>
              <w:keepNext w:val="0"/>
              <w:keepLines w:val="0"/>
              <w:widowControl/>
              <w:suppressLineNumbers w:val="0"/>
              <w:spacing w:before="0" w:beforeAutospacing="0" w:after="0" w:afterAutospacing="0" w:line="360" w:lineRule="auto"/>
              <w:ind w:left="0" w:right="0" w:firstLine="476" w:firstLineChars="200"/>
              <w:jc w:val="left"/>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⑥地理位置：东经：</w:t>
            </w:r>
            <w:r>
              <w:rPr>
                <w:rFonts w:hint="default" w:ascii="Times New Roman" w:hAnsi="Times New Roman" w:eastAsia="宋体" w:cs="Times New Roman"/>
                <w:color w:val="auto"/>
                <w:sz w:val="24"/>
                <w:szCs w:val="24"/>
                <w:highlight w:val="none"/>
              </w:rPr>
              <w:t>10</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13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18.598</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pacing w:val="-1"/>
                <w:sz w:val="24"/>
                <w:szCs w:val="24"/>
                <w:highlight w:val="none"/>
              </w:rPr>
              <w:t>，北纬：</w:t>
            </w:r>
            <w:r>
              <w:rPr>
                <w:rFonts w:hint="default" w:ascii="Times New Roman" w:hAnsi="Times New Roman" w:eastAsia="宋体" w:cs="Times New Roman"/>
                <w:color w:val="auto"/>
                <w:sz w:val="24"/>
                <w:szCs w:val="24"/>
                <w:highlight w:val="none"/>
              </w:rPr>
              <w:t>2</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58</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29.699</w:t>
            </w:r>
            <w:r>
              <w:rPr>
                <w:rFonts w:hint="default" w:ascii="Times New Roman" w:hAnsi="Times New Roman" w:eastAsia="宋体" w:cs="Times New Roman"/>
                <w:color w:val="auto"/>
                <w:sz w:val="24"/>
                <w:szCs w:val="24"/>
                <w:highlight w:val="none"/>
              </w:rPr>
              <w:t>"</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2.2工程组成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pacing w:val="-1"/>
                <w:sz w:val="24"/>
                <w:szCs w:val="24"/>
                <w:highlight w:val="none"/>
                <w:lang w:val="en-US"/>
              </w:rPr>
            </w:pPr>
            <w:r>
              <w:rPr>
                <w:rFonts w:hint="default" w:ascii="Times New Roman" w:hAnsi="Times New Roman" w:eastAsia="宋体" w:cs="Times New Roman"/>
                <w:color w:val="auto"/>
                <w:kern w:val="0"/>
                <w:sz w:val="24"/>
                <w:szCs w:val="24"/>
                <w:highlight w:val="none"/>
              </w:rPr>
              <w:t>项目为</w:t>
            </w:r>
            <w:r>
              <w:rPr>
                <w:rFonts w:hint="default" w:ascii="Times New Roman" w:hAnsi="Times New Roman" w:eastAsia="宋体" w:cs="Times New Roman"/>
                <w:color w:val="auto"/>
                <w:kern w:val="0"/>
                <w:sz w:val="24"/>
                <w:szCs w:val="24"/>
                <w:highlight w:val="none"/>
                <w:lang w:eastAsia="zh-CN"/>
              </w:rPr>
              <w:t>宜良前所月牙塘机制砖厂页岩砖污泥利用技改项目</w:t>
            </w:r>
            <w:r>
              <w:rPr>
                <w:rFonts w:hint="default" w:ascii="Times New Roman" w:hAnsi="Times New Roman" w:eastAsia="宋体" w:cs="Times New Roman"/>
                <w:color w:val="auto"/>
                <w:spacing w:val="-1"/>
                <w:sz w:val="24"/>
                <w:szCs w:val="24"/>
                <w:highlight w:val="none"/>
              </w:rPr>
              <w:t>，项目位于</w:t>
            </w:r>
            <w:r>
              <w:rPr>
                <w:rFonts w:hint="default" w:ascii="Times New Roman" w:hAnsi="Times New Roman" w:eastAsia="宋体" w:cs="Times New Roman"/>
                <w:color w:val="auto"/>
                <w:kern w:val="0"/>
                <w:sz w:val="24"/>
                <w:szCs w:val="24"/>
                <w:highlight w:val="none"/>
                <w:u w:val="none"/>
                <w:lang w:eastAsia="zh-CN"/>
              </w:rPr>
              <w:t>云南省昆明市宜良县北古城镇凤莱村委会下前所村，</w:t>
            </w:r>
            <w:r>
              <w:rPr>
                <w:rFonts w:hint="default" w:ascii="Times New Roman" w:hAnsi="Times New Roman" w:eastAsia="宋体" w:cs="Times New Roman"/>
                <w:bCs/>
                <w:color w:val="auto"/>
                <w:kern w:val="0"/>
                <w:sz w:val="24"/>
                <w:szCs w:val="24"/>
                <w:highlight w:val="none"/>
                <w:lang w:val="en-US" w:eastAsia="zh-CN"/>
              </w:rPr>
              <w:t>本次项目在原址改扩建，不新增占地；项目</w:t>
            </w:r>
            <w:r>
              <w:rPr>
                <w:rFonts w:hint="default" w:ascii="Times New Roman" w:hAnsi="Times New Roman" w:eastAsia="宋体" w:cs="Times New Roman"/>
                <w:iCs/>
                <w:color w:val="auto"/>
                <w:sz w:val="24"/>
                <w:szCs w:val="24"/>
                <w:highlight w:val="none"/>
              </w:rPr>
              <w:t>总建筑面积</w:t>
            </w:r>
            <w:r>
              <w:rPr>
                <w:rFonts w:hint="default" w:ascii="Times New Roman" w:hAnsi="Times New Roman" w:eastAsia="宋体" w:cs="Times New Roman"/>
                <w:iCs/>
                <w:color w:val="auto"/>
                <w:sz w:val="24"/>
                <w:szCs w:val="24"/>
                <w:highlight w:val="none"/>
                <w:lang w:val="en-US" w:eastAsia="zh-CN"/>
              </w:rPr>
              <w:t>20000</w:t>
            </w:r>
            <w:r>
              <w:rPr>
                <w:rFonts w:hint="default" w:ascii="Times New Roman" w:hAnsi="Times New Roman" w:eastAsia="宋体" w:cs="Times New Roman"/>
                <w:iCs/>
                <w:color w:val="auto"/>
                <w:sz w:val="24"/>
                <w:szCs w:val="24"/>
                <w:highlight w:val="none"/>
              </w:rPr>
              <w:t>m</w:t>
            </w:r>
            <w:r>
              <w:rPr>
                <w:rFonts w:hint="default" w:ascii="Times New Roman" w:hAnsi="Times New Roman" w:eastAsia="宋体" w:cs="Times New Roman"/>
                <w:iCs/>
                <w:color w:val="auto"/>
                <w:sz w:val="24"/>
                <w:szCs w:val="24"/>
                <w:highlight w:val="none"/>
                <w:vertAlign w:val="superscript"/>
              </w:rPr>
              <w:t>2</w:t>
            </w:r>
            <w:r>
              <w:rPr>
                <w:rFonts w:hint="default" w:ascii="Times New Roman" w:hAnsi="Times New Roman" w:eastAsia="宋体" w:cs="Times New Roman"/>
                <w:iCs/>
                <w:color w:val="auto"/>
                <w:sz w:val="24"/>
                <w:szCs w:val="24"/>
                <w:highlight w:val="none"/>
              </w:rPr>
              <w:t>，</w:t>
            </w:r>
            <w:r>
              <w:rPr>
                <w:rFonts w:hint="default" w:ascii="Times New Roman" w:hAnsi="Times New Roman" w:eastAsia="宋体" w:cs="Times New Roman"/>
                <w:bCs/>
                <w:color w:val="auto"/>
                <w:kern w:val="0"/>
                <w:sz w:val="24"/>
                <w:szCs w:val="24"/>
                <w:highlight w:val="none"/>
                <w:lang w:val="en-US" w:eastAsia="zh-CN"/>
              </w:rPr>
              <w:t>本次改扩建是将污泥替代部分页岩制砖，本次改扩建后产能增加1200万块，改扩建后产能为6200万块页岩砖。同时在原料堆场增加一个污泥堆放池，将原有强力搅拌机改为螺旋搅拌机，其余建设均为依托原有项目。</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项目工程组成</w:t>
            </w:r>
            <w:r>
              <w:rPr>
                <w:rFonts w:hint="default" w:ascii="Times New Roman" w:hAnsi="Times New Roman" w:eastAsia="宋体" w:cs="Times New Roman"/>
                <w:color w:val="auto"/>
                <w:kern w:val="0"/>
                <w:sz w:val="24"/>
                <w:szCs w:val="24"/>
                <w:highlight w:val="none"/>
                <w:lang w:val="en-US" w:eastAsia="zh-CN"/>
              </w:rPr>
              <w:t>及依托关系如下表</w:t>
            </w:r>
            <w:r>
              <w:rPr>
                <w:rFonts w:hint="default" w:ascii="Times New Roman" w:hAnsi="Times New Roman" w:eastAsia="宋体" w:cs="Times New Roman"/>
                <w:color w:val="auto"/>
                <w:kern w:val="0"/>
                <w:sz w:val="24"/>
                <w:szCs w:val="24"/>
                <w:highlight w:val="none"/>
              </w:rPr>
              <w:t>。</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表2.</w:t>
            </w:r>
            <w:r>
              <w:rPr>
                <w:rFonts w:hint="default" w:ascii="Times New Roman" w:hAnsi="Times New Roman" w:eastAsia="宋体" w:cs="Times New Roman"/>
                <w:b/>
                <w:color w:val="auto"/>
                <w:szCs w:val="21"/>
                <w:highlight w:val="none"/>
                <w:lang w:val="en-US" w:eastAsia="zh-CN"/>
              </w:rPr>
              <w:t>2</w:t>
            </w:r>
            <w:r>
              <w:rPr>
                <w:rFonts w:hint="default" w:ascii="Times New Roman" w:hAnsi="Times New Roman" w:eastAsia="宋体" w:cs="Times New Roman"/>
                <w:b/>
                <w:color w:val="auto"/>
                <w:szCs w:val="21"/>
                <w:highlight w:val="none"/>
              </w:rPr>
              <w:t>-1   项目工程组成及依托关系表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1303"/>
              <w:gridCol w:w="2782"/>
              <w:gridCol w:w="2371"/>
              <w:gridCol w:w="1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26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类别</w:t>
                  </w:r>
                </w:p>
              </w:tc>
              <w:tc>
                <w:tcPr>
                  <w:tcW w:w="82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工程名称</w:t>
                  </w:r>
                </w:p>
              </w:tc>
              <w:tc>
                <w:tcPr>
                  <w:tcW w:w="1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原有项目</w:t>
                  </w:r>
                  <w:r>
                    <w:rPr>
                      <w:rFonts w:hint="default" w:ascii="Times New Roman" w:hAnsi="Times New Roman" w:eastAsia="宋体" w:cs="Times New Roman"/>
                      <w:b/>
                      <w:bCs/>
                      <w:color w:val="auto"/>
                      <w:sz w:val="21"/>
                      <w:szCs w:val="21"/>
                      <w:highlight w:val="none"/>
                    </w:rPr>
                    <w:t>工程内容</w:t>
                  </w:r>
                </w:p>
              </w:tc>
              <w:tc>
                <w:tcPr>
                  <w:tcW w:w="149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本次改扩建工程内容</w:t>
                  </w:r>
                </w:p>
              </w:tc>
              <w:tc>
                <w:tcPr>
                  <w:tcW w:w="66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主体工程</w:t>
                  </w:r>
                </w:p>
              </w:tc>
              <w:tc>
                <w:tcPr>
                  <w:tcW w:w="82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破碎区</w:t>
                  </w:r>
                </w:p>
              </w:tc>
              <w:tc>
                <w:tcPr>
                  <w:tcW w:w="1751"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位于项目区西</w:t>
                  </w:r>
                  <w:r>
                    <w:rPr>
                      <w:rFonts w:hint="default" w:ascii="Times New Roman" w:hAnsi="Times New Roman" w:eastAsia="宋体" w:cs="Times New Roman"/>
                      <w:color w:val="auto"/>
                      <w:sz w:val="21"/>
                      <w:szCs w:val="21"/>
                      <w:highlight w:val="none"/>
                      <w:lang w:val="en-US" w:eastAsia="zh-CN"/>
                    </w:rPr>
                    <w:t>北</w:t>
                  </w:r>
                  <w:r>
                    <w:rPr>
                      <w:rFonts w:hint="default" w:ascii="Times New Roman" w:hAnsi="Times New Roman" w:eastAsia="宋体" w:cs="Times New Roman"/>
                      <w:color w:val="auto"/>
                      <w:sz w:val="21"/>
                      <w:szCs w:val="21"/>
                      <w:highlight w:val="none"/>
                    </w:rPr>
                    <w:t>侧，占地面积</w:t>
                  </w:r>
                  <w:r>
                    <w:rPr>
                      <w:rFonts w:hint="default" w:ascii="Times New Roman" w:hAnsi="Times New Roman" w:eastAsia="宋体" w:cs="Times New Roman"/>
                      <w:color w:val="auto"/>
                      <w:sz w:val="21"/>
                      <w:szCs w:val="21"/>
                      <w:highlight w:val="none"/>
                      <w:lang w:val="en-US" w:eastAsia="zh-CN"/>
                    </w:rPr>
                    <w:t>110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在生产厂房内，</w:t>
                  </w:r>
                  <w:r>
                    <w:rPr>
                      <w:rFonts w:hint="default" w:ascii="Times New Roman" w:hAnsi="Times New Roman" w:eastAsia="宋体" w:cs="Times New Roman"/>
                      <w:bCs/>
                      <w:color w:val="auto"/>
                      <w:sz w:val="21"/>
                      <w:szCs w:val="21"/>
                      <w:highlight w:val="none"/>
                    </w:rPr>
                    <w:t>为彩钢瓦钢架结构，地面采取硬化，</w:t>
                  </w:r>
                  <w:r>
                    <w:rPr>
                      <w:rFonts w:hint="default" w:ascii="Times New Roman" w:hAnsi="Times New Roman" w:eastAsia="宋体" w:cs="Times New Roman"/>
                      <w:color w:val="auto"/>
                      <w:sz w:val="21"/>
                      <w:szCs w:val="21"/>
                      <w:highlight w:val="none"/>
                    </w:rPr>
                    <w:t>放置</w:t>
                  </w:r>
                  <w:r>
                    <w:rPr>
                      <w:rFonts w:hint="default" w:ascii="Times New Roman" w:hAnsi="Times New Roman" w:eastAsia="宋体" w:cs="Times New Roman"/>
                      <w:color w:val="auto"/>
                      <w:sz w:val="21"/>
                      <w:szCs w:val="21"/>
                      <w:highlight w:val="none"/>
                      <w:lang w:val="en-US" w:eastAsia="zh-CN"/>
                    </w:rPr>
                    <w:t>上料机、</w:t>
                  </w:r>
                  <w:r>
                    <w:rPr>
                      <w:rFonts w:hint="default" w:ascii="Times New Roman" w:hAnsi="Times New Roman" w:eastAsia="宋体" w:cs="Times New Roman"/>
                      <w:color w:val="auto"/>
                      <w:sz w:val="21"/>
                      <w:szCs w:val="21"/>
                      <w:highlight w:val="none"/>
                    </w:rPr>
                    <w:t>破碎机，用于原料</w:t>
                  </w:r>
                  <w:r>
                    <w:rPr>
                      <w:rFonts w:hint="default" w:ascii="Times New Roman" w:hAnsi="Times New Roman" w:eastAsia="宋体" w:cs="Times New Roman"/>
                      <w:color w:val="auto"/>
                      <w:sz w:val="21"/>
                      <w:szCs w:val="21"/>
                      <w:highlight w:val="none"/>
                      <w:lang w:val="en-US" w:eastAsia="zh-CN"/>
                    </w:rPr>
                    <w:t>给料及</w:t>
                  </w:r>
                  <w:r>
                    <w:rPr>
                      <w:rFonts w:hint="default" w:ascii="Times New Roman" w:hAnsi="Times New Roman" w:eastAsia="宋体" w:cs="Times New Roman"/>
                      <w:color w:val="auto"/>
                      <w:sz w:val="21"/>
                      <w:szCs w:val="21"/>
                      <w:highlight w:val="none"/>
                    </w:rPr>
                    <w:t>破碎。</w:t>
                  </w:r>
                </w:p>
              </w:tc>
              <w:tc>
                <w:tcPr>
                  <w:tcW w:w="1492"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位于项目区西</w:t>
                  </w:r>
                  <w:r>
                    <w:rPr>
                      <w:rFonts w:hint="default" w:ascii="Times New Roman" w:hAnsi="Times New Roman" w:eastAsia="宋体" w:cs="Times New Roman"/>
                      <w:color w:val="auto"/>
                      <w:sz w:val="21"/>
                      <w:szCs w:val="21"/>
                      <w:highlight w:val="none"/>
                      <w:lang w:val="en-US" w:eastAsia="zh-CN"/>
                    </w:rPr>
                    <w:t>北</w:t>
                  </w:r>
                  <w:r>
                    <w:rPr>
                      <w:rFonts w:hint="default" w:ascii="Times New Roman" w:hAnsi="Times New Roman" w:eastAsia="宋体" w:cs="Times New Roman"/>
                      <w:color w:val="auto"/>
                      <w:sz w:val="21"/>
                      <w:szCs w:val="21"/>
                      <w:highlight w:val="none"/>
                    </w:rPr>
                    <w:t>侧，占地面积</w:t>
                  </w:r>
                  <w:r>
                    <w:rPr>
                      <w:rFonts w:hint="default" w:ascii="Times New Roman" w:hAnsi="Times New Roman" w:eastAsia="宋体" w:cs="Times New Roman"/>
                      <w:color w:val="auto"/>
                      <w:sz w:val="21"/>
                      <w:szCs w:val="21"/>
                      <w:highlight w:val="none"/>
                      <w:lang w:val="en-US" w:eastAsia="zh-CN"/>
                    </w:rPr>
                    <w:t>110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rPr>
                    <w:t>为彩钢瓦钢架结构，地面采取硬化，</w:t>
                  </w:r>
                  <w:r>
                    <w:rPr>
                      <w:rFonts w:hint="default" w:ascii="Times New Roman" w:hAnsi="Times New Roman" w:eastAsia="宋体" w:cs="Times New Roman"/>
                      <w:color w:val="auto"/>
                      <w:sz w:val="21"/>
                      <w:szCs w:val="21"/>
                      <w:highlight w:val="none"/>
                    </w:rPr>
                    <w:t>放置</w:t>
                  </w:r>
                  <w:r>
                    <w:rPr>
                      <w:rFonts w:hint="default" w:ascii="Times New Roman" w:hAnsi="Times New Roman" w:eastAsia="宋体" w:cs="Times New Roman"/>
                      <w:color w:val="auto"/>
                      <w:sz w:val="21"/>
                      <w:szCs w:val="21"/>
                      <w:highlight w:val="none"/>
                      <w:lang w:val="en-US" w:eastAsia="zh-CN"/>
                    </w:rPr>
                    <w:t>上料机、</w:t>
                  </w:r>
                  <w:r>
                    <w:rPr>
                      <w:rFonts w:hint="default" w:ascii="Times New Roman" w:hAnsi="Times New Roman" w:eastAsia="宋体" w:cs="Times New Roman"/>
                      <w:color w:val="auto"/>
                      <w:sz w:val="21"/>
                      <w:szCs w:val="21"/>
                      <w:highlight w:val="none"/>
                    </w:rPr>
                    <w:t>破碎机，用于原料</w:t>
                  </w:r>
                  <w:r>
                    <w:rPr>
                      <w:rFonts w:hint="default" w:ascii="Times New Roman" w:hAnsi="Times New Roman" w:eastAsia="宋体" w:cs="Times New Roman"/>
                      <w:color w:val="auto"/>
                      <w:sz w:val="21"/>
                      <w:szCs w:val="21"/>
                      <w:highlight w:val="none"/>
                      <w:lang w:val="en-US" w:eastAsia="zh-CN"/>
                    </w:rPr>
                    <w:t>给料及</w:t>
                  </w:r>
                  <w:r>
                    <w:rPr>
                      <w:rFonts w:hint="default" w:ascii="Times New Roman" w:hAnsi="Times New Roman" w:eastAsia="宋体" w:cs="Times New Roman"/>
                      <w:color w:val="auto"/>
                      <w:sz w:val="21"/>
                      <w:szCs w:val="21"/>
                      <w:highlight w:val="none"/>
                    </w:rPr>
                    <w:t>破碎。</w:t>
                  </w:r>
                </w:p>
              </w:tc>
              <w:tc>
                <w:tcPr>
                  <w:tcW w:w="66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与原项目一致，依托已有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82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筛分区</w:t>
                  </w:r>
                </w:p>
              </w:tc>
              <w:tc>
                <w:tcPr>
                  <w:tcW w:w="1751"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位于项目区西侧，占地面积</w:t>
                  </w:r>
                  <w:r>
                    <w:rPr>
                      <w:rFonts w:hint="default" w:ascii="Times New Roman" w:hAnsi="Times New Roman" w:eastAsia="宋体" w:cs="Times New Roman"/>
                      <w:color w:val="auto"/>
                      <w:sz w:val="21"/>
                      <w:szCs w:val="21"/>
                      <w:highlight w:val="none"/>
                      <w:lang w:val="en-US" w:eastAsia="zh-CN"/>
                    </w:rPr>
                    <w:t>220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，放置</w:t>
                  </w:r>
                  <w:r>
                    <w:rPr>
                      <w:rFonts w:hint="default" w:ascii="Times New Roman" w:hAnsi="Times New Roman" w:eastAsia="宋体" w:cs="Times New Roman"/>
                      <w:color w:val="auto"/>
                      <w:sz w:val="21"/>
                      <w:szCs w:val="21"/>
                      <w:highlight w:val="none"/>
                      <w:lang w:val="en-US" w:eastAsia="zh-CN"/>
                    </w:rPr>
                    <w:t>筛分机。</w:t>
                  </w:r>
                </w:p>
              </w:tc>
              <w:tc>
                <w:tcPr>
                  <w:tcW w:w="1492"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位于项目区西侧，占地面积</w:t>
                  </w:r>
                  <w:r>
                    <w:rPr>
                      <w:rFonts w:hint="default" w:ascii="Times New Roman" w:hAnsi="Times New Roman" w:eastAsia="宋体" w:cs="Times New Roman"/>
                      <w:color w:val="auto"/>
                      <w:sz w:val="21"/>
                      <w:szCs w:val="21"/>
                      <w:highlight w:val="none"/>
                      <w:lang w:val="en-US" w:eastAsia="zh-CN"/>
                    </w:rPr>
                    <w:t>220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，放置</w:t>
                  </w:r>
                  <w:r>
                    <w:rPr>
                      <w:rFonts w:hint="default" w:ascii="Times New Roman" w:hAnsi="Times New Roman" w:eastAsia="宋体" w:cs="Times New Roman"/>
                      <w:color w:val="auto"/>
                      <w:sz w:val="21"/>
                      <w:szCs w:val="21"/>
                      <w:highlight w:val="none"/>
                      <w:lang w:val="en-US" w:eastAsia="zh-CN"/>
                    </w:rPr>
                    <w:t>筛分机。</w:t>
                  </w:r>
                </w:p>
              </w:tc>
              <w:tc>
                <w:tcPr>
                  <w:tcW w:w="66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与原项目一致，依托已有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82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搅拌区</w:t>
                  </w:r>
                </w:p>
              </w:tc>
              <w:tc>
                <w:tcPr>
                  <w:tcW w:w="1751"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位于项目区西侧，占地面积</w:t>
                  </w:r>
                  <w:r>
                    <w:rPr>
                      <w:rFonts w:hint="default" w:ascii="Times New Roman" w:hAnsi="Times New Roman" w:eastAsia="宋体" w:cs="Times New Roman"/>
                      <w:color w:val="auto"/>
                      <w:sz w:val="21"/>
                      <w:szCs w:val="21"/>
                      <w:highlight w:val="none"/>
                      <w:lang w:val="en-US" w:eastAsia="zh-CN"/>
                    </w:rPr>
                    <w:t>180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，放置</w:t>
                  </w:r>
                  <w:r>
                    <w:rPr>
                      <w:rFonts w:hint="default" w:ascii="Times New Roman" w:hAnsi="Times New Roman" w:eastAsia="宋体" w:cs="Times New Roman"/>
                      <w:color w:val="auto"/>
                      <w:sz w:val="21"/>
                      <w:szCs w:val="21"/>
                      <w:highlight w:val="none"/>
                      <w:lang w:val="en-US" w:eastAsia="zh-CN"/>
                    </w:rPr>
                    <w:t>强力搅拌机。</w:t>
                  </w:r>
                </w:p>
              </w:tc>
              <w:tc>
                <w:tcPr>
                  <w:tcW w:w="1492"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位于项目区西侧，占地面积</w:t>
                  </w:r>
                  <w:r>
                    <w:rPr>
                      <w:rFonts w:hint="default" w:ascii="Times New Roman" w:hAnsi="Times New Roman" w:eastAsia="宋体" w:cs="Times New Roman"/>
                      <w:color w:val="auto"/>
                      <w:sz w:val="21"/>
                      <w:szCs w:val="21"/>
                      <w:highlight w:val="none"/>
                      <w:lang w:val="en-US" w:eastAsia="zh-CN"/>
                    </w:rPr>
                    <w:t>180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搅拌区的强力搅拌机改为螺旋搅拌机。</w:t>
                  </w:r>
                </w:p>
              </w:tc>
              <w:tc>
                <w:tcPr>
                  <w:tcW w:w="66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将搅拌区的强力搅拌机改为螺旋搅拌机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82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陈化区</w:t>
                  </w:r>
                </w:p>
              </w:tc>
              <w:tc>
                <w:tcPr>
                  <w:tcW w:w="1751"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位于项目区西侧，占地面积</w:t>
                  </w:r>
                  <w:r>
                    <w:rPr>
                      <w:rFonts w:hint="default" w:ascii="Times New Roman" w:hAnsi="Times New Roman" w:eastAsia="宋体" w:cs="Times New Roman"/>
                      <w:color w:val="auto"/>
                      <w:sz w:val="21"/>
                      <w:szCs w:val="21"/>
                      <w:highlight w:val="none"/>
                      <w:lang w:val="en-US" w:eastAsia="zh-CN"/>
                    </w:rPr>
                    <w:t>570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，设置陈化区</w:t>
                  </w:r>
                  <w:r>
                    <w:rPr>
                      <w:rFonts w:hint="default" w:ascii="Times New Roman" w:hAnsi="Times New Roman" w:eastAsia="宋体" w:cs="Times New Roman"/>
                      <w:color w:val="auto"/>
                      <w:sz w:val="21"/>
                      <w:szCs w:val="21"/>
                      <w:highlight w:val="none"/>
                      <w:lang w:eastAsia="zh-CN"/>
                    </w:rPr>
                    <w:t>。</w:t>
                  </w:r>
                </w:p>
              </w:tc>
              <w:tc>
                <w:tcPr>
                  <w:tcW w:w="1492"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位于项目区西侧，占地面积</w:t>
                  </w:r>
                  <w:r>
                    <w:rPr>
                      <w:rFonts w:hint="default" w:ascii="Times New Roman" w:hAnsi="Times New Roman" w:eastAsia="宋体" w:cs="Times New Roman"/>
                      <w:color w:val="auto"/>
                      <w:sz w:val="21"/>
                      <w:szCs w:val="21"/>
                      <w:highlight w:val="none"/>
                      <w:lang w:val="en-US" w:eastAsia="zh-CN"/>
                    </w:rPr>
                    <w:t>570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，设置陈化区</w:t>
                  </w:r>
                  <w:r>
                    <w:rPr>
                      <w:rFonts w:hint="default" w:ascii="Times New Roman" w:hAnsi="Times New Roman" w:eastAsia="宋体" w:cs="Times New Roman"/>
                      <w:color w:val="auto"/>
                      <w:sz w:val="21"/>
                      <w:szCs w:val="21"/>
                      <w:highlight w:val="none"/>
                      <w:lang w:eastAsia="zh-CN"/>
                    </w:rPr>
                    <w:t>。</w:t>
                  </w:r>
                </w:p>
              </w:tc>
              <w:tc>
                <w:tcPr>
                  <w:tcW w:w="66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与原项目一致，依托已有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82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制砖</w:t>
                  </w:r>
                  <w:r>
                    <w:rPr>
                      <w:rFonts w:hint="default" w:ascii="Times New Roman" w:hAnsi="Times New Roman" w:eastAsia="宋体" w:cs="Times New Roman"/>
                      <w:color w:val="auto"/>
                      <w:sz w:val="21"/>
                      <w:szCs w:val="21"/>
                      <w:highlight w:val="none"/>
                      <w:lang w:val="en-US" w:eastAsia="zh-CN"/>
                    </w:rPr>
                    <w:t>生产线</w:t>
                  </w:r>
                </w:p>
              </w:tc>
              <w:tc>
                <w:tcPr>
                  <w:tcW w:w="1751"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位于项目区</w:t>
                  </w:r>
                  <w:r>
                    <w:rPr>
                      <w:rFonts w:hint="default" w:ascii="Times New Roman" w:hAnsi="Times New Roman" w:eastAsia="宋体" w:cs="Times New Roman"/>
                      <w:color w:val="auto"/>
                      <w:sz w:val="21"/>
                      <w:szCs w:val="21"/>
                      <w:highlight w:val="none"/>
                      <w:lang w:val="en-US" w:eastAsia="zh-CN"/>
                    </w:rPr>
                    <w:t>西南</w:t>
                  </w:r>
                  <w:r>
                    <w:rPr>
                      <w:rFonts w:hint="default" w:ascii="Times New Roman" w:hAnsi="Times New Roman" w:eastAsia="宋体" w:cs="Times New Roman"/>
                      <w:color w:val="auto"/>
                      <w:sz w:val="21"/>
                      <w:szCs w:val="21"/>
                      <w:highlight w:val="none"/>
                    </w:rPr>
                    <w:t>侧，占地面积</w:t>
                  </w:r>
                  <w:r>
                    <w:rPr>
                      <w:rFonts w:hint="default" w:ascii="Times New Roman" w:hAnsi="Times New Roman" w:eastAsia="宋体" w:cs="Times New Roman"/>
                      <w:color w:val="auto"/>
                      <w:sz w:val="21"/>
                      <w:szCs w:val="21"/>
                      <w:highlight w:val="none"/>
                      <w:lang w:val="en-US" w:eastAsia="zh-CN"/>
                    </w:rPr>
                    <w:t>600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，设置</w:t>
                  </w:r>
                  <w:r>
                    <w:rPr>
                      <w:rFonts w:hint="default" w:ascii="Times New Roman" w:hAnsi="Times New Roman" w:eastAsia="宋体" w:cs="Times New Roman"/>
                      <w:color w:val="auto"/>
                      <w:sz w:val="21"/>
                      <w:szCs w:val="21"/>
                      <w:highlight w:val="none"/>
                      <w:lang w:val="en-US" w:eastAsia="zh-CN"/>
                    </w:rPr>
                    <w:t>制砖机和切砖机。</w:t>
                  </w:r>
                </w:p>
              </w:tc>
              <w:tc>
                <w:tcPr>
                  <w:tcW w:w="1492"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位于项目区</w:t>
                  </w:r>
                  <w:r>
                    <w:rPr>
                      <w:rFonts w:hint="default" w:ascii="Times New Roman" w:hAnsi="Times New Roman" w:eastAsia="宋体" w:cs="Times New Roman"/>
                      <w:color w:val="auto"/>
                      <w:sz w:val="21"/>
                      <w:szCs w:val="21"/>
                      <w:highlight w:val="none"/>
                      <w:lang w:val="en-US" w:eastAsia="zh-CN"/>
                    </w:rPr>
                    <w:t>西南</w:t>
                  </w:r>
                  <w:r>
                    <w:rPr>
                      <w:rFonts w:hint="default" w:ascii="Times New Roman" w:hAnsi="Times New Roman" w:eastAsia="宋体" w:cs="Times New Roman"/>
                      <w:color w:val="auto"/>
                      <w:sz w:val="21"/>
                      <w:szCs w:val="21"/>
                      <w:highlight w:val="none"/>
                    </w:rPr>
                    <w:t>侧，占地面积</w:t>
                  </w:r>
                  <w:r>
                    <w:rPr>
                      <w:rFonts w:hint="default" w:ascii="Times New Roman" w:hAnsi="Times New Roman" w:eastAsia="宋体" w:cs="Times New Roman"/>
                      <w:color w:val="auto"/>
                      <w:sz w:val="21"/>
                      <w:szCs w:val="21"/>
                      <w:highlight w:val="none"/>
                      <w:lang w:val="en-US" w:eastAsia="zh-CN"/>
                    </w:rPr>
                    <w:t>600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，设置</w:t>
                  </w:r>
                  <w:r>
                    <w:rPr>
                      <w:rFonts w:hint="default" w:ascii="Times New Roman" w:hAnsi="Times New Roman" w:eastAsia="宋体" w:cs="Times New Roman"/>
                      <w:color w:val="auto"/>
                      <w:sz w:val="21"/>
                      <w:szCs w:val="21"/>
                      <w:highlight w:val="none"/>
                      <w:lang w:val="en-US" w:eastAsia="zh-CN"/>
                    </w:rPr>
                    <w:t>制砖机和切砖机。</w:t>
                  </w:r>
                </w:p>
              </w:tc>
              <w:tc>
                <w:tcPr>
                  <w:tcW w:w="66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与原项目一致，依托已有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82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隧道窑</w:t>
                  </w:r>
                </w:p>
              </w:tc>
              <w:tc>
                <w:tcPr>
                  <w:tcW w:w="1751"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位于项目</w:t>
                  </w:r>
                  <w:r>
                    <w:rPr>
                      <w:rFonts w:hint="default" w:ascii="Times New Roman" w:hAnsi="Times New Roman" w:eastAsia="宋体" w:cs="Times New Roman"/>
                      <w:color w:val="auto"/>
                      <w:sz w:val="21"/>
                      <w:szCs w:val="21"/>
                      <w:highlight w:val="none"/>
                      <w:lang w:val="en-US" w:eastAsia="zh-CN"/>
                    </w:rPr>
                    <w:t>中部偏西的位置</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sz w:val="21"/>
                      <w:szCs w:val="21"/>
                      <w:highlight w:val="none"/>
                    </w:rPr>
                    <w:t>占地面积</w:t>
                  </w:r>
                  <w:r>
                    <w:rPr>
                      <w:rFonts w:hint="default" w:ascii="Times New Roman" w:hAnsi="Times New Roman" w:eastAsia="宋体" w:cs="Times New Roman"/>
                      <w:color w:val="auto"/>
                      <w:sz w:val="21"/>
                      <w:szCs w:val="21"/>
                      <w:highlight w:val="none"/>
                      <w:lang w:val="en-US" w:eastAsia="zh-CN"/>
                    </w:rPr>
                    <w:t>3520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设置</w:t>
                  </w:r>
                  <w:r>
                    <w:rPr>
                      <w:rFonts w:hint="default" w:ascii="Times New Roman" w:hAnsi="Times New Roman" w:eastAsia="宋体" w:cs="Times New Roman"/>
                      <w:color w:val="auto"/>
                      <w:kern w:val="0"/>
                      <w:sz w:val="21"/>
                      <w:szCs w:val="21"/>
                      <w:highlight w:val="none"/>
                    </w:rPr>
                    <w:t>2×117m焙烧窑、1×97m、1×117m烘干窑</w:t>
                  </w:r>
                  <w:r>
                    <w:rPr>
                      <w:rFonts w:hint="default" w:ascii="Times New Roman" w:hAnsi="Times New Roman" w:eastAsia="宋体" w:cs="Times New Roman"/>
                      <w:color w:val="auto"/>
                      <w:kern w:val="0"/>
                      <w:sz w:val="21"/>
                      <w:szCs w:val="21"/>
                      <w:highlight w:val="none"/>
                      <w:lang w:eastAsia="zh-CN"/>
                    </w:rPr>
                    <w:t>。</w:t>
                  </w:r>
                </w:p>
              </w:tc>
              <w:tc>
                <w:tcPr>
                  <w:tcW w:w="1492"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位于项目</w:t>
                  </w:r>
                  <w:r>
                    <w:rPr>
                      <w:rFonts w:hint="default" w:ascii="Times New Roman" w:hAnsi="Times New Roman" w:eastAsia="宋体" w:cs="Times New Roman"/>
                      <w:color w:val="auto"/>
                      <w:sz w:val="21"/>
                      <w:szCs w:val="21"/>
                      <w:highlight w:val="none"/>
                      <w:lang w:val="en-US" w:eastAsia="zh-CN"/>
                    </w:rPr>
                    <w:t>中部偏西的位置</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sz w:val="21"/>
                      <w:szCs w:val="21"/>
                      <w:highlight w:val="none"/>
                    </w:rPr>
                    <w:t>占地面积</w:t>
                  </w:r>
                  <w:r>
                    <w:rPr>
                      <w:rFonts w:hint="default" w:ascii="Times New Roman" w:hAnsi="Times New Roman" w:eastAsia="宋体" w:cs="Times New Roman"/>
                      <w:color w:val="auto"/>
                      <w:sz w:val="21"/>
                      <w:szCs w:val="21"/>
                      <w:highlight w:val="none"/>
                      <w:lang w:val="en-US" w:eastAsia="zh-CN"/>
                    </w:rPr>
                    <w:t>3520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设置</w:t>
                  </w:r>
                  <w:r>
                    <w:rPr>
                      <w:rFonts w:hint="default" w:ascii="Times New Roman" w:hAnsi="Times New Roman" w:eastAsia="宋体" w:cs="Times New Roman"/>
                      <w:color w:val="auto"/>
                      <w:kern w:val="0"/>
                      <w:sz w:val="21"/>
                      <w:szCs w:val="21"/>
                      <w:highlight w:val="none"/>
                    </w:rPr>
                    <w:t>2×117m焙烧窑、1×97m、1×117m烘干窑</w:t>
                  </w:r>
                  <w:r>
                    <w:rPr>
                      <w:rFonts w:hint="default" w:ascii="Times New Roman" w:hAnsi="Times New Roman" w:eastAsia="宋体" w:cs="Times New Roman"/>
                      <w:color w:val="auto"/>
                      <w:kern w:val="0"/>
                      <w:sz w:val="21"/>
                      <w:szCs w:val="21"/>
                      <w:highlight w:val="none"/>
                      <w:lang w:eastAsia="zh-CN"/>
                    </w:rPr>
                    <w:t>。</w:t>
                  </w:r>
                </w:p>
              </w:tc>
              <w:tc>
                <w:tcPr>
                  <w:tcW w:w="66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与原项目一致，依托已有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266"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辅助工程</w:t>
                  </w:r>
                </w:p>
              </w:tc>
              <w:tc>
                <w:tcPr>
                  <w:tcW w:w="82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成品</w:t>
                  </w:r>
                  <w:r>
                    <w:rPr>
                      <w:rFonts w:hint="default" w:ascii="Times New Roman" w:hAnsi="Times New Roman" w:eastAsia="宋体" w:cs="Times New Roman"/>
                      <w:color w:val="auto"/>
                      <w:sz w:val="21"/>
                      <w:szCs w:val="21"/>
                      <w:highlight w:val="none"/>
                      <w:lang w:val="en-US" w:eastAsia="zh-CN"/>
                    </w:rPr>
                    <w:t>出口</w:t>
                  </w:r>
                  <w:r>
                    <w:rPr>
                      <w:rFonts w:hint="default" w:ascii="Times New Roman" w:hAnsi="Times New Roman" w:eastAsia="宋体" w:cs="Times New Roman"/>
                      <w:color w:val="auto"/>
                      <w:sz w:val="21"/>
                      <w:szCs w:val="21"/>
                      <w:highlight w:val="none"/>
                    </w:rPr>
                    <w:t>区</w:t>
                  </w:r>
                </w:p>
              </w:tc>
              <w:tc>
                <w:tcPr>
                  <w:tcW w:w="1751"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位于项目</w:t>
                  </w:r>
                  <w:r>
                    <w:rPr>
                      <w:rFonts w:hint="default" w:ascii="Times New Roman" w:hAnsi="Times New Roman" w:eastAsia="宋体" w:cs="Times New Roman"/>
                      <w:color w:val="auto"/>
                      <w:sz w:val="21"/>
                      <w:szCs w:val="21"/>
                      <w:highlight w:val="none"/>
                      <w:lang w:val="en-US" w:eastAsia="zh-CN"/>
                    </w:rPr>
                    <w:t>中部偏东南的位置</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sz w:val="21"/>
                      <w:szCs w:val="21"/>
                      <w:highlight w:val="none"/>
                    </w:rPr>
                    <w:t>占地面积为5</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，为成品</w:t>
                  </w:r>
                  <w:r>
                    <w:rPr>
                      <w:rFonts w:hint="default" w:ascii="Times New Roman" w:hAnsi="Times New Roman" w:eastAsia="宋体" w:cs="Times New Roman"/>
                      <w:color w:val="auto"/>
                      <w:sz w:val="21"/>
                      <w:szCs w:val="21"/>
                      <w:highlight w:val="none"/>
                      <w:lang w:val="en-US" w:eastAsia="zh-CN"/>
                    </w:rPr>
                    <w:t>出口机</w:t>
                  </w:r>
                  <w:r>
                    <w:rPr>
                      <w:rFonts w:hint="default" w:ascii="Times New Roman" w:hAnsi="Times New Roman" w:eastAsia="宋体" w:cs="Times New Roman"/>
                      <w:color w:val="auto"/>
                      <w:sz w:val="21"/>
                      <w:szCs w:val="21"/>
                      <w:highlight w:val="none"/>
                    </w:rPr>
                    <w:t>装车区域</w:t>
                  </w:r>
                  <w:r>
                    <w:rPr>
                      <w:rFonts w:hint="default" w:ascii="Times New Roman" w:hAnsi="Times New Roman" w:eastAsia="宋体" w:cs="Times New Roman"/>
                      <w:color w:val="auto"/>
                      <w:sz w:val="21"/>
                      <w:szCs w:val="21"/>
                      <w:highlight w:val="none"/>
                      <w:lang w:eastAsia="zh-CN"/>
                    </w:rPr>
                    <w:t>。</w:t>
                  </w:r>
                </w:p>
              </w:tc>
              <w:tc>
                <w:tcPr>
                  <w:tcW w:w="1492"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位于项目</w:t>
                  </w:r>
                  <w:r>
                    <w:rPr>
                      <w:rFonts w:hint="default" w:ascii="Times New Roman" w:hAnsi="Times New Roman" w:eastAsia="宋体" w:cs="Times New Roman"/>
                      <w:color w:val="auto"/>
                      <w:sz w:val="21"/>
                      <w:szCs w:val="21"/>
                      <w:highlight w:val="none"/>
                      <w:lang w:val="en-US" w:eastAsia="zh-CN"/>
                    </w:rPr>
                    <w:t>中部偏东南的位置</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sz w:val="21"/>
                      <w:szCs w:val="21"/>
                      <w:highlight w:val="none"/>
                    </w:rPr>
                    <w:t>面积为5</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，为成品</w:t>
                  </w:r>
                  <w:r>
                    <w:rPr>
                      <w:rFonts w:hint="default" w:ascii="Times New Roman" w:hAnsi="Times New Roman" w:eastAsia="宋体" w:cs="Times New Roman"/>
                      <w:color w:val="auto"/>
                      <w:sz w:val="21"/>
                      <w:szCs w:val="21"/>
                      <w:highlight w:val="none"/>
                      <w:lang w:val="en-US" w:eastAsia="zh-CN"/>
                    </w:rPr>
                    <w:t>出口机</w:t>
                  </w:r>
                  <w:r>
                    <w:rPr>
                      <w:rFonts w:hint="default" w:ascii="Times New Roman" w:hAnsi="Times New Roman" w:eastAsia="宋体" w:cs="Times New Roman"/>
                      <w:color w:val="auto"/>
                      <w:sz w:val="21"/>
                      <w:szCs w:val="21"/>
                      <w:highlight w:val="none"/>
                    </w:rPr>
                    <w:t>装车区域</w:t>
                  </w:r>
                  <w:r>
                    <w:rPr>
                      <w:rFonts w:hint="default" w:ascii="Times New Roman" w:hAnsi="Times New Roman" w:eastAsia="宋体" w:cs="Times New Roman"/>
                      <w:color w:val="auto"/>
                      <w:sz w:val="21"/>
                      <w:szCs w:val="21"/>
                      <w:highlight w:val="none"/>
                      <w:lang w:eastAsia="zh-CN"/>
                    </w:rPr>
                    <w:t>。</w:t>
                  </w:r>
                </w:p>
              </w:tc>
              <w:tc>
                <w:tcPr>
                  <w:tcW w:w="66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与原项目一致，依托已有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266"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82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生活区</w:t>
                  </w:r>
                </w:p>
              </w:tc>
              <w:tc>
                <w:tcPr>
                  <w:tcW w:w="1751"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位于项目西北侧，</w:t>
                  </w:r>
                  <w:r>
                    <w:rPr>
                      <w:rFonts w:hint="default" w:ascii="Times New Roman" w:hAnsi="Times New Roman" w:eastAsia="宋体" w:cs="Times New Roman"/>
                      <w:color w:val="auto"/>
                      <w:sz w:val="21"/>
                      <w:szCs w:val="21"/>
                      <w:highlight w:val="none"/>
                    </w:rPr>
                    <w:t>占地面积为</w:t>
                  </w:r>
                  <w:r>
                    <w:rPr>
                      <w:rFonts w:hint="default" w:ascii="Times New Roman" w:hAnsi="Times New Roman" w:eastAsia="宋体" w:cs="Times New Roman"/>
                      <w:color w:val="auto"/>
                      <w:sz w:val="21"/>
                      <w:szCs w:val="21"/>
                      <w:highlight w:val="none"/>
                      <w:lang w:val="en-US" w:eastAsia="zh-CN"/>
                    </w:rPr>
                    <w:t>200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，包括住宿区、办公室、食堂</w:t>
                  </w:r>
                  <w:r>
                    <w:rPr>
                      <w:rFonts w:hint="default" w:ascii="Times New Roman" w:hAnsi="Times New Roman" w:eastAsia="宋体" w:cs="Times New Roman"/>
                      <w:color w:val="auto"/>
                      <w:sz w:val="21"/>
                      <w:szCs w:val="21"/>
                      <w:highlight w:val="none"/>
                      <w:lang w:eastAsia="zh-CN"/>
                    </w:rPr>
                    <w:t>。</w:t>
                  </w:r>
                </w:p>
              </w:tc>
              <w:tc>
                <w:tcPr>
                  <w:tcW w:w="1492"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位于项目西北侧，</w:t>
                  </w:r>
                  <w:r>
                    <w:rPr>
                      <w:rFonts w:hint="default" w:ascii="Times New Roman" w:hAnsi="Times New Roman" w:eastAsia="宋体" w:cs="Times New Roman"/>
                      <w:color w:val="auto"/>
                      <w:sz w:val="21"/>
                      <w:szCs w:val="21"/>
                      <w:highlight w:val="none"/>
                    </w:rPr>
                    <w:t>占地面积为</w:t>
                  </w:r>
                  <w:r>
                    <w:rPr>
                      <w:rFonts w:hint="default" w:ascii="Times New Roman" w:hAnsi="Times New Roman" w:eastAsia="宋体" w:cs="Times New Roman"/>
                      <w:color w:val="auto"/>
                      <w:sz w:val="21"/>
                      <w:szCs w:val="21"/>
                      <w:highlight w:val="none"/>
                      <w:lang w:val="en-US" w:eastAsia="zh-CN"/>
                    </w:rPr>
                    <w:t>200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，包括住宿区、办公室、食堂</w:t>
                  </w:r>
                  <w:r>
                    <w:rPr>
                      <w:rFonts w:hint="default" w:ascii="Times New Roman" w:hAnsi="Times New Roman" w:eastAsia="宋体" w:cs="Times New Roman"/>
                      <w:color w:val="auto"/>
                      <w:sz w:val="21"/>
                      <w:szCs w:val="21"/>
                      <w:highlight w:val="none"/>
                      <w:lang w:eastAsia="zh-CN"/>
                    </w:rPr>
                    <w:t>。</w:t>
                  </w:r>
                </w:p>
              </w:tc>
              <w:tc>
                <w:tcPr>
                  <w:tcW w:w="66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与原项目一致，依托已有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266"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82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卫生间</w:t>
                  </w:r>
                </w:p>
              </w:tc>
              <w:tc>
                <w:tcPr>
                  <w:tcW w:w="1751"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面积为</w:t>
                  </w: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，为水冲厕，位于生活区东侧</w:t>
                  </w:r>
                  <w:r>
                    <w:rPr>
                      <w:rFonts w:hint="default" w:ascii="Times New Roman" w:hAnsi="Times New Roman" w:eastAsia="宋体" w:cs="Times New Roman"/>
                      <w:color w:val="auto"/>
                      <w:sz w:val="21"/>
                      <w:szCs w:val="21"/>
                      <w:highlight w:val="none"/>
                      <w:lang w:eastAsia="zh-CN"/>
                    </w:rPr>
                    <w:t>。</w:t>
                  </w:r>
                </w:p>
              </w:tc>
              <w:tc>
                <w:tcPr>
                  <w:tcW w:w="1492"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面积为</w:t>
                  </w: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，为水冲厕，位于生活区东侧</w:t>
                  </w:r>
                  <w:r>
                    <w:rPr>
                      <w:rFonts w:hint="default" w:ascii="Times New Roman" w:hAnsi="Times New Roman" w:eastAsia="宋体" w:cs="Times New Roman"/>
                      <w:color w:val="auto"/>
                      <w:sz w:val="21"/>
                      <w:szCs w:val="21"/>
                      <w:highlight w:val="none"/>
                      <w:lang w:eastAsia="zh-CN"/>
                    </w:rPr>
                    <w:t>。</w:t>
                  </w:r>
                </w:p>
              </w:tc>
              <w:tc>
                <w:tcPr>
                  <w:tcW w:w="66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与原项目一致，依托已有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66"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公用工程</w:t>
                  </w:r>
                </w:p>
              </w:tc>
              <w:tc>
                <w:tcPr>
                  <w:tcW w:w="820"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供电工程</w:t>
                  </w:r>
                </w:p>
              </w:tc>
              <w:tc>
                <w:tcPr>
                  <w:tcW w:w="1751"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rPr>
                    <w:t>由当地电网引入</w:t>
                  </w:r>
                  <w:r>
                    <w:rPr>
                      <w:rFonts w:hint="default" w:ascii="Times New Roman" w:hAnsi="Times New Roman" w:eastAsia="宋体" w:cs="Times New Roman"/>
                      <w:color w:val="auto"/>
                      <w:kern w:val="0"/>
                      <w:sz w:val="21"/>
                      <w:szCs w:val="21"/>
                      <w:highlight w:val="none"/>
                      <w:lang w:eastAsia="zh-CN"/>
                    </w:rPr>
                    <w:t>。</w:t>
                  </w:r>
                </w:p>
              </w:tc>
              <w:tc>
                <w:tcPr>
                  <w:tcW w:w="1492"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由当地电网引入</w:t>
                  </w:r>
                  <w:r>
                    <w:rPr>
                      <w:rFonts w:hint="default" w:ascii="Times New Roman" w:hAnsi="Times New Roman" w:eastAsia="宋体" w:cs="Times New Roman"/>
                      <w:color w:val="auto"/>
                      <w:kern w:val="0"/>
                      <w:sz w:val="21"/>
                      <w:szCs w:val="21"/>
                      <w:highlight w:val="none"/>
                      <w:lang w:eastAsia="zh-CN"/>
                    </w:rPr>
                    <w:t>。</w:t>
                  </w:r>
                </w:p>
              </w:tc>
              <w:tc>
                <w:tcPr>
                  <w:tcW w:w="66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与原项目一致，依托已有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266"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820"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供水工程</w:t>
                  </w:r>
                </w:p>
              </w:tc>
              <w:tc>
                <w:tcPr>
                  <w:tcW w:w="1751" w:type="pct"/>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生活用水由下前所村自来水管接入。</w:t>
                  </w:r>
                </w:p>
              </w:tc>
              <w:tc>
                <w:tcPr>
                  <w:tcW w:w="1492" w:type="pct"/>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sz w:val="21"/>
                      <w:szCs w:val="21"/>
                      <w:highlight w:val="none"/>
                    </w:rPr>
                    <w:t>生活用水由下前所村自来水管接入。</w:t>
                  </w:r>
                </w:p>
              </w:tc>
              <w:tc>
                <w:tcPr>
                  <w:tcW w:w="66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与原项目一致，依托已有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266"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820"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排水工程</w:t>
                  </w:r>
                </w:p>
              </w:tc>
              <w:tc>
                <w:tcPr>
                  <w:tcW w:w="1751" w:type="pct"/>
                  <w:noWrap w:val="0"/>
                  <w:vAlign w:val="center"/>
                </w:tcPr>
                <w:p>
                  <w:pPr>
                    <w:keepNext w:val="0"/>
                    <w:keepLines w:val="0"/>
                    <w:suppressLineNumbers w:val="0"/>
                    <w:autoSpaceDE w:val="0"/>
                    <w:autoSpaceDN w:val="0"/>
                    <w:spacing w:before="0" w:beforeAutospacing="0" w:after="0" w:afterAutospacing="0"/>
                    <w:ind w:left="0" w:right="0"/>
                    <w:contextualSpacing/>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1 \* GB3 \* MERGEFORMAT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①</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排水体制采用雨污分流制。</w:t>
                  </w: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②</w:t>
                  </w:r>
                  <w:r>
                    <w:rPr>
                      <w:rFonts w:hint="default" w:ascii="Times New Roman" w:hAnsi="Times New Roman" w:eastAsia="宋体" w:cs="Times New Roman"/>
                      <w:color w:val="auto"/>
                      <w:sz w:val="21"/>
                      <w:szCs w:val="21"/>
                      <w:highlight w:val="none"/>
                      <w:lang w:val="en-US" w:eastAsia="zh-CN"/>
                    </w:rPr>
                    <w:t>初期雨水通过</w:t>
                  </w:r>
                  <w:r>
                    <w:rPr>
                      <w:rFonts w:hint="default" w:ascii="Times New Roman" w:hAnsi="Times New Roman" w:eastAsia="宋体" w:cs="Times New Roman"/>
                      <w:color w:val="auto"/>
                      <w:kern w:val="0"/>
                      <w:sz w:val="21"/>
                      <w:szCs w:val="21"/>
                      <w:highlight w:val="none"/>
                    </w:rPr>
                    <w:t>2个容积为100m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vertAlign w:val="baseline"/>
                      <w:lang w:val="en-US" w:eastAsia="zh-CN"/>
                    </w:rPr>
                    <w:t>的雨水沉淀池沉淀后进入1个容积为</w:t>
                  </w:r>
                  <w:r>
                    <w:rPr>
                      <w:rFonts w:hint="default" w:ascii="Times New Roman" w:hAnsi="Times New Roman" w:eastAsia="宋体" w:cs="Times New Roman"/>
                      <w:color w:val="auto"/>
                      <w:kern w:val="0"/>
                      <w:sz w:val="21"/>
                      <w:szCs w:val="21"/>
                      <w:highlight w:val="none"/>
                      <w:lang w:val="en-US" w:eastAsia="zh-CN"/>
                    </w:rPr>
                    <w:t>700</w:t>
                  </w:r>
                  <w:r>
                    <w:rPr>
                      <w:rFonts w:hint="default" w:ascii="Times New Roman" w:hAnsi="Times New Roman" w:eastAsia="宋体" w:cs="Times New Roman"/>
                      <w:color w:val="auto"/>
                      <w:kern w:val="0"/>
                      <w:sz w:val="21"/>
                      <w:szCs w:val="21"/>
                      <w:highlight w:val="none"/>
                    </w:rPr>
                    <w:t>0m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vertAlign w:val="baseline"/>
                      <w:lang w:val="en-US" w:eastAsia="zh-CN"/>
                    </w:rPr>
                    <w:t>的集水池回用于生产。</w:t>
                  </w: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③</w:t>
                  </w:r>
                  <w:r>
                    <w:rPr>
                      <w:rFonts w:hint="default" w:ascii="Times New Roman" w:hAnsi="Times New Roman" w:eastAsia="宋体" w:cs="Times New Roman"/>
                      <w:color w:val="auto"/>
                      <w:sz w:val="21"/>
                      <w:szCs w:val="21"/>
                      <w:highlight w:val="none"/>
                      <w:lang w:val="en-US" w:eastAsia="zh-CN"/>
                    </w:rPr>
                    <w:t>食堂污水通过一个</w:t>
                  </w:r>
                  <w:r>
                    <w:rPr>
                      <w:rFonts w:hint="default" w:ascii="Times New Roman" w:hAnsi="Times New Roman" w:eastAsia="宋体" w:cs="Times New Roman"/>
                      <w:color w:val="auto"/>
                      <w:kern w:val="0"/>
                      <w:sz w:val="21"/>
                      <w:szCs w:val="21"/>
                      <w:highlight w:val="none"/>
                    </w:rPr>
                    <w:t>容积为</w:t>
                  </w:r>
                  <w:r>
                    <w:rPr>
                      <w:rFonts w:hint="default" w:ascii="Times New Roman" w:hAnsi="Times New Roman" w:eastAsia="宋体" w:cs="Times New Roman"/>
                      <w:color w:val="auto"/>
                      <w:kern w:val="0"/>
                      <w:sz w:val="21"/>
                      <w:szCs w:val="21"/>
                      <w:highlight w:val="none"/>
                      <w:lang w:val="en-US" w:eastAsia="zh-CN"/>
                    </w:rPr>
                    <w:t>0.5</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sz w:val="21"/>
                      <w:szCs w:val="21"/>
                      <w:highlight w:val="none"/>
                      <w:lang w:val="en-US" w:eastAsia="zh-CN"/>
                    </w:rPr>
                    <w:t>的油水分离器处理后与其他生活污水共同进入一个</w:t>
                  </w:r>
                  <w:r>
                    <w:rPr>
                      <w:rFonts w:hint="default" w:ascii="Times New Roman" w:hAnsi="Times New Roman" w:eastAsia="宋体" w:cs="Times New Roman"/>
                      <w:color w:val="auto"/>
                      <w:kern w:val="0"/>
                      <w:sz w:val="21"/>
                      <w:szCs w:val="21"/>
                      <w:highlight w:val="none"/>
                    </w:rPr>
                    <w:t>容积为</w:t>
                  </w:r>
                  <w:r>
                    <w:rPr>
                      <w:rFonts w:hint="default" w:ascii="Times New Roman" w:hAnsi="Times New Roman" w:eastAsia="宋体" w:cs="Times New Roman"/>
                      <w:color w:val="auto"/>
                      <w:kern w:val="0"/>
                      <w:sz w:val="21"/>
                      <w:szCs w:val="21"/>
                      <w:highlight w:val="none"/>
                      <w:lang w:val="en-US" w:eastAsia="zh-CN"/>
                    </w:rPr>
                    <w:t>8</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sz w:val="21"/>
                      <w:szCs w:val="21"/>
                      <w:highlight w:val="none"/>
                      <w:lang w:val="en-US" w:eastAsia="zh-CN"/>
                    </w:rPr>
                    <w:t>的化粪池处理，再排入</w:t>
                  </w:r>
                  <w:r>
                    <w:rPr>
                      <w:rFonts w:hint="default" w:ascii="Times New Roman" w:hAnsi="Times New Roman" w:eastAsia="宋体" w:cs="Times New Roman"/>
                      <w:color w:val="auto"/>
                      <w:kern w:val="0"/>
                      <w:sz w:val="21"/>
                      <w:szCs w:val="21"/>
                      <w:highlight w:val="none"/>
                      <w:vertAlign w:val="baseline"/>
                      <w:lang w:val="en-US" w:eastAsia="zh-CN"/>
                    </w:rPr>
                    <w:t>1个容积为</w:t>
                  </w:r>
                  <w:r>
                    <w:rPr>
                      <w:rFonts w:hint="default" w:ascii="Times New Roman" w:hAnsi="Times New Roman" w:eastAsia="宋体" w:cs="Times New Roman"/>
                      <w:color w:val="auto"/>
                      <w:kern w:val="0"/>
                      <w:sz w:val="21"/>
                      <w:szCs w:val="21"/>
                      <w:highlight w:val="none"/>
                      <w:lang w:val="en-US" w:eastAsia="zh-CN"/>
                    </w:rPr>
                    <w:t>700</w:t>
                  </w:r>
                  <w:r>
                    <w:rPr>
                      <w:rFonts w:hint="default" w:ascii="Times New Roman" w:hAnsi="Times New Roman" w:eastAsia="宋体" w:cs="Times New Roman"/>
                      <w:color w:val="auto"/>
                      <w:kern w:val="0"/>
                      <w:sz w:val="21"/>
                      <w:szCs w:val="21"/>
                      <w:highlight w:val="none"/>
                    </w:rPr>
                    <w:t>0m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vertAlign w:val="baseline"/>
                      <w:lang w:val="en-US" w:eastAsia="zh-CN"/>
                    </w:rPr>
                    <w:t>的集水池回用于生产。</w:t>
                  </w: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④吸收液进入</w:t>
                  </w:r>
                  <w:r>
                    <w:rPr>
                      <w:rFonts w:hint="default" w:ascii="Times New Roman" w:hAnsi="Times New Roman" w:eastAsia="宋体" w:cs="Times New Roman"/>
                      <w:color w:val="auto"/>
                      <w:sz w:val="21"/>
                      <w:szCs w:val="21"/>
                      <w:highlight w:val="none"/>
                    </w:rPr>
                    <w:t>一个容积为150m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的循环池，</w:t>
                  </w:r>
                  <w:r>
                    <w:rPr>
                      <w:rFonts w:hint="default" w:ascii="Times New Roman" w:hAnsi="Times New Roman" w:eastAsia="宋体" w:cs="Times New Roman"/>
                      <w:color w:val="auto"/>
                      <w:sz w:val="21"/>
                      <w:szCs w:val="21"/>
                      <w:highlight w:val="none"/>
                      <w:lang w:val="en-US" w:eastAsia="zh-CN"/>
                    </w:rPr>
                    <w:t>吸收液</w:t>
                  </w:r>
                  <w:r>
                    <w:rPr>
                      <w:rFonts w:hint="default" w:ascii="Times New Roman" w:hAnsi="Times New Roman" w:eastAsia="宋体" w:cs="Times New Roman"/>
                      <w:color w:val="auto"/>
                      <w:sz w:val="21"/>
                      <w:szCs w:val="21"/>
                      <w:highlight w:val="none"/>
                    </w:rPr>
                    <w:t>循环使用，不外排。</w:t>
                  </w:r>
                </w:p>
              </w:tc>
              <w:tc>
                <w:tcPr>
                  <w:tcW w:w="1492" w:type="pct"/>
                  <w:noWrap w:val="0"/>
                  <w:vAlign w:val="center"/>
                </w:tcPr>
                <w:p>
                  <w:pPr>
                    <w:keepNext w:val="0"/>
                    <w:keepLines w:val="0"/>
                    <w:suppressLineNumbers w:val="0"/>
                    <w:autoSpaceDE w:val="0"/>
                    <w:autoSpaceDN w:val="0"/>
                    <w:spacing w:before="0" w:beforeAutospacing="0" w:after="0" w:afterAutospacing="0"/>
                    <w:ind w:left="0" w:right="0"/>
                    <w:contextualSpacing/>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1 \* GB3 \* MERGEFORMAT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①</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排水体制采用雨污分流制。</w:t>
                  </w: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②</w:t>
                  </w:r>
                  <w:r>
                    <w:rPr>
                      <w:rFonts w:hint="default" w:ascii="Times New Roman" w:hAnsi="Times New Roman" w:eastAsia="宋体" w:cs="Times New Roman"/>
                      <w:color w:val="auto"/>
                      <w:sz w:val="21"/>
                      <w:szCs w:val="21"/>
                      <w:highlight w:val="none"/>
                      <w:lang w:val="en-US" w:eastAsia="zh-CN"/>
                    </w:rPr>
                    <w:t>初期雨水通过</w:t>
                  </w:r>
                  <w:r>
                    <w:rPr>
                      <w:rFonts w:hint="default" w:ascii="Times New Roman" w:hAnsi="Times New Roman" w:eastAsia="宋体" w:cs="Times New Roman"/>
                      <w:color w:val="auto"/>
                      <w:kern w:val="0"/>
                      <w:sz w:val="21"/>
                      <w:szCs w:val="21"/>
                      <w:highlight w:val="none"/>
                    </w:rPr>
                    <w:t>2个容积为100m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vertAlign w:val="baseline"/>
                      <w:lang w:val="en-US" w:eastAsia="zh-CN"/>
                    </w:rPr>
                    <w:t>的雨水沉淀池沉淀后进入1个容积为</w:t>
                  </w:r>
                  <w:r>
                    <w:rPr>
                      <w:rFonts w:hint="default" w:ascii="Times New Roman" w:hAnsi="Times New Roman" w:eastAsia="宋体" w:cs="Times New Roman"/>
                      <w:color w:val="auto"/>
                      <w:kern w:val="0"/>
                      <w:sz w:val="21"/>
                      <w:szCs w:val="21"/>
                      <w:highlight w:val="none"/>
                      <w:lang w:val="en-US" w:eastAsia="zh-CN"/>
                    </w:rPr>
                    <w:t>700</w:t>
                  </w:r>
                  <w:r>
                    <w:rPr>
                      <w:rFonts w:hint="default" w:ascii="Times New Roman" w:hAnsi="Times New Roman" w:eastAsia="宋体" w:cs="Times New Roman"/>
                      <w:color w:val="auto"/>
                      <w:kern w:val="0"/>
                      <w:sz w:val="21"/>
                      <w:szCs w:val="21"/>
                      <w:highlight w:val="none"/>
                    </w:rPr>
                    <w:t>0m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vertAlign w:val="baseline"/>
                      <w:lang w:val="en-US" w:eastAsia="zh-CN"/>
                    </w:rPr>
                    <w:t>的集水池回用于生产。</w:t>
                  </w: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③</w:t>
                  </w:r>
                  <w:r>
                    <w:rPr>
                      <w:rFonts w:hint="default" w:ascii="Times New Roman" w:hAnsi="Times New Roman" w:eastAsia="宋体" w:cs="Times New Roman"/>
                      <w:color w:val="auto"/>
                      <w:sz w:val="21"/>
                      <w:szCs w:val="21"/>
                      <w:highlight w:val="none"/>
                      <w:lang w:val="en-US" w:eastAsia="zh-CN"/>
                    </w:rPr>
                    <w:t>食堂污水通过一个</w:t>
                  </w:r>
                  <w:r>
                    <w:rPr>
                      <w:rFonts w:hint="default" w:ascii="Times New Roman" w:hAnsi="Times New Roman" w:eastAsia="宋体" w:cs="Times New Roman"/>
                      <w:color w:val="auto"/>
                      <w:kern w:val="0"/>
                      <w:sz w:val="21"/>
                      <w:szCs w:val="21"/>
                      <w:highlight w:val="none"/>
                    </w:rPr>
                    <w:t>容积为</w:t>
                  </w:r>
                  <w:r>
                    <w:rPr>
                      <w:rFonts w:hint="default" w:ascii="Times New Roman" w:hAnsi="Times New Roman" w:eastAsia="宋体" w:cs="Times New Roman"/>
                      <w:color w:val="auto"/>
                      <w:kern w:val="0"/>
                      <w:sz w:val="21"/>
                      <w:szCs w:val="21"/>
                      <w:highlight w:val="none"/>
                      <w:lang w:val="en-US" w:eastAsia="zh-CN"/>
                    </w:rPr>
                    <w:t>0.5</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sz w:val="21"/>
                      <w:szCs w:val="21"/>
                      <w:highlight w:val="none"/>
                      <w:lang w:val="en-US" w:eastAsia="zh-CN"/>
                    </w:rPr>
                    <w:t>的油水分离器处理后与其他生活污水共同进入一个</w:t>
                  </w:r>
                  <w:r>
                    <w:rPr>
                      <w:rFonts w:hint="default" w:ascii="Times New Roman" w:hAnsi="Times New Roman" w:eastAsia="宋体" w:cs="Times New Roman"/>
                      <w:color w:val="auto"/>
                      <w:kern w:val="0"/>
                      <w:sz w:val="21"/>
                      <w:szCs w:val="21"/>
                      <w:highlight w:val="none"/>
                    </w:rPr>
                    <w:t>容积为</w:t>
                  </w:r>
                  <w:r>
                    <w:rPr>
                      <w:rFonts w:hint="default" w:ascii="Times New Roman" w:hAnsi="Times New Roman" w:eastAsia="宋体" w:cs="Times New Roman"/>
                      <w:color w:val="auto"/>
                      <w:kern w:val="0"/>
                      <w:sz w:val="21"/>
                      <w:szCs w:val="21"/>
                      <w:highlight w:val="none"/>
                      <w:lang w:val="en-US" w:eastAsia="zh-CN"/>
                    </w:rPr>
                    <w:t>8</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sz w:val="21"/>
                      <w:szCs w:val="21"/>
                      <w:highlight w:val="none"/>
                      <w:lang w:val="en-US" w:eastAsia="zh-CN"/>
                    </w:rPr>
                    <w:t>的化粪池处理，再排入</w:t>
                  </w:r>
                  <w:r>
                    <w:rPr>
                      <w:rFonts w:hint="default" w:ascii="Times New Roman" w:hAnsi="Times New Roman" w:eastAsia="宋体" w:cs="Times New Roman"/>
                      <w:color w:val="auto"/>
                      <w:kern w:val="0"/>
                      <w:sz w:val="21"/>
                      <w:szCs w:val="21"/>
                      <w:highlight w:val="none"/>
                      <w:vertAlign w:val="baseline"/>
                      <w:lang w:val="en-US" w:eastAsia="zh-CN"/>
                    </w:rPr>
                    <w:t>1个容积为</w:t>
                  </w:r>
                  <w:r>
                    <w:rPr>
                      <w:rFonts w:hint="default" w:ascii="Times New Roman" w:hAnsi="Times New Roman" w:eastAsia="宋体" w:cs="Times New Roman"/>
                      <w:color w:val="auto"/>
                      <w:kern w:val="0"/>
                      <w:sz w:val="21"/>
                      <w:szCs w:val="21"/>
                      <w:highlight w:val="none"/>
                      <w:lang w:val="en-US" w:eastAsia="zh-CN"/>
                    </w:rPr>
                    <w:t>700</w:t>
                  </w:r>
                  <w:r>
                    <w:rPr>
                      <w:rFonts w:hint="default" w:ascii="Times New Roman" w:hAnsi="Times New Roman" w:eastAsia="宋体" w:cs="Times New Roman"/>
                      <w:color w:val="auto"/>
                      <w:kern w:val="0"/>
                      <w:sz w:val="21"/>
                      <w:szCs w:val="21"/>
                      <w:highlight w:val="none"/>
                    </w:rPr>
                    <w:t>0m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vertAlign w:val="baseline"/>
                      <w:lang w:val="en-US" w:eastAsia="zh-CN"/>
                    </w:rPr>
                    <w:t>的集水池回用于生产。</w:t>
                  </w: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1"/>
                      <w:szCs w:val="21"/>
                      <w:highlight w:val="none"/>
                      <w:lang w:val="en-US" w:eastAsia="zh-CN"/>
                    </w:rPr>
                    <w:t>④吸收液进入</w:t>
                  </w:r>
                  <w:r>
                    <w:rPr>
                      <w:rFonts w:hint="default" w:ascii="Times New Roman" w:hAnsi="Times New Roman" w:eastAsia="宋体" w:cs="Times New Roman"/>
                      <w:color w:val="auto"/>
                      <w:sz w:val="21"/>
                      <w:szCs w:val="21"/>
                      <w:highlight w:val="none"/>
                    </w:rPr>
                    <w:t>一个容积为150m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的循环池，</w:t>
                  </w:r>
                  <w:r>
                    <w:rPr>
                      <w:rFonts w:hint="default" w:ascii="Times New Roman" w:hAnsi="Times New Roman" w:eastAsia="宋体" w:cs="Times New Roman"/>
                      <w:color w:val="auto"/>
                      <w:sz w:val="21"/>
                      <w:szCs w:val="21"/>
                      <w:highlight w:val="none"/>
                      <w:lang w:val="en-US" w:eastAsia="zh-CN"/>
                    </w:rPr>
                    <w:t>吸收液</w:t>
                  </w:r>
                  <w:r>
                    <w:rPr>
                      <w:rFonts w:hint="default" w:ascii="Times New Roman" w:hAnsi="Times New Roman" w:eastAsia="宋体" w:cs="Times New Roman"/>
                      <w:color w:val="auto"/>
                      <w:sz w:val="21"/>
                      <w:szCs w:val="21"/>
                      <w:highlight w:val="none"/>
                    </w:rPr>
                    <w:t>循环使用，不外排。</w:t>
                  </w:r>
                </w:p>
                <w:p>
                  <w:pPr>
                    <w:pStyle w:val="8"/>
                    <w:keepNext w:val="0"/>
                    <w:keepLines w:val="0"/>
                    <w:suppressLineNumbers w:val="0"/>
                    <w:spacing w:beforeAutospacing="0" w:afterAutospacing="0"/>
                    <w:ind w:lef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⑤污泥渗滤液在污泥堆放池</w:t>
                  </w:r>
                  <w:r>
                    <w:rPr>
                      <w:rFonts w:hint="default" w:ascii="Times New Roman" w:hAnsi="Times New Roman" w:eastAsia="宋体" w:cs="Times New Roman"/>
                      <w:color w:val="auto"/>
                      <w:sz w:val="21"/>
                      <w:szCs w:val="21"/>
                      <w:highlight w:val="none"/>
                      <w:lang w:val="en-US" w:eastAsia="zh-CN"/>
                    </w:rPr>
                    <w:t>（容积为300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kern w:val="2"/>
                      <w:sz w:val="21"/>
                      <w:szCs w:val="21"/>
                      <w:highlight w:val="none"/>
                      <w:lang w:val="en-US" w:eastAsia="zh-CN" w:bidi="ar-SA"/>
                    </w:rPr>
                    <w:t>中通过管道收集后回用于制砖过程，不外排。</w:t>
                  </w:r>
                </w:p>
              </w:tc>
              <w:tc>
                <w:tcPr>
                  <w:tcW w:w="66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污泥堆放池及管道为新建，其他排水工程</w:t>
                  </w:r>
                  <w:r>
                    <w:rPr>
                      <w:rFonts w:hint="default" w:ascii="Times New Roman" w:hAnsi="Times New Roman" w:eastAsia="宋体" w:cs="Times New Roman"/>
                      <w:color w:val="auto"/>
                      <w:sz w:val="21"/>
                      <w:szCs w:val="21"/>
                      <w:highlight w:val="none"/>
                      <w:lang w:val="en-US" w:eastAsia="zh-CN"/>
                    </w:rPr>
                    <w:t>与原项目一致，依托已有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jc w:val="center"/>
              </w:trPr>
              <w:tc>
                <w:tcPr>
                  <w:tcW w:w="266"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储运工程</w:t>
                  </w:r>
                </w:p>
              </w:tc>
              <w:tc>
                <w:tcPr>
                  <w:tcW w:w="820"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原料堆场</w:t>
                  </w:r>
                </w:p>
              </w:tc>
              <w:tc>
                <w:tcPr>
                  <w:tcW w:w="1751" w:type="pct"/>
                  <w:noWrap w:val="0"/>
                  <w:vAlign w:val="center"/>
                </w:tcPr>
                <w:p>
                  <w:pPr>
                    <w:keepNext w:val="0"/>
                    <w:keepLines w:val="0"/>
                    <w:suppressLineNumbers w:val="0"/>
                    <w:spacing w:before="0" w:beforeAutospacing="0" w:after="0" w:afterAutospacing="0"/>
                    <w:ind w:left="0" w:right="0"/>
                    <w:contextualSpacing/>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原料堆场位于项目西北侧，占地面积为900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其中页岩堆放区占地面积为200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 w:val="0"/>
                      <w:color w:val="auto"/>
                      <w:sz w:val="21"/>
                      <w:szCs w:val="21"/>
                      <w:highlight w:val="none"/>
                    </w:rPr>
                    <w:t>泥煤</w:t>
                  </w:r>
                  <w:r>
                    <w:rPr>
                      <w:rFonts w:hint="default" w:ascii="Times New Roman" w:hAnsi="Times New Roman" w:eastAsia="宋体" w:cs="Times New Roman"/>
                      <w:color w:val="auto"/>
                      <w:sz w:val="21"/>
                      <w:szCs w:val="21"/>
                      <w:highlight w:val="none"/>
                      <w:lang w:val="en-US" w:eastAsia="zh-CN"/>
                    </w:rPr>
                    <w:t>堆放区占地面积为500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 w:val="0"/>
                      <w:color w:val="auto"/>
                      <w:sz w:val="21"/>
                      <w:szCs w:val="21"/>
                      <w:highlight w:val="none"/>
                    </w:rPr>
                    <w:t>炉渣</w:t>
                  </w:r>
                  <w:r>
                    <w:rPr>
                      <w:rFonts w:hint="default" w:ascii="Times New Roman" w:hAnsi="Times New Roman" w:eastAsia="宋体" w:cs="Times New Roman"/>
                      <w:color w:val="auto"/>
                      <w:sz w:val="21"/>
                      <w:szCs w:val="21"/>
                      <w:highlight w:val="none"/>
                      <w:lang w:val="en-US" w:eastAsia="zh-CN"/>
                    </w:rPr>
                    <w:t>堆放区占地面积为200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rPr>
                    <w:t>设置为彩钢瓦顶棚，地面硬化、</w:t>
                  </w:r>
                  <w:r>
                    <w:rPr>
                      <w:rFonts w:hint="default" w:ascii="Times New Roman" w:hAnsi="Times New Roman" w:eastAsia="宋体" w:cs="Times New Roman"/>
                      <w:color w:val="auto"/>
                      <w:kern w:val="0"/>
                      <w:sz w:val="21"/>
                      <w:szCs w:val="21"/>
                      <w:highlight w:val="none"/>
                    </w:rPr>
                    <w:t>内设一套喷淋设施</w:t>
                  </w:r>
                  <w:r>
                    <w:rPr>
                      <w:rFonts w:hint="default" w:ascii="Times New Roman" w:hAnsi="Times New Roman" w:eastAsia="宋体" w:cs="Times New Roman"/>
                      <w:color w:val="auto"/>
                      <w:kern w:val="0"/>
                      <w:sz w:val="21"/>
                      <w:szCs w:val="21"/>
                      <w:highlight w:val="none"/>
                      <w:lang w:eastAsia="zh-CN"/>
                    </w:rPr>
                    <w:t>。</w:t>
                  </w:r>
                </w:p>
              </w:tc>
              <w:tc>
                <w:tcPr>
                  <w:tcW w:w="1492" w:type="pct"/>
                  <w:noWrap w:val="0"/>
                  <w:vAlign w:val="center"/>
                </w:tcPr>
                <w:p>
                  <w:pPr>
                    <w:keepNext w:val="0"/>
                    <w:keepLines w:val="0"/>
                    <w:suppressLineNumbers w:val="0"/>
                    <w:spacing w:before="0" w:beforeAutospacing="0" w:after="0" w:afterAutospacing="0"/>
                    <w:ind w:left="0" w:right="0"/>
                    <w:contextualSpacing/>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原料堆场位于项目西北侧，占地面积为900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其中页岩堆放区占地面积为200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 w:val="0"/>
                      <w:color w:val="auto"/>
                      <w:sz w:val="21"/>
                      <w:szCs w:val="21"/>
                      <w:highlight w:val="none"/>
                    </w:rPr>
                    <w:t>泥煤</w:t>
                  </w:r>
                  <w:r>
                    <w:rPr>
                      <w:rFonts w:hint="default" w:ascii="Times New Roman" w:hAnsi="Times New Roman" w:eastAsia="宋体" w:cs="Times New Roman"/>
                      <w:color w:val="auto"/>
                      <w:sz w:val="21"/>
                      <w:szCs w:val="21"/>
                      <w:highlight w:val="none"/>
                      <w:lang w:val="en-US" w:eastAsia="zh-CN"/>
                    </w:rPr>
                    <w:t>堆放区占地面积为400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 w:val="0"/>
                      <w:color w:val="auto"/>
                      <w:sz w:val="21"/>
                      <w:szCs w:val="21"/>
                      <w:highlight w:val="none"/>
                    </w:rPr>
                    <w:t>炉渣</w:t>
                  </w:r>
                  <w:r>
                    <w:rPr>
                      <w:rFonts w:hint="default" w:ascii="Times New Roman" w:hAnsi="Times New Roman" w:eastAsia="宋体" w:cs="Times New Roman"/>
                      <w:color w:val="auto"/>
                      <w:sz w:val="21"/>
                      <w:szCs w:val="21"/>
                      <w:highlight w:val="none"/>
                      <w:lang w:val="en-US" w:eastAsia="zh-CN"/>
                    </w:rPr>
                    <w:t>堆放区占地面积为150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新建一个污泥堆放池（容积为300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），占地面积为150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污泥堆放池采用素土夯实+混凝土+铺设防渗膜的措施，</w:t>
                  </w:r>
                  <w:r>
                    <w:rPr>
                      <w:rFonts w:hint="default" w:ascii="Times New Roman" w:hAnsi="Times New Roman" w:eastAsia="宋体" w:cs="Times New Roman"/>
                      <w:color w:val="auto"/>
                      <w:sz w:val="21"/>
                      <w:szCs w:val="21"/>
                      <w:highlight w:val="none"/>
                    </w:rPr>
                    <w:t>防渗层渗透系数≤10</w:t>
                  </w:r>
                  <w:r>
                    <w:rPr>
                      <w:rFonts w:hint="default" w:ascii="Times New Roman" w:hAnsi="Times New Roman" w:eastAsia="宋体" w:cs="Times New Roman"/>
                      <w:color w:val="auto"/>
                      <w:sz w:val="21"/>
                      <w:szCs w:val="21"/>
                      <w:highlight w:val="none"/>
                      <w:vertAlign w:val="superscript"/>
                    </w:rPr>
                    <w:t>⁻</w:t>
                  </w:r>
                  <w:r>
                    <w:rPr>
                      <w:rFonts w:hint="default" w:ascii="Times New Roman" w:hAnsi="Times New Roman" w:eastAsia="宋体" w:cs="Times New Roman"/>
                      <w:color w:val="auto"/>
                      <w:sz w:val="21"/>
                      <w:szCs w:val="21"/>
                      <w:highlight w:val="none"/>
                      <w:vertAlign w:val="superscript"/>
                      <w:lang w:val="en-US" w:eastAsia="zh-CN"/>
                    </w:rPr>
                    <w:t>7</w:t>
                  </w:r>
                  <w:r>
                    <w:rPr>
                      <w:rFonts w:hint="default" w:ascii="Times New Roman" w:hAnsi="Times New Roman" w:eastAsia="宋体" w:cs="Times New Roman"/>
                      <w:color w:val="auto"/>
                      <w:sz w:val="21"/>
                      <w:szCs w:val="21"/>
                      <w:highlight w:val="none"/>
                    </w:rPr>
                    <w:t>cm/s</w:t>
                  </w:r>
                  <w:r>
                    <w:rPr>
                      <w:rFonts w:hint="default" w:ascii="Times New Roman" w:hAnsi="Times New Roman" w:eastAsia="宋体" w:cs="Times New Roman"/>
                      <w:color w:val="auto"/>
                      <w:sz w:val="21"/>
                      <w:szCs w:val="21"/>
                      <w:highlight w:val="none"/>
                      <w:lang w:eastAsia="zh-CN"/>
                    </w:rPr>
                    <w:t>。</w:t>
                  </w:r>
                </w:p>
                <w:p>
                  <w:pPr>
                    <w:keepNext w:val="0"/>
                    <w:keepLines w:val="0"/>
                    <w:suppressLineNumbers w:val="0"/>
                    <w:spacing w:before="0" w:beforeAutospacing="0" w:after="0" w:afterAutospacing="0"/>
                    <w:ind w:left="0" w:right="0"/>
                    <w:contextualSpacing/>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原有项目原料堆场未做封闭措施，本次环评要求原料堆场设置为</w:t>
                  </w:r>
                  <w:r>
                    <w:rPr>
                      <w:rFonts w:hint="default" w:ascii="Times New Roman" w:hAnsi="Times New Roman" w:eastAsia="宋体" w:cs="Times New Roman"/>
                      <w:bCs/>
                      <w:color w:val="auto"/>
                      <w:sz w:val="21"/>
                      <w:szCs w:val="21"/>
                      <w:highlight w:val="none"/>
                    </w:rPr>
                    <w:t>彩钢瓦顶棚，</w:t>
                  </w:r>
                  <w:r>
                    <w:rPr>
                      <w:rFonts w:hint="default" w:ascii="Times New Roman" w:hAnsi="Times New Roman" w:eastAsia="宋体" w:cs="Times New Roman"/>
                      <w:bCs/>
                      <w:color w:val="auto"/>
                      <w:sz w:val="21"/>
                      <w:szCs w:val="21"/>
                      <w:highlight w:val="none"/>
                      <w:lang w:val="en-US" w:eastAsia="zh-CN"/>
                    </w:rPr>
                    <w:t>厂房封闭（留有进出口），</w:t>
                  </w:r>
                  <w:r>
                    <w:rPr>
                      <w:rFonts w:hint="default" w:ascii="Times New Roman" w:hAnsi="Times New Roman" w:eastAsia="宋体" w:cs="Times New Roman"/>
                      <w:bCs/>
                      <w:color w:val="auto"/>
                      <w:sz w:val="21"/>
                      <w:szCs w:val="21"/>
                      <w:highlight w:val="none"/>
                    </w:rPr>
                    <w:t>地面硬化</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需</w:t>
                  </w:r>
                  <w:r>
                    <w:rPr>
                      <w:rFonts w:hint="default" w:ascii="Times New Roman" w:hAnsi="Times New Roman" w:eastAsia="宋体" w:cs="Times New Roman"/>
                      <w:color w:val="auto"/>
                      <w:sz w:val="21"/>
                      <w:szCs w:val="21"/>
                      <w:highlight w:val="none"/>
                    </w:rPr>
                    <w:t>满足“三防”（防风、防雨、防渗）要求。</w:t>
                  </w:r>
                </w:p>
              </w:tc>
              <w:tc>
                <w:tcPr>
                  <w:tcW w:w="668"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原料堆场依托已有，新增一个污泥堆放池；污泥堆放池采用素土夯实+混凝土+铺设防渗膜的措施，</w:t>
                  </w:r>
                  <w:r>
                    <w:rPr>
                      <w:rFonts w:hint="default" w:ascii="Times New Roman" w:hAnsi="Times New Roman" w:eastAsia="宋体" w:cs="Times New Roman"/>
                      <w:color w:val="auto"/>
                      <w:sz w:val="21"/>
                      <w:szCs w:val="21"/>
                      <w:highlight w:val="none"/>
                    </w:rPr>
                    <w:t>防渗层渗透系数≤10</w:t>
                  </w:r>
                  <w:r>
                    <w:rPr>
                      <w:rFonts w:hint="default" w:ascii="Times New Roman" w:hAnsi="Times New Roman" w:eastAsia="宋体" w:cs="Times New Roman"/>
                      <w:color w:val="auto"/>
                      <w:sz w:val="21"/>
                      <w:szCs w:val="21"/>
                      <w:highlight w:val="none"/>
                      <w:vertAlign w:val="superscript"/>
                    </w:rPr>
                    <w:t>⁻</w:t>
                  </w:r>
                  <w:r>
                    <w:rPr>
                      <w:rFonts w:hint="default" w:ascii="Times New Roman" w:hAnsi="Times New Roman" w:eastAsia="宋体" w:cs="Times New Roman"/>
                      <w:color w:val="auto"/>
                      <w:sz w:val="21"/>
                      <w:szCs w:val="21"/>
                      <w:highlight w:val="none"/>
                      <w:vertAlign w:val="superscript"/>
                      <w:lang w:val="en-US" w:eastAsia="zh-CN"/>
                    </w:rPr>
                    <w:t>7</w:t>
                  </w:r>
                  <w:r>
                    <w:rPr>
                      <w:rFonts w:hint="default" w:ascii="Times New Roman" w:hAnsi="Times New Roman" w:eastAsia="宋体" w:cs="Times New Roman"/>
                      <w:color w:val="auto"/>
                      <w:sz w:val="21"/>
                      <w:szCs w:val="21"/>
                      <w:highlight w:val="none"/>
                    </w:rPr>
                    <w:t>cm/s</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本次环评要求原料堆场设置为</w:t>
                  </w:r>
                  <w:r>
                    <w:rPr>
                      <w:rFonts w:hint="default" w:ascii="Times New Roman" w:hAnsi="Times New Roman" w:eastAsia="宋体" w:cs="Times New Roman"/>
                      <w:bCs/>
                      <w:color w:val="auto"/>
                      <w:sz w:val="21"/>
                      <w:szCs w:val="21"/>
                      <w:highlight w:val="none"/>
                    </w:rPr>
                    <w:t>彩钢瓦顶棚，</w:t>
                  </w:r>
                  <w:r>
                    <w:rPr>
                      <w:rFonts w:hint="default" w:ascii="Times New Roman" w:hAnsi="Times New Roman" w:eastAsia="宋体" w:cs="Times New Roman"/>
                      <w:bCs/>
                      <w:color w:val="auto"/>
                      <w:sz w:val="21"/>
                      <w:szCs w:val="21"/>
                      <w:highlight w:val="none"/>
                      <w:lang w:val="en-US" w:eastAsia="zh-CN"/>
                    </w:rPr>
                    <w:t>厂房封闭（留有进出口），</w:t>
                  </w:r>
                  <w:r>
                    <w:rPr>
                      <w:rFonts w:hint="default" w:ascii="Times New Roman" w:hAnsi="Times New Roman" w:eastAsia="宋体" w:cs="Times New Roman"/>
                      <w:bCs/>
                      <w:color w:val="auto"/>
                      <w:sz w:val="21"/>
                      <w:szCs w:val="21"/>
                      <w:highlight w:val="none"/>
                    </w:rPr>
                    <w:t>地面硬化</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需</w:t>
                  </w:r>
                  <w:r>
                    <w:rPr>
                      <w:rFonts w:hint="default" w:ascii="Times New Roman" w:hAnsi="Times New Roman" w:eastAsia="宋体" w:cs="Times New Roman"/>
                      <w:color w:val="auto"/>
                      <w:sz w:val="21"/>
                      <w:szCs w:val="21"/>
                      <w:highlight w:val="none"/>
                    </w:rPr>
                    <w:t>满足“三防”（防风、防雨、防渗）要求。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jc w:val="center"/>
              </w:trPr>
              <w:tc>
                <w:tcPr>
                  <w:tcW w:w="266"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820"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成品堆放区</w:t>
                  </w:r>
                </w:p>
              </w:tc>
              <w:tc>
                <w:tcPr>
                  <w:tcW w:w="1751" w:type="pct"/>
                  <w:noWrap w:val="0"/>
                  <w:vAlign w:val="center"/>
                </w:tcPr>
                <w:p>
                  <w:pPr>
                    <w:keepNext w:val="0"/>
                    <w:keepLines w:val="0"/>
                    <w:suppressLineNumbers w:val="0"/>
                    <w:spacing w:before="0" w:beforeAutospacing="0" w:after="0" w:afterAutospacing="0"/>
                    <w:ind w:left="0" w:right="0"/>
                    <w:contextualSpacing/>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位于项目东</w:t>
                  </w:r>
                  <w:r>
                    <w:rPr>
                      <w:rFonts w:hint="default" w:ascii="Times New Roman" w:hAnsi="Times New Roman" w:eastAsia="宋体" w:cs="Times New Roman"/>
                      <w:color w:val="auto"/>
                      <w:sz w:val="21"/>
                      <w:szCs w:val="21"/>
                      <w:highlight w:val="none"/>
                      <w:lang w:val="en-US" w:eastAsia="zh-CN"/>
                    </w:rPr>
                    <w:t>北</w:t>
                  </w:r>
                  <w:r>
                    <w:rPr>
                      <w:rFonts w:hint="default" w:ascii="Times New Roman" w:hAnsi="Times New Roman" w:eastAsia="宋体" w:cs="Times New Roman"/>
                      <w:color w:val="auto"/>
                      <w:sz w:val="21"/>
                      <w:szCs w:val="21"/>
                      <w:highlight w:val="none"/>
                    </w:rPr>
                    <w:t>侧，</w:t>
                  </w:r>
                  <w:r>
                    <w:rPr>
                      <w:rFonts w:hint="default" w:ascii="Times New Roman" w:hAnsi="Times New Roman" w:eastAsia="宋体" w:cs="Times New Roman"/>
                      <w:color w:val="auto"/>
                      <w:sz w:val="21"/>
                      <w:szCs w:val="21"/>
                      <w:highlight w:val="none"/>
                      <w:lang w:val="en-US" w:eastAsia="zh-CN"/>
                    </w:rPr>
                    <w:t>占地</w:t>
                  </w:r>
                  <w:r>
                    <w:rPr>
                      <w:rFonts w:hint="default" w:ascii="Times New Roman" w:hAnsi="Times New Roman" w:eastAsia="宋体" w:cs="Times New Roman"/>
                      <w:color w:val="auto"/>
                      <w:sz w:val="21"/>
                      <w:szCs w:val="21"/>
                      <w:highlight w:val="none"/>
                    </w:rPr>
                    <w:t>面积为</w:t>
                  </w:r>
                  <w:r>
                    <w:rPr>
                      <w:rFonts w:hint="default" w:ascii="Times New Roman" w:hAnsi="Times New Roman" w:eastAsia="宋体" w:cs="Times New Roman"/>
                      <w:color w:val="auto"/>
                      <w:sz w:val="21"/>
                      <w:szCs w:val="21"/>
                      <w:highlight w:val="none"/>
                      <w:lang w:val="en-US" w:eastAsia="zh-CN"/>
                    </w:rPr>
                    <w:t>2000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，用于堆放成品，属露天堆放</w:t>
                  </w:r>
                  <w:r>
                    <w:rPr>
                      <w:rFonts w:hint="default" w:ascii="Times New Roman" w:hAnsi="Times New Roman" w:eastAsia="宋体" w:cs="Times New Roman"/>
                      <w:color w:val="auto"/>
                      <w:sz w:val="21"/>
                      <w:szCs w:val="21"/>
                      <w:highlight w:val="none"/>
                      <w:lang w:eastAsia="zh-CN"/>
                    </w:rPr>
                    <w:t>。</w:t>
                  </w:r>
                </w:p>
              </w:tc>
              <w:tc>
                <w:tcPr>
                  <w:tcW w:w="1492" w:type="pct"/>
                  <w:noWrap w:val="0"/>
                  <w:vAlign w:val="center"/>
                </w:tcPr>
                <w:p>
                  <w:pPr>
                    <w:keepNext w:val="0"/>
                    <w:keepLines w:val="0"/>
                    <w:suppressLineNumbers w:val="0"/>
                    <w:spacing w:before="0" w:beforeAutospacing="0" w:after="0" w:afterAutospacing="0"/>
                    <w:ind w:left="0" w:right="0"/>
                    <w:contextualSpacing/>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位于项目东</w:t>
                  </w:r>
                  <w:r>
                    <w:rPr>
                      <w:rFonts w:hint="default" w:ascii="Times New Roman" w:hAnsi="Times New Roman" w:eastAsia="宋体" w:cs="Times New Roman"/>
                      <w:color w:val="auto"/>
                      <w:sz w:val="21"/>
                      <w:szCs w:val="21"/>
                      <w:highlight w:val="none"/>
                      <w:lang w:val="en-US" w:eastAsia="zh-CN"/>
                    </w:rPr>
                    <w:t>北</w:t>
                  </w:r>
                  <w:r>
                    <w:rPr>
                      <w:rFonts w:hint="default" w:ascii="Times New Roman" w:hAnsi="Times New Roman" w:eastAsia="宋体" w:cs="Times New Roman"/>
                      <w:color w:val="auto"/>
                      <w:sz w:val="21"/>
                      <w:szCs w:val="21"/>
                      <w:highlight w:val="none"/>
                    </w:rPr>
                    <w:t>侧，</w:t>
                  </w:r>
                  <w:r>
                    <w:rPr>
                      <w:rFonts w:hint="default" w:ascii="Times New Roman" w:hAnsi="Times New Roman" w:eastAsia="宋体" w:cs="Times New Roman"/>
                      <w:color w:val="auto"/>
                      <w:sz w:val="21"/>
                      <w:szCs w:val="21"/>
                      <w:highlight w:val="none"/>
                      <w:lang w:val="en-US" w:eastAsia="zh-CN"/>
                    </w:rPr>
                    <w:t>占地</w:t>
                  </w:r>
                  <w:r>
                    <w:rPr>
                      <w:rFonts w:hint="default" w:ascii="Times New Roman" w:hAnsi="Times New Roman" w:eastAsia="宋体" w:cs="Times New Roman"/>
                      <w:color w:val="auto"/>
                      <w:sz w:val="21"/>
                      <w:szCs w:val="21"/>
                      <w:highlight w:val="none"/>
                    </w:rPr>
                    <w:t>面积为</w:t>
                  </w:r>
                  <w:r>
                    <w:rPr>
                      <w:rFonts w:hint="default" w:ascii="Times New Roman" w:hAnsi="Times New Roman" w:eastAsia="宋体" w:cs="Times New Roman"/>
                      <w:color w:val="auto"/>
                      <w:sz w:val="21"/>
                      <w:szCs w:val="21"/>
                      <w:highlight w:val="none"/>
                      <w:lang w:val="en-US" w:eastAsia="zh-CN"/>
                    </w:rPr>
                    <w:t>2000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，用于堆放成品，属露天堆放</w:t>
                  </w:r>
                  <w:r>
                    <w:rPr>
                      <w:rFonts w:hint="default" w:ascii="Times New Roman" w:hAnsi="Times New Roman" w:eastAsia="宋体" w:cs="Times New Roman"/>
                      <w:color w:val="auto"/>
                      <w:sz w:val="21"/>
                      <w:szCs w:val="21"/>
                      <w:highlight w:val="none"/>
                      <w:lang w:eastAsia="zh-CN"/>
                    </w:rPr>
                    <w:t>。</w:t>
                  </w:r>
                </w:p>
              </w:tc>
              <w:tc>
                <w:tcPr>
                  <w:tcW w:w="668"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与原项目一致，</w:t>
                  </w:r>
                  <w:r>
                    <w:rPr>
                      <w:rFonts w:hint="default" w:ascii="Times New Roman" w:hAnsi="Times New Roman" w:eastAsia="宋体" w:cs="Times New Roman"/>
                      <w:color w:val="auto"/>
                      <w:sz w:val="21"/>
                      <w:szCs w:val="21"/>
                      <w:highlight w:val="none"/>
                    </w:rPr>
                    <w:t>依托已有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6"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环保工程</w:t>
                  </w:r>
                </w:p>
              </w:tc>
              <w:tc>
                <w:tcPr>
                  <w:tcW w:w="820"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废气治理</w:t>
                  </w:r>
                </w:p>
              </w:tc>
              <w:tc>
                <w:tcPr>
                  <w:tcW w:w="1751"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①隧道焙烧窑的焙烧烟气经一套双碱法脱硫除尘装置（除尘效率为85%，脱硫效率为90%，风机风量为</w:t>
                  </w:r>
                  <w:r>
                    <w:rPr>
                      <w:rFonts w:hint="default" w:ascii="Times New Roman" w:hAnsi="Times New Roman" w:eastAsia="宋体" w:cs="Times New Roman"/>
                      <w:color w:val="auto"/>
                      <w:sz w:val="21"/>
                      <w:szCs w:val="21"/>
                      <w:highlight w:val="none"/>
                      <w:lang w:val="en-US" w:eastAsia="zh-CN"/>
                    </w:rPr>
                    <w:t>60000</w:t>
                  </w:r>
                  <w:r>
                    <w:rPr>
                      <w:rFonts w:hint="default" w:ascii="Times New Roman" w:hAnsi="Times New Roman" w:eastAsia="宋体" w:cs="Times New Roman"/>
                      <w:color w:val="auto"/>
                      <w:sz w:val="21"/>
                      <w:szCs w:val="21"/>
                      <w:highlight w:val="none"/>
                    </w:rPr>
                    <w:t>m³/h）+</w:t>
                  </w:r>
                  <w:r>
                    <w:rPr>
                      <w:rFonts w:hint="default"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m高烟囱</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处理后</w:t>
                  </w:r>
                  <w:r>
                    <w:rPr>
                      <w:rFonts w:hint="default" w:ascii="Times New Roman" w:hAnsi="Times New Roman" w:eastAsia="宋体" w:cs="Times New Roman"/>
                      <w:color w:val="auto"/>
                      <w:sz w:val="21"/>
                      <w:szCs w:val="21"/>
                      <w:highlight w:val="none"/>
                    </w:rPr>
                    <w:t>排放；</w:t>
                  </w: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②破碎、筛分粉尘经一套集气罩收集（收集效率90%）+布袋除尘器（除尘效率为9</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%，风机风量为1</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000m³/h）+15m高排气筒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处理后</w:t>
                  </w:r>
                  <w:r>
                    <w:rPr>
                      <w:rFonts w:hint="default" w:ascii="Times New Roman" w:hAnsi="Times New Roman" w:eastAsia="宋体" w:cs="Times New Roman"/>
                      <w:color w:val="auto"/>
                      <w:sz w:val="21"/>
                      <w:szCs w:val="21"/>
                      <w:highlight w:val="none"/>
                    </w:rPr>
                    <w:t>排放；</w:t>
                  </w: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③原料堆场粉尘采取彩</w:t>
                  </w:r>
                  <w:r>
                    <w:rPr>
                      <w:rFonts w:hint="default" w:ascii="Times New Roman" w:hAnsi="Times New Roman" w:eastAsia="宋体" w:cs="Times New Roman"/>
                      <w:bCs/>
                      <w:color w:val="auto"/>
                      <w:sz w:val="21"/>
                      <w:szCs w:val="21"/>
                      <w:highlight w:val="none"/>
                    </w:rPr>
                    <w:t>钢瓦顶棚、内设</w:t>
                  </w:r>
                  <w:r>
                    <w:rPr>
                      <w:rFonts w:hint="default" w:ascii="Times New Roman" w:hAnsi="Times New Roman" w:eastAsia="宋体" w:cs="Times New Roman"/>
                      <w:color w:val="auto"/>
                      <w:sz w:val="21"/>
                      <w:szCs w:val="21"/>
                      <w:highlight w:val="none"/>
                    </w:rPr>
                    <w:t>喷淋设施的措施</w:t>
                  </w:r>
                  <w:r>
                    <w:rPr>
                      <w:rFonts w:hint="default" w:ascii="Times New Roman" w:hAnsi="Times New Roman" w:eastAsia="宋体" w:cs="Times New Roman"/>
                      <w:color w:val="auto"/>
                      <w:sz w:val="21"/>
                      <w:szCs w:val="21"/>
                      <w:highlight w:val="none"/>
                      <w:lang w:val="en-US" w:eastAsia="zh-CN"/>
                    </w:rPr>
                    <w:t>处理</w:t>
                  </w:r>
                  <w:r>
                    <w:rPr>
                      <w:rFonts w:hint="default" w:ascii="Times New Roman" w:hAnsi="Times New Roman" w:eastAsia="宋体" w:cs="Times New Roman"/>
                      <w:color w:val="auto"/>
                      <w:sz w:val="21"/>
                      <w:szCs w:val="21"/>
                      <w:highlight w:val="none"/>
                    </w:rPr>
                    <w:t>；</w:t>
                  </w: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④搅拌粉尘采取工序加水的措施；</w:t>
                  </w:r>
                </w:p>
                <w:p>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⑤</w:t>
                  </w:r>
                  <w:r>
                    <w:rPr>
                      <w:rFonts w:hint="default" w:ascii="Times New Roman" w:hAnsi="Times New Roman" w:eastAsia="宋体" w:cs="Times New Roman"/>
                      <w:color w:val="auto"/>
                      <w:sz w:val="21"/>
                      <w:szCs w:val="21"/>
                      <w:highlight w:val="none"/>
                    </w:rPr>
                    <w:t>运输扬尘采取洒水降尘措施；</w:t>
                  </w:r>
                </w:p>
                <w:p>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⑥</w:t>
                  </w:r>
                  <w:r>
                    <w:rPr>
                      <w:rFonts w:hint="default" w:ascii="Times New Roman" w:hAnsi="Times New Roman" w:eastAsia="宋体" w:cs="Times New Roman"/>
                      <w:color w:val="auto"/>
                      <w:sz w:val="21"/>
                      <w:szCs w:val="21"/>
                      <w:highlight w:val="none"/>
                    </w:rPr>
                    <w:t>食堂油烟</w:t>
                  </w:r>
                  <w:r>
                    <w:rPr>
                      <w:rFonts w:hint="default" w:ascii="Times New Roman" w:hAnsi="Times New Roman" w:eastAsia="宋体" w:cs="Times New Roman"/>
                      <w:color w:val="auto"/>
                      <w:sz w:val="21"/>
                      <w:szCs w:val="21"/>
                      <w:highlight w:val="none"/>
                      <w:lang w:val="en-US" w:eastAsia="zh-CN"/>
                    </w:rPr>
                    <w:t>通过</w:t>
                  </w:r>
                  <w:r>
                    <w:rPr>
                      <w:rFonts w:hint="default" w:ascii="Times New Roman" w:hAnsi="Times New Roman" w:eastAsia="宋体" w:cs="Times New Roman"/>
                      <w:color w:val="auto"/>
                      <w:kern w:val="2"/>
                      <w:sz w:val="21"/>
                      <w:szCs w:val="21"/>
                      <w:highlight w:val="none"/>
                    </w:rPr>
                    <w:t>油烟净化</w:t>
                  </w:r>
                  <w:r>
                    <w:rPr>
                      <w:rFonts w:hint="default" w:ascii="Times New Roman" w:hAnsi="Times New Roman" w:eastAsia="宋体" w:cs="Times New Roman"/>
                      <w:color w:val="auto"/>
                      <w:kern w:val="2"/>
                      <w:sz w:val="21"/>
                      <w:szCs w:val="21"/>
                      <w:highlight w:val="none"/>
                      <w:lang w:val="en-US" w:eastAsia="zh-CN"/>
                    </w:rPr>
                    <w:t>设施</w:t>
                  </w:r>
                  <w:r>
                    <w:rPr>
                      <w:rFonts w:hint="default" w:ascii="Times New Roman" w:hAnsi="Times New Roman" w:eastAsia="宋体" w:cs="Times New Roman"/>
                      <w:color w:val="auto"/>
                      <w:kern w:val="2"/>
                      <w:sz w:val="21"/>
                      <w:szCs w:val="21"/>
                      <w:highlight w:val="none"/>
                    </w:rPr>
                    <w:t>处理达标后排放。</w:t>
                  </w:r>
                </w:p>
              </w:tc>
              <w:tc>
                <w:tcPr>
                  <w:tcW w:w="1492"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①隧道焙烧窑的焙烧烟气经一套双碱法脱硫除尘装置（除尘效率为85%，脱硫效率为90%，风机风量为</w:t>
                  </w:r>
                  <w:r>
                    <w:rPr>
                      <w:rFonts w:hint="default" w:ascii="Times New Roman" w:hAnsi="Times New Roman" w:eastAsia="宋体" w:cs="Times New Roman"/>
                      <w:color w:val="auto"/>
                      <w:sz w:val="21"/>
                      <w:szCs w:val="21"/>
                      <w:highlight w:val="none"/>
                      <w:lang w:val="en-US" w:eastAsia="zh-CN"/>
                    </w:rPr>
                    <w:t>60000</w:t>
                  </w:r>
                  <w:r>
                    <w:rPr>
                      <w:rFonts w:hint="default" w:ascii="Times New Roman" w:hAnsi="Times New Roman" w:eastAsia="宋体" w:cs="Times New Roman"/>
                      <w:color w:val="auto"/>
                      <w:sz w:val="21"/>
                      <w:szCs w:val="21"/>
                      <w:highlight w:val="none"/>
                    </w:rPr>
                    <w:t>m³/h）+</w:t>
                  </w:r>
                  <w:r>
                    <w:rPr>
                      <w:rFonts w:hint="default"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m高烟囱</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处理后</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color w:val="auto"/>
                      <w:sz w:val="21"/>
                      <w:szCs w:val="21"/>
                      <w:highlight w:val="none"/>
                      <w:lang w:val="en-US" w:eastAsia="zh-CN"/>
                    </w:rPr>
                    <w:t>依托</w:t>
                  </w:r>
                  <w:r>
                    <w:rPr>
                      <w:rFonts w:hint="default" w:ascii="Times New Roman" w:hAnsi="Times New Roman" w:eastAsia="宋体" w:cs="Times New Roman"/>
                      <w:color w:val="auto"/>
                      <w:sz w:val="21"/>
                      <w:szCs w:val="21"/>
                      <w:highlight w:val="none"/>
                    </w:rPr>
                    <w:t>）；</w:t>
                  </w: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②破碎、筛分粉尘经一套集气罩收集（收集效率90%）+布袋除尘器（除尘效率为9</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%，风机风量为1</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000m³/h）+15m高排气筒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处理后</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color w:val="auto"/>
                      <w:sz w:val="21"/>
                      <w:szCs w:val="21"/>
                      <w:highlight w:val="none"/>
                      <w:lang w:val="en-US" w:eastAsia="zh-CN"/>
                    </w:rPr>
                    <w:t>依托</w:t>
                  </w:r>
                  <w:r>
                    <w:rPr>
                      <w:rFonts w:hint="default" w:ascii="Times New Roman" w:hAnsi="Times New Roman" w:eastAsia="宋体" w:cs="Times New Roman"/>
                      <w:color w:val="auto"/>
                      <w:sz w:val="21"/>
                      <w:szCs w:val="21"/>
                      <w:highlight w:val="none"/>
                    </w:rPr>
                    <w:t>）；</w:t>
                  </w: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③原料堆场粉尘采取彩</w:t>
                  </w:r>
                  <w:r>
                    <w:rPr>
                      <w:rFonts w:hint="default" w:ascii="Times New Roman" w:hAnsi="Times New Roman" w:eastAsia="宋体" w:cs="Times New Roman"/>
                      <w:bCs/>
                      <w:color w:val="auto"/>
                      <w:sz w:val="21"/>
                      <w:szCs w:val="21"/>
                      <w:highlight w:val="none"/>
                    </w:rPr>
                    <w:t>钢瓦顶棚、</w:t>
                  </w:r>
                  <w:r>
                    <w:rPr>
                      <w:rFonts w:hint="default" w:ascii="Times New Roman" w:hAnsi="Times New Roman" w:eastAsia="宋体" w:cs="Times New Roman"/>
                      <w:bCs/>
                      <w:color w:val="auto"/>
                      <w:sz w:val="21"/>
                      <w:szCs w:val="21"/>
                      <w:highlight w:val="none"/>
                      <w:lang w:val="en-US" w:eastAsia="zh-CN"/>
                    </w:rPr>
                    <w:t>厂房封闭（留有进出口）</w:t>
                  </w:r>
                  <w:r>
                    <w:rPr>
                      <w:rFonts w:hint="default" w:ascii="Times New Roman" w:hAnsi="Times New Roman" w:eastAsia="宋体" w:cs="Times New Roman"/>
                      <w:bCs/>
                      <w:color w:val="auto"/>
                      <w:sz w:val="21"/>
                      <w:szCs w:val="21"/>
                      <w:highlight w:val="none"/>
                    </w:rPr>
                    <w:t>、地面硬化、内设</w:t>
                  </w:r>
                  <w:r>
                    <w:rPr>
                      <w:rFonts w:hint="default" w:ascii="Times New Roman" w:hAnsi="Times New Roman" w:eastAsia="宋体" w:cs="Times New Roman"/>
                      <w:color w:val="auto"/>
                      <w:sz w:val="21"/>
                      <w:szCs w:val="21"/>
                      <w:highlight w:val="none"/>
                    </w:rPr>
                    <w:t>喷淋设施的措施</w:t>
                  </w:r>
                  <w:r>
                    <w:rPr>
                      <w:rFonts w:hint="default" w:ascii="Times New Roman" w:hAnsi="Times New Roman" w:eastAsia="宋体" w:cs="Times New Roman"/>
                      <w:color w:val="auto"/>
                      <w:sz w:val="21"/>
                      <w:szCs w:val="21"/>
                      <w:highlight w:val="none"/>
                      <w:lang w:val="en-US" w:eastAsia="zh-CN"/>
                    </w:rPr>
                    <w:t>处理</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依托</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本次环评新增一个污泥堆放池，恶臭通过喷洒除臭剂（本次环评新增）的措施处理；原有项目原料堆场未做封闭措施，本次环评要求原料堆场设置为</w:t>
                  </w:r>
                  <w:r>
                    <w:rPr>
                      <w:rFonts w:hint="default" w:ascii="Times New Roman" w:hAnsi="Times New Roman" w:eastAsia="宋体" w:cs="Times New Roman"/>
                      <w:bCs/>
                      <w:color w:val="auto"/>
                      <w:sz w:val="21"/>
                      <w:szCs w:val="21"/>
                      <w:highlight w:val="none"/>
                    </w:rPr>
                    <w:t>彩钢瓦顶棚，</w:t>
                  </w:r>
                  <w:r>
                    <w:rPr>
                      <w:rFonts w:hint="default" w:ascii="Times New Roman" w:hAnsi="Times New Roman" w:eastAsia="宋体" w:cs="Times New Roman"/>
                      <w:bCs/>
                      <w:color w:val="auto"/>
                      <w:sz w:val="21"/>
                      <w:szCs w:val="21"/>
                      <w:highlight w:val="none"/>
                      <w:lang w:val="en-US" w:eastAsia="zh-CN"/>
                    </w:rPr>
                    <w:t>厂房封闭（留有进出口），</w:t>
                  </w:r>
                  <w:r>
                    <w:rPr>
                      <w:rFonts w:hint="default" w:ascii="Times New Roman" w:hAnsi="Times New Roman" w:eastAsia="宋体" w:cs="Times New Roman"/>
                      <w:bCs/>
                      <w:color w:val="auto"/>
                      <w:sz w:val="21"/>
                      <w:szCs w:val="21"/>
                      <w:highlight w:val="none"/>
                    </w:rPr>
                    <w:t>地面硬化</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需</w:t>
                  </w:r>
                  <w:r>
                    <w:rPr>
                      <w:rFonts w:hint="default" w:ascii="Times New Roman" w:hAnsi="Times New Roman" w:eastAsia="宋体" w:cs="Times New Roman"/>
                      <w:color w:val="auto"/>
                      <w:sz w:val="21"/>
                      <w:szCs w:val="21"/>
                      <w:highlight w:val="none"/>
                    </w:rPr>
                    <w:t>满足“三防”（防风、防雨、防渗）要求</w:t>
                  </w:r>
                  <w:r>
                    <w:rPr>
                      <w:rFonts w:hint="default" w:ascii="Times New Roman" w:hAnsi="Times New Roman" w:eastAsia="宋体" w:cs="Times New Roman"/>
                      <w:color w:val="auto"/>
                      <w:sz w:val="21"/>
                      <w:szCs w:val="21"/>
                      <w:highlight w:val="none"/>
                      <w:lang w:eastAsia="zh-CN"/>
                    </w:rPr>
                    <w:t>。</w:t>
                  </w: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④搅拌粉尘采取工序加水的措施（</w:t>
                  </w:r>
                  <w:r>
                    <w:rPr>
                      <w:rFonts w:hint="default" w:ascii="Times New Roman" w:hAnsi="Times New Roman" w:eastAsia="宋体" w:cs="Times New Roman"/>
                      <w:color w:val="auto"/>
                      <w:sz w:val="21"/>
                      <w:szCs w:val="21"/>
                      <w:highlight w:val="none"/>
                      <w:lang w:val="en-US" w:eastAsia="zh-CN"/>
                    </w:rPr>
                    <w:t>依托</w:t>
                  </w:r>
                  <w:r>
                    <w:rPr>
                      <w:rFonts w:hint="default" w:ascii="Times New Roman" w:hAnsi="Times New Roman" w:eastAsia="宋体" w:cs="Times New Roman"/>
                      <w:color w:val="auto"/>
                      <w:sz w:val="21"/>
                      <w:szCs w:val="21"/>
                      <w:highlight w:val="none"/>
                    </w:rPr>
                    <w:t>）；</w:t>
                  </w:r>
                </w:p>
                <w:p>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⑤</w:t>
                  </w:r>
                  <w:r>
                    <w:rPr>
                      <w:rFonts w:hint="default" w:ascii="Times New Roman" w:hAnsi="Times New Roman" w:eastAsia="宋体" w:cs="Times New Roman"/>
                      <w:color w:val="auto"/>
                      <w:sz w:val="21"/>
                      <w:szCs w:val="21"/>
                      <w:highlight w:val="none"/>
                    </w:rPr>
                    <w:t>运输扬尘采取洒水降尘措施（</w:t>
                  </w:r>
                  <w:r>
                    <w:rPr>
                      <w:rFonts w:hint="default" w:ascii="Times New Roman" w:hAnsi="Times New Roman" w:eastAsia="宋体" w:cs="Times New Roman"/>
                      <w:color w:val="auto"/>
                      <w:sz w:val="21"/>
                      <w:szCs w:val="21"/>
                      <w:highlight w:val="none"/>
                      <w:lang w:val="en-US" w:eastAsia="zh-CN"/>
                    </w:rPr>
                    <w:t>依托</w:t>
                  </w:r>
                  <w:r>
                    <w:rPr>
                      <w:rFonts w:hint="default" w:ascii="Times New Roman" w:hAnsi="Times New Roman" w:eastAsia="宋体" w:cs="Times New Roman"/>
                      <w:color w:val="auto"/>
                      <w:sz w:val="21"/>
                      <w:szCs w:val="21"/>
                      <w:highlight w:val="none"/>
                    </w:rPr>
                    <w:t>）；</w:t>
                  </w:r>
                </w:p>
                <w:p>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⑥</w:t>
                  </w:r>
                  <w:r>
                    <w:rPr>
                      <w:rFonts w:hint="default" w:ascii="Times New Roman" w:hAnsi="Times New Roman" w:eastAsia="宋体" w:cs="Times New Roman"/>
                      <w:color w:val="auto"/>
                      <w:sz w:val="21"/>
                      <w:szCs w:val="21"/>
                      <w:highlight w:val="none"/>
                    </w:rPr>
                    <w:t>食堂油烟</w:t>
                  </w:r>
                  <w:r>
                    <w:rPr>
                      <w:rFonts w:hint="default" w:ascii="Times New Roman" w:hAnsi="Times New Roman" w:eastAsia="宋体" w:cs="Times New Roman"/>
                      <w:color w:val="auto"/>
                      <w:sz w:val="21"/>
                      <w:szCs w:val="21"/>
                      <w:highlight w:val="none"/>
                      <w:lang w:val="en-US" w:eastAsia="zh-CN"/>
                    </w:rPr>
                    <w:t>通过</w:t>
                  </w:r>
                  <w:r>
                    <w:rPr>
                      <w:rFonts w:hint="default" w:ascii="Times New Roman" w:hAnsi="Times New Roman" w:eastAsia="宋体" w:cs="Times New Roman"/>
                      <w:color w:val="auto"/>
                      <w:kern w:val="2"/>
                      <w:sz w:val="21"/>
                      <w:szCs w:val="21"/>
                      <w:highlight w:val="none"/>
                    </w:rPr>
                    <w:t>油烟净化</w:t>
                  </w:r>
                  <w:r>
                    <w:rPr>
                      <w:rFonts w:hint="default" w:ascii="Times New Roman" w:hAnsi="Times New Roman" w:eastAsia="宋体" w:cs="Times New Roman"/>
                      <w:color w:val="auto"/>
                      <w:kern w:val="2"/>
                      <w:sz w:val="21"/>
                      <w:szCs w:val="21"/>
                      <w:highlight w:val="none"/>
                      <w:lang w:val="en-US" w:eastAsia="zh-CN"/>
                    </w:rPr>
                    <w:t>设施</w:t>
                  </w:r>
                  <w:r>
                    <w:rPr>
                      <w:rFonts w:hint="default" w:ascii="Times New Roman" w:hAnsi="Times New Roman" w:eastAsia="宋体" w:cs="Times New Roman"/>
                      <w:color w:val="auto"/>
                      <w:kern w:val="2"/>
                      <w:sz w:val="21"/>
                      <w:szCs w:val="21"/>
                      <w:highlight w:val="none"/>
                    </w:rPr>
                    <w:t>处理达标后排放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依托</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kern w:val="2"/>
                      <w:sz w:val="21"/>
                      <w:szCs w:val="21"/>
                      <w:highlight w:val="none"/>
                    </w:rPr>
                    <w:t>。</w:t>
                  </w:r>
                </w:p>
              </w:tc>
              <w:tc>
                <w:tcPr>
                  <w:tcW w:w="66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废气处理设施</w:t>
                  </w:r>
                  <w:r>
                    <w:rPr>
                      <w:rFonts w:hint="default" w:ascii="Times New Roman" w:hAnsi="Times New Roman" w:eastAsia="宋体" w:cs="Times New Roman"/>
                      <w:color w:val="auto"/>
                      <w:sz w:val="21"/>
                      <w:szCs w:val="21"/>
                      <w:highlight w:val="none"/>
                    </w:rPr>
                    <w:t>依托已有</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本次环评新增一个污泥堆放池，恶臭通过喷洒除臭剂（本次环评新增）的措施处理；原有项目原料堆场未做封闭措施，本次环评要求原料堆场设置为</w:t>
                  </w:r>
                  <w:r>
                    <w:rPr>
                      <w:rFonts w:hint="default" w:ascii="Times New Roman" w:hAnsi="Times New Roman" w:eastAsia="宋体" w:cs="Times New Roman"/>
                      <w:bCs/>
                      <w:color w:val="auto"/>
                      <w:sz w:val="21"/>
                      <w:szCs w:val="21"/>
                      <w:highlight w:val="none"/>
                    </w:rPr>
                    <w:t>彩钢瓦顶棚，</w:t>
                  </w:r>
                  <w:r>
                    <w:rPr>
                      <w:rFonts w:hint="default" w:ascii="Times New Roman" w:hAnsi="Times New Roman" w:eastAsia="宋体" w:cs="Times New Roman"/>
                      <w:bCs/>
                      <w:color w:val="auto"/>
                      <w:sz w:val="21"/>
                      <w:szCs w:val="21"/>
                      <w:highlight w:val="none"/>
                      <w:lang w:val="en-US" w:eastAsia="zh-CN"/>
                    </w:rPr>
                    <w:t>厂房封闭（留有进出口），</w:t>
                  </w:r>
                  <w:r>
                    <w:rPr>
                      <w:rFonts w:hint="default" w:ascii="Times New Roman" w:hAnsi="Times New Roman" w:eastAsia="宋体" w:cs="Times New Roman"/>
                      <w:bCs/>
                      <w:color w:val="auto"/>
                      <w:sz w:val="21"/>
                      <w:szCs w:val="21"/>
                      <w:highlight w:val="none"/>
                    </w:rPr>
                    <w:t>地面硬化</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需</w:t>
                  </w:r>
                  <w:r>
                    <w:rPr>
                      <w:rFonts w:hint="default" w:ascii="Times New Roman" w:hAnsi="Times New Roman" w:eastAsia="宋体" w:cs="Times New Roman"/>
                      <w:color w:val="auto"/>
                      <w:sz w:val="21"/>
                      <w:szCs w:val="21"/>
                      <w:highlight w:val="none"/>
                    </w:rPr>
                    <w:t>满足“三防”（防风、防雨、防渗）要求。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6"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820"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废水治理</w:t>
                  </w:r>
                </w:p>
              </w:tc>
              <w:tc>
                <w:tcPr>
                  <w:tcW w:w="1751" w:type="pct"/>
                  <w:noWrap w:val="0"/>
                  <w:vAlign w:val="center"/>
                </w:tcPr>
                <w:p>
                  <w:pPr>
                    <w:keepNext w:val="0"/>
                    <w:keepLines w:val="0"/>
                    <w:suppressLineNumbers w:val="0"/>
                    <w:autoSpaceDE w:val="0"/>
                    <w:autoSpaceDN w:val="0"/>
                    <w:spacing w:before="0" w:beforeAutospacing="0" w:after="0" w:afterAutospacing="0"/>
                    <w:ind w:left="0" w:right="0"/>
                    <w:contextualSpacing/>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1 \* GB3 \* MERGEFORMAT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①</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排水体制采用雨污分流制。</w:t>
                  </w: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②</w:t>
                  </w:r>
                  <w:r>
                    <w:rPr>
                      <w:rFonts w:hint="default" w:ascii="Times New Roman" w:hAnsi="Times New Roman" w:eastAsia="宋体" w:cs="Times New Roman"/>
                      <w:color w:val="auto"/>
                      <w:sz w:val="21"/>
                      <w:szCs w:val="21"/>
                      <w:highlight w:val="none"/>
                      <w:lang w:val="en-US" w:eastAsia="zh-CN"/>
                    </w:rPr>
                    <w:t>初期雨水通过</w:t>
                  </w:r>
                  <w:r>
                    <w:rPr>
                      <w:rFonts w:hint="default" w:ascii="Times New Roman" w:hAnsi="Times New Roman" w:eastAsia="宋体" w:cs="Times New Roman"/>
                      <w:color w:val="auto"/>
                      <w:kern w:val="0"/>
                      <w:sz w:val="21"/>
                      <w:szCs w:val="21"/>
                      <w:highlight w:val="none"/>
                    </w:rPr>
                    <w:t>2个容积为100m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vertAlign w:val="baseline"/>
                      <w:lang w:val="en-US" w:eastAsia="zh-CN"/>
                    </w:rPr>
                    <w:t>的雨水沉淀池沉淀后进入1个容积为</w:t>
                  </w:r>
                  <w:r>
                    <w:rPr>
                      <w:rFonts w:hint="default" w:ascii="Times New Roman" w:hAnsi="Times New Roman" w:eastAsia="宋体" w:cs="Times New Roman"/>
                      <w:color w:val="auto"/>
                      <w:kern w:val="0"/>
                      <w:sz w:val="21"/>
                      <w:szCs w:val="21"/>
                      <w:highlight w:val="none"/>
                      <w:lang w:val="en-US" w:eastAsia="zh-CN"/>
                    </w:rPr>
                    <w:t>700</w:t>
                  </w:r>
                  <w:r>
                    <w:rPr>
                      <w:rFonts w:hint="default" w:ascii="Times New Roman" w:hAnsi="Times New Roman" w:eastAsia="宋体" w:cs="Times New Roman"/>
                      <w:color w:val="auto"/>
                      <w:kern w:val="0"/>
                      <w:sz w:val="21"/>
                      <w:szCs w:val="21"/>
                      <w:highlight w:val="none"/>
                    </w:rPr>
                    <w:t>0m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vertAlign w:val="baseline"/>
                      <w:lang w:val="en-US" w:eastAsia="zh-CN"/>
                    </w:rPr>
                    <w:t>的集水池回用于生产。</w:t>
                  </w: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③</w:t>
                  </w:r>
                  <w:r>
                    <w:rPr>
                      <w:rFonts w:hint="default" w:ascii="Times New Roman" w:hAnsi="Times New Roman" w:eastAsia="宋体" w:cs="Times New Roman"/>
                      <w:color w:val="auto"/>
                      <w:sz w:val="21"/>
                      <w:szCs w:val="21"/>
                      <w:highlight w:val="none"/>
                      <w:lang w:val="en-US" w:eastAsia="zh-CN"/>
                    </w:rPr>
                    <w:t>食堂污水通过一个</w:t>
                  </w:r>
                  <w:r>
                    <w:rPr>
                      <w:rFonts w:hint="default" w:ascii="Times New Roman" w:hAnsi="Times New Roman" w:eastAsia="宋体" w:cs="Times New Roman"/>
                      <w:color w:val="auto"/>
                      <w:kern w:val="0"/>
                      <w:sz w:val="21"/>
                      <w:szCs w:val="21"/>
                      <w:highlight w:val="none"/>
                    </w:rPr>
                    <w:t>容积为</w:t>
                  </w:r>
                  <w:r>
                    <w:rPr>
                      <w:rFonts w:hint="default" w:ascii="Times New Roman" w:hAnsi="Times New Roman" w:eastAsia="宋体" w:cs="Times New Roman"/>
                      <w:color w:val="auto"/>
                      <w:kern w:val="0"/>
                      <w:sz w:val="21"/>
                      <w:szCs w:val="21"/>
                      <w:highlight w:val="none"/>
                      <w:lang w:val="en-US" w:eastAsia="zh-CN"/>
                    </w:rPr>
                    <w:t>0.5</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sz w:val="21"/>
                      <w:szCs w:val="21"/>
                      <w:highlight w:val="none"/>
                      <w:lang w:val="en-US" w:eastAsia="zh-CN"/>
                    </w:rPr>
                    <w:t>的油水分离器处理后与其他生活污水共同进入一个</w:t>
                  </w:r>
                  <w:r>
                    <w:rPr>
                      <w:rFonts w:hint="default" w:ascii="Times New Roman" w:hAnsi="Times New Roman" w:eastAsia="宋体" w:cs="Times New Roman"/>
                      <w:color w:val="auto"/>
                      <w:kern w:val="0"/>
                      <w:sz w:val="21"/>
                      <w:szCs w:val="21"/>
                      <w:highlight w:val="none"/>
                    </w:rPr>
                    <w:t>容积为</w:t>
                  </w:r>
                  <w:r>
                    <w:rPr>
                      <w:rFonts w:hint="default" w:ascii="Times New Roman" w:hAnsi="Times New Roman" w:eastAsia="宋体" w:cs="Times New Roman"/>
                      <w:color w:val="auto"/>
                      <w:kern w:val="0"/>
                      <w:sz w:val="21"/>
                      <w:szCs w:val="21"/>
                      <w:highlight w:val="none"/>
                      <w:lang w:val="en-US" w:eastAsia="zh-CN"/>
                    </w:rPr>
                    <w:t>8</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sz w:val="21"/>
                      <w:szCs w:val="21"/>
                      <w:highlight w:val="none"/>
                      <w:lang w:val="en-US" w:eastAsia="zh-CN"/>
                    </w:rPr>
                    <w:t>的化粪池处理，再排入</w:t>
                  </w:r>
                  <w:r>
                    <w:rPr>
                      <w:rFonts w:hint="default" w:ascii="Times New Roman" w:hAnsi="Times New Roman" w:eastAsia="宋体" w:cs="Times New Roman"/>
                      <w:color w:val="auto"/>
                      <w:kern w:val="0"/>
                      <w:sz w:val="21"/>
                      <w:szCs w:val="21"/>
                      <w:highlight w:val="none"/>
                      <w:vertAlign w:val="baseline"/>
                      <w:lang w:val="en-US" w:eastAsia="zh-CN"/>
                    </w:rPr>
                    <w:t>1个容积为</w:t>
                  </w:r>
                  <w:r>
                    <w:rPr>
                      <w:rFonts w:hint="default" w:ascii="Times New Roman" w:hAnsi="Times New Roman" w:eastAsia="宋体" w:cs="Times New Roman"/>
                      <w:color w:val="auto"/>
                      <w:kern w:val="0"/>
                      <w:sz w:val="21"/>
                      <w:szCs w:val="21"/>
                      <w:highlight w:val="none"/>
                      <w:lang w:val="en-US" w:eastAsia="zh-CN"/>
                    </w:rPr>
                    <w:t>700</w:t>
                  </w:r>
                  <w:r>
                    <w:rPr>
                      <w:rFonts w:hint="default" w:ascii="Times New Roman" w:hAnsi="Times New Roman" w:eastAsia="宋体" w:cs="Times New Roman"/>
                      <w:color w:val="auto"/>
                      <w:kern w:val="0"/>
                      <w:sz w:val="21"/>
                      <w:szCs w:val="21"/>
                      <w:highlight w:val="none"/>
                    </w:rPr>
                    <w:t>0m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vertAlign w:val="baseline"/>
                      <w:lang w:val="en-US" w:eastAsia="zh-CN"/>
                    </w:rPr>
                    <w:t>的集水池回用于生产。</w:t>
                  </w: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④吸收液进入</w:t>
                  </w:r>
                  <w:r>
                    <w:rPr>
                      <w:rFonts w:hint="default" w:ascii="Times New Roman" w:hAnsi="Times New Roman" w:eastAsia="宋体" w:cs="Times New Roman"/>
                      <w:color w:val="auto"/>
                      <w:sz w:val="21"/>
                      <w:szCs w:val="21"/>
                      <w:highlight w:val="none"/>
                    </w:rPr>
                    <w:t>一个容积为150m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的循环池，</w:t>
                  </w:r>
                  <w:r>
                    <w:rPr>
                      <w:rFonts w:hint="default" w:ascii="Times New Roman" w:hAnsi="Times New Roman" w:eastAsia="宋体" w:cs="Times New Roman"/>
                      <w:color w:val="auto"/>
                      <w:sz w:val="21"/>
                      <w:szCs w:val="21"/>
                      <w:highlight w:val="none"/>
                      <w:lang w:val="en-US" w:eastAsia="zh-CN"/>
                    </w:rPr>
                    <w:t>吸收液</w:t>
                  </w:r>
                  <w:r>
                    <w:rPr>
                      <w:rFonts w:hint="default" w:ascii="Times New Roman" w:hAnsi="Times New Roman" w:eastAsia="宋体" w:cs="Times New Roman"/>
                      <w:color w:val="auto"/>
                      <w:sz w:val="21"/>
                      <w:szCs w:val="21"/>
                      <w:highlight w:val="none"/>
                    </w:rPr>
                    <w:t>循环使用，不外排。</w:t>
                  </w:r>
                </w:p>
              </w:tc>
              <w:tc>
                <w:tcPr>
                  <w:tcW w:w="1492" w:type="pct"/>
                  <w:noWrap w:val="0"/>
                  <w:vAlign w:val="center"/>
                </w:tcPr>
                <w:p>
                  <w:pPr>
                    <w:keepNext w:val="0"/>
                    <w:keepLines w:val="0"/>
                    <w:suppressLineNumbers w:val="0"/>
                    <w:autoSpaceDE w:val="0"/>
                    <w:autoSpaceDN w:val="0"/>
                    <w:spacing w:before="0" w:beforeAutospacing="0" w:after="0" w:afterAutospacing="0"/>
                    <w:ind w:left="0" w:right="0"/>
                    <w:contextualSpacing/>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1 \* GB3 \* MERGEFORMAT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①</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排水体制采用雨污分流制。</w:t>
                  </w: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②</w:t>
                  </w:r>
                  <w:r>
                    <w:rPr>
                      <w:rFonts w:hint="default" w:ascii="Times New Roman" w:hAnsi="Times New Roman" w:eastAsia="宋体" w:cs="Times New Roman"/>
                      <w:color w:val="auto"/>
                      <w:sz w:val="21"/>
                      <w:szCs w:val="21"/>
                      <w:highlight w:val="none"/>
                      <w:lang w:val="en-US" w:eastAsia="zh-CN"/>
                    </w:rPr>
                    <w:t>初期雨水通过</w:t>
                  </w:r>
                  <w:r>
                    <w:rPr>
                      <w:rFonts w:hint="default" w:ascii="Times New Roman" w:hAnsi="Times New Roman" w:eastAsia="宋体" w:cs="Times New Roman"/>
                      <w:color w:val="auto"/>
                      <w:kern w:val="0"/>
                      <w:sz w:val="21"/>
                      <w:szCs w:val="21"/>
                      <w:highlight w:val="none"/>
                    </w:rPr>
                    <w:t>2个容积为100m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vertAlign w:val="baseline"/>
                      <w:lang w:val="en-US" w:eastAsia="zh-CN"/>
                    </w:rPr>
                    <w:t>的雨水沉淀池沉淀后进入1个容积为</w:t>
                  </w:r>
                  <w:r>
                    <w:rPr>
                      <w:rFonts w:hint="default" w:ascii="Times New Roman" w:hAnsi="Times New Roman" w:eastAsia="宋体" w:cs="Times New Roman"/>
                      <w:color w:val="auto"/>
                      <w:kern w:val="0"/>
                      <w:sz w:val="21"/>
                      <w:szCs w:val="21"/>
                      <w:highlight w:val="none"/>
                      <w:lang w:val="en-US" w:eastAsia="zh-CN"/>
                    </w:rPr>
                    <w:t>700</w:t>
                  </w:r>
                  <w:r>
                    <w:rPr>
                      <w:rFonts w:hint="default" w:ascii="Times New Roman" w:hAnsi="Times New Roman" w:eastAsia="宋体" w:cs="Times New Roman"/>
                      <w:color w:val="auto"/>
                      <w:kern w:val="0"/>
                      <w:sz w:val="21"/>
                      <w:szCs w:val="21"/>
                      <w:highlight w:val="none"/>
                    </w:rPr>
                    <w:t>0m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vertAlign w:val="baseline"/>
                      <w:lang w:val="en-US" w:eastAsia="zh-CN"/>
                    </w:rPr>
                    <w:t>的集水池回用于生产。</w:t>
                  </w: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③</w:t>
                  </w:r>
                  <w:r>
                    <w:rPr>
                      <w:rFonts w:hint="default" w:ascii="Times New Roman" w:hAnsi="Times New Roman" w:eastAsia="宋体" w:cs="Times New Roman"/>
                      <w:color w:val="auto"/>
                      <w:sz w:val="21"/>
                      <w:szCs w:val="21"/>
                      <w:highlight w:val="none"/>
                      <w:lang w:val="en-US" w:eastAsia="zh-CN"/>
                    </w:rPr>
                    <w:t>食堂污水通过一个</w:t>
                  </w:r>
                  <w:r>
                    <w:rPr>
                      <w:rFonts w:hint="default" w:ascii="Times New Roman" w:hAnsi="Times New Roman" w:eastAsia="宋体" w:cs="Times New Roman"/>
                      <w:color w:val="auto"/>
                      <w:kern w:val="0"/>
                      <w:sz w:val="21"/>
                      <w:szCs w:val="21"/>
                      <w:highlight w:val="none"/>
                    </w:rPr>
                    <w:t>容积为</w:t>
                  </w:r>
                  <w:r>
                    <w:rPr>
                      <w:rFonts w:hint="default" w:ascii="Times New Roman" w:hAnsi="Times New Roman" w:eastAsia="宋体" w:cs="Times New Roman"/>
                      <w:color w:val="auto"/>
                      <w:kern w:val="0"/>
                      <w:sz w:val="21"/>
                      <w:szCs w:val="21"/>
                      <w:highlight w:val="none"/>
                      <w:lang w:val="en-US" w:eastAsia="zh-CN"/>
                    </w:rPr>
                    <w:t>0.5</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sz w:val="21"/>
                      <w:szCs w:val="21"/>
                      <w:highlight w:val="none"/>
                      <w:lang w:val="en-US" w:eastAsia="zh-CN"/>
                    </w:rPr>
                    <w:t>的油水分离器处理后与其他生活污水共同进入一个</w:t>
                  </w:r>
                  <w:r>
                    <w:rPr>
                      <w:rFonts w:hint="default" w:ascii="Times New Roman" w:hAnsi="Times New Roman" w:eastAsia="宋体" w:cs="Times New Roman"/>
                      <w:color w:val="auto"/>
                      <w:kern w:val="0"/>
                      <w:sz w:val="21"/>
                      <w:szCs w:val="21"/>
                      <w:highlight w:val="none"/>
                    </w:rPr>
                    <w:t>容积为</w:t>
                  </w:r>
                  <w:r>
                    <w:rPr>
                      <w:rFonts w:hint="default" w:ascii="Times New Roman" w:hAnsi="Times New Roman" w:eastAsia="宋体" w:cs="Times New Roman"/>
                      <w:color w:val="auto"/>
                      <w:kern w:val="0"/>
                      <w:sz w:val="21"/>
                      <w:szCs w:val="21"/>
                      <w:highlight w:val="none"/>
                      <w:lang w:val="en-US" w:eastAsia="zh-CN"/>
                    </w:rPr>
                    <w:t>8</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sz w:val="21"/>
                      <w:szCs w:val="21"/>
                      <w:highlight w:val="none"/>
                      <w:lang w:val="en-US" w:eastAsia="zh-CN"/>
                    </w:rPr>
                    <w:t>的化粪池处理，再排入</w:t>
                  </w:r>
                  <w:r>
                    <w:rPr>
                      <w:rFonts w:hint="default" w:ascii="Times New Roman" w:hAnsi="Times New Roman" w:eastAsia="宋体" w:cs="Times New Roman"/>
                      <w:color w:val="auto"/>
                      <w:kern w:val="0"/>
                      <w:sz w:val="21"/>
                      <w:szCs w:val="21"/>
                      <w:highlight w:val="none"/>
                      <w:vertAlign w:val="baseline"/>
                      <w:lang w:val="en-US" w:eastAsia="zh-CN"/>
                    </w:rPr>
                    <w:t>1个容积为</w:t>
                  </w:r>
                  <w:r>
                    <w:rPr>
                      <w:rFonts w:hint="default" w:ascii="Times New Roman" w:hAnsi="Times New Roman" w:eastAsia="宋体" w:cs="Times New Roman"/>
                      <w:color w:val="auto"/>
                      <w:kern w:val="0"/>
                      <w:sz w:val="21"/>
                      <w:szCs w:val="21"/>
                      <w:highlight w:val="none"/>
                      <w:lang w:val="en-US" w:eastAsia="zh-CN"/>
                    </w:rPr>
                    <w:t>700</w:t>
                  </w:r>
                  <w:r>
                    <w:rPr>
                      <w:rFonts w:hint="default" w:ascii="Times New Roman" w:hAnsi="Times New Roman" w:eastAsia="宋体" w:cs="Times New Roman"/>
                      <w:color w:val="auto"/>
                      <w:kern w:val="0"/>
                      <w:sz w:val="21"/>
                      <w:szCs w:val="21"/>
                      <w:highlight w:val="none"/>
                    </w:rPr>
                    <w:t>0m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vertAlign w:val="baseline"/>
                      <w:lang w:val="en-US" w:eastAsia="zh-CN"/>
                    </w:rPr>
                    <w:t>的集水池回用于生产。</w:t>
                  </w: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④吸收液进入</w:t>
                  </w:r>
                  <w:r>
                    <w:rPr>
                      <w:rFonts w:hint="default" w:ascii="Times New Roman" w:hAnsi="Times New Roman" w:eastAsia="宋体" w:cs="Times New Roman"/>
                      <w:color w:val="auto"/>
                      <w:sz w:val="21"/>
                      <w:szCs w:val="21"/>
                      <w:highlight w:val="none"/>
                    </w:rPr>
                    <w:t>一个容积为150m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的循环池，</w:t>
                  </w:r>
                  <w:r>
                    <w:rPr>
                      <w:rFonts w:hint="default" w:ascii="Times New Roman" w:hAnsi="Times New Roman" w:eastAsia="宋体" w:cs="Times New Roman"/>
                      <w:color w:val="auto"/>
                      <w:sz w:val="21"/>
                      <w:szCs w:val="21"/>
                      <w:highlight w:val="none"/>
                      <w:lang w:val="en-US" w:eastAsia="zh-CN"/>
                    </w:rPr>
                    <w:t>吸收液</w:t>
                  </w:r>
                  <w:r>
                    <w:rPr>
                      <w:rFonts w:hint="default" w:ascii="Times New Roman" w:hAnsi="Times New Roman" w:eastAsia="宋体" w:cs="Times New Roman"/>
                      <w:color w:val="auto"/>
                      <w:sz w:val="21"/>
                      <w:szCs w:val="21"/>
                      <w:highlight w:val="none"/>
                    </w:rPr>
                    <w:t>循环使用，不外排。</w:t>
                  </w:r>
                </w:p>
                <w:p>
                  <w:pPr>
                    <w:pStyle w:val="8"/>
                    <w:keepNext w:val="0"/>
                    <w:keepLines w:val="0"/>
                    <w:suppressLineNumbers w:val="0"/>
                    <w:spacing w:beforeAutospacing="0" w:afterAutospacing="0"/>
                    <w:ind w:left="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2"/>
                      <w:sz w:val="21"/>
                      <w:szCs w:val="21"/>
                      <w:highlight w:val="none"/>
                      <w:lang w:val="en-US" w:eastAsia="zh-CN" w:bidi="ar-SA"/>
                    </w:rPr>
                    <w:t>⑤污泥渗滤液在污泥堆放池</w:t>
                  </w:r>
                  <w:r>
                    <w:rPr>
                      <w:rFonts w:hint="default" w:ascii="Times New Roman" w:hAnsi="Times New Roman" w:eastAsia="宋体" w:cs="Times New Roman"/>
                      <w:color w:val="auto"/>
                      <w:sz w:val="21"/>
                      <w:szCs w:val="21"/>
                      <w:highlight w:val="none"/>
                      <w:lang w:val="en-US" w:eastAsia="zh-CN"/>
                    </w:rPr>
                    <w:t>（容积为300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kern w:val="2"/>
                      <w:sz w:val="21"/>
                      <w:szCs w:val="21"/>
                      <w:highlight w:val="none"/>
                      <w:lang w:val="en-US" w:eastAsia="zh-CN" w:bidi="ar-SA"/>
                    </w:rPr>
                    <w:t>中通过管道收集后回用于制砖过程，不外排。</w:t>
                  </w:r>
                </w:p>
              </w:tc>
              <w:tc>
                <w:tcPr>
                  <w:tcW w:w="66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污泥堆放池及管道为新建，其他排水工程</w:t>
                  </w:r>
                  <w:r>
                    <w:rPr>
                      <w:rFonts w:hint="default" w:ascii="Times New Roman" w:hAnsi="Times New Roman" w:eastAsia="宋体" w:cs="Times New Roman"/>
                      <w:color w:val="auto"/>
                      <w:sz w:val="21"/>
                      <w:szCs w:val="21"/>
                      <w:highlight w:val="none"/>
                      <w:lang w:val="en-US" w:eastAsia="zh-CN"/>
                    </w:rPr>
                    <w:t>与原项目一致，依托已有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6"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820"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噪声治理</w:t>
                  </w:r>
                </w:p>
              </w:tc>
              <w:tc>
                <w:tcPr>
                  <w:tcW w:w="1751"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合理安排作业时间</w:t>
                  </w:r>
                  <w:r>
                    <w:rPr>
                      <w:rFonts w:hint="default" w:ascii="Times New Roman" w:hAnsi="Times New Roman" w:eastAsia="宋体" w:cs="Times New Roman"/>
                      <w:color w:val="auto"/>
                      <w:sz w:val="21"/>
                      <w:szCs w:val="21"/>
                      <w:highlight w:val="none"/>
                      <w:lang w:val="en-US" w:eastAsia="zh-CN"/>
                    </w:rPr>
                    <w:t>及</w:t>
                  </w:r>
                  <w:r>
                    <w:rPr>
                      <w:rFonts w:hint="default" w:ascii="Times New Roman" w:hAnsi="Times New Roman" w:eastAsia="宋体" w:cs="Times New Roman"/>
                      <w:color w:val="auto"/>
                      <w:sz w:val="21"/>
                      <w:szCs w:val="21"/>
                      <w:highlight w:val="none"/>
                    </w:rPr>
                    <w:t>厂房隔音</w:t>
                  </w:r>
                  <w:r>
                    <w:rPr>
                      <w:rFonts w:hint="default" w:ascii="Times New Roman" w:hAnsi="Times New Roman" w:eastAsia="宋体" w:cs="Times New Roman"/>
                      <w:color w:val="auto"/>
                      <w:sz w:val="21"/>
                      <w:szCs w:val="21"/>
                      <w:highlight w:val="none"/>
                      <w:lang w:eastAsia="zh-CN"/>
                    </w:rPr>
                    <w:t>。</w:t>
                  </w:r>
                </w:p>
              </w:tc>
              <w:tc>
                <w:tcPr>
                  <w:tcW w:w="1492"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合理安排作业时间</w:t>
                  </w:r>
                  <w:r>
                    <w:rPr>
                      <w:rFonts w:hint="default" w:ascii="Times New Roman" w:hAnsi="Times New Roman" w:eastAsia="宋体" w:cs="Times New Roman"/>
                      <w:color w:val="auto"/>
                      <w:sz w:val="21"/>
                      <w:szCs w:val="21"/>
                      <w:highlight w:val="none"/>
                      <w:lang w:val="en-US" w:eastAsia="zh-CN"/>
                    </w:rPr>
                    <w:t>及</w:t>
                  </w:r>
                  <w:r>
                    <w:rPr>
                      <w:rFonts w:hint="default" w:ascii="Times New Roman" w:hAnsi="Times New Roman" w:eastAsia="宋体" w:cs="Times New Roman"/>
                      <w:color w:val="auto"/>
                      <w:sz w:val="21"/>
                      <w:szCs w:val="21"/>
                      <w:highlight w:val="none"/>
                    </w:rPr>
                    <w:t>厂房隔音</w:t>
                  </w:r>
                  <w:r>
                    <w:rPr>
                      <w:rFonts w:hint="default" w:ascii="Times New Roman" w:hAnsi="Times New Roman" w:eastAsia="宋体" w:cs="Times New Roman"/>
                      <w:color w:val="auto"/>
                      <w:sz w:val="21"/>
                      <w:szCs w:val="21"/>
                      <w:highlight w:val="none"/>
                      <w:lang w:eastAsia="zh-CN"/>
                    </w:rPr>
                    <w:t>。</w:t>
                  </w:r>
                </w:p>
              </w:tc>
              <w:tc>
                <w:tcPr>
                  <w:tcW w:w="66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与原项目一致，依托已有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266"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82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危废贮存场所</w:t>
                  </w:r>
                </w:p>
              </w:tc>
              <w:tc>
                <w:tcPr>
                  <w:tcW w:w="1751"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位于</w:t>
                  </w:r>
                  <w:r>
                    <w:rPr>
                      <w:rFonts w:hint="default" w:ascii="Times New Roman" w:hAnsi="Times New Roman" w:eastAsia="宋体" w:cs="Times New Roman"/>
                      <w:color w:val="auto"/>
                      <w:sz w:val="21"/>
                      <w:szCs w:val="21"/>
                      <w:highlight w:val="none"/>
                      <w:lang w:val="en-US" w:eastAsia="zh-CN"/>
                    </w:rPr>
                    <w:t>东南侧</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占地</w:t>
                  </w:r>
                  <w:r>
                    <w:rPr>
                      <w:rFonts w:hint="default" w:ascii="Times New Roman" w:hAnsi="Times New Roman" w:eastAsia="宋体" w:cs="Times New Roman"/>
                      <w:color w:val="auto"/>
                      <w:sz w:val="21"/>
                      <w:szCs w:val="21"/>
                      <w:highlight w:val="none"/>
                    </w:rPr>
                    <w:t>面积</w:t>
                  </w:r>
                  <w:r>
                    <w:rPr>
                      <w:rFonts w:hint="default" w:ascii="Times New Roman" w:hAnsi="Times New Roman" w:eastAsia="宋体" w:cs="Times New Roman"/>
                      <w:color w:val="auto"/>
                      <w:sz w:val="21"/>
                      <w:szCs w:val="21"/>
                      <w:highlight w:val="none"/>
                      <w:lang w:val="en-US" w:eastAsia="zh-CN"/>
                    </w:rPr>
                    <w:t>为</w:t>
                  </w:r>
                  <w:r>
                    <w:rPr>
                      <w:rFonts w:hint="default" w:ascii="Times New Roman" w:hAnsi="Times New Roman" w:eastAsia="宋体" w:cs="Times New Roman"/>
                      <w:color w:val="auto"/>
                      <w:sz w:val="21"/>
                      <w:szCs w:val="21"/>
                      <w:highlight w:val="none"/>
                    </w:rPr>
                    <w:t>10m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，用于存放危险固废</w:t>
                  </w:r>
                  <w:r>
                    <w:rPr>
                      <w:rFonts w:hint="default" w:ascii="Times New Roman" w:hAnsi="Times New Roman" w:eastAsia="宋体" w:cs="Times New Roman"/>
                      <w:color w:val="auto"/>
                      <w:sz w:val="21"/>
                      <w:szCs w:val="21"/>
                      <w:highlight w:val="none"/>
                      <w:lang w:eastAsia="zh-CN"/>
                    </w:rPr>
                    <w:t>。</w:t>
                  </w:r>
                </w:p>
              </w:tc>
              <w:tc>
                <w:tcPr>
                  <w:tcW w:w="1492"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位于</w:t>
                  </w:r>
                  <w:r>
                    <w:rPr>
                      <w:rFonts w:hint="default" w:ascii="Times New Roman" w:hAnsi="Times New Roman" w:eastAsia="宋体" w:cs="Times New Roman"/>
                      <w:color w:val="auto"/>
                      <w:sz w:val="21"/>
                      <w:szCs w:val="21"/>
                      <w:highlight w:val="none"/>
                      <w:lang w:val="en-US" w:eastAsia="zh-CN"/>
                    </w:rPr>
                    <w:t>东南侧</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占地</w:t>
                  </w:r>
                  <w:r>
                    <w:rPr>
                      <w:rFonts w:hint="default" w:ascii="Times New Roman" w:hAnsi="Times New Roman" w:eastAsia="宋体" w:cs="Times New Roman"/>
                      <w:color w:val="auto"/>
                      <w:sz w:val="21"/>
                      <w:szCs w:val="21"/>
                      <w:highlight w:val="none"/>
                    </w:rPr>
                    <w:t>面积</w:t>
                  </w:r>
                  <w:r>
                    <w:rPr>
                      <w:rFonts w:hint="default" w:ascii="Times New Roman" w:hAnsi="Times New Roman" w:eastAsia="宋体" w:cs="Times New Roman"/>
                      <w:color w:val="auto"/>
                      <w:sz w:val="21"/>
                      <w:szCs w:val="21"/>
                      <w:highlight w:val="none"/>
                      <w:lang w:val="en-US" w:eastAsia="zh-CN"/>
                    </w:rPr>
                    <w:t>为</w:t>
                  </w:r>
                  <w:r>
                    <w:rPr>
                      <w:rFonts w:hint="default" w:ascii="Times New Roman" w:hAnsi="Times New Roman" w:eastAsia="宋体" w:cs="Times New Roman"/>
                      <w:color w:val="auto"/>
                      <w:sz w:val="21"/>
                      <w:szCs w:val="21"/>
                      <w:highlight w:val="none"/>
                    </w:rPr>
                    <w:t>10m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，用于存放危险固废</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危废贮存场所</w:t>
                  </w:r>
                  <w:r>
                    <w:rPr>
                      <w:rFonts w:hint="default" w:ascii="Times New Roman" w:hAnsi="Times New Roman" w:eastAsia="宋体" w:cs="Times New Roman"/>
                      <w:color w:val="auto"/>
                      <w:sz w:val="21"/>
                      <w:szCs w:val="21"/>
                      <w:highlight w:val="none"/>
                      <w:lang w:val="en-US" w:eastAsia="zh-CN"/>
                    </w:rPr>
                    <w:t>采用素土夯实+混凝土+铺设防渗膜的措施，</w:t>
                  </w:r>
                  <w:r>
                    <w:rPr>
                      <w:rFonts w:hint="default" w:ascii="Times New Roman" w:hAnsi="Times New Roman" w:eastAsia="宋体" w:cs="Times New Roman"/>
                      <w:color w:val="auto"/>
                      <w:sz w:val="21"/>
                      <w:szCs w:val="21"/>
                      <w:highlight w:val="none"/>
                    </w:rPr>
                    <w:t>防渗层渗透系数≤10⁻¹⁰cm/s，防渗满足《危险废物贮存污染控制标准》（GB18597-2023）中的相关要求</w:t>
                  </w:r>
                  <w:r>
                    <w:rPr>
                      <w:rFonts w:hint="default" w:ascii="Times New Roman" w:hAnsi="Times New Roman" w:eastAsia="宋体" w:cs="Times New Roman"/>
                      <w:color w:val="auto"/>
                      <w:sz w:val="21"/>
                      <w:szCs w:val="21"/>
                      <w:highlight w:val="none"/>
                      <w:lang w:eastAsia="zh-CN"/>
                    </w:rPr>
                    <w:t>。</w:t>
                  </w:r>
                </w:p>
              </w:tc>
              <w:tc>
                <w:tcPr>
                  <w:tcW w:w="66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与原项目一致，依托已有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266"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82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固废处置</w:t>
                  </w:r>
                </w:p>
              </w:tc>
              <w:tc>
                <w:tcPr>
                  <w:tcW w:w="1751"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1 \* GB3 \* MERGEFORMAT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①</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生活垃圾统一收集于生活垃圾桶委托当地环卫部门清运处理；</w:t>
                  </w: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2 \* GB3 \* MERGEFORMAT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②</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废泥</w:t>
                  </w:r>
                  <w:r>
                    <w:rPr>
                      <w:rFonts w:hint="default" w:ascii="Times New Roman" w:hAnsi="Times New Roman" w:eastAsia="宋体" w:cs="Times New Roman"/>
                      <w:color w:val="auto"/>
                      <w:sz w:val="21"/>
                      <w:szCs w:val="21"/>
                      <w:highlight w:val="none"/>
                      <w:lang w:val="zh-CN"/>
                    </w:rPr>
                    <w:t>坯统一收集，回用于搅拌工序；</w:t>
                  </w: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③废砖经破碎处理后回用于制砖；</w:t>
                  </w: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④脱硫渣定期清理回用于制砖过程；</w:t>
                  </w: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⑤除尘灰定期清理回用于制砖过程；</w:t>
                  </w: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⑥煤渣定期清理回用于制砖过程；</w:t>
                  </w: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⑦废机油收集于危废暂存间（面积为10m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回用于窑车轨道润滑</w:t>
                  </w:r>
                  <w:r>
                    <w:rPr>
                      <w:rFonts w:hint="default" w:ascii="Times New Roman" w:hAnsi="Times New Roman" w:eastAsia="宋体" w:cs="Times New Roman"/>
                      <w:color w:val="auto"/>
                      <w:sz w:val="21"/>
                      <w:szCs w:val="21"/>
                      <w:highlight w:val="none"/>
                    </w:rPr>
                    <w:t>。</w:t>
                  </w:r>
                </w:p>
              </w:tc>
              <w:tc>
                <w:tcPr>
                  <w:tcW w:w="1492"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1 \* GB3 \* MERGEFORMAT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①</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生活垃圾统一收集于生活垃圾桶委托当地环卫部门清运处理；</w:t>
                  </w: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2 \* GB3 \* MERGEFORMAT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②</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废泥</w:t>
                  </w:r>
                  <w:r>
                    <w:rPr>
                      <w:rFonts w:hint="default" w:ascii="Times New Roman" w:hAnsi="Times New Roman" w:eastAsia="宋体" w:cs="Times New Roman"/>
                      <w:color w:val="auto"/>
                      <w:sz w:val="21"/>
                      <w:szCs w:val="21"/>
                      <w:highlight w:val="none"/>
                      <w:lang w:val="zh-CN"/>
                    </w:rPr>
                    <w:t>坯统一收集，回用于搅拌工序；</w:t>
                  </w: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③废砖经破碎处理后回用于制砖；</w:t>
                  </w: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④脱硫渣定期清理回用于制砖过程；</w:t>
                  </w: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⑤除尘灰定期清理回用于制砖过程；</w:t>
                  </w: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⑥煤渣定期清理回用于制砖过程；</w:t>
                  </w: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⑦废机油收集于危废暂存间（面积为10m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委托资质单位处置</w:t>
                  </w:r>
                  <w:r>
                    <w:rPr>
                      <w:rFonts w:hint="default" w:ascii="Times New Roman" w:hAnsi="Times New Roman" w:eastAsia="宋体" w:cs="Times New Roman"/>
                      <w:color w:val="auto"/>
                      <w:sz w:val="21"/>
                      <w:szCs w:val="21"/>
                      <w:highlight w:val="none"/>
                    </w:rPr>
                    <w:t>。</w:t>
                  </w:r>
                </w:p>
              </w:tc>
              <w:tc>
                <w:tcPr>
                  <w:tcW w:w="66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本次改扩建要求项目废机油委托资质单位处置。其余均为依托已有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087" w:type="pct"/>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环境风险防范</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措施</w:t>
                  </w:r>
                </w:p>
              </w:tc>
              <w:tc>
                <w:tcPr>
                  <w:tcW w:w="1751"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设置一间</w:t>
                  </w:r>
                  <w:r>
                    <w:rPr>
                      <w:rFonts w:hint="default" w:ascii="Times New Roman" w:hAnsi="Times New Roman" w:eastAsia="宋体" w:cs="Times New Roman"/>
                      <w:color w:val="auto"/>
                      <w:sz w:val="21"/>
                      <w:szCs w:val="21"/>
                      <w:highlight w:val="none"/>
                    </w:rPr>
                    <w:t>面积</w:t>
                  </w:r>
                  <w:r>
                    <w:rPr>
                      <w:rFonts w:hint="default" w:ascii="Times New Roman" w:hAnsi="Times New Roman" w:eastAsia="宋体" w:cs="Times New Roman"/>
                      <w:color w:val="auto"/>
                      <w:sz w:val="21"/>
                      <w:szCs w:val="21"/>
                      <w:highlight w:val="none"/>
                      <w:lang w:val="en-US" w:eastAsia="zh-CN"/>
                    </w:rPr>
                    <w:t>为</w:t>
                  </w:r>
                  <w:r>
                    <w:rPr>
                      <w:rFonts w:hint="default" w:ascii="Times New Roman" w:hAnsi="Times New Roman" w:eastAsia="宋体" w:cs="Times New Roman"/>
                      <w:color w:val="auto"/>
                      <w:sz w:val="21"/>
                      <w:szCs w:val="21"/>
                      <w:highlight w:val="none"/>
                    </w:rPr>
                    <w:t>10m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lang w:val="en-US" w:eastAsia="zh-CN"/>
                    </w:rPr>
                    <w:t>的危废贮存场所。</w:t>
                  </w:r>
                </w:p>
              </w:tc>
              <w:tc>
                <w:tcPr>
                  <w:tcW w:w="1492"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设置一间</w:t>
                  </w:r>
                  <w:r>
                    <w:rPr>
                      <w:rFonts w:hint="default" w:ascii="Times New Roman" w:hAnsi="Times New Roman" w:eastAsia="宋体" w:cs="Times New Roman"/>
                      <w:color w:val="auto"/>
                      <w:sz w:val="21"/>
                      <w:szCs w:val="21"/>
                      <w:highlight w:val="none"/>
                    </w:rPr>
                    <w:t>面积</w:t>
                  </w:r>
                  <w:r>
                    <w:rPr>
                      <w:rFonts w:hint="default" w:ascii="Times New Roman" w:hAnsi="Times New Roman" w:eastAsia="宋体" w:cs="Times New Roman"/>
                      <w:color w:val="auto"/>
                      <w:sz w:val="21"/>
                      <w:szCs w:val="21"/>
                      <w:highlight w:val="none"/>
                      <w:lang w:val="en-US" w:eastAsia="zh-CN"/>
                    </w:rPr>
                    <w:t>为</w:t>
                  </w:r>
                  <w:r>
                    <w:rPr>
                      <w:rFonts w:hint="default" w:ascii="Times New Roman" w:hAnsi="Times New Roman" w:eastAsia="宋体" w:cs="Times New Roman"/>
                      <w:color w:val="auto"/>
                      <w:sz w:val="21"/>
                      <w:szCs w:val="21"/>
                      <w:highlight w:val="none"/>
                    </w:rPr>
                    <w:t>10m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lang w:val="en-US" w:eastAsia="zh-CN"/>
                    </w:rPr>
                    <w:t>的危废贮存场所。</w:t>
                  </w:r>
                  <w:r>
                    <w:rPr>
                      <w:rFonts w:hint="default" w:ascii="Times New Roman" w:hAnsi="Times New Roman" w:eastAsia="宋体" w:cs="Times New Roman"/>
                      <w:color w:val="auto"/>
                      <w:sz w:val="21"/>
                      <w:szCs w:val="21"/>
                      <w:highlight w:val="none"/>
                    </w:rPr>
                    <w:t>危废贮存场所</w:t>
                  </w:r>
                  <w:r>
                    <w:rPr>
                      <w:rFonts w:hint="default" w:ascii="Times New Roman" w:hAnsi="Times New Roman" w:eastAsia="宋体" w:cs="Times New Roman"/>
                      <w:color w:val="auto"/>
                      <w:sz w:val="21"/>
                      <w:szCs w:val="21"/>
                      <w:highlight w:val="none"/>
                      <w:lang w:val="en-US" w:eastAsia="zh-CN"/>
                    </w:rPr>
                    <w:t>采用素土夯实+混凝土+铺设防渗膜的措施，</w:t>
                  </w:r>
                  <w:r>
                    <w:rPr>
                      <w:rFonts w:hint="default" w:ascii="Times New Roman" w:hAnsi="Times New Roman" w:eastAsia="宋体" w:cs="Times New Roman"/>
                      <w:color w:val="auto"/>
                      <w:sz w:val="21"/>
                      <w:szCs w:val="21"/>
                      <w:highlight w:val="none"/>
                    </w:rPr>
                    <w:t>防渗层渗透系数≤10⁻¹⁰cm/s，防渗满足《危险废物贮存污染控制标准》（GB18597-2023）中的相关要求</w:t>
                  </w:r>
                  <w:r>
                    <w:rPr>
                      <w:rFonts w:hint="default" w:ascii="Times New Roman" w:hAnsi="Times New Roman" w:eastAsia="宋体" w:cs="Times New Roman"/>
                      <w:color w:val="auto"/>
                      <w:sz w:val="21"/>
                      <w:szCs w:val="21"/>
                      <w:highlight w:val="none"/>
                      <w:lang w:eastAsia="zh-CN"/>
                    </w:rPr>
                    <w:t>。</w:t>
                  </w:r>
                </w:p>
              </w:tc>
              <w:tc>
                <w:tcPr>
                  <w:tcW w:w="66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与原项目一致，依托已有</w:t>
                  </w:r>
                </w:p>
              </w:tc>
            </w:tr>
          </w:tbl>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color w:val="auto"/>
                <w:sz w:val="24"/>
                <w:szCs w:val="24"/>
                <w:highlight w:val="none"/>
              </w:rPr>
            </w:pPr>
          </w:p>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三、主要产品、产能、设施及原辅材料</w:t>
            </w:r>
          </w:p>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3.1、</w:t>
            </w:r>
            <w:r>
              <w:rPr>
                <w:rFonts w:hint="default" w:ascii="Times New Roman" w:hAnsi="Times New Roman" w:eastAsia="宋体" w:cs="Times New Roman"/>
                <w:b/>
                <w:color w:val="auto"/>
                <w:sz w:val="24"/>
                <w:szCs w:val="24"/>
                <w:highlight w:val="none"/>
                <w:lang w:val="en-US" w:eastAsia="zh-CN"/>
              </w:rPr>
              <w:t>改扩建前后</w:t>
            </w:r>
            <w:r>
              <w:rPr>
                <w:rFonts w:hint="default" w:ascii="Times New Roman" w:hAnsi="Times New Roman" w:eastAsia="宋体" w:cs="Times New Roman"/>
                <w:b/>
                <w:color w:val="auto"/>
                <w:sz w:val="24"/>
                <w:szCs w:val="24"/>
                <w:highlight w:val="none"/>
              </w:rPr>
              <w:t>项目产品及产能</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项目在原址改扩建，本次改扩建是用污泥代替部分页岩制砖，</w:t>
            </w:r>
            <w:r>
              <w:rPr>
                <w:rFonts w:hint="default" w:ascii="Times New Roman" w:hAnsi="Times New Roman" w:eastAsia="宋体" w:cs="Times New Roman"/>
                <w:bCs/>
                <w:color w:val="auto"/>
                <w:kern w:val="0"/>
                <w:sz w:val="24"/>
                <w:szCs w:val="24"/>
                <w:highlight w:val="none"/>
                <w:lang w:val="en-US" w:eastAsia="zh-CN"/>
              </w:rPr>
              <w:t>改扩建后产能增加1200万块，改扩建后产能为6200万块页岩砖。</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Cs w:val="21"/>
                <w:highlight w:val="none"/>
                <w:lang w:val="zh-CN"/>
              </w:rPr>
            </w:pPr>
            <w:r>
              <w:rPr>
                <w:rFonts w:hint="default" w:ascii="Times New Roman" w:hAnsi="Times New Roman" w:eastAsia="宋体" w:cs="Times New Roman"/>
                <w:b/>
                <w:bCs/>
                <w:color w:val="auto"/>
                <w:szCs w:val="21"/>
                <w:highlight w:val="none"/>
                <w:lang w:val="zh-CN"/>
              </w:rPr>
              <w:t>表2.3-1</w:t>
            </w:r>
            <w:r>
              <w:rPr>
                <w:rFonts w:hint="default" w:ascii="Times New Roman" w:hAnsi="Times New Roman" w:eastAsia="宋体" w:cs="Times New Roman"/>
                <w:b/>
                <w:bCs/>
                <w:color w:val="auto"/>
                <w:szCs w:val="21"/>
                <w:highlight w:val="none"/>
              </w:rPr>
              <w:t xml:space="preserve">   </w:t>
            </w:r>
            <w:r>
              <w:rPr>
                <w:rFonts w:hint="default" w:ascii="Times New Roman" w:hAnsi="Times New Roman" w:eastAsia="宋体" w:cs="Times New Roman"/>
                <w:b/>
                <w:color w:val="auto"/>
                <w:szCs w:val="21"/>
                <w:highlight w:val="none"/>
                <w:lang w:val="en-US" w:eastAsia="zh-CN"/>
              </w:rPr>
              <w:t>改扩建前后项目</w:t>
            </w:r>
            <w:r>
              <w:rPr>
                <w:rFonts w:hint="default" w:ascii="Times New Roman" w:hAnsi="Times New Roman" w:eastAsia="宋体" w:cs="Times New Roman"/>
                <w:b/>
                <w:color w:val="auto"/>
                <w:szCs w:val="21"/>
                <w:highlight w:val="none"/>
              </w:rPr>
              <w:t>产品及产能</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052"/>
              <w:gridCol w:w="1834"/>
              <w:gridCol w:w="1902"/>
              <w:gridCol w:w="2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pct"/>
                  <w:noWrap w:val="0"/>
                  <w:vAlign w:val="center"/>
                </w:tcPr>
                <w:p>
                  <w:pPr>
                    <w:keepNext w:val="0"/>
                    <w:keepLines w:val="0"/>
                    <w:suppressLineNumbers w:val="0"/>
                    <w:autoSpaceDE w:val="0"/>
                    <w:autoSpaceDN w:val="0"/>
                    <w:spacing w:before="0" w:beforeAutospacing="0" w:after="0" w:afterAutospacing="0" w:line="240" w:lineRule="auto"/>
                    <w:ind w:left="0" w:right="0"/>
                    <w:contextualSpacing/>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662" w:type="pct"/>
                  <w:noWrap w:val="0"/>
                  <w:vAlign w:val="center"/>
                </w:tcPr>
                <w:p>
                  <w:pPr>
                    <w:keepNext w:val="0"/>
                    <w:keepLines w:val="0"/>
                    <w:suppressLineNumbers w:val="0"/>
                    <w:autoSpaceDE w:val="0"/>
                    <w:autoSpaceDN w:val="0"/>
                    <w:spacing w:before="0" w:beforeAutospacing="0" w:after="0" w:afterAutospacing="0" w:line="240" w:lineRule="auto"/>
                    <w:ind w:left="0" w:right="0"/>
                    <w:contextualSpacing/>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产品</w:t>
                  </w:r>
                </w:p>
                <w:p>
                  <w:pPr>
                    <w:keepNext w:val="0"/>
                    <w:keepLines w:val="0"/>
                    <w:suppressLineNumbers w:val="0"/>
                    <w:autoSpaceDE w:val="0"/>
                    <w:autoSpaceDN w:val="0"/>
                    <w:spacing w:before="0" w:beforeAutospacing="0" w:after="0" w:afterAutospacing="0" w:line="240" w:lineRule="auto"/>
                    <w:ind w:left="0" w:right="0"/>
                    <w:contextualSpacing/>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1154" w:type="pct"/>
                  <w:noWrap w:val="0"/>
                  <w:vAlign w:val="center"/>
                </w:tcPr>
                <w:p>
                  <w:pPr>
                    <w:keepNext w:val="0"/>
                    <w:keepLines w:val="0"/>
                    <w:suppressLineNumbers w:val="0"/>
                    <w:autoSpaceDE w:val="0"/>
                    <w:autoSpaceDN w:val="0"/>
                    <w:spacing w:before="0" w:beforeAutospacing="0" w:after="0" w:afterAutospacing="0" w:line="240" w:lineRule="auto"/>
                    <w:ind w:left="0" w:right="0"/>
                    <w:contextualSpacing/>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改扩建前</w:t>
                  </w:r>
                  <w:r>
                    <w:rPr>
                      <w:rFonts w:hint="default" w:ascii="Times New Roman" w:hAnsi="Times New Roman" w:eastAsia="宋体" w:cs="Times New Roman"/>
                      <w:b/>
                      <w:bCs/>
                      <w:color w:val="auto"/>
                      <w:sz w:val="21"/>
                      <w:szCs w:val="21"/>
                      <w:highlight w:val="none"/>
                    </w:rPr>
                    <w:t>生产能力</w:t>
                  </w:r>
                </w:p>
              </w:tc>
              <w:tc>
                <w:tcPr>
                  <w:tcW w:w="1197" w:type="pct"/>
                  <w:noWrap w:val="0"/>
                  <w:vAlign w:val="center"/>
                </w:tcPr>
                <w:p>
                  <w:pPr>
                    <w:keepNext w:val="0"/>
                    <w:keepLines w:val="0"/>
                    <w:suppressLineNumbers w:val="0"/>
                    <w:autoSpaceDE w:val="0"/>
                    <w:autoSpaceDN w:val="0"/>
                    <w:spacing w:before="0" w:beforeAutospacing="0" w:after="0" w:afterAutospacing="0" w:line="240" w:lineRule="auto"/>
                    <w:ind w:left="0" w:right="0"/>
                    <w:contextualSpacing/>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改扩建后</w:t>
                  </w:r>
                  <w:r>
                    <w:rPr>
                      <w:rFonts w:hint="default" w:ascii="Times New Roman" w:hAnsi="Times New Roman" w:eastAsia="宋体" w:cs="Times New Roman"/>
                      <w:b/>
                      <w:bCs/>
                      <w:color w:val="auto"/>
                      <w:sz w:val="21"/>
                      <w:szCs w:val="21"/>
                      <w:highlight w:val="none"/>
                    </w:rPr>
                    <w:t>生产能力</w:t>
                  </w:r>
                </w:p>
              </w:tc>
              <w:tc>
                <w:tcPr>
                  <w:tcW w:w="1558" w:type="pct"/>
                  <w:noWrap w:val="0"/>
                  <w:vAlign w:val="center"/>
                </w:tcPr>
                <w:p>
                  <w:pPr>
                    <w:keepNext w:val="0"/>
                    <w:keepLines w:val="0"/>
                    <w:suppressLineNumbers w:val="0"/>
                    <w:autoSpaceDE w:val="0"/>
                    <w:autoSpaceDN w:val="0"/>
                    <w:spacing w:before="0" w:beforeAutospacing="0" w:after="0" w:afterAutospacing="0" w:line="240" w:lineRule="auto"/>
                    <w:ind w:left="0" w:right="0"/>
                    <w:contextualSpacing/>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426" w:type="pct"/>
                  <w:noWrap w:val="0"/>
                  <w:vAlign w:val="center"/>
                </w:tcPr>
                <w:p>
                  <w:pPr>
                    <w:keepNext w:val="0"/>
                    <w:keepLines w:val="0"/>
                    <w:suppressLineNumbers w:val="0"/>
                    <w:autoSpaceDE w:val="0"/>
                    <w:autoSpaceDN w:val="0"/>
                    <w:spacing w:before="0" w:beforeAutospacing="0" w:after="0" w:afterAutospacing="0"/>
                    <w:ind w:left="0" w:right="0"/>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662" w:type="pct"/>
                  <w:noWrap w:val="0"/>
                  <w:vAlign w:val="center"/>
                </w:tcPr>
                <w:p>
                  <w:pPr>
                    <w:keepNext w:val="0"/>
                    <w:keepLines w:val="0"/>
                    <w:suppressLineNumbers w:val="0"/>
                    <w:autoSpaceDE w:val="0"/>
                    <w:autoSpaceDN w:val="0"/>
                    <w:spacing w:before="0" w:beforeAutospacing="0" w:after="0" w:afterAutospacing="0"/>
                    <w:ind w:left="0" w:right="0"/>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页岩砖</w:t>
                  </w:r>
                </w:p>
              </w:tc>
              <w:tc>
                <w:tcPr>
                  <w:tcW w:w="1154" w:type="pct"/>
                  <w:noWrap w:val="0"/>
                  <w:vAlign w:val="center"/>
                </w:tcPr>
                <w:p>
                  <w:pPr>
                    <w:keepNext w:val="0"/>
                    <w:keepLines w:val="0"/>
                    <w:suppressLineNumbers w:val="0"/>
                    <w:autoSpaceDE w:val="0"/>
                    <w:autoSpaceDN w:val="0"/>
                    <w:spacing w:before="0" w:beforeAutospacing="0" w:after="0" w:afterAutospacing="0"/>
                    <w:ind w:left="0" w:right="0"/>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000万</w:t>
                  </w:r>
                  <w:r>
                    <w:rPr>
                      <w:rFonts w:hint="default" w:ascii="Times New Roman" w:hAnsi="Times New Roman" w:eastAsia="宋体" w:cs="Times New Roman"/>
                      <w:bCs/>
                      <w:color w:val="auto"/>
                      <w:sz w:val="21"/>
                      <w:szCs w:val="21"/>
                      <w:highlight w:val="none"/>
                    </w:rPr>
                    <w:t>块</w:t>
                  </w:r>
                  <w:r>
                    <w:rPr>
                      <w:rFonts w:hint="default" w:ascii="Times New Roman" w:hAnsi="Times New Roman" w:eastAsia="宋体" w:cs="Times New Roman"/>
                      <w:color w:val="auto"/>
                      <w:sz w:val="21"/>
                      <w:szCs w:val="21"/>
                      <w:highlight w:val="none"/>
                    </w:rPr>
                    <w:t>/年</w:t>
                  </w:r>
                </w:p>
              </w:tc>
              <w:tc>
                <w:tcPr>
                  <w:tcW w:w="1197" w:type="pct"/>
                  <w:noWrap w:val="0"/>
                  <w:vAlign w:val="center"/>
                </w:tcPr>
                <w:p>
                  <w:pPr>
                    <w:keepNext w:val="0"/>
                    <w:keepLines w:val="0"/>
                    <w:suppressLineNumbers w:val="0"/>
                    <w:autoSpaceDE w:val="0"/>
                    <w:autoSpaceDN w:val="0"/>
                    <w:spacing w:before="0" w:beforeAutospacing="0" w:after="0" w:afterAutospacing="0"/>
                    <w:ind w:left="0" w:right="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6200万块/年</w:t>
                  </w:r>
                </w:p>
              </w:tc>
              <w:tc>
                <w:tcPr>
                  <w:tcW w:w="1558" w:type="pct"/>
                  <w:noWrap w:val="0"/>
                  <w:vAlign w:val="center"/>
                </w:tcPr>
                <w:p>
                  <w:pPr>
                    <w:keepNext w:val="0"/>
                    <w:keepLines w:val="0"/>
                    <w:suppressLineNumbers w:val="0"/>
                    <w:autoSpaceDE w:val="0"/>
                    <w:autoSpaceDN w:val="0"/>
                    <w:spacing w:before="0" w:beforeAutospacing="0" w:after="0" w:afterAutospacing="0"/>
                    <w:ind w:left="0" w:right="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改扩建后产能增加1200万块，改扩建后产能为6200万块页岩砖。</w:t>
                  </w:r>
                </w:p>
              </w:tc>
            </w:tr>
          </w:tbl>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color w:val="auto"/>
                <w:sz w:val="24"/>
                <w:szCs w:val="24"/>
                <w:highlight w:val="none"/>
              </w:rPr>
            </w:pPr>
          </w:p>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color w:val="auto"/>
                <w:sz w:val="24"/>
                <w:szCs w:val="24"/>
                <w:highlight w:val="none"/>
              </w:rPr>
              <w:t>3.</w:t>
            </w: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szCs w:val="24"/>
                <w:highlight w:val="none"/>
                <w:lang w:eastAsia="zh-CN"/>
              </w:rPr>
              <w:t>改扩建</w:t>
            </w:r>
            <w:r>
              <w:rPr>
                <w:rFonts w:hint="default" w:ascii="Times New Roman" w:hAnsi="Times New Roman" w:eastAsia="宋体" w:cs="Times New Roman"/>
                <w:b/>
                <w:color w:val="auto"/>
                <w:sz w:val="24"/>
                <w:szCs w:val="24"/>
                <w:highlight w:val="none"/>
                <w:lang w:val="en-US" w:eastAsia="zh-CN"/>
              </w:rPr>
              <w:t>后</w:t>
            </w:r>
            <w:r>
              <w:rPr>
                <w:rFonts w:hint="default" w:ascii="Times New Roman" w:hAnsi="Times New Roman" w:eastAsia="宋体" w:cs="Times New Roman"/>
                <w:b/>
                <w:color w:val="auto"/>
                <w:sz w:val="24"/>
                <w:szCs w:val="24"/>
                <w:highlight w:val="none"/>
              </w:rPr>
              <w:t>项目</w:t>
            </w:r>
            <w:r>
              <w:rPr>
                <w:rFonts w:hint="default" w:ascii="Times New Roman" w:hAnsi="Times New Roman" w:eastAsia="宋体" w:cs="Times New Roman"/>
                <w:b/>
                <w:bCs/>
                <w:color w:val="auto"/>
                <w:sz w:val="24"/>
                <w:szCs w:val="24"/>
                <w:highlight w:val="none"/>
              </w:rPr>
              <w:t>主要生产设施</w:t>
            </w:r>
            <w:r>
              <w:rPr>
                <w:rFonts w:hint="default" w:ascii="Times New Roman" w:hAnsi="Times New Roman" w:eastAsia="宋体" w:cs="Times New Roman"/>
                <w:b/>
                <w:bCs/>
                <w:color w:val="auto"/>
                <w:sz w:val="24"/>
                <w:szCs w:val="24"/>
                <w:highlight w:val="none"/>
                <w:lang w:val="en-US" w:eastAsia="zh-CN"/>
              </w:rPr>
              <w:t>及参数</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highlight w:val="none"/>
                <w:lang w:val="en-US" w:eastAsia="zh-CN"/>
              </w:rPr>
              <w:t>本次改扩建是将生产设备强力搅拌机改为螺旋搅拌机，其余设备不变</w:t>
            </w:r>
            <w:r>
              <w:rPr>
                <w:rFonts w:hint="default" w:ascii="Times New Roman" w:hAnsi="Times New Roman" w:eastAsia="宋体" w:cs="Times New Roman"/>
                <w:color w:val="auto"/>
                <w:sz w:val="24"/>
                <w:highlight w:val="none"/>
                <w:lang w:val="en-US" w:eastAsia="zh-CN"/>
              </w:rPr>
              <w:t>。</w:t>
            </w:r>
          </w:p>
          <w:p>
            <w:pPr>
              <w:keepNext w:val="0"/>
              <w:keepLines w:val="0"/>
              <w:suppressLineNumbers w:val="0"/>
              <w:autoSpaceDE w:val="0"/>
              <w:autoSpaceDN w:val="0"/>
              <w:spacing w:before="0" w:beforeAutospacing="0" w:after="0" w:afterAutospacing="0"/>
              <w:ind w:left="0" w:right="0"/>
              <w:contextualSpacing/>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bCs/>
                <w:color w:val="auto"/>
                <w:szCs w:val="21"/>
                <w:highlight w:val="none"/>
                <w:lang w:val="zh-CN"/>
              </w:rPr>
              <w:t>表2.3-</w:t>
            </w:r>
            <w:r>
              <w:rPr>
                <w:rFonts w:hint="default" w:ascii="Times New Roman" w:hAnsi="Times New Roman" w:eastAsia="宋体" w:cs="Times New Roman"/>
                <w:b/>
                <w:bCs/>
                <w:color w:val="auto"/>
                <w:szCs w:val="21"/>
                <w:highlight w:val="none"/>
                <w:lang w:val="en-US" w:eastAsia="zh-CN"/>
              </w:rPr>
              <w:t>2</w:t>
            </w:r>
            <w:r>
              <w:rPr>
                <w:rFonts w:hint="default" w:ascii="Times New Roman" w:hAnsi="Times New Roman" w:eastAsia="宋体" w:cs="Times New Roman"/>
                <w:b/>
                <w:bCs/>
                <w:color w:val="auto"/>
                <w:szCs w:val="21"/>
                <w:highlight w:val="none"/>
              </w:rPr>
              <w:t xml:space="preserve">   </w:t>
            </w:r>
            <w:r>
              <w:rPr>
                <w:rFonts w:hint="default" w:ascii="Times New Roman" w:hAnsi="Times New Roman" w:eastAsia="宋体" w:cs="Times New Roman"/>
                <w:b/>
                <w:bCs/>
                <w:color w:val="auto"/>
                <w:szCs w:val="21"/>
                <w:highlight w:val="none"/>
                <w:lang w:eastAsia="zh-CN"/>
              </w:rPr>
              <w:t>改扩建</w:t>
            </w:r>
            <w:r>
              <w:rPr>
                <w:rFonts w:hint="default" w:ascii="Times New Roman" w:hAnsi="Times New Roman" w:eastAsia="宋体" w:cs="Times New Roman"/>
                <w:b/>
                <w:bCs/>
                <w:color w:val="auto"/>
                <w:szCs w:val="21"/>
                <w:highlight w:val="none"/>
                <w:lang w:val="en-US" w:eastAsia="zh-CN"/>
              </w:rPr>
              <w:t>后</w:t>
            </w:r>
            <w:r>
              <w:rPr>
                <w:rFonts w:hint="default" w:ascii="Times New Roman" w:hAnsi="Times New Roman" w:eastAsia="宋体" w:cs="Times New Roman"/>
                <w:b/>
                <w:color w:val="auto"/>
                <w:szCs w:val="21"/>
                <w:highlight w:val="none"/>
              </w:rPr>
              <w:t>项目</w:t>
            </w:r>
            <w:r>
              <w:rPr>
                <w:rFonts w:hint="default" w:ascii="Times New Roman" w:hAnsi="Times New Roman" w:eastAsia="宋体" w:cs="Times New Roman"/>
                <w:b/>
                <w:color w:val="auto"/>
                <w:szCs w:val="21"/>
                <w:highlight w:val="none"/>
                <w:lang w:val="en-US" w:eastAsia="zh-CN"/>
              </w:rPr>
              <w:t>生产</w:t>
            </w:r>
            <w:r>
              <w:rPr>
                <w:rFonts w:hint="default" w:ascii="Times New Roman" w:hAnsi="Times New Roman" w:eastAsia="宋体" w:cs="Times New Roman"/>
                <w:b/>
                <w:color w:val="auto"/>
                <w:szCs w:val="21"/>
                <w:highlight w:val="none"/>
              </w:rPr>
              <w:t>设施及参数</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2"/>
              <w:gridCol w:w="1841"/>
              <w:gridCol w:w="1795"/>
              <w:gridCol w:w="1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1" w:type="pct"/>
                  <w:vMerge w:val="restart"/>
                  <w:noWrap w:val="0"/>
                  <w:vAlign w:val="center"/>
                </w:tcPr>
                <w:p>
                  <w:pPr>
                    <w:keepNext w:val="0"/>
                    <w:keepLines w:val="0"/>
                    <w:suppressLineNumbers w:val="0"/>
                    <w:autoSpaceDE w:val="0"/>
                    <w:autoSpaceDN w:val="0"/>
                    <w:spacing w:before="0" w:beforeAutospacing="0" w:after="0" w:afterAutospacing="0"/>
                    <w:ind w:left="0" w:right="0"/>
                    <w:contextualSpacing/>
                    <w:jc w:val="center"/>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b/>
                      <w:color w:val="auto"/>
                      <w:kern w:val="0"/>
                      <w:sz w:val="21"/>
                      <w:szCs w:val="21"/>
                      <w:highlight w:val="none"/>
                    </w:rPr>
                    <w:t>设备名称</w:t>
                  </w:r>
                </w:p>
              </w:tc>
              <w:tc>
                <w:tcPr>
                  <w:tcW w:w="2289" w:type="pct"/>
                  <w:gridSpan w:val="2"/>
                  <w:noWrap w:val="0"/>
                  <w:vAlign w:val="center"/>
                </w:tcPr>
                <w:p>
                  <w:pPr>
                    <w:keepNext w:val="0"/>
                    <w:keepLines w:val="0"/>
                    <w:suppressLineNumbers w:val="0"/>
                    <w:autoSpaceDE w:val="0"/>
                    <w:autoSpaceDN w:val="0"/>
                    <w:spacing w:before="0" w:beforeAutospacing="0" w:after="0" w:afterAutospacing="0"/>
                    <w:ind w:left="0" w:right="0"/>
                    <w:contextualSpacing/>
                    <w:jc w:val="center"/>
                    <w:rPr>
                      <w:rFonts w:hint="default" w:ascii="Times New Roman" w:hAnsi="Times New Roman" w:eastAsia="宋体" w:cs="Times New Roman"/>
                      <w:b/>
                      <w:color w:val="auto"/>
                      <w:sz w:val="21"/>
                      <w:szCs w:val="21"/>
                      <w:highlight w:val="none"/>
                      <w:vertAlign w:val="baseline"/>
                    </w:rPr>
                  </w:pPr>
                  <w:r>
                    <w:rPr>
                      <w:rFonts w:hint="default" w:ascii="Times New Roman" w:hAnsi="Times New Roman" w:eastAsia="宋体" w:cs="Times New Roman"/>
                      <w:b/>
                      <w:color w:val="auto"/>
                      <w:sz w:val="21"/>
                      <w:szCs w:val="21"/>
                      <w:highlight w:val="none"/>
                      <w:vertAlign w:val="baseline"/>
                      <w:lang w:val="en-US" w:eastAsia="zh-CN"/>
                    </w:rPr>
                    <w:t>改扩建后</w:t>
                  </w:r>
                  <w:r>
                    <w:rPr>
                      <w:rFonts w:hint="default" w:ascii="Times New Roman" w:hAnsi="Times New Roman" w:eastAsia="宋体" w:cs="Times New Roman"/>
                      <w:b/>
                      <w:color w:val="auto"/>
                      <w:kern w:val="0"/>
                      <w:sz w:val="21"/>
                      <w:szCs w:val="21"/>
                      <w:highlight w:val="none"/>
                    </w:rPr>
                    <w:t>设备</w:t>
                  </w:r>
                  <w:r>
                    <w:rPr>
                      <w:rFonts w:hint="default" w:ascii="Times New Roman" w:hAnsi="Times New Roman" w:eastAsia="宋体" w:cs="Times New Roman"/>
                      <w:b/>
                      <w:color w:val="auto"/>
                      <w:kern w:val="0"/>
                      <w:sz w:val="21"/>
                      <w:szCs w:val="21"/>
                      <w:highlight w:val="none"/>
                      <w:lang w:val="en-US" w:eastAsia="zh-CN"/>
                    </w:rPr>
                    <w:t>参数</w:t>
                  </w:r>
                </w:p>
              </w:tc>
              <w:tc>
                <w:tcPr>
                  <w:tcW w:w="1128" w:type="pct"/>
                  <w:vMerge w:val="restart"/>
                  <w:noWrap w:val="0"/>
                  <w:vAlign w:val="center"/>
                </w:tcPr>
                <w:p>
                  <w:pPr>
                    <w:keepNext w:val="0"/>
                    <w:keepLines w:val="0"/>
                    <w:suppressLineNumbers w:val="0"/>
                    <w:autoSpaceDE w:val="0"/>
                    <w:autoSpaceDN w:val="0"/>
                    <w:spacing w:before="0" w:beforeAutospacing="0" w:after="0" w:afterAutospacing="0"/>
                    <w:ind w:left="0" w:right="0"/>
                    <w:contextualSpacing/>
                    <w:jc w:val="center"/>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b/>
                      <w:color w:val="auto"/>
                      <w:sz w:val="21"/>
                      <w:szCs w:val="21"/>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1" w:type="pct"/>
                  <w:vMerge w:val="continue"/>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b/>
                      <w:color w:val="auto"/>
                      <w:kern w:val="0"/>
                      <w:sz w:val="21"/>
                      <w:szCs w:val="21"/>
                      <w:highlight w:val="none"/>
                      <w:lang w:val="en-US" w:eastAsia="zh-CN" w:bidi="ar-SA"/>
                    </w:rPr>
                  </w:pPr>
                </w:p>
              </w:tc>
              <w:tc>
                <w:tcPr>
                  <w:tcW w:w="1159"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lang w:val="en-US" w:eastAsia="zh-CN" w:bidi="ar-SA"/>
                    </w:rPr>
                    <w:t>型号</w:t>
                  </w:r>
                </w:p>
              </w:tc>
              <w:tc>
                <w:tcPr>
                  <w:tcW w:w="1130"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rPr>
                    <w:t>设备数量</w:t>
                  </w:r>
                </w:p>
              </w:tc>
              <w:tc>
                <w:tcPr>
                  <w:tcW w:w="1128" w:type="pct"/>
                  <w:vMerge w:val="continue"/>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1"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真空制砖机</w:t>
                  </w:r>
                </w:p>
              </w:tc>
              <w:tc>
                <w:tcPr>
                  <w:tcW w:w="1159"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60型双级真空</w:t>
                  </w:r>
                </w:p>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制砖机</w:t>
                  </w:r>
                </w:p>
              </w:tc>
              <w:tc>
                <w:tcPr>
                  <w:tcW w:w="1130"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1套</w:t>
                  </w:r>
                </w:p>
              </w:tc>
              <w:tc>
                <w:tcPr>
                  <w:tcW w:w="1128"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依托已有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1"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给料机</w:t>
                  </w:r>
                </w:p>
              </w:tc>
              <w:tc>
                <w:tcPr>
                  <w:tcW w:w="1159"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1130"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1台</w:t>
                  </w:r>
                </w:p>
              </w:tc>
              <w:tc>
                <w:tcPr>
                  <w:tcW w:w="1128"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依托已有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1"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螺旋搅拌机</w:t>
                  </w:r>
                </w:p>
              </w:tc>
              <w:tc>
                <w:tcPr>
                  <w:tcW w:w="1159"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w:t>
                  </w:r>
                </w:p>
              </w:tc>
              <w:tc>
                <w:tcPr>
                  <w:tcW w:w="1130"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1台</w:t>
                  </w:r>
                </w:p>
              </w:tc>
              <w:tc>
                <w:tcPr>
                  <w:tcW w:w="1128"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本次改扩建新增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1"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综合</w:t>
                  </w:r>
                  <w:r>
                    <w:rPr>
                      <w:rFonts w:hint="default" w:ascii="Times New Roman" w:hAnsi="Times New Roman" w:eastAsia="宋体" w:cs="Times New Roman"/>
                      <w:color w:val="auto"/>
                      <w:kern w:val="0"/>
                      <w:sz w:val="21"/>
                      <w:szCs w:val="21"/>
                      <w:highlight w:val="none"/>
                    </w:rPr>
                    <w:t>搅拌机</w:t>
                  </w:r>
                </w:p>
              </w:tc>
              <w:tc>
                <w:tcPr>
                  <w:tcW w:w="1159"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w:t>
                  </w:r>
                </w:p>
              </w:tc>
              <w:tc>
                <w:tcPr>
                  <w:tcW w:w="1130"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1台</w:t>
                  </w:r>
                </w:p>
              </w:tc>
              <w:tc>
                <w:tcPr>
                  <w:tcW w:w="1128"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依托已有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581"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自动码坯机</w:t>
                  </w:r>
                </w:p>
              </w:tc>
              <w:tc>
                <w:tcPr>
                  <w:tcW w:w="1159"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w:t>
                  </w:r>
                </w:p>
              </w:tc>
              <w:tc>
                <w:tcPr>
                  <w:tcW w:w="1130"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2台</w:t>
                  </w:r>
                </w:p>
              </w:tc>
              <w:tc>
                <w:tcPr>
                  <w:tcW w:w="1128"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依托已有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1"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50型装载机</w:t>
                  </w:r>
                </w:p>
              </w:tc>
              <w:tc>
                <w:tcPr>
                  <w:tcW w:w="1159"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50型2台、</w:t>
                  </w:r>
                </w:p>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30型1台</w:t>
                  </w:r>
                </w:p>
              </w:tc>
              <w:tc>
                <w:tcPr>
                  <w:tcW w:w="1130"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3台</w:t>
                  </w:r>
                </w:p>
              </w:tc>
              <w:tc>
                <w:tcPr>
                  <w:tcW w:w="1128"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依托已有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1"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空压机</w:t>
                  </w:r>
                </w:p>
              </w:tc>
              <w:tc>
                <w:tcPr>
                  <w:tcW w:w="1159"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一台30kW、</w:t>
                  </w:r>
                </w:p>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一台11kW</w:t>
                  </w:r>
                </w:p>
              </w:tc>
              <w:tc>
                <w:tcPr>
                  <w:tcW w:w="1130"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2台</w:t>
                  </w:r>
                </w:p>
              </w:tc>
              <w:tc>
                <w:tcPr>
                  <w:tcW w:w="1128"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依托已有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1"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颚式破碎机</w:t>
                  </w:r>
                </w:p>
              </w:tc>
              <w:tc>
                <w:tcPr>
                  <w:tcW w:w="1159"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69型</w:t>
                  </w:r>
                </w:p>
              </w:tc>
              <w:tc>
                <w:tcPr>
                  <w:tcW w:w="1130"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1台</w:t>
                  </w:r>
                </w:p>
              </w:tc>
              <w:tc>
                <w:tcPr>
                  <w:tcW w:w="1128"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依托已有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1"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滚筛机</w:t>
                  </w:r>
                </w:p>
              </w:tc>
              <w:tc>
                <w:tcPr>
                  <w:tcW w:w="1159"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1.8m*5m</w:t>
                  </w:r>
                </w:p>
              </w:tc>
              <w:tc>
                <w:tcPr>
                  <w:tcW w:w="1130"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2台</w:t>
                  </w:r>
                </w:p>
              </w:tc>
              <w:tc>
                <w:tcPr>
                  <w:tcW w:w="1128"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依托已有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1"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切砖机</w:t>
                  </w:r>
                </w:p>
              </w:tc>
              <w:tc>
                <w:tcPr>
                  <w:tcW w:w="1159"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w:t>
                  </w:r>
                </w:p>
              </w:tc>
              <w:tc>
                <w:tcPr>
                  <w:tcW w:w="1130"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2台</w:t>
                  </w:r>
                </w:p>
              </w:tc>
              <w:tc>
                <w:tcPr>
                  <w:tcW w:w="1128"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依托已有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1"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风机</w:t>
                  </w:r>
                </w:p>
              </w:tc>
              <w:tc>
                <w:tcPr>
                  <w:tcW w:w="1159"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55kW*2（一备一用）、90kW*1</w:t>
                  </w:r>
                </w:p>
              </w:tc>
              <w:tc>
                <w:tcPr>
                  <w:tcW w:w="1130"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3台</w:t>
                  </w:r>
                </w:p>
              </w:tc>
              <w:tc>
                <w:tcPr>
                  <w:tcW w:w="1128"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依托已有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1"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脱硫塔</w:t>
                  </w:r>
                </w:p>
              </w:tc>
              <w:tc>
                <w:tcPr>
                  <w:tcW w:w="1159"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1130"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1套</w:t>
                  </w:r>
                </w:p>
              </w:tc>
              <w:tc>
                <w:tcPr>
                  <w:tcW w:w="1128"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依托已有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1"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布袋除尘器</w:t>
                  </w:r>
                </w:p>
              </w:tc>
              <w:tc>
                <w:tcPr>
                  <w:tcW w:w="1159"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1130"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1套</w:t>
                  </w:r>
                </w:p>
              </w:tc>
              <w:tc>
                <w:tcPr>
                  <w:tcW w:w="1128"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依托已有</w:t>
                  </w:r>
                </w:p>
              </w:tc>
            </w:tr>
          </w:tbl>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
                <w:color w:val="auto"/>
                <w:sz w:val="24"/>
                <w:szCs w:val="24"/>
                <w:highlight w:val="none"/>
              </w:rPr>
              <w:t>3.</w:t>
            </w:r>
            <w:r>
              <w:rPr>
                <w:rFonts w:hint="default" w:ascii="Times New Roman" w:hAnsi="Times New Roman" w:eastAsia="宋体"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rPr>
              <w:t>、项目主要</w:t>
            </w:r>
            <w:r>
              <w:rPr>
                <w:rFonts w:hint="default" w:ascii="Times New Roman" w:hAnsi="Times New Roman" w:eastAsia="宋体" w:cs="Times New Roman"/>
                <w:b/>
                <w:bCs/>
                <w:color w:val="auto"/>
                <w:sz w:val="24"/>
                <w:szCs w:val="24"/>
                <w:highlight w:val="none"/>
              </w:rPr>
              <w:t>原辅材料及燃料的种类、用量</w:t>
            </w:r>
          </w:p>
          <w:p>
            <w:pPr>
              <w:keepNext w:val="0"/>
              <w:keepLines w:val="0"/>
              <w:suppressLineNumbers w:val="0"/>
              <w:autoSpaceDE w:val="0"/>
              <w:autoSpaceDN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b/>
                <w:bCs/>
                <w:color w:val="auto"/>
                <w:szCs w:val="21"/>
                <w:highlight w:val="none"/>
                <w:lang w:val="zh-CN"/>
              </w:rPr>
              <w:t>表2.</w:t>
            </w:r>
            <w:r>
              <w:rPr>
                <w:rFonts w:hint="default" w:ascii="Times New Roman" w:hAnsi="Times New Roman" w:eastAsia="宋体" w:cs="Times New Roman"/>
                <w:b/>
                <w:color w:val="auto"/>
                <w:szCs w:val="21"/>
                <w:highlight w:val="none"/>
              </w:rPr>
              <w:t>3-</w:t>
            </w:r>
            <w:r>
              <w:rPr>
                <w:rFonts w:hint="default" w:ascii="Times New Roman" w:hAnsi="Times New Roman" w:eastAsia="宋体" w:cs="Times New Roman"/>
                <w:b/>
                <w:color w:val="auto"/>
                <w:szCs w:val="21"/>
                <w:highlight w:val="none"/>
                <w:lang w:val="en-US" w:eastAsia="zh-CN"/>
              </w:rPr>
              <w:t>3</w:t>
            </w:r>
            <w:r>
              <w:rPr>
                <w:rFonts w:hint="default" w:ascii="Times New Roman" w:hAnsi="Times New Roman" w:eastAsia="宋体" w:cs="Times New Roman"/>
                <w:b/>
                <w:bCs/>
                <w:color w:val="auto"/>
                <w:szCs w:val="21"/>
                <w:highlight w:val="none"/>
                <w:lang w:val="zh-CN"/>
              </w:rPr>
              <w:t xml:space="preserve">  </w:t>
            </w:r>
            <w:r>
              <w:rPr>
                <w:rFonts w:hint="default" w:ascii="Times New Roman" w:hAnsi="Times New Roman" w:eastAsia="宋体" w:cs="Times New Roman"/>
                <w:b/>
                <w:bCs/>
                <w:color w:val="auto"/>
                <w:szCs w:val="21"/>
                <w:highlight w:val="none"/>
              </w:rPr>
              <w:t xml:space="preserve"> </w:t>
            </w:r>
            <w:r>
              <w:rPr>
                <w:rFonts w:hint="default" w:ascii="Times New Roman" w:hAnsi="Times New Roman" w:eastAsia="宋体" w:cs="Times New Roman"/>
                <w:b/>
                <w:color w:val="auto"/>
                <w:szCs w:val="21"/>
                <w:highlight w:val="none"/>
              </w:rPr>
              <w:t>项目</w:t>
            </w:r>
            <w:r>
              <w:rPr>
                <w:rFonts w:hint="default" w:ascii="Times New Roman" w:hAnsi="Times New Roman" w:eastAsia="宋体" w:cs="Times New Roman"/>
                <w:b/>
                <w:bCs/>
                <w:color w:val="auto"/>
                <w:szCs w:val="21"/>
                <w:highlight w:val="none"/>
                <w:lang w:val="zh-CN"/>
              </w:rPr>
              <w:t>主要原辅材料及燃料表</w:t>
            </w:r>
          </w:p>
          <w:tbl>
            <w:tblPr>
              <w:tblStyle w:val="23"/>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800"/>
              <w:gridCol w:w="1344"/>
              <w:gridCol w:w="1255"/>
              <w:gridCol w:w="990"/>
              <w:gridCol w:w="898"/>
              <w:gridCol w:w="891"/>
              <w:gridCol w:w="783"/>
              <w:gridCol w:w="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zh-CN"/>
                    </w:rPr>
                  </w:pPr>
                  <w:r>
                    <w:rPr>
                      <w:rFonts w:hint="default" w:ascii="Times New Roman" w:hAnsi="Times New Roman" w:eastAsia="宋体" w:cs="Times New Roman"/>
                      <w:b/>
                      <w:color w:val="auto"/>
                      <w:sz w:val="21"/>
                      <w:szCs w:val="21"/>
                      <w:highlight w:val="none"/>
                    </w:rPr>
                    <w:t>序号</w:t>
                  </w:r>
                </w:p>
              </w:tc>
              <w:tc>
                <w:tcPr>
                  <w:tcW w:w="503"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材料名称</w:t>
                  </w:r>
                </w:p>
              </w:tc>
              <w:tc>
                <w:tcPr>
                  <w:tcW w:w="846"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eastAsia="zh-CN"/>
                    </w:rPr>
                    <w:t>改扩建</w:t>
                  </w:r>
                  <w:r>
                    <w:rPr>
                      <w:rFonts w:hint="default" w:ascii="Times New Roman" w:hAnsi="Times New Roman" w:eastAsia="宋体" w:cs="Times New Roman"/>
                      <w:b/>
                      <w:bCs/>
                      <w:color w:val="auto"/>
                      <w:sz w:val="21"/>
                      <w:szCs w:val="21"/>
                      <w:highlight w:val="none"/>
                    </w:rPr>
                    <w:t>前年耗量</w:t>
                  </w:r>
                </w:p>
              </w:tc>
              <w:tc>
                <w:tcPr>
                  <w:tcW w:w="790"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eastAsia="zh-CN"/>
                    </w:rPr>
                    <w:t>改扩建</w:t>
                  </w:r>
                  <w:r>
                    <w:rPr>
                      <w:rFonts w:hint="default" w:ascii="Times New Roman" w:hAnsi="Times New Roman" w:eastAsia="宋体" w:cs="Times New Roman"/>
                      <w:b/>
                      <w:bCs/>
                      <w:color w:val="auto"/>
                      <w:sz w:val="21"/>
                      <w:szCs w:val="21"/>
                      <w:highlight w:val="none"/>
                    </w:rPr>
                    <w:t>后年耗量</w:t>
                  </w:r>
                </w:p>
              </w:tc>
              <w:tc>
                <w:tcPr>
                  <w:tcW w:w="623"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eastAsia="zh-CN"/>
                    </w:rPr>
                    <w:t>改扩建</w:t>
                  </w:r>
                  <w:r>
                    <w:rPr>
                      <w:rFonts w:hint="default" w:ascii="Times New Roman" w:hAnsi="Times New Roman" w:eastAsia="宋体" w:cs="Times New Roman"/>
                      <w:b/>
                      <w:bCs/>
                      <w:color w:val="auto"/>
                      <w:sz w:val="21"/>
                      <w:szCs w:val="21"/>
                      <w:highlight w:val="none"/>
                    </w:rPr>
                    <w:t>后增加的量</w:t>
                  </w:r>
                </w:p>
              </w:tc>
              <w:tc>
                <w:tcPr>
                  <w:tcW w:w="565"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来源</w:t>
                  </w:r>
                </w:p>
              </w:tc>
              <w:tc>
                <w:tcPr>
                  <w:tcW w:w="561"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最大储存量</w:t>
                  </w:r>
                </w:p>
              </w:tc>
              <w:tc>
                <w:tcPr>
                  <w:tcW w:w="493"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备注</w:t>
                  </w:r>
                </w:p>
              </w:tc>
              <w:tc>
                <w:tcPr>
                  <w:tcW w:w="350"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503"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页岩</w:t>
                  </w:r>
                </w:p>
              </w:tc>
              <w:tc>
                <w:tcPr>
                  <w:tcW w:w="846"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125000</w:t>
                  </w:r>
                  <w:r>
                    <w:rPr>
                      <w:rFonts w:hint="default" w:ascii="Times New Roman" w:hAnsi="Times New Roman" w:eastAsia="宋体" w:cs="Times New Roman"/>
                      <w:color w:val="auto"/>
                      <w:kern w:val="0"/>
                      <w:sz w:val="21"/>
                      <w:szCs w:val="21"/>
                      <w:highlight w:val="none"/>
                      <w:lang w:val="en-US" w:eastAsia="zh-CN"/>
                    </w:rPr>
                    <w:t>t/a</w:t>
                  </w:r>
                </w:p>
              </w:tc>
              <w:tc>
                <w:tcPr>
                  <w:tcW w:w="790"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129167t/a</w:t>
                  </w:r>
                </w:p>
              </w:tc>
              <w:tc>
                <w:tcPr>
                  <w:tcW w:w="623"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+4167t/a</w:t>
                  </w:r>
                </w:p>
              </w:tc>
              <w:tc>
                <w:tcPr>
                  <w:tcW w:w="565"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外购</w:t>
                  </w:r>
                </w:p>
              </w:tc>
              <w:tc>
                <w:tcPr>
                  <w:tcW w:w="561"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t</w:t>
                  </w:r>
                </w:p>
              </w:tc>
              <w:tc>
                <w:tcPr>
                  <w:tcW w:w="493"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原料堆场</w:t>
                  </w:r>
                </w:p>
              </w:tc>
              <w:tc>
                <w:tcPr>
                  <w:tcW w:w="350"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全过程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503"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褐煤</w:t>
                  </w:r>
                </w:p>
              </w:tc>
              <w:tc>
                <w:tcPr>
                  <w:tcW w:w="846"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20000</w:t>
                  </w:r>
                  <w:r>
                    <w:rPr>
                      <w:rFonts w:hint="default" w:ascii="Times New Roman" w:hAnsi="Times New Roman" w:eastAsia="宋体" w:cs="Times New Roman"/>
                      <w:color w:val="auto"/>
                      <w:kern w:val="0"/>
                      <w:sz w:val="21"/>
                      <w:szCs w:val="21"/>
                      <w:highlight w:val="none"/>
                      <w:lang w:val="en-US" w:eastAsia="zh-CN"/>
                    </w:rPr>
                    <w:t>t/a</w:t>
                  </w:r>
                </w:p>
              </w:tc>
              <w:tc>
                <w:tcPr>
                  <w:tcW w:w="790"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24800t/a</w:t>
                  </w:r>
                </w:p>
              </w:tc>
              <w:tc>
                <w:tcPr>
                  <w:tcW w:w="623"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+4800t/a</w:t>
                  </w:r>
                </w:p>
              </w:tc>
              <w:tc>
                <w:tcPr>
                  <w:tcW w:w="565"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rPr>
                    <w:t>寻甸县先锋郭家山煤矿有限公司</w:t>
                  </w:r>
                </w:p>
              </w:tc>
              <w:tc>
                <w:tcPr>
                  <w:tcW w:w="561"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t</w:t>
                  </w:r>
                </w:p>
              </w:tc>
              <w:tc>
                <w:tcPr>
                  <w:tcW w:w="493"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en-US" w:eastAsia="zh-CN"/>
                    </w:rPr>
                    <w:t>原料堆场</w:t>
                  </w:r>
                </w:p>
              </w:tc>
              <w:tc>
                <w:tcPr>
                  <w:tcW w:w="350"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全过程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503"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炉渣</w:t>
                  </w:r>
                </w:p>
              </w:tc>
              <w:tc>
                <w:tcPr>
                  <w:tcW w:w="846"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3000</w:t>
                  </w:r>
                  <w:r>
                    <w:rPr>
                      <w:rFonts w:hint="default" w:ascii="Times New Roman" w:hAnsi="Times New Roman" w:eastAsia="宋体" w:cs="Times New Roman"/>
                      <w:color w:val="auto"/>
                      <w:kern w:val="0"/>
                      <w:sz w:val="21"/>
                      <w:szCs w:val="21"/>
                      <w:highlight w:val="none"/>
                      <w:lang w:val="en-US" w:eastAsia="zh-CN"/>
                    </w:rPr>
                    <w:t>t/a</w:t>
                  </w:r>
                </w:p>
              </w:tc>
              <w:tc>
                <w:tcPr>
                  <w:tcW w:w="790"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3720t/a</w:t>
                  </w:r>
                </w:p>
              </w:tc>
              <w:tc>
                <w:tcPr>
                  <w:tcW w:w="623"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+720t/a</w:t>
                  </w:r>
                </w:p>
              </w:tc>
              <w:tc>
                <w:tcPr>
                  <w:tcW w:w="565"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外购</w:t>
                  </w:r>
                </w:p>
              </w:tc>
              <w:tc>
                <w:tcPr>
                  <w:tcW w:w="561"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p>
              </w:tc>
              <w:tc>
                <w:tcPr>
                  <w:tcW w:w="493"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原料堆场</w:t>
                  </w:r>
                </w:p>
              </w:tc>
              <w:tc>
                <w:tcPr>
                  <w:tcW w:w="35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全过程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4</w:t>
                  </w:r>
                </w:p>
              </w:tc>
              <w:tc>
                <w:tcPr>
                  <w:tcW w:w="503"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污泥</w:t>
                  </w:r>
                </w:p>
              </w:tc>
              <w:tc>
                <w:tcPr>
                  <w:tcW w:w="846"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790"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25834t/a</w:t>
                  </w:r>
                </w:p>
              </w:tc>
              <w:tc>
                <w:tcPr>
                  <w:tcW w:w="623"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+25834t/a</w:t>
                  </w:r>
                </w:p>
              </w:tc>
              <w:tc>
                <w:tcPr>
                  <w:tcW w:w="565"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昆明渝润水务有限公司（昆明市第十四水质净化厂）</w:t>
                  </w:r>
                </w:p>
              </w:tc>
              <w:tc>
                <w:tcPr>
                  <w:tcW w:w="561"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kern w:val="0"/>
                      <w:sz w:val="21"/>
                      <w:szCs w:val="21"/>
                      <w:highlight w:val="none"/>
                      <w:lang w:val="en-US" w:eastAsia="zh-CN"/>
                    </w:rPr>
                    <w:t>t</w:t>
                  </w:r>
                </w:p>
              </w:tc>
              <w:tc>
                <w:tcPr>
                  <w:tcW w:w="493"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原料堆场</w:t>
                  </w:r>
                </w:p>
              </w:tc>
              <w:tc>
                <w:tcPr>
                  <w:tcW w:w="35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全过程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5</w:t>
                  </w:r>
                </w:p>
              </w:tc>
              <w:tc>
                <w:tcPr>
                  <w:tcW w:w="503" w:type="pct"/>
                  <w:noWrap w:val="0"/>
                  <w:vAlign w:val="center"/>
                </w:tcPr>
                <w:p>
                  <w:pPr>
                    <w:pStyle w:val="6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生石灰</w:t>
                  </w:r>
                </w:p>
              </w:tc>
              <w:tc>
                <w:tcPr>
                  <w:tcW w:w="846"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779t/a</w:t>
                  </w:r>
                </w:p>
              </w:tc>
              <w:tc>
                <w:tcPr>
                  <w:tcW w:w="790"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186t/a</w:t>
                  </w:r>
                </w:p>
              </w:tc>
              <w:tc>
                <w:tcPr>
                  <w:tcW w:w="623"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-593t/a</w:t>
                  </w:r>
                </w:p>
              </w:tc>
              <w:tc>
                <w:tcPr>
                  <w:tcW w:w="565"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外购</w:t>
                  </w:r>
                </w:p>
              </w:tc>
              <w:tc>
                <w:tcPr>
                  <w:tcW w:w="561"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250kg</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25kg</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袋</w:t>
                  </w:r>
                  <w:r>
                    <w:rPr>
                      <w:rFonts w:hint="default" w:ascii="Times New Roman" w:hAnsi="Times New Roman" w:eastAsia="宋体" w:cs="Times New Roman"/>
                      <w:color w:val="auto"/>
                      <w:sz w:val="21"/>
                      <w:szCs w:val="21"/>
                      <w:highlight w:val="none"/>
                      <w:lang w:eastAsia="zh-CN"/>
                    </w:rPr>
                    <w:t>）</w:t>
                  </w:r>
                </w:p>
              </w:tc>
              <w:tc>
                <w:tcPr>
                  <w:tcW w:w="493" w:type="pct"/>
                  <w:noWrap w:val="0"/>
                  <w:vAlign w:val="center"/>
                </w:tcPr>
                <w:p>
                  <w:pPr>
                    <w:keepNext w:val="0"/>
                    <w:keepLines w:val="0"/>
                    <w:suppressLineNumbers w:val="0"/>
                    <w:autoSpaceDE w:val="0"/>
                    <w:autoSpaceDN w:val="0"/>
                    <w:spacing w:before="0" w:beforeAutospacing="0" w:after="0" w:afterAutospacing="0"/>
                    <w:ind w:left="0" w:right="0"/>
                    <w:contextualSpacing/>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分区存放于循环池附近的堆放区，设置石棉瓦顶棚，地面硬化。</w:t>
                  </w:r>
                </w:p>
              </w:tc>
              <w:tc>
                <w:tcPr>
                  <w:tcW w:w="35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脱硫塔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6</w:t>
                  </w:r>
                </w:p>
              </w:tc>
              <w:tc>
                <w:tcPr>
                  <w:tcW w:w="503" w:type="pct"/>
                  <w:noWrap w:val="0"/>
                  <w:vAlign w:val="center"/>
                </w:tcPr>
                <w:p>
                  <w:pPr>
                    <w:pStyle w:val="6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氢氧化钠</w:t>
                  </w:r>
                </w:p>
              </w:tc>
              <w:tc>
                <w:tcPr>
                  <w:tcW w:w="846" w:type="pct"/>
                  <w:noWrap w:val="0"/>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595t/a</w:t>
                  </w:r>
                </w:p>
              </w:tc>
              <w:tc>
                <w:tcPr>
                  <w:tcW w:w="790"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142t/a</w:t>
                  </w:r>
                </w:p>
              </w:tc>
              <w:tc>
                <w:tcPr>
                  <w:tcW w:w="623"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-453t/a</w:t>
                  </w:r>
                </w:p>
              </w:tc>
              <w:tc>
                <w:tcPr>
                  <w:tcW w:w="565"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外购</w:t>
                  </w:r>
                </w:p>
              </w:tc>
              <w:tc>
                <w:tcPr>
                  <w:tcW w:w="561"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250kg</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25kg</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袋</w:t>
                  </w:r>
                  <w:r>
                    <w:rPr>
                      <w:rFonts w:hint="default" w:ascii="Times New Roman" w:hAnsi="Times New Roman" w:eastAsia="宋体" w:cs="Times New Roman"/>
                      <w:color w:val="auto"/>
                      <w:sz w:val="21"/>
                      <w:szCs w:val="21"/>
                      <w:highlight w:val="none"/>
                      <w:lang w:eastAsia="zh-CN"/>
                    </w:rPr>
                    <w:t>）</w:t>
                  </w:r>
                </w:p>
              </w:tc>
              <w:tc>
                <w:tcPr>
                  <w:tcW w:w="493" w:type="pct"/>
                  <w:noWrap w:val="0"/>
                  <w:vAlign w:val="center"/>
                </w:tcPr>
                <w:p>
                  <w:pPr>
                    <w:keepNext w:val="0"/>
                    <w:keepLines w:val="0"/>
                    <w:suppressLineNumbers w:val="0"/>
                    <w:autoSpaceDE w:val="0"/>
                    <w:autoSpaceDN w:val="0"/>
                    <w:spacing w:before="0" w:beforeAutospacing="0" w:after="0" w:afterAutospacing="0"/>
                    <w:ind w:left="0" w:right="0"/>
                    <w:contextualSpacing/>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分区存放于循环池附近的堆放区，设置石棉瓦顶棚，地面硬化；</w:t>
                  </w:r>
                </w:p>
              </w:tc>
              <w:tc>
                <w:tcPr>
                  <w:tcW w:w="35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脱硫塔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4"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7</w:t>
                  </w:r>
                </w:p>
              </w:tc>
              <w:tc>
                <w:tcPr>
                  <w:tcW w:w="503"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rPr>
                    <w:t>水</w:t>
                  </w:r>
                </w:p>
              </w:tc>
              <w:tc>
                <w:tcPr>
                  <w:tcW w:w="846"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1590421.24t/a</w:t>
                  </w:r>
                </w:p>
              </w:tc>
              <w:tc>
                <w:tcPr>
                  <w:tcW w:w="790"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1594570.85t/a</w:t>
                  </w:r>
                </w:p>
              </w:tc>
              <w:tc>
                <w:tcPr>
                  <w:tcW w:w="623"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+4149.61t/a</w:t>
                  </w:r>
                </w:p>
              </w:tc>
              <w:tc>
                <w:tcPr>
                  <w:tcW w:w="5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rPr>
                    <w:t>生活用水由下前所村自来水管接入</w:t>
                  </w:r>
                </w:p>
              </w:tc>
              <w:tc>
                <w:tcPr>
                  <w:tcW w:w="561"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493"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50"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8</w:t>
                  </w:r>
                </w:p>
              </w:tc>
              <w:tc>
                <w:tcPr>
                  <w:tcW w:w="503"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电</w:t>
                  </w:r>
                </w:p>
              </w:tc>
              <w:tc>
                <w:tcPr>
                  <w:tcW w:w="846"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万Kwh</w:t>
                  </w:r>
                </w:p>
              </w:tc>
              <w:tc>
                <w:tcPr>
                  <w:tcW w:w="790"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20万Kwh</w:t>
                  </w:r>
                </w:p>
              </w:tc>
              <w:tc>
                <w:tcPr>
                  <w:tcW w:w="623"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不变</w:t>
                  </w:r>
                </w:p>
              </w:tc>
              <w:tc>
                <w:tcPr>
                  <w:tcW w:w="56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由当地电网引入</w:t>
                  </w:r>
                </w:p>
              </w:tc>
              <w:tc>
                <w:tcPr>
                  <w:tcW w:w="561"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493"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50" w:type="pct"/>
                  <w:noWrap w:val="0"/>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5000" w:type="pct"/>
                  <w:gridSpan w:val="9"/>
                  <w:noWrap w:val="0"/>
                  <w:vAlign w:val="center"/>
                </w:tcPr>
                <w:p>
                  <w:pPr>
                    <w:keepNext w:val="0"/>
                    <w:keepLines w:val="0"/>
                    <w:suppressLineNumbers w:val="0"/>
                    <w:autoSpaceDE w:val="0"/>
                    <w:autoSpaceDN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备注：配套矿山为</w:t>
                  </w:r>
                  <w:r>
                    <w:rPr>
                      <w:rFonts w:hint="default" w:ascii="Times New Roman" w:hAnsi="Times New Roman" w:eastAsia="宋体" w:cs="Times New Roman"/>
                      <w:color w:val="auto"/>
                      <w:sz w:val="21"/>
                      <w:szCs w:val="21"/>
                      <w:highlight w:val="none"/>
                      <w:lang w:val="en-US" w:eastAsia="zh-CN"/>
                    </w:rPr>
                    <w:t>年产</w:t>
                  </w:r>
                  <w:r>
                    <w:rPr>
                      <w:rFonts w:hint="default" w:ascii="Times New Roman" w:hAnsi="Times New Roman" w:eastAsia="宋体" w:cs="Times New Roman"/>
                      <w:color w:val="auto"/>
                      <w:sz w:val="21"/>
                      <w:szCs w:val="21"/>
                      <w:highlight w:val="none"/>
                    </w:rPr>
                    <w:t>20万t/a</w:t>
                  </w:r>
                  <w:r>
                    <w:rPr>
                      <w:rFonts w:hint="default" w:ascii="Times New Roman" w:hAnsi="Times New Roman" w:eastAsia="宋体" w:cs="Times New Roman"/>
                      <w:bCs/>
                      <w:color w:val="auto"/>
                      <w:sz w:val="21"/>
                      <w:szCs w:val="21"/>
                      <w:highlight w:val="none"/>
                    </w:rPr>
                    <w:t>页岩矿，</w:t>
                  </w:r>
                  <w:r>
                    <w:rPr>
                      <w:rFonts w:hint="default" w:ascii="Times New Roman" w:hAnsi="Times New Roman" w:eastAsia="宋体" w:cs="Times New Roman"/>
                      <w:bCs/>
                      <w:color w:val="auto"/>
                      <w:sz w:val="21"/>
                      <w:szCs w:val="21"/>
                      <w:highlight w:val="none"/>
                      <w:lang w:val="en-US" w:eastAsia="zh-CN"/>
                    </w:rPr>
                    <w:t>自2019年开始</w:t>
                  </w:r>
                  <w:r>
                    <w:rPr>
                      <w:rFonts w:hint="default" w:ascii="Times New Roman" w:hAnsi="Times New Roman" w:eastAsia="宋体" w:cs="Times New Roman"/>
                      <w:color w:val="auto"/>
                      <w:sz w:val="21"/>
                      <w:szCs w:val="21"/>
                      <w:highlight w:val="none"/>
                    </w:rPr>
                    <w:t>服务年限</w:t>
                  </w:r>
                  <w:r>
                    <w:rPr>
                      <w:rFonts w:hint="default" w:ascii="Times New Roman" w:hAnsi="Times New Roman" w:eastAsia="宋体" w:cs="Times New Roman"/>
                      <w:color w:val="auto"/>
                      <w:sz w:val="21"/>
                      <w:szCs w:val="21"/>
                      <w:highlight w:val="none"/>
                      <w:lang w:val="en-US" w:eastAsia="zh-CN"/>
                    </w:rPr>
                    <w:t>为</w:t>
                  </w:r>
                  <w:r>
                    <w:rPr>
                      <w:rFonts w:hint="default" w:ascii="Times New Roman" w:hAnsi="Times New Roman" w:eastAsia="宋体" w:cs="Times New Roman"/>
                      <w:color w:val="auto"/>
                      <w:sz w:val="21"/>
                      <w:szCs w:val="21"/>
                      <w:highlight w:val="none"/>
                    </w:rPr>
                    <w:t>16年</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项目改扩建后需</w:t>
                  </w:r>
                  <w:r>
                    <w:rPr>
                      <w:rFonts w:hint="default" w:ascii="Times New Roman" w:hAnsi="Times New Roman" w:eastAsia="宋体" w:cs="Times New Roman"/>
                      <w:bCs/>
                      <w:color w:val="auto"/>
                      <w:sz w:val="21"/>
                      <w:szCs w:val="21"/>
                      <w:highlight w:val="none"/>
                    </w:rPr>
                    <w:t>页岩</w:t>
                  </w:r>
                  <w:r>
                    <w:rPr>
                      <w:rFonts w:hint="default" w:ascii="Times New Roman" w:hAnsi="Times New Roman" w:eastAsia="宋体" w:cs="Times New Roman"/>
                      <w:color w:val="auto"/>
                      <w:kern w:val="0"/>
                      <w:sz w:val="21"/>
                      <w:szCs w:val="21"/>
                      <w:highlight w:val="none"/>
                      <w:lang w:val="en-US" w:eastAsia="zh-CN"/>
                    </w:rPr>
                    <w:t>129167t/a</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矿山页岩矿能够满足项目供给需求。</w:t>
                  </w:r>
                </w:p>
              </w:tc>
            </w:tr>
          </w:tbl>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3.3.</w:t>
            </w:r>
            <w:r>
              <w:rPr>
                <w:rFonts w:hint="default" w:ascii="Times New Roman" w:hAnsi="Times New Roman" w:eastAsia="宋体" w:cs="Times New Roman"/>
                <w:b/>
                <w:color w:val="auto"/>
                <w:sz w:val="24"/>
                <w:szCs w:val="24"/>
                <w:highlight w:val="none"/>
                <w:lang w:val="en-US" w:eastAsia="zh-CN"/>
              </w:rPr>
              <w:t>1</w:t>
            </w:r>
            <w:r>
              <w:rPr>
                <w:rFonts w:hint="default" w:ascii="Times New Roman" w:hAnsi="Times New Roman" w:eastAsia="宋体" w:cs="Times New Roman"/>
                <w:b/>
                <w:color w:val="auto"/>
                <w:sz w:val="24"/>
                <w:szCs w:val="24"/>
                <w:highlight w:val="none"/>
              </w:rPr>
              <w:t>原辅料成分分析</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lang w:val="en-US" w:eastAsia="zh-CN"/>
              </w:rPr>
              <w:t>3.3.1.1</w:t>
            </w:r>
            <w:r>
              <w:rPr>
                <w:rFonts w:hint="default" w:ascii="Times New Roman" w:hAnsi="Times New Roman" w:eastAsia="宋体" w:cs="Times New Roman"/>
                <w:b/>
                <w:bCs w:val="0"/>
                <w:color w:val="auto"/>
                <w:sz w:val="24"/>
                <w:szCs w:val="24"/>
                <w:highlight w:val="none"/>
              </w:rPr>
              <w:t>页岩</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lang w:val="en-US" w:eastAsia="zh-CN"/>
              </w:rPr>
              <w:t>根据项目配套矿山编制的</w:t>
            </w:r>
            <w:r>
              <w:rPr>
                <w:rFonts w:hint="default" w:ascii="Times New Roman" w:hAnsi="Times New Roman" w:eastAsia="宋体" w:cs="Times New Roman"/>
                <w:b w:val="0"/>
                <w:bCs/>
                <w:color w:val="auto"/>
                <w:sz w:val="24"/>
                <w:szCs w:val="24"/>
                <w:highlight w:val="none"/>
              </w:rPr>
              <w:t>《云南省宜良前所月牙塘砖厂砖瓦用页岩矿项目环境影响报告表》，项目页岩矿主要化学成份为：二氧化硅（SiO</w:t>
            </w:r>
            <w:r>
              <w:rPr>
                <w:rFonts w:hint="default" w:ascii="Times New Roman" w:hAnsi="Times New Roman" w:eastAsia="宋体" w:cs="Times New Roman"/>
                <w:b w:val="0"/>
                <w:bCs/>
                <w:color w:val="auto"/>
                <w:sz w:val="24"/>
                <w:szCs w:val="24"/>
                <w:highlight w:val="none"/>
                <w:vertAlign w:val="subscript"/>
              </w:rPr>
              <w:t>2</w:t>
            </w:r>
            <w:r>
              <w:rPr>
                <w:rFonts w:hint="default" w:ascii="Times New Roman" w:hAnsi="Times New Roman" w:eastAsia="宋体" w:cs="Times New Roman"/>
                <w:b w:val="0"/>
                <w:bCs/>
                <w:color w:val="auto"/>
                <w:sz w:val="24"/>
                <w:szCs w:val="24"/>
                <w:highlight w:val="none"/>
              </w:rPr>
              <w:t>）：57.50%；三氧化二铁（Fe</w:t>
            </w:r>
            <w:r>
              <w:rPr>
                <w:rFonts w:hint="default" w:ascii="Times New Roman" w:hAnsi="Times New Roman" w:eastAsia="宋体" w:cs="Times New Roman"/>
                <w:b w:val="0"/>
                <w:bCs/>
                <w:color w:val="auto"/>
                <w:sz w:val="24"/>
                <w:szCs w:val="24"/>
                <w:highlight w:val="none"/>
                <w:vertAlign w:val="subscript"/>
              </w:rPr>
              <w:t>2</w:t>
            </w:r>
            <w:r>
              <w:rPr>
                <w:rFonts w:hint="default" w:ascii="Times New Roman" w:hAnsi="Times New Roman" w:eastAsia="宋体" w:cs="Times New Roman"/>
                <w:b w:val="0"/>
                <w:bCs/>
                <w:color w:val="auto"/>
                <w:sz w:val="24"/>
                <w:szCs w:val="24"/>
                <w:highlight w:val="none"/>
                <w:lang w:val="en-US" w:eastAsia="zh-CN"/>
              </w:rPr>
              <w:t>O</w:t>
            </w:r>
            <w:r>
              <w:rPr>
                <w:rFonts w:hint="default" w:ascii="Times New Roman" w:hAnsi="Times New Roman" w:eastAsia="宋体" w:cs="Times New Roman"/>
                <w:b w:val="0"/>
                <w:bCs/>
                <w:color w:val="auto"/>
                <w:sz w:val="24"/>
                <w:szCs w:val="24"/>
                <w:highlight w:val="none"/>
                <w:vertAlign w:val="subscript"/>
              </w:rPr>
              <w:t>3</w:t>
            </w:r>
            <w:r>
              <w:rPr>
                <w:rFonts w:hint="default" w:ascii="Times New Roman" w:hAnsi="Times New Roman" w:eastAsia="宋体" w:cs="Times New Roman"/>
                <w:b w:val="0"/>
                <w:bCs/>
                <w:color w:val="auto"/>
                <w:sz w:val="24"/>
                <w:szCs w:val="24"/>
                <w:highlight w:val="none"/>
              </w:rPr>
              <w:t>）：5.50%；三氧化二铝（Al</w:t>
            </w:r>
            <w:r>
              <w:rPr>
                <w:rFonts w:hint="default" w:ascii="Times New Roman" w:hAnsi="Times New Roman" w:eastAsia="宋体" w:cs="Times New Roman"/>
                <w:b w:val="0"/>
                <w:bCs/>
                <w:color w:val="auto"/>
                <w:sz w:val="24"/>
                <w:szCs w:val="24"/>
                <w:highlight w:val="none"/>
                <w:vertAlign w:val="subscript"/>
              </w:rPr>
              <w:t>2</w:t>
            </w:r>
            <w:r>
              <w:rPr>
                <w:rFonts w:hint="default" w:ascii="Times New Roman" w:hAnsi="Times New Roman" w:eastAsia="宋体" w:cs="Times New Roman"/>
                <w:b w:val="0"/>
                <w:bCs/>
                <w:color w:val="auto"/>
                <w:sz w:val="24"/>
                <w:szCs w:val="24"/>
                <w:highlight w:val="none"/>
              </w:rPr>
              <w:t>O</w:t>
            </w:r>
            <w:r>
              <w:rPr>
                <w:rFonts w:hint="default" w:ascii="Times New Roman" w:hAnsi="Times New Roman" w:eastAsia="宋体" w:cs="Times New Roman"/>
                <w:b w:val="0"/>
                <w:bCs/>
                <w:color w:val="auto"/>
                <w:sz w:val="24"/>
                <w:szCs w:val="24"/>
                <w:highlight w:val="none"/>
                <w:vertAlign w:val="subscript"/>
              </w:rPr>
              <w:t>3</w:t>
            </w:r>
            <w:r>
              <w:rPr>
                <w:rFonts w:hint="default" w:ascii="Times New Roman" w:hAnsi="Times New Roman" w:eastAsia="宋体" w:cs="Times New Roman"/>
                <w:b w:val="0"/>
                <w:bCs/>
                <w:color w:val="auto"/>
                <w:sz w:val="24"/>
                <w:szCs w:val="24"/>
                <w:highlight w:val="none"/>
              </w:rPr>
              <w:t>）：13.14%；氧化钙（CaO）：6.06%；氧化镁（MgO）：3.06%。</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lang w:val="en-US" w:eastAsia="zh-CN"/>
              </w:rPr>
              <w:t>3.3.1.2褐</w:t>
            </w:r>
            <w:r>
              <w:rPr>
                <w:rFonts w:hint="default" w:ascii="Times New Roman" w:hAnsi="Times New Roman" w:eastAsia="宋体" w:cs="Times New Roman"/>
                <w:b/>
                <w:bCs w:val="0"/>
                <w:color w:val="auto"/>
                <w:sz w:val="24"/>
                <w:szCs w:val="24"/>
                <w:highlight w:val="none"/>
              </w:rPr>
              <w:t>煤</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项目褐煤自寻甸县先锋郭家山煤矿有限公司购入，根据寻甸县先锋郭家山煤矿有限公司提供的褐煤分析报告（详见附件8），褐煤的主要成分如下。</w:t>
            </w:r>
          </w:p>
          <w:p>
            <w:pPr>
              <w:pStyle w:val="7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highlight w:val="none"/>
              </w:rPr>
            </w:pPr>
            <w:r>
              <w:rPr>
                <w:rFonts w:hint="default" w:ascii="Times New Roman" w:hAnsi="Times New Roman" w:eastAsia="宋体" w:cs="Times New Roman"/>
                <w:b/>
                <w:color w:val="auto"/>
                <w:sz w:val="21"/>
                <w:highlight w:val="none"/>
              </w:rPr>
              <w:t xml:space="preserve">表2.3-4   </w:t>
            </w:r>
            <w:r>
              <w:rPr>
                <w:rFonts w:hint="default" w:ascii="Times New Roman" w:hAnsi="Times New Roman" w:eastAsia="宋体" w:cs="Times New Roman"/>
                <w:b/>
                <w:color w:val="auto"/>
                <w:sz w:val="21"/>
                <w:highlight w:val="none"/>
                <w:lang w:val="en-US" w:eastAsia="zh-CN"/>
              </w:rPr>
              <w:t>煤</w:t>
            </w:r>
            <w:r>
              <w:rPr>
                <w:rFonts w:hint="default" w:ascii="Times New Roman" w:hAnsi="Times New Roman" w:eastAsia="宋体" w:cs="Times New Roman"/>
                <w:b/>
                <w:color w:val="auto"/>
                <w:sz w:val="21"/>
                <w:highlight w:val="none"/>
              </w:rPr>
              <w:t>成分分析</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826"/>
              <w:gridCol w:w="1136"/>
              <w:gridCol w:w="1290"/>
              <w:gridCol w:w="1131"/>
              <w:gridCol w:w="1290"/>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615"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项目</w:t>
                  </w:r>
                </w:p>
              </w:tc>
              <w:tc>
                <w:tcPr>
                  <w:tcW w:w="520"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lang w:val="en-US" w:eastAsia="zh-CN"/>
                    </w:rPr>
                    <w:t>内水</w:t>
                  </w:r>
                  <w:r>
                    <w:rPr>
                      <w:rFonts w:hint="default" w:ascii="Times New Roman" w:hAnsi="Times New Roman" w:eastAsia="宋体" w:cs="Times New Roman"/>
                      <w:b/>
                      <w:color w:val="auto"/>
                      <w:kern w:val="0"/>
                      <w:sz w:val="21"/>
                      <w:szCs w:val="21"/>
                      <w:highlight w:val="none"/>
                    </w:rPr>
                    <w:t>%</w:t>
                  </w:r>
                </w:p>
              </w:tc>
              <w:tc>
                <w:tcPr>
                  <w:tcW w:w="715"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灰份</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w:t>
                  </w:r>
                </w:p>
              </w:tc>
              <w:tc>
                <w:tcPr>
                  <w:tcW w:w="812"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lang w:val="en-US" w:eastAsia="zh-CN"/>
                    </w:rPr>
                  </w:pPr>
                  <w:r>
                    <w:rPr>
                      <w:rFonts w:hint="default" w:ascii="Times New Roman" w:hAnsi="Times New Roman" w:eastAsia="宋体" w:cs="Times New Roman"/>
                      <w:b/>
                      <w:color w:val="auto"/>
                      <w:kern w:val="0"/>
                      <w:sz w:val="21"/>
                      <w:szCs w:val="21"/>
                      <w:highlight w:val="none"/>
                      <w:lang w:val="en-US" w:eastAsia="zh-CN"/>
                    </w:rPr>
                    <w:t>固定碳</w:t>
                  </w:r>
                  <w:r>
                    <w:rPr>
                      <w:rFonts w:hint="default" w:ascii="Times New Roman" w:hAnsi="Times New Roman" w:eastAsia="宋体" w:cs="Times New Roman"/>
                      <w:b/>
                      <w:color w:val="auto"/>
                      <w:kern w:val="0"/>
                      <w:sz w:val="21"/>
                      <w:szCs w:val="21"/>
                      <w:highlight w:val="none"/>
                    </w:rPr>
                    <w:t>%</w:t>
                  </w:r>
                </w:p>
              </w:tc>
              <w:tc>
                <w:tcPr>
                  <w:tcW w:w="712"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lang w:val="en-US" w:eastAsia="zh-CN"/>
                    </w:rPr>
                  </w:pPr>
                  <w:r>
                    <w:rPr>
                      <w:rFonts w:hint="default" w:ascii="Times New Roman" w:hAnsi="Times New Roman" w:eastAsia="宋体" w:cs="Times New Roman"/>
                      <w:b/>
                      <w:color w:val="auto"/>
                      <w:kern w:val="0"/>
                      <w:sz w:val="21"/>
                      <w:szCs w:val="21"/>
                      <w:highlight w:val="none"/>
                    </w:rPr>
                    <w:t>硫</w:t>
                  </w:r>
                  <w:r>
                    <w:rPr>
                      <w:rFonts w:hint="default" w:ascii="Times New Roman" w:hAnsi="Times New Roman" w:eastAsia="宋体" w:cs="Times New Roman"/>
                      <w:b/>
                      <w:color w:val="auto"/>
                      <w:kern w:val="0"/>
                      <w:sz w:val="21"/>
                      <w:szCs w:val="21"/>
                      <w:highlight w:val="none"/>
                      <w:lang w:val="en-US" w:eastAsia="zh-CN"/>
                    </w:rPr>
                    <w:t>份</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rPr>
                    <w:t>%</w:t>
                  </w:r>
                </w:p>
              </w:tc>
              <w:tc>
                <w:tcPr>
                  <w:tcW w:w="812"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lang w:val="en-US" w:eastAsia="zh-CN"/>
                    </w:rPr>
                  </w:pPr>
                  <w:r>
                    <w:rPr>
                      <w:rFonts w:hint="default" w:ascii="Times New Roman" w:hAnsi="Times New Roman" w:eastAsia="宋体" w:cs="Times New Roman"/>
                      <w:b/>
                      <w:color w:val="auto"/>
                      <w:kern w:val="0"/>
                      <w:sz w:val="21"/>
                      <w:szCs w:val="21"/>
                      <w:highlight w:val="none"/>
                      <w:lang w:val="en-US" w:eastAsia="zh-CN"/>
                    </w:rPr>
                    <w:t>干燥基卡/克</w:t>
                  </w:r>
                </w:p>
              </w:tc>
              <w:tc>
                <w:tcPr>
                  <w:tcW w:w="812"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lang w:val="en-US" w:eastAsia="zh-CN"/>
                    </w:rPr>
                  </w:pPr>
                  <w:r>
                    <w:rPr>
                      <w:rFonts w:hint="default" w:ascii="Times New Roman" w:hAnsi="Times New Roman" w:eastAsia="宋体" w:cs="Times New Roman"/>
                      <w:b/>
                      <w:color w:val="auto"/>
                      <w:kern w:val="0"/>
                      <w:sz w:val="21"/>
                      <w:szCs w:val="21"/>
                      <w:highlight w:val="none"/>
                      <w:lang w:val="en-US" w:eastAsia="zh-CN"/>
                    </w:rPr>
                    <w:t>收到基卡/克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5"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褐煤</w:t>
                  </w:r>
                </w:p>
              </w:tc>
              <w:tc>
                <w:tcPr>
                  <w:tcW w:w="520"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8.8</w:t>
                  </w:r>
                </w:p>
              </w:tc>
              <w:tc>
                <w:tcPr>
                  <w:tcW w:w="715"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35.5</w:t>
                  </w:r>
                </w:p>
              </w:tc>
              <w:tc>
                <w:tcPr>
                  <w:tcW w:w="812"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16.79</w:t>
                  </w:r>
                </w:p>
              </w:tc>
              <w:tc>
                <w:tcPr>
                  <w:tcW w:w="712"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0.38</w:t>
                  </w:r>
                </w:p>
              </w:tc>
              <w:tc>
                <w:tcPr>
                  <w:tcW w:w="812"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3358.408</w:t>
                  </w:r>
                </w:p>
              </w:tc>
              <w:tc>
                <w:tcPr>
                  <w:tcW w:w="812"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2139.58</w:t>
                  </w:r>
                </w:p>
              </w:tc>
            </w:tr>
          </w:tbl>
          <w:p>
            <w:pPr>
              <w:pStyle w:val="69"/>
              <w:keepNext w:val="0"/>
              <w:keepLines w:val="0"/>
              <w:suppressLineNumbers w:val="0"/>
              <w:spacing w:before="0" w:beforeAutospacing="0" w:after="0" w:afterAutospacing="0"/>
              <w:ind w:left="0" w:right="0" w:firstLine="482"/>
              <w:jc w:val="both"/>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3.3.1.3污泥</w:t>
            </w:r>
          </w:p>
          <w:p>
            <w:pPr>
              <w:pStyle w:val="69"/>
              <w:keepNext w:val="0"/>
              <w:keepLines w:val="0"/>
              <w:suppressLineNumbers w:val="0"/>
              <w:spacing w:before="0" w:beforeAutospacing="0" w:after="0" w:afterAutospacing="0"/>
              <w:ind w:left="0" w:right="0" w:firstLine="482"/>
              <w:jc w:val="both"/>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本项目制砖原料用污泥由昆明渝润水务有限公司（昆明市第十四水质净化厂）提供。根据《昆明市第十四水质净化厂建设工程一期环境影响报告书》昆明市第十四水质净化厂的污泥产量为55790t/a。项目年用25834t污泥代替部分页岩制砖，昆明市第十四水质净化可以稳定提供项目污泥用量。该水质净化厂主要处理昆明主城北片区旱季生活污水及雨季截流式合流污水，属城镇生活污水处理厂范畴。本次评价污泥引用《年产1.8亿块环保型烧结砖、1.5亿块节能免烧砖生产线（折标砖）项目技术改造环境影响报告表》中昆明市第一污水处理厂的污泥监测数据进行污泥属性判别：昆明市第十四水质净化厂与昆明市第一污水处理厂均以处理城镇生活污水及雨季合流污水为主。根据《昆明市第十四水质净化厂建设工程盘龙江深度处理入河排污口论证报告》及《昆明市第一污水处理厂雨季合流污水高效处理工程建设项目竣工环境保护验收监测表》：</w:t>
            </w:r>
          </w:p>
          <w:p>
            <w:pPr>
              <w:pStyle w:val="69"/>
              <w:keepNext w:val="0"/>
              <w:keepLines w:val="0"/>
              <w:suppressLineNumbers w:val="0"/>
              <w:spacing w:before="0" w:beforeAutospacing="0" w:after="0" w:afterAutospacing="0"/>
              <w:ind w:left="0" w:right="0" w:firstLine="482"/>
              <w:jc w:val="both"/>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1）第十四厂进水CODcr均值为136.451mg/L，第一污水厂为174.375mg/L；②氨氮均值分别为28.538mg/L与19.315mg/L；③总磷均值分别为3.111mg与1.21mg/L；④总氮均值分别为31.238mg/L与25.25mg/L；两者进水污染物浓度处于同一量级，且出水水质均达到或优于《城镇污水处理厂污染物排放标准》（GB 18918-2002）一级A标准要求，说明处理对象与污染物负荷相近。</w:t>
            </w:r>
          </w:p>
          <w:p>
            <w:pPr>
              <w:pStyle w:val="69"/>
              <w:keepNext w:val="0"/>
              <w:keepLines w:val="0"/>
              <w:suppressLineNumbers w:val="0"/>
              <w:spacing w:before="0" w:beforeAutospacing="0" w:after="0" w:afterAutospacing="0"/>
              <w:ind w:left="0" w:right="0" w:firstLine="482"/>
              <w:jc w:val="both"/>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2）两者均属于生物处理工艺（第十四厂采用改良SBR等工艺，第一厂采用氧化沟工艺），剩余污泥均主要来自微生物代谢增殖后的排放，污泥中污染物（尤其是重金属、有机污染物等）主要来源于生活污水中的背景值。生活污水处理厂进水无工业废水混入的前提下，不同厂区间的污泥浸出特性及一般组分具有可比性。</w:t>
            </w:r>
          </w:p>
          <w:p>
            <w:pPr>
              <w:pStyle w:val="69"/>
              <w:keepNext w:val="0"/>
              <w:keepLines w:val="0"/>
              <w:suppressLineNumbers w:val="0"/>
              <w:spacing w:before="0" w:beforeAutospacing="0" w:after="0" w:afterAutospacing="0"/>
              <w:ind w:left="0" w:right="0" w:firstLine="482"/>
              <w:jc w:val="both"/>
              <w:rPr>
                <w:rFonts w:hint="default" w:ascii="Times New Roman" w:hAnsi="Times New Roman" w:eastAsia="宋体" w:cs="Times New Roman"/>
                <w:b w:val="0"/>
                <w:bCs/>
                <w:color w:val="auto"/>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（3）根据《关于污（废）水处理设施产生污泥危险特性鉴别有关意见的</w:t>
            </w:r>
            <w:r>
              <w:rPr>
                <w:rFonts w:hint="default" w:ascii="Times New Roman" w:hAnsi="Times New Roman" w:eastAsia="宋体" w:cs="Times New Roman"/>
                <w:b w:val="0"/>
                <w:bCs/>
                <w:color w:val="auto"/>
                <w:szCs w:val="24"/>
                <w:highlight w:val="none"/>
                <w:lang w:val="en-US" w:eastAsia="zh-CN"/>
              </w:rPr>
              <w:t>函》（环函〔2010〕129号），单纯处理生活污水的公共污水处理厂，其污泥通常不具有危险特性，可作为一般固体废物管理。昆明市主城区各水质净化厂出水水质长期稳定达标，因此其污泥属性可合理类比同类型生活污水厂。</w:t>
            </w:r>
          </w:p>
          <w:p>
            <w:pPr>
              <w:pStyle w:val="69"/>
              <w:keepNext w:val="0"/>
              <w:keepLines w:val="0"/>
              <w:suppressLineNumbers w:val="0"/>
              <w:spacing w:before="0" w:beforeAutospacing="0" w:after="0" w:afterAutospacing="0"/>
              <w:ind w:left="0" w:right="0" w:firstLine="482"/>
              <w:jc w:val="both"/>
              <w:rPr>
                <w:rFonts w:hint="default" w:ascii="Times New Roman" w:hAnsi="Times New Roman" w:eastAsia="宋体" w:cs="Times New Roman"/>
                <w:b w:val="0"/>
                <w:bCs/>
                <w:color w:val="auto"/>
                <w:szCs w:val="24"/>
                <w:highlight w:val="none"/>
                <w:lang w:val="en-US" w:eastAsia="zh-CN"/>
              </w:rPr>
            </w:pPr>
            <w:r>
              <w:rPr>
                <w:rFonts w:hint="default" w:ascii="Times New Roman" w:hAnsi="Times New Roman" w:eastAsia="宋体" w:cs="Times New Roman"/>
                <w:b w:val="0"/>
                <w:bCs/>
                <w:color w:val="auto"/>
                <w:szCs w:val="24"/>
                <w:highlight w:val="none"/>
                <w:lang w:val="en-US" w:eastAsia="zh-CN"/>
              </w:rPr>
              <w:t>综上，昆明市第一污水处理厂与第十四水质净化厂在服务人口性质、废水组成、处理程度、污泥处理工艺类型上相近，具备类比条件。本次评价参照昆明市第一污水处理厂的污泥监测数据进行属性鉴别（浸出毒性、理化指标等），能够代表第十四水质净化厂污泥的一般特性，污泥的属性鉴别如下：</w:t>
            </w:r>
          </w:p>
          <w:p>
            <w:pPr>
              <w:pStyle w:val="69"/>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lang w:val="en-US" w:eastAsia="zh-CN"/>
              </w:rPr>
              <w:t>表2.3-5 固体废物浸出毒性鉴别检测结果表(酸浸)</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
              <w:gridCol w:w="1123"/>
              <w:gridCol w:w="1193"/>
              <w:gridCol w:w="1197"/>
              <w:gridCol w:w="1193"/>
              <w:gridCol w:w="1193"/>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污染因子</w:t>
                  </w:r>
                </w:p>
              </w:tc>
              <w:tc>
                <w:tcPr>
                  <w:tcW w:w="2211" w:type="pct"/>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S1储存区1#</w:t>
                  </w:r>
                </w:p>
              </w:tc>
              <w:tc>
                <w:tcPr>
                  <w:tcW w:w="2257" w:type="pct"/>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S2储存区2#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70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表层</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中层</w:t>
                  </w:r>
                </w:p>
              </w:tc>
              <w:tc>
                <w:tcPr>
                  <w:tcW w:w="75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底层</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表层</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中层</w:t>
                  </w:r>
                </w:p>
              </w:tc>
              <w:tc>
                <w:tcPr>
                  <w:tcW w:w="75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底层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3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铜(mg/L)</w:t>
                  </w:r>
                </w:p>
              </w:tc>
              <w:tc>
                <w:tcPr>
                  <w:tcW w:w="70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2.1×10</w:t>
                  </w:r>
                  <w:r>
                    <w:rPr>
                      <w:rFonts w:hint="default" w:ascii="Times New Roman" w:hAnsi="Times New Roman" w:eastAsia="宋体" w:cs="Times New Roman"/>
                      <w:color w:val="auto"/>
                      <w:sz w:val="21"/>
                      <w:szCs w:val="21"/>
                      <w:highlight w:val="none"/>
                      <w:vertAlign w:val="superscript"/>
                      <w:lang w:val="en-US" w:eastAsia="zh-CN"/>
                    </w:rPr>
                    <w:t>-3</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2.5×10</w:t>
                  </w:r>
                  <w:r>
                    <w:rPr>
                      <w:rFonts w:hint="default" w:ascii="Times New Roman" w:hAnsi="Times New Roman" w:eastAsia="宋体" w:cs="Times New Roman"/>
                      <w:color w:val="auto"/>
                      <w:sz w:val="21"/>
                      <w:szCs w:val="21"/>
                      <w:highlight w:val="none"/>
                      <w:vertAlign w:val="superscript"/>
                      <w:lang w:val="en-US" w:eastAsia="zh-CN"/>
                    </w:rPr>
                    <w:t>-3</w:t>
                  </w:r>
                </w:p>
              </w:tc>
              <w:tc>
                <w:tcPr>
                  <w:tcW w:w="75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1.9×10</w:t>
                  </w:r>
                  <w:r>
                    <w:rPr>
                      <w:rFonts w:hint="default" w:ascii="Times New Roman" w:hAnsi="Times New Roman" w:eastAsia="宋体" w:cs="Times New Roman"/>
                      <w:color w:val="auto"/>
                      <w:sz w:val="21"/>
                      <w:szCs w:val="21"/>
                      <w:highlight w:val="none"/>
                      <w:vertAlign w:val="superscript"/>
                      <w:lang w:val="en-US" w:eastAsia="zh-CN"/>
                    </w:rPr>
                    <w:t>-3</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1.0×10</w:t>
                  </w:r>
                  <w:r>
                    <w:rPr>
                      <w:rFonts w:hint="default" w:ascii="Times New Roman" w:hAnsi="Times New Roman" w:eastAsia="宋体" w:cs="Times New Roman"/>
                      <w:color w:val="auto"/>
                      <w:sz w:val="21"/>
                      <w:szCs w:val="21"/>
                      <w:highlight w:val="none"/>
                      <w:vertAlign w:val="superscript"/>
                      <w:lang w:val="en-US" w:eastAsia="zh-CN"/>
                    </w:rPr>
                    <w:t>-2</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5.8×10</w:t>
                  </w:r>
                  <w:r>
                    <w:rPr>
                      <w:rFonts w:hint="default" w:ascii="Times New Roman" w:hAnsi="Times New Roman" w:eastAsia="宋体" w:cs="Times New Roman"/>
                      <w:color w:val="auto"/>
                      <w:sz w:val="21"/>
                      <w:szCs w:val="21"/>
                      <w:highlight w:val="none"/>
                      <w:vertAlign w:val="superscript"/>
                      <w:lang w:val="en-US" w:eastAsia="zh-CN"/>
                    </w:rPr>
                    <w:t>-3</w:t>
                  </w:r>
                </w:p>
              </w:tc>
              <w:tc>
                <w:tcPr>
                  <w:tcW w:w="75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5.2×10</w:t>
                  </w:r>
                  <w:r>
                    <w:rPr>
                      <w:rFonts w:hint="default" w:ascii="Times New Roman" w:hAnsi="Times New Roman" w:eastAsia="宋体" w:cs="Times New Roman"/>
                      <w:color w:val="auto"/>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锌(mg/L)</w:t>
                  </w:r>
                </w:p>
              </w:tc>
              <w:tc>
                <w:tcPr>
                  <w:tcW w:w="70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8.5×10</w:t>
                  </w:r>
                  <w:r>
                    <w:rPr>
                      <w:rFonts w:hint="default" w:ascii="Times New Roman" w:hAnsi="Times New Roman" w:eastAsia="宋体" w:cs="Times New Roman"/>
                      <w:color w:val="auto"/>
                      <w:sz w:val="21"/>
                      <w:szCs w:val="21"/>
                      <w:highlight w:val="none"/>
                      <w:vertAlign w:val="superscript"/>
                      <w:lang w:val="en-US" w:eastAsia="zh-CN"/>
                    </w:rPr>
                    <w:t>-3</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1.24×10</w:t>
                  </w:r>
                  <w:r>
                    <w:rPr>
                      <w:rFonts w:hint="default" w:ascii="Times New Roman" w:hAnsi="Times New Roman" w:eastAsia="宋体" w:cs="Times New Roman"/>
                      <w:color w:val="auto"/>
                      <w:sz w:val="21"/>
                      <w:szCs w:val="21"/>
                      <w:highlight w:val="none"/>
                      <w:vertAlign w:val="superscript"/>
                      <w:lang w:val="en-US" w:eastAsia="zh-CN"/>
                    </w:rPr>
                    <w:t>-2</w:t>
                  </w:r>
                </w:p>
              </w:tc>
              <w:tc>
                <w:tcPr>
                  <w:tcW w:w="75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7.2×10</w:t>
                  </w:r>
                  <w:r>
                    <w:rPr>
                      <w:rFonts w:hint="default" w:ascii="Times New Roman" w:hAnsi="Times New Roman" w:eastAsia="宋体" w:cs="Times New Roman"/>
                      <w:color w:val="auto"/>
                      <w:sz w:val="21"/>
                      <w:szCs w:val="21"/>
                      <w:highlight w:val="none"/>
                      <w:vertAlign w:val="superscript"/>
                      <w:lang w:val="en-US" w:eastAsia="zh-CN"/>
                    </w:rPr>
                    <w:t>-3</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3.83×10</w:t>
                  </w:r>
                  <w:r>
                    <w:rPr>
                      <w:rFonts w:hint="default" w:ascii="Times New Roman" w:hAnsi="Times New Roman" w:eastAsia="宋体" w:cs="Times New Roman"/>
                      <w:color w:val="auto"/>
                      <w:sz w:val="21"/>
                      <w:szCs w:val="21"/>
                      <w:highlight w:val="none"/>
                      <w:vertAlign w:val="superscript"/>
                      <w:lang w:val="en-US" w:eastAsia="zh-CN"/>
                    </w:rPr>
                    <w:t>-2</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2.35×10</w:t>
                  </w:r>
                  <w:r>
                    <w:rPr>
                      <w:rFonts w:hint="default" w:ascii="Times New Roman" w:hAnsi="Times New Roman" w:eastAsia="宋体" w:cs="Times New Roman"/>
                      <w:color w:val="auto"/>
                      <w:sz w:val="21"/>
                      <w:szCs w:val="21"/>
                      <w:highlight w:val="none"/>
                      <w:vertAlign w:val="superscript"/>
                      <w:lang w:val="en-US" w:eastAsia="zh-CN"/>
                    </w:rPr>
                    <w:t>-2</w:t>
                  </w:r>
                </w:p>
              </w:tc>
              <w:tc>
                <w:tcPr>
                  <w:tcW w:w="75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2.10×10</w:t>
                  </w:r>
                  <w:r>
                    <w:rPr>
                      <w:rFonts w:hint="default" w:ascii="Times New Roman" w:hAnsi="Times New Roman" w:eastAsia="宋体" w:cs="Times New Roman"/>
                      <w:color w:val="auto"/>
                      <w:sz w:val="21"/>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铝(mg/L)</w:t>
                  </w:r>
                </w:p>
              </w:tc>
              <w:tc>
                <w:tcPr>
                  <w:tcW w:w="70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7×10</w:t>
                  </w:r>
                  <w:r>
                    <w:rPr>
                      <w:rFonts w:hint="default" w:ascii="Times New Roman" w:hAnsi="Times New Roman" w:eastAsia="宋体" w:cs="Times New Roman"/>
                      <w:color w:val="auto"/>
                      <w:sz w:val="21"/>
                      <w:szCs w:val="21"/>
                      <w:highlight w:val="none"/>
                      <w:vertAlign w:val="superscript"/>
                      <w:lang w:val="en-US" w:eastAsia="zh-CN"/>
                    </w:rPr>
                    <w:t>-4</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8×10</w:t>
                  </w:r>
                  <w:r>
                    <w:rPr>
                      <w:rFonts w:hint="default" w:ascii="Times New Roman" w:hAnsi="Times New Roman" w:eastAsia="宋体" w:cs="Times New Roman"/>
                      <w:color w:val="auto"/>
                      <w:sz w:val="21"/>
                      <w:szCs w:val="21"/>
                      <w:highlight w:val="none"/>
                      <w:vertAlign w:val="superscript"/>
                      <w:lang w:val="en-US" w:eastAsia="zh-CN"/>
                    </w:rPr>
                    <w:t>-4</w:t>
                  </w:r>
                </w:p>
              </w:tc>
              <w:tc>
                <w:tcPr>
                  <w:tcW w:w="75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6×10</w:t>
                  </w:r>
                  <w:r>
                    <w:rPr>
                      <w:rFonts w:hint="default" w:ascii="Times New Roman" w:hAnsi="Times New Roman" w:eastAsia="宋体" w:cs="Times New Roman"/>
                      <w:color w:val="auto"/>
                      <w:sz w:val="21"/>
                      <w:szCs w:val="21"/>
                      <w:highlight w:val="none"/>
                      <w:vertAlign w:val="superscript"/>
                      <w:lang w:val="en-US" w:eastAsia="zh-CN"/>
                    </w:rPr>
                    <w:t>-4</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2.1×10</w:t>
                  </w:r>
                  <w:r>
                    <w:rPr>
                      <w:rFonts w:hint="default" w:ascii="Times New Roman" w:hAnsi="Times New Roman" w:eastAsia="宋体" w:cs="Times New Roman"/>
                      <w:color w:val="auto"/>
                      <w:sz w:val="21"/>
                      <w:szCs w:val="21"/>
                      <w:highlight w:val="none"/>
                      <w:vertAlign w:val="superscript"/>
                      <w:lang w:val="en-US" w:eastAsia="zh-CN"/>
                    </w:rPr>
                    <w:t>-3</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1.4×10</w:t>
                  </w:r>
                  <w:r>
                    <w:rPr>
                      <w:rFonts w:hint="default" w:ascii="Times New Roman" w:hAnsi="Times New Roman" w:eastAsia="宋体" w:cs="Times New Roman"/>
                      <w:color w:val="auto"/>
                      <w:sz w:val="21"/>
                      <w:szCs w:val="21"/>
                      <w:highlight w:val="none"/>
                      <w:vertAlign w:val="superscript"/>
                      <w:lang w:val="en-US" w:eastAsia="zh-CN"/>
                    </w:rPr>
                    <w:t>-3</w:t>
                  </w:r>
                </w:p>
              </w:tc>
              <w:tc>
                <w:tcPr>
                  <w:tcW w:w="75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8×10</w:t>
                  </w:r>
                  <w:r>
                    <w:rPr>
                      <w:rFonts w:hint="default" w:ascii="Times New Roman" w:hAnsi="Times New Roman" w:eastAsia="宋体" w:cs="Times New Roman"/>
                      <w:color w:val="auto"/>
                      <w:sz w:val="21"/>
                      <w:szCs w:val="21"/>
                      <w:highlight w:val="none"/>
                      <w:vertAlign w:val="superscrip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镉(mg/L)</w:t>
                  </w:r>
                </w:p>
              </w:tc>
              <w:tc>
                <w:tcPr>
                  <w:tcW w:w="70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color w:val="auto"/>
                      <w:sz w:val="21"/>
                      <w:szCs w:val="21"/>
                      <w:highlight w:val="none"/>
                      <w:lang w:val="en-US" w:eastAsia="zh-CN"/>
                    </w:rPr>
                    <w:t>L</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color w:val="auto"/>
                      <w:sz w:val="21"/>
                      <w:szCs w:val="21"/>
                      <w:highlight w:val="none"/>
                      <w:lang w:val="en-US" w:eastAsia="zh-CN"/>
                    </w:rPr>
                    <w:t>L</w:t>
                  </w:r>
                </w:p>
              </w:tc>
              <w:tc>
                <w:tcPr>
                  <w:tcW w:w="75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color w:val="auto"/>
                      <w:sz w:val="21"/>
                      <w:szCs w:val="21"/>
                      <w:highlight w:val="none"/>
                      <w:lang w:val="en-US" w:eastAsia="zh-CN"/>
                    </w:rPr>
                    <w:t>L</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color w:val="auto"/>
                      <w:sz w:val="21"/>
                      <w:szCs w:val="21"/>
                      <w:highlight w:val="none"/>
                      <w:lang w:val="en-US" w:eastAsia="zh-CN"/>
                    </w:rPr>
                    <w:t>L</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color w:val="auto"/>
                      <w:sz w:val="21"/>
                      <w:szCs w:val="21"/>
                      <w:highlight w:val="none"/>
                      <w:lang w:val="en-US" w:eastAsia="zh-CN"/>
                    </w:rPr>
                    <w:t>L</w:t>
                  </w:r>
                </w:p>
              </w:tc>
              <w:tc>
                <w:tcPr>
                  <w:tcW w:w="75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color w:val="auto"/>
                      <w:sz w:val="21"/>
                      <w:szCs w:val="21"/>
                      <w:highlight w:val="none"/>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总铬(mg/L)</w:t>
                  </w:r>
                </w:p>
              </w:tc>
              <w:tc>
                <w:tcPr>
                  <w:tcW w:w="70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2.8×10</w:t>
                  </w:r>
                  <w:r>
                    <w:rPr>
                      <w:rFonts w:hint="default" w:ascii="Times New Roman" w:hAnsi="Times New Roman" w:eastAsia="宋体" w:cs="Times New Roman"/>
                      <w:color w:val="auto"/>
                      <w:sz w:val="21"/>
                      <w:szCs w:val="21"/>
                      <w:highlight w:val="none"/>
                      <w:vertAlign w:val="superscript"/>
                      <w:lang w:val="en-US" w:eastAsia="zh-CN"/>
                    </w:rPr>
                    <w:t>-3</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3.5×10</w:t>
                  </w:r>
                  <w:r>
                    <w:rPr>
                      <w:rFonts w:hint="default" w:ascii="Times New Roman" w:hAnsi="Times New Roman" w:eastAsia="宋体" w:cs="Times New Roman"/>
                      <w:color w:val="auto"/>
                      <w:sz w:val="21"/>
                      <w:szCs w:val="21"/>
                      <w:highlight w:val="none"/>
                      <w:vertAlign w:val="superscript"/>
                      <w:lang w:val="en-US" w:eastAsia="zh-CN"/>
                    </w:rPr>
                    <w:t>-3</w:t>
                  </w:r>
                </w:p>
              </w:tc>
              <w:tc>
                <w:tcPr>
                  <w:tcW w:w="75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2.9×10</w:t>
                  </w:r>
                  <w:r>
                    <w:rPr>
                      <w:rFonts w:hint="default" w:ascii="Times New Roman" w:hAnsi="Times New Roman" w:eastAsia="宋体" w:cs="Times New Roman"/>
                      <w:color w:val="auto"/>
                      <w:sz w:val="21"/>
                      <w:szCs w:val="21"/>
                      <w:highlight w:val="none"/>
                      <w:vertAlign w:val="superscript"/>
                      <w:lang w:val="en-US" w:eastAsia="zh-CN"/>
                    </w:rPr>
                    <w:t>-3</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4.4×10</w:t>
                  </w:r>
                  <w:r>
                    <w:rPr>
                      <w:rFonts w:hint="default" w:ascii="Times New Roman" w:hAnsi="Times New Roman" w:eastAsia="宋体" w:cs="Times New Roman"/>
                      <w:color w:val="auto"/>
                      <w:sz w:val="21"/>
                      <w:szCs w:val="21"/>
                      <w:highlight w:val="none"/>
                      <w:vertAlign w:val="superscript"/>
                      <w:lang w:val="en-US" w:eastAsia="zh-CN"/>
                    </w:rPr>
                    <w:t>-3</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3.9×10</w:t>
                  </w:r>
                  <w:r>
                    <w:rPr>
                      <w:rFonts w:hint="default" w:ascii="Times New Roman" w:hAnsi="Times New Roman" w:eastAsia="宋体" w:cs="Times New Roman"/>
                      <w:color w:val="auto"/>
                      <w:sz w:val="21"/>
                      <w:szCs w:val="21"/>
                      <w:highlight w:val="none"/>
                      <w:vertAlign w:val="superscript"/>
                      <w:lang w:val="en-US" w:eastAsia="zh-CN"/>
                    </w:rPr>
                    <w:t>-3</w:t>
                  </w:r>
                </w:p>
              </w:tc>
              <w:tc>
                <w:tcPr>
                  <w:tcW w:w="75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3.8×10</w:t>
                  </w:r>
                  <w:r>
                    <w:rPr>
                      <w:rFonts w:hint="default" w:ascii="Times New Roman" w:hAnsi="Times New Roman" w:eastAsia="宋体" w:cs="Times New Roman"/>
                      <w:color w:val="auto"/>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砷(mg/L)</w:t>
                  </w:r>
                </w:p>
              </w:tc>
              <w:tc>
                <w:tcPr>
                  <w:tcW w:w="70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2.58×10</w:t>
                  </w:r>
                  <w:r>
                    <w:rPr>
                      <w:rFonts w:hint="default" w:ascii="Times New Roman" w:hAnsi="Times New Roman" w:eastAsia="宋体" w:cs="Times New Roman"/>
                      <w:color w:val="auto"/>
                      <w:sz w:val="21"/>
                      <w:szCs w:val="21"/>
                      <w:highlight w:val="none"/>
                      <w:vertAlign w:val="superscript"/>
                      <w:lang w:val="en-US" w:eastAsia="zh-CN"/>
                    </w:rPr>
                    <w:t>-2</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5.05×10</w:t>
                  </w:r>
                  <w:r>
                    <w:rPr>
                      <w:rFonts w:hint="default" w:ascii="Times New Roman" w:hAnsi="Times New Roman" w:eastAsia="宋体" w:cs="Times New Roman"/>
                      <w:color w:val="auto"/>
                      <w:sz w:val="21"/>
                      <w:szCs w:val="21"/>
                      <w:highlight w:val="none"/>
                      <w:vertAlign w:val="superscript"/>
                      <w:lang w:val="en-US" w:eastAsia="zh-CN"/>
                    </w:rPr>
                    <w:t>-2</w:t>
                  </w:r>
                </w:p>
              </w:tc>
              <w:tc>
                <w:tcPr>
                  <w:tcW w:w="75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3.36×10</w:t>
                  </w:r>
                  <w:r>
                    <w:rPr>
                      <w:rFonts w:hint="default" w:ascii="Times New Roman" w:hAnsi="Times New Roman" w:eastAsia="宋体" w:cs="Times New Roman"/>
                      <w:color w:val="auto"/>
                      <w:sz w:val="21"/>
                      <w:szCs w:val="21"/>
                      <w:highlight w:val="none"/>
                      <w:vertAlign w:val="superscript"/>
                      <w:lang w:val="en-US" w:eastAsia="zh-CN"/>
                    </w:rPr>
                    <w:t>-2</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4.57×10</w:t>
                  </w:r>
                  <w:r>
                    <w:rPr>
                      <w:rFonts w:hint="default" w:ascii="Times New Roman" w:hAnsi="Times New Roman" w:eastAsia="宋体" w:cs="Times New Roman"/>
                      <w:color w:val="auto"/>
                      <w:sz w:val="21"/>
                      <w:szCs w:val="21"/>
                      <w:highlight w:val="none"/>
                      <w:vertAlign w:val="superscript"/>
                      <w:lang w:val="en-US" w:eastAsia="zh-CN"/>
                    </w:rPr>
                    <w:t>-2</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3.36×10</w:t>
                  </w:r>
                  <w:r>
                    <w:rPr>
                      <w:rFonts w:hint="default" w:ascii="Times New Roman" w:hAnsi="Times New Roman" w:eastAsia="宋体" w:cs="Times New Roman"/>
                      <w:color w:val="auto"/>
                      <w:sz w:val="21"/>
                      <w:szCs w:val="21"/>
                      <w:highlight w:val="none"/>
                      <w:vertAlign w:val="superscript"/>
                      <w:lang w:val="en-US" w:eastAsia="zh-CN"/>
                    </w:rPr>
                    <w:t>-2</w:t>
                  </w:r>
                </w:p>
              </w:tc>
              <w:tc>
                <w:tcPr>
                  <w:tcW w:w="75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5.41×10</w:t>
                  </w:r>
                  <w:r>
                    <w:rPr>
                      <w:rFonts w:hint="default" w:ascii="Times New Roman" w:hAnsi="Times New Roman" w:eastAsia="宋体" w:cs="Times New Roman"/>
                      <w:color w:val="auto"/>
                      <w:sz w:val="21"/>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汞(mg/L)</w:t>
                  </w:r>
                </w:p>
              </w:tc>
              <w:tc>
                <w:tcPr>
                  <w:tcW w:w="70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5.9×10</w:t>
                  </w:r>
                  <w:r>
                    <w:rPr>
                      <w:rFonts w:hint="default" w:ascii="Times New Roman" w:hAnsi="Times New Roman" w:eastAsia="宋体" w:cs="Times New Roman"/>
                      <w:color w:val="auto"/>
                      <w:sz w:val="21"/>
                      <w:szCs w:val="21"/>
                      <w:highlight w:val="none"/>
                      <w:vertAlign w:val="superscript"/>
                      <w:lang w:val="en-US" w:eastAsia="zh-CN"/>
                    </w:rPr>
                    <w:t>-4</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7.2×10</w:t>
                  </w:r>
                  <w:r>
                    <w:rPr>
                      <w:rFonts w:hint="default" w:ascii="Times New Roman" w:hAnsi="Times New Roman" w:eastAsia="宋体" w:cs="Times New Roman"/>
                      <w:color w:val="auto"/>
                      <w:sz w:val="21"/>
                      <w:szCs w:val="21"/>
                      <w:highlight w:val="none"/>
                      <w:vertAlign w:val="superscript"/>
                      <w:lang w:val="en-US" w:eastAsia="zh-CN"/>
                    </w:rPr>
                    <w:t>-4</w:t>
                  </w:r>
                </w:p>
              </w:tc>
              <w:tc>
                <w:tcPr>
                  <w:tcW w:w="75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5.2×10</w:t>
                  </w:r>
                  <w:r>
                    <w:rPr>
                      <w:rFonts w:hint="default" w:ascii="Times New Roman" w:hAnsi="Times New Roman" w:eastAsia="宋体" w:cs="Times New Roman"/>
                      <w:color w:val="auto"/>
                      <w:sz w:val="21"/>
                      <w:szCs w:val="21"/>
                      <w:highlight w:val="none"/>
                      <w:vertAlign w:val="superscript"/>
                      <w:lang w:val="en-US" w:eastAsia="zh-CN"/>
                    </w:rPr>
                    <w:t>-4</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6.5×10</w:t>
                  </w:r>
                  <w:r>
                    <w:rPr>
                      <w:rFonts w:hint="default" w:ascii="Times New Roman" w:hAnsi="Times New Roman" w:eastAsia="宋体" w:cs="Times New Roman"/>
                      <w:color w:val="auto"/>
                      <w:sz w:val="21"/>
                      <w:szCs w:val="21"/>
                      <w:highlight w:val="none"/>
                      <w:vertAlign w:val="superscript"/>
                      <w:lang w:val="en-US" w:eastAsia="zh-CN"/>
                    </w:rPr>
                    <w:t>-4</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6.5×10</w:t>
                  </w:r>
                  <w:r>
                    <w:rPr>
                      <w:rFonts w:hint="default" w:ascii="Times New Roman" w:hAnsi="Times New Roman" w:eastAsia="宋体" w:cs="Times New Roman"/>
                      <w:color w:val="auto"/>
                      <w:sz w:val="21"/>
                      <w:szCs w:val="21"/>
                      <w:highlight w:val="none"/>
                      <w:vertAlign w:val="superscript"/>
                      <w:lang w:val="en-US" w:eastAsia="zh-CN"/>
                    </w:rPr>
                    <w:t>-4</w:t>
                  </w:r>
                </w:p>
              </w:tc>
              <w:tc>
                <w:tcPr>
                  <w:tcW w:w="75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1.05×10</w:t>
                  </w:r>
                  <w:r>
                    <w:rPr>
                      <w:rFonts w:hint="default" w:ascii="Times New Roman" w:hAnsi="Times New Roman" w:eastAsia="宋体" w:cs="Times New Roman"/>
                      <w:color w:val="auto"/>
                      <w:sz w:val="21"/>
                      <w:szCs w:val="21"/>
                      <w:highlight w:val="none"/>
                      <w:vertAlign w:val="superscrip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镍(mg/L)</w:t>
                  </w:r>
                </w:p>
              </w:tc>
              <w:tc>
                <w:tcPr>
                  <w:tcW w:w="70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7.1×10</w:t>
                  </w:r>
                  <w:r>
                    <w:rPr>
                      <w:rFonts w:hint="default" w:ascii="Times New Roman" w:hAnsi="Times New Roman" w:eastAsia="宋体" w:cs="Times New Roman"/>
                      <w:color w:val="auto"/>
                      <w:sz w:val="21"/>
                      <w:szCs w:val="21"/>
                      <w:highlight w:val="none"/>
                      <w:vertAlign w:val="superscript"/>
                      <w:lang w:val="en-US" w:eastAsia="zh-CN"/>
                    </w:rPr>
                    <w:t>-3</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9.7×10</w:t>
                  </w:r>
                  <w:r>
                    <w:rPr>
                      <w:rFonts w:hint="default" w:ascii="Times New Roman" w:hAnsi="Times New Roman" w:eastAsia="宋体" w:cs="Times New Roman"/>
                      <w:color w:val="auto"/>
                      <w:sz w:val="21"/>
                      <w:szCs w:val="21"/>
                      <w:highlight w:val="none"/>
                      <w:vertAlign w:val="superscript"/>
                      <w:lang w:val="en-US" w:eastAsia="zh-CN"/>
                    </w:rPr>
                    <w:t>-3</w:t>
                  </w:r>
                </w:p>
              </w:tc>
              <w:tc>
                <w:tcPr>
                  <w:tcW w:w="75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9.0×10</w:t>
                  </w:r>
                  <w:r>
                    <w:rPr>
                      <w:rFonts w:hint="default" w:ascii="Times New Roman" w:hAnsi="Times New Roman" w:eastAsia="宋体" w:cs="Times New Roman"/>
                      <w:color w:val="auto"/>
                      <w:sz w:val="21"/>
                      <w:szCs w:val="21"/>
                      <w:highlight w:val="none"/>
                      <w:vertAlign w:val="superscript"/>
                      <w:lang w:val="en-US" w:eastAsia="zh-CN"/>
                    </w:rPr>
                    <w:t>-3</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1.65×10</w:t>
                  </w:r>
                  <w:r>
                    <w:rPr>
                      <w:rFonts w:hint="default" w:ascii="Times New Roman" w:hAnsi="Times New Roman" w:eastAsia="宋体" w:cs="Times New Roman"/>
                      <w:color w:val="auto"/>
                      <w:sz w:val="21"/>
                      <w:szCs w:val="21"/>
                      <w:highlight w:val="none"/>
                      <w:vertAlign w:val="superscript"/>
                      <w:lang w:val="en-US" w:eastAsia="zh-CN"/>
                    </w:rPr>
                    <w:t>-3</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1.27×10</w:t>
                  </w:r>
                  <w:r>
                    <w:rPr>
                      <w:rFonts w:hint="default" w:ascii="Times New Roman" w:hAnsi="Times New Roman" w:eastAsia="宋体" w:cs="Times New Roman"/>
                      <w:color w:val="auto"/>
                      <w:sz w:val="21"/>
                      <w:szCs w:val="21"/>
                      <w:highlight w:val="none"/>
                      <w:vertAlign w:val="superscript"/>
                      <w:lang w:val="en-US" w:eastAsia="zh-CN"/>
                    </w:rPr>
                    <w:t>-3</w:t>
                  </w:r>
                </w:p>
              </w:tc>
              <w:tc>
                <w:tcPr>
                  <w:tcW w:w="75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2.05×10</w:t>
                  </w:r>
                  <w:r>
                    <w:rPr>
                      <w:rFonts w:hint="default" w:ascii="Times New Roman" w:hAnsi="Times New Roman" w:eastAsia="宋体" w:cs="Times New Roman"/>
                      <w:color w:val="auto"/>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氟化物(mg/L)</w:t>
                  </w:r>
                </w:p>
              </w:tc>
              <w:tc>
                <w:tcPr>
                  <w:tcW w:w="70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0.49</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0.46</w:t>
                  </w:r>
                </w:p>
              </w:tc>
              <w:tc>
                <w:tcPr>
                  <w:tcW w:w="75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0.48</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0.54</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0.52</w:t>
                  </w:r>
                </w:p>
              </w:tc>
              <w:tc>
                <w:tcPr>
                  <w:tcW w:w="75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六价铬(mg/L)</w:t>
                  </w:r>
                </w:p>
              </w:tc>
              <w:tc>
                <w:tcPr>
                  <w:tcW w:w="70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0.004L</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0.004L</w:t>
                  </w:r>
                </w:p>
              </w:tc>
              <w:tc>
                <w:tcPr>
                  <w:tcW w:w="75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0.004L</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0.004L</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0.004L</w:t>
                  </w:r>
                </w:p>
              </w:tc>
              <w:tc>
                <w:tcPr>
                  <w:tcW w:w="75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银(mg/L)</w:t>
                  </w:r>
                </w:p>
              </w:tc>
              <w:tc>
                <w:tcPr>
                  <w:tcW w:w="70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color w:val="auto"/>
                      <w:sz w:val="21"/>
                      <w:szCs w:val="21"/>
                      <w:highlight w:val="none"/>
                      <w:lang w:val="en-US" w:eastAsia="zh-CN"/>
                    </w:rPr>
                    <w:t>L</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color w:val="auto"/>
                      <w:sz w:val="21"/>
                      <w:szCs w:val="21"/>
                      <w:highlight w:val="none"/>
                      <w:lang w:val="en-US" w:eastAsia="zh-CN"/>
                    </w:rPr>
                    <w:t>L</w:t>
                  </w:r>
                </w:p>
              </w:tc>
              <w:tc>
                <w:tcPr>
                  <w:tcW w:w="75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color w:val="auto"/>
                      <w:sz w:val="21"/>
                      <w:szCs w:val="21"/>
                      <w:highlight w:val="none"/>
                      <w:lang w:val="en-US" w:eastAsia="zh-CN"/>
                    </w:rPr>
                    <w:t>L</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color w:val="auto"/>
                      <w:sz w:val="21"/>
                      <w:szCs w:val="21"/>
                      <w:highlight w:val="none"/>
                      <w:lang w:val="en-US" w:eastAsia="zh-CN"/>
                    </w:rPr>
                    <w:t>L</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color w:val="auto"/>
                      <w:sz w:val="21"/>
                      <w:szCs w:val="21"/>
                      <w:highlight w:val="none"/>
                      <w:lang w:val="en-US" w:eastAsia="zh-CN"/>
                    </w:rPr>
                    <w:t>L</w:t>
                  </w:r>
                </w:p>
              </w:tc>
              <w:tc>
                <w:tcPr>
                  <w:tcW w:w="75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color w:val="auto"/>
                      <w:sz w:val="21"/>
                      <w:szCs w:val="21"/>
                      <w:highlight w:val="none"/>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硒(mg/L)</w:t>
                  </w:r>
                </w:p>
              </w:tc>
              <w:tc>
                <w:tcPr>
                  <w:tcW w:w="70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7.9×10</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L</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7.9×10</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L</w:t>
                  </w:r>
                </w:p>
              </w:tc>
              <w:tc>
                <w:tcPr>
                  <w:tcW w:w="75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7.9×10</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L</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7.9×10</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L</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7.9×10</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L</w:t>
                  </w:r>
                </w:p>
              </w:tc>
              <w:tc>
                <w:tcPr>
                  <w:tcW w:w="75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7.9×10</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氰化物(ug/L)</w:t>
                  </w:r>
                </w:p>
              </w:tc>
              <w:tc>
                <w:tcPr>
                  <w:tcW w:w="70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0.1L</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0.1L</w:t>
                  </w:r>
                </w:p>
              </w:tc>
              <w:tc>
                <w:tcPr>
                  <w:tcW w:w="75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0.1L</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0.1L</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0.1L</w:t>
                  </w:r>
                </w:p>
              </w:tc>
              <w:tc>
                <w:tcPr>
                  <w:tcW w:w="75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铍(mg/L)</w:t>
                  </w:r>
                </w:p>
              </w:tc>
              <w:tc>
                <w:tcPr>
                  <w:tcW w:w="70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color w:val="auto"/>
                      <w:sz w:val="21"/>
                      <w:szCs w:val="21"/>
                      <w:highlight w:val="none"/>
                      <w:lang w:val="en-US" w:eastAsia="zh-CN"/>
                    </w:rPr>
                    <w:t>L</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color w:val="auto"/>
                      <w:sz w:val="21"/>
                      <w:szCs w:val="21"/>
                      <w:highlight w:val="none"/>
                      <w:lang w:val="en-US" w:eastAsia="zh-CN"/>
                    </w:rPr>
                    <w:t>L</w:t>
                  </w:r>
                </w:p>
              </w:tc>
              <w:tc>
                <w:tcPr>
                  <w:tcW w:w="75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color w:val="auto"/>
                      <w:sz w:val="21"/>
                      <w:szCs w:val="21"/>
                      <w:highlight w:val="none"/>
                      <w:lang w:val="en-US" w:eastAsia="zh-CN"/>
                    </w:rPr>
                    <w:t>L</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color w:val="auto"/>
                      <w:sz w:val="21"/>
                      <w:szCs w:val="21"/>
                      <w:highlight w:val="none"/>
                      <w:lang w:val="en-US" w:eastAsia="zh-CN"/>
                    </w:rPr>
                    <w:t>L</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color w:val="auto"/>
                      <w:sz w:val="21"/>
                      <w:szCs w:val="21"/>
                      <w:highlight w:val="none"/>
                      <w:lang w:val="en-US" w:eastAsia="zh-CN"/>
                    </w:rPr>
                    <w:t>L</w:t>
                  </w:r>
                </w:p>
              </w:tc>
              <w:tc>
                <w:tcPr>
                  <w:tcW w:w="75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color w:val="auto"/>
                      <w:sz w:val="21"/>
                      <w:szCs w:val="21"/>
                      <w:highlight w:val="none"/>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钡(mg/L)</w:t>
                  </w:r>
                </w:p>
              </w:tc>
              <w:tc>
                <w:tcPr>
                  <w:tcW w:w="70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2.73×10</w:t>
                  </w:r>
                  <w:r>
                    <w:rPr>
                      <w:rFonts w:hint="default" w:ascii="Times New Roman" w:hAnsi="Times New Roman" w:eastAsia="宋体" w:cs="Times New Roman"/>
                      <w:color w:val="auto"/>
                      <w:sz w:val="21"/>
                      <w:szCs w:val="21"/>
                      <w:highlight w:val="none"/>
                      <w:vertAlign w:val="superscript"/>
                      <w:lang w:val="en-US" w:eastAsia="zh-CN"/>
                    </w:rPr>
                    <w:t>-2</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2.73×10</w:t>
                  </w:r>
                  <w:r>
                    <w:rPr>
                      <w:rFonts w:hint="default" w:ascii="Times New Roman" w:hAnsi="Times New Roman" w:eastAsia="宋体" w:cs="Times New Roman"/>
                      <w:color w:val="auto"/>
                      <w:sz w:val="21"/>
                      <w:szCs w:val="21"/>
                      <w:highlight w:val="none"/>
                      <w:vertAlign w:val="superscript"/>
                      <w:lang w:val="en-US" w:eastAsia="zh-CN"/>
                    </w:rPr>
                    <w:t>-2</w:t>
                  </w:r>
                </w:p>
              </w:tc>
              <w:tc>
                <w:tcPr>
                  <w:tcW w:w="75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2.73×10</w:t>
                  </w:r>
                  <w:r>
                    <w:rPr>
                      <w:rFonts w:hint="default" w:ascii="Times New Roman" w:hAnsi="Times New Roman" w:eastAsia="宋体" w:cs="Times New Roman"/>
                      <w:color w:val="auto"/>
                      <w:sz w:val="21"/>
                      <w:szCs w:val="21"/>
                      <w:highlight w:val="none"/>
                      <w:vertAlign w:val="superscript"/>
                      <w:lang w:val="en-US" w:eastAsia="zh-CN"/>
                    </w:rPr>
                    <w:t>-2</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2.73×10</w:t>
                  </w:r>
                  <w:r>
                    <w:rPr>
                      <w:rFonts w:hint="default" w:ascii="Times New Roman" w:hAnsi="Times New Roman" w:eastAsia="宋体" w:cs="Times New Roman"/>
                      <w:color w:val="auto"/>
                      <w:sz w:val="21"/>
                      <w:szCs w:val="21"/>
                      <w:highlight w:val="none"/>
                      <w:vertAlign w:val="superscript"/>
                      <w:lang w:val="en-US" w:eastAsia="zh-CN"/>
                    </w:rPr>
                    <w:t>-2</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2.73×10</w:t>
                  </w:r>
                  <w:r>
                    <w:rPr>
                      <w:rFonts w:hint="default" w:ascii="Times New Roman" w:hAnsi="Times New Roman" w:eastAsia="宋体" w:cs="Times New Roman"/>
                      <w:color w:val="auto"/>
                      <w:sz w:val="21"/>
                      <w:szCs w:val="21"/>
                      <w:highlight w:val="none"/>
                      <w:vertAlign w:val="superscript"/>
                      <w:lang w:val="en-US" w:eastAsia="zh-CN"/>
                    </w:rPr>
                    <w:t>-2</w:t>
                  </w:r>
                </w:p>
              </w:tc>
              <w:tc>
                <w:tcPr>
                  <w:tcW w:w="75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2.73×10</w:t>
                  </w:r>
                  <w:r>
                    <w:rPr>
                      <w:rFonts w:hint="default" w:ascii="Times New Roman" w:hAnsi="Times New Roman" w:eastAsia="宋体" w:cs="Times New Roman"/>
                      <w:color w:val="auto"/>
                      <w:sz w:val="21"/>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甲基汞(ng/L)</w:t>
                  </w:r>
                </w:p>
              </w:tc>
              <w:tc>
                <w:tcPr>
                  <w:tcW w:w="70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10L</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10L</w:t>
                  </w:r>
                </w:p>
              </w:tc>
              <w:tc>
                <w:tcPr>
                  <w:tcW w:w="75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10L</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10L</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10L</w:t>
                  </w:r>
                </w:p>
              </w:tc>
              <w:tc>
                <w:tcPr>
                  <w:tcW w:w="75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乙基汞 (ng/L)</w:t>
                  </w:r>
                </w:p>
              </w:tc>
              <w:tc>
                <w:tcPr>
                  <w:tcW w:w="70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20L</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20L</w:t>
                  </w:r>
                </w:p>
              </w:tc>
              <w:tc>
                <w:tcPr>
                  <w:tcW w:w="75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20L</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20L</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20L</w:t>
                  </w:r>
                </w:p>
              </w:tc>
              <w:tc>
                <w:tcPr>
                  <w:tcW w:w="75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污染因子</w:t>
                  </w:r>
                </w:p>
              </w:tc>
              <w:tc>
                <w:tcPr>
                  <w:tcW w:w="2211" w:type="pct"/>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S1储存区3#</w:t>
                  </w:r>
                </w:p>
              </w:tc>
              <w:tc>
                <w:tcPr>
                  <w:tcW w:w="2257" w:type="pct"/>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S2储存区4#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70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表层</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中层</w:t>
                  </w:r>
                </w:p>
              </w:tc>
              <w:tc>
                <w:tcPr>
                  <w:tcW w:w="75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底层</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表层</w:t>
                  </w:r>
                </w:p>
              </w:tc>
              <w:tc>
                <w:tcPr>
                  <w:tcW w:w="75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中层</w:t>
                  </w:r>
                </w:p>
              </w:tc>
              <w:tc>
                <w:tcPr>
                  <w:tcW w:w="75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底层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铜(mg/L)</w:t>
                  </w:r>
                </w:p>
              </w:tc>
              <w:tc>
                <w:tcPr>
                  <w:tcW w:w="114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6.2×</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1.79×</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121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1.49×</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1.32×</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1.01×</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121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1.02×</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锌(mg/L)</w:t>
                  </w:r>
                </w:p>
              </w:tc>
              <w:tc>
                <w:tcPr>
                  <w:tcW w:w="114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8.5×</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2.10×</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121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3.57×</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2.47×</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2.38×</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121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2.75×</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铝(mg/L)</w:t>
                  </w:r>
                </w:p>
              </w:tc>
              <w:tc>
                <w:tcPr>
                  <w:tcW w:w="114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1.8×</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121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4.5×</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2.3×</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121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1.7×</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镉(mg/L)</w:t>
                  </w:r>
                </w:p>
              </w:tc>
              <w:tc>
                <w:tcPr>
                  <w:tcW w:w="114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121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121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总铬(mg/L)</w:t>
                  </w:r>
                </w:p>
              </w:tc>
              <w:tc>
                <w:tcPr>
                  <w:tcW w:w="114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3.3×</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4.2×</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121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3.9×</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3.6×</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4.1×</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121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3.8×</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砷(mg/L)</w:t>
                  </w:r>
                </w:p>
              </w:tc>
              <w:tc>
                <w:tcPr>
                  <w:tcW w:w="114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5.73×</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0.108</w:t>
                  </w:r>
                </w:p>
              </w:tc>
              <w:tc>
                <w:tcPr>
                  <w:tcW w:w="121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8.74×</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6.62×</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7.48×</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121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9.55×</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汞(mg/L)</w:t>
                  </w:r>
                </w:p>
              </w:tc>
              <w:tc>
                <w:tcPr>
                  <w:tcW w:w="114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7.9×</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6.54×</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p>
              </w:tc>
              <w:tc>
                <w:tcPr>
                  <w:tcW w:w="121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4.5×</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3.9×</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3.2×</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p>
              </w:tc>
              <w:tc>
                <w:tcPr>
                  <w:tcW w:w="121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3.2×</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镍(mg/L)</w:t>
                  </w:r>
                </w:p>
              </w:tc>
              <w:tc>
                <w:tcPr>
                  <w:tcW w:w="114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2.09×</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2.96×</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121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2.25×</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2.31×</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2.68×</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121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氟化物(mg/L)</w:t>
                  </w:r>
                </w:p>
              </w:tc>
              <w:tc>
                <w:tcPr>
                  <w:tcW w:w="114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0.73</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0.64</w:t>
                  </w:r>
                </w:p>
              </w:tc>
              <w:tc>
                <w:tcPr>
                  <w:tcW w:w="121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0.67</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0.64</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0.63</w:t>
                  </w:r>
                </w:p>
              </w:tc>
              <w:tc>
                <w:tcPr>
                  <w:tcW w:w="121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六价铬(mg/L)</w:t>
                  </w:r>
                </w:p>
              </w:tc>
              <w:tc>
                <w:tcPr>
                  <w:tcW w:w="114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0.004L</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0.004L</w:t>
                  </w:r>
                </w:p>
              </w:tc>
              <w:tc>
                <w:tcPr>
                  <w:tcW w:w="121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0.004L</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0.004L</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0.004L</w:t>
                  </w:r>
                </w:p>
              </w:tc>
              <w:tc>
                <w:tcPr>
                  <w:tcW w:w="121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银(mg/L)</w:t>
                  </w:r>
                </w:p>
              </w:tc>
              <w:tc>
                <w:tcPr>
                  <w:tcW w:w="114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121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121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硒(mg/L)</w:t>
                  </w:r>
                </w:p>
              </w:tc>
              <w:tc>
                <w:tcPr>
                  <w:tcW w:w="114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7.9×</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7.9×</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121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7.9×</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7.9×</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7.9×</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121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7.9×</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氰化物(ug/L)</w:t>
                  </w:r>
                </w:p>
              </w:tc>
              <w:tc>
                <w:tcPr>
                  <w:tcW w:w="114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0.1L</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0.1L</w:t>
                  </w:r>
                </w:p>
              </w:tc>
              <w:tc>
                <w:tcPr>
                  <w:tcW w:w="121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0.1L</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0.1L</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0.1L</w:t>
                  </w:r>
                </w:p>
              </w:tc>
              <w:tc>
                <w:tcPr>
                  <w:tcW w:w="121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铍(mg/L)</w:t>
                  </w:r>
                </w:p>
              </w:tc>
              <w:tc>
                <w:tcPr>
                  <w:tcW w:w="114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121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121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钡(mg/L)</w:t>
                  </w:r>
                </w:p>
              </w:tc>
              <w:tc>
                <w:tcPr>
                  <w:tcW w:w="114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2.34×</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1.68×</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121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1.87×</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1.34×</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121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1.20×</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121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1.11×</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甲基汞(ng/L)</w:t>
                  </w:r>
                </w:p>
              </w:tc>
              <w:tc>
                <w:tcPr>
                  <w:tcW w:w="114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10L</w:t>
                  </w:r>
                </w:p>
              </w:tc>
              <w:tc>
                <w:tcPr>
                  <w:tcW w:w="121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10L</w:t>
                  </w:r>
                </w:p>
              </w:tc>
              <w:tc>
                <w:tcPr>
                  <w:tcW w:w="121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10L</w:t>
                  </w:r>
                </w:p>
              </w:tc>
              <w:tc>
                <w:tcPr>
                  <w:tcW w:w="121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10L</w:t>
                  </w:r>
                </w:p>
              </w:tc>
              <w:tc>
                <w:tcPr>
                  <w:tcW w:w="121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10L</w:t>
                  </w:r>
                </w:p>
              </w:tc>
              <w:tc>
                <w:tcPr>
                  <w:tcW w:w="121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乙基汞 (ng/L)</w:t>
                  </w:r>
                </w:p>
              </w:tc>
              <w:tc>
                <w:tcPr>
                  <w:tcW w:w="114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20L</w:t>
                  </w:r>
                </w:p>
              </w:tc>
              <w:tc>
                <w:tcPr>
                  <w:tcW w:w="121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20L</w:t>
                  </w:r>
                </w:p>
              </w:tc>
              <w:tc>
                <w:tcPr>
                  <w:tcW w:w="121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20L</w:t>
                  </w:r>
                </w:p>
              </w:tc>
              <w:tc>
                <w:tcPr>
                  <w:tcW w:w="121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20L</w:t>
                  </w:r>
                </w:p>
              </w:tc>
              <w:tc>
                <w:tcPr>
                  <w:tcW w:w="121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20L</w:t>
                  </w:r>
                </w:p>
              </w:tc>
              <w:tc>
                <w:tcPr>
                  <w:tcW w:w="121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20L</w:t>
                  </w:r>
                </w:p>
              </w:tc>
            </w:tr>
          </w:tbl>
          <w:p>
            <w:pPr>
              <w:pStyle w:val="69"/>
              <w:keepNext w:val="0"/>
              <w:keepLines w:val="0"/>
              <w:suppressLineNumbers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color w:val="auto"/>
                <w:sz w:val="21"/>
                <w:szCs w:val="21"/>
                <w:highlight w:val="none"/>
                <w:lang w:val="en-US" w:eastAsia="zh-CN"/>
              </w:rPr>
            </w:pPr>
          </w:p>
          <w:p>
            <w:pPr>
              <w:pStyle w:val="69"/>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lang w:val="en-US" w:eastAsia="zh-CN"/>
              </w:rPr>
              <w:t>表2.3-6 固体废物浸出毒性鉴别检测结果表(水浸)</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1182"/>
              <w:gridCol w:w="1182"/>
              <w:gridCol w:w="1190"/>
              <w:gridCol w:w="1182"/>
              <w:gridCol w:w="1182"/>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污染因子</w:t>
                  </w:r>
                </w:p>
              </w:tc>
              <w:tc>
                <w:tcPr>
                  <w:tcW w:w="2237" w:type="pct"/>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S1储存区1#</w:t>
                  </w:r>
                </w:p>
              </w:tc>
              <w:tc>
                <w:tcPr>
                  <w:tcW w:w="2238" w:type="pct"/>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S2储存区2#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74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表层</w:t>
                  </w:r>
                </w:p>
              </w:tc>
              <w:tc>
                <w:tcPr>
                  <w:tcW w:w="74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中层</w:t>
                  </w:r>
                </w:p>
              </w:tc>
              <w:tc>
                <w:tcPr>
                  <w:tcW w:w="74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底层</w:t>
                  </w:r>
                </w:p>
              </w:tc>
              <w:tc>
                <w:tcPr>
                  <w:tcW w:w="74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表层</w:t>
                  </w:r>
                </w:p>
              </w:tc>
              <w:tc>
                <w:tcPr>
                  <w:tcW w:w="74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中层</w:t>
                  </w:r>
                </w:p>
              </w:tc>
              <w:tc>
                <w:tcPr>
                  <w:tcW w:w="74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底层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铜(mg/L)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1.3×</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74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3.8×</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1.8×</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749"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2.5×</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锌(mg/L)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5.6×</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1.23×</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74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1.8×</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1.48×</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1.8×</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749"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5.9×</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铝(mg/L)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74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749"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镉(mg/L)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74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749"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总铬(mg/L)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1.3×</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1.8×</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74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2.1×</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1.7×</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749"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砷(mg/L)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9.2×</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2.66×</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74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1.43×</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1.79×</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6.5×</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749"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2.43×</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汞(mg/L)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5.2×</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5.9×</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p>
              </w:tc>
              <w:tc>
                <w:tcPr>
                  <w:tcW w:w="74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3.9×</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6.5×</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9.0×</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p>
              </w:tc>
              <w:tc>
                <w:tcPr>
                  <w:tcW w:w="749"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9.9×</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镍(mg/L)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2.9×</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5.8×</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74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4.3×</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6.7×</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3.5×</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749"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9.8×</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氟化物(mg/L)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0.54</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74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0.52</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0.57</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0.57</w:t>
                  </w:r>
                </w:p>
              </w:tc>
              <w:tc>
                <w:tcPr>
                  <w:tcW w:w="749"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六价铬(mg/L)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0.004L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0.004L</w:t>
                  </w:r>
                </w:p>
              </w:tc>
              <w:tc>
                <w:tcPr>
                  <w:tcW w:w="74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0.004L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0.004L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0.004L</w:t>
                  </w:r>
                </w:p>
              </w:tc>
              <w:tc>
                <w:tcPr>
                  <w:tcW w:w="749"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银(mg/L)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74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749"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硒(mg/L)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7.9×</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7.9×</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74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7.9×</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7.9×</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7.9×</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749"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7.9×</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氰化物(ug/L)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0.1L</w:t>
                  </w:r>
                </w:p>
              </w:tc>
              <w:tc>
                <w:tcPr>
                  <w:tcW w:w="74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0.1L</w:t>
                  </w:r>
                </w:p>
              </w:tc>
              <w:tc>
                <w:tcPr>
                  <w:tcW w:w="749"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铍(mg/L)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74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749"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钡(mg/L)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1.08×</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1.57×</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74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1.25×</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1.44×</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5.2×</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749"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1.15×</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甲基汞(ng/L)</w:t>
                  </w:r>
                </w:p>
              </w:tc>
              <w:tc>
                <w:tcPr>
                  <w:tcW w:w="74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10L</w:t>
                  </w:r>
                </w:p>
              </w:tc>
              <w:tc>
                <w:tcPr>
                  <w:tcW w:w="74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10L</w:t>
                  </w:r>
                </w:p>
              </w:tc>
              <w:tc>
                <w:tcPr>
                  <w:tcW w:w="74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10L</w:t>
                  </w:r>
                </w:p>
              </w:tc>
              <w:tc>
                <w:tcPr>
                  <w:tcW w:w="74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10L</w:t>
                  </w:r>
                </w:p>
              </w:tc>
              <w:tc>
                <w:tcPr>
                  <w:tcW w:w="74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10L</w:t>
                  </w:r>
                </w:p>
              </w:tc>
              <w:tc>
                <w:tcPr>
                  <w:tcW w:w="74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乙基汞 (ng/L)</w:t>
                  </w:r>
                </w:p>
              </w:tc>
              <w:tc>
                <w:tcPr>
                  <w:tcW w:w="74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20L</w:t>
                  </w:r>
                </w:p>
              </w:tc>
              <w:tc>
                <w:tcPr>
                  <w:tcW w:w="74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20L</w:t>
                  </w:r>
                </w:p>
              </w:tc>
              <w:tc>
                <w:tcPr>
                  <w:tcW w:w="74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20L</w:t>
                  </w:r>
                </w:p>
              </w:tc>
              <w:tc>
                <w:tcPr>
                  <w:tcW w:w="74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20L</w:t>
                  </w:r>
                </w:p>
              </w:tc>
              <w:tc>
                <w:tcPr>
                  <w:tcW w:w="74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20L</w:t>
                  </w:r>
                </w:p>
              </w:tc>
              <w:tc>
                <w:tcPr>
                  <w:tcW w:w="74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污染因子</w:t>
                  </w:r>
                </w:p>
              </w:tc>
              <w:tc>
                <w:tcPr>
                  <w:tcW w:w="2237" w:type="pct"/>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S1储存区3#</w:t>
                  </w:r>
                </w:p>
              </w:tc>
              <w:tc>
                <w:tcPr>
                  <w:tcW w:w="2238" w:type="pct"/>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S2储存区4#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74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表层</w:t>
                  </w:r>
                </w:p>
              </w:tc>
              <w:tc>
                <w:tcPr>
                  <w:tcW w:w="74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中层</w:t>
                  </w:r>
                </w:p>
              </w:tc>
              <w:tc>
                <w:tcPr>
                  <w:tcW w:w="74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底层</w:t>
                  </w:r>
                </w:p>
              </w:tc>
              <w:tc>
                <w:tcPr>
                  <w:tcW w:w="74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表层</w:t>
                  </w:r>
                </w:p>
              </w:tc>
              <w:tc>
                <w:tcPr>
                  <w:tcW w:w="74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中层</w:t>
                  </w:r>
                </w:p>
              </w:tc>
              <w:tc>
                <w:tcPr>
                  <w:tcW w:w="74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底层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铜(mg/L)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3.1×</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7.6×</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74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6.9×</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6.1×</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5.4×</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749"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锌(mg/L)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7.2×</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4.0×</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74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1.06×</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5.9×</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7.4×</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749"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5.9×</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铝(mg/L)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Style w:val="127"/>
                      <w:rFonts w:hint="default" w:ascii="Times New Roman" w:hAnsi="Times New Roman" w:eastAsia="宋体" w:cs="Times New Roman"/>
                      <w:color w:val="auto"/>
                      <w:sz w:val="21"/>
                      <w:szCs w:val="21"/>
                      <w:highlight w:val="none"/>
                      <w:lang w:val="en-US" w:eastAsia="zh-CN" w:bidi="ar"/>
                    </w:rPr>
                    <w:t>L</w:t>
                  </w:r>
                </w:p>
              </w:tc>
              <w:tc>
                <w:tcPr>
                  <w:tcW w:w="120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Style w:val="127"/>
                      <w:rFonts w:hint="default" w:ascii="Times New Roman" w:hAnsi="Times New Roman" w:eastAsia="宋体" w:cs="Times New Roman"/>
                      <w:color w:val="auto"/>
                      <w:sz w:val="21"/>
                      <w:szCs w:val="21"/>
                      <w:highlight w:val="none"/>
                      <w:lang w:val="en-US" w:eastAsia="zh-CN" w:bidi="ar"/>
                    </w:rPr>
                    <w:t>L</w:t>
                  </w:r>
                </w:p>
              </w:tc>
              <w:tc>
                <w:tcPr>
                  <w:tcW w:w="120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Style w:val="127"/>
                      <w:rFonts w:hint="default" w:ascii="Times New Roman" w:hAnsi="Times New Roman" w:eastAsia="宋体" w:cs="Times New Roman"/>
                      <w:color w:val="auto"/>
                      <w:sz w:val="21"/>
                      <w:szCs w:val="21"/>
                      <w:highlight w:val="none"/>
                      <w:lang w:val="en-US" w:eastAsia="zh-CN" w:bidi="ar"/>
                    </w:rPr>
                    <w:t>L</w:t>
                  </w:r>
                </w:p>
              </w:tc>
              <w:tc>
                <w:tcPr>
                  <w:tcW w:w="120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Style w:val="127"/>
                      <w:rFonts w:hint="default" w:ascii="Times New Roman" w:hAnsi="Times New Roman" w:eastAsia="宋体" w:cs="Times New Roman"/>
                      <w:color w:val="auto"/>
                      <w:sz w:val="21"/>
                      <w:szCs w:val="21"/>
                      <w:highlight w:val="none"/>
                      <w:lang w:val="en-US" w:eastAsia="zh-CN" w:bidi="ar"/>
                    </w:rPr>
                    <w:t>L</w:t>
                  </w:r>
                </w:p>
              </w:tc>
              <w:tc>
                <w:tcPr>
                  <w:tcW w:w="120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Style w:val="127"/>
                      <w:rFonts w:hint="default" w:ascii="Times New Roman" w:hAnsi="Times New Roman" w:eastAsia="宋体" w:cs="Times New Roman"/>
                      <w:color w:val="auto"/>
                      <w:sz w:val="21"/>
                      <w:szCs w:val="21"/>
                      <w:highlight w:val="none"/>
                      <w:lang w:val="en-US" w:eastAsia="zh-CN" w:bidi="ar"/>
                    </w:rPr>
                    <w:t>L</w:t>
                  </w:r>
                </w:p>
              </w:tc>
              <w:tc>
                <w:tcPr>
                  <w:tcW w:w="120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Style w:val="127"/>
                      <w:rFonts w:hint="default" w:ascii="Times New Roman" w:hAnsi="Times New Roman" w:eastAsia="宋体" w:cs="Times New Roman"/>
                      <w:color w:val="auto"/>
                      <w:sz w:val="21"/>
                      <w:szCs w:val="21"/>
                      <w:highlight w:val="none"/>
                      <w:lang w:val="en-US" w:eastAsia="zh-CN" w:bidi="ar"/>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镉(mg/L)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Style w:val="127"/>
                      <w:rFonts w:hint="default" w:ascii="Times New Roman" w:hAnsi="Times New Roman" w:eastAsia="宋体" w:cs="Times New Roman"/>
                      <w:color w:val="auto"/>
                      <w:sz w:val="21"/>
                      <w:szCs w:val="21"/>
                      <w:highlight w:val="none"/>
                      <w:lang w:val="en-US" w:eastAsia="zh-CN" w:bidi="ar"/>
                    </w:rPr>
                    <w:t>L</w:t>
                  </w:r>
                </w:p>
              </w:tc>
              <w:tc>
                <w:tcPr>
                  <w:tcW w:w="120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Style w:val="127"/>
                      <w:rFonts w:hint="default" w:ascii="Times New Roman" w:hAnsi="Times New Roman" w:eastAsia="宋体" w:cs="Times New Roman"/>
                      <w:color w:val="auto"/>
                      <w:sz w:val="21"/>
                      <w:szCs w:val="21"/>
                      <w:highlight w:val="none"/>
                      <w:lang w:val="en-US" w:eastAsia="zh-CN" w:bidi="ar"/>
                    </w:rPr>
                    <w:t>L</w:t>
                  </w:r>
                </w:p>
              </w:tc>
              <w:tc>
                <w:tcPr>
                  <w:tcW w:w="120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Style w:val="127"/>
                      <w:rFonts w:hint="default" w:ascii="Times New Roman" w:hAnsi="Times New Roman" w:eastAsia="宋体" w:cs="Times New Roman"/>
                      <w:color w:val="auto"/>
                      <w:sz w:val="21"/>
                      <w:szCs w:val="21"/>
                      <w:highlight w:val="none"/>
                      <w:lang w:val="en-US" w:eastAsia="zh-CN" w:bidi="ar"/>
                    </w:rPr>
                    <w:t>L</w:t>
                  </w:r>
                </w:p>
              </w:tc>
              <w:tc>
                <w:tcPr>
                  <w:tcW w:w="120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Style w:val="127"/>
                      <w:rFonts w:hint="default" w:ascii="Times New Roman" w:hAnsi="Times New Roman" w:eastAsia="宋体" w:cs="Times New Roman"/>
                      <w:color w:val="auto"/>
                      <w:sz w:val="21"/>
                      <w:szCs w:val="21"/>
                      <w:highlight w:val="none"/>
                      <w:lang w:val="en-US" w:eastAsia="zh-CN" w:bidi="ar"/>
                    </w:rPr>
                    <w:t>L</w:t>
                  </w:r>
                </w:p>
              </w:tc>
              <w:tc>
                <w:tcPr>
                  <w:tcW w:w="120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Style w:val="127"/>
                      <w:rFonts w:hint="default" w:ascii="Times New Roman" w:hAnsi="Times New Roman" w:eastAsia="宋体" w:cs="Times New Roman"/>
                      <w:color w:val="auto"/>
                      <w:sz w:val="21"/>
                      <w:szCs w:val="21"/>
                      <w:highlight w:val="none"/>
                      <w:lang w:val="en-US" w:eastAsia="zh-CN" w:bidi="ar"/>
                    </w:rPr>
                    <w:t>L</w:t>
                  </w:r>
                </w:p>
              </w:tc>
              <w:tc>
                <w:tcPr>
                  <w:tcW w:w="120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Style w:val="127"/>
                      <w:rFonts w:hint="default" w:ascii="Times New Roman" w:hAnsi="Times New Roman" w:eastAsia="宋体" w:cs="Times New Roman"/>
                      <w:color w:val="auto"/>
                      <w:sz w:val="21"/>
                      <w:szCs w:val="21"/>
                      <w:highlight w:val="none"/>
                      <w:lang w:val="en-US" w:eastAsia="zh-CN" w:bidi="ar"/>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总铬(mg/L)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1.8×</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74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1.7×</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1.8×</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2.1×</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749"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1.8×</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砷(mg/L)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2.61×</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4.31×</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74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3.87×</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2.96×</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3.52×</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749"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4.11×</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汞(mg/L)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7.2×</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5.2×</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p>
              </w:tc>
              <w:tc>
                <w:tcPr>
                  <w:tcW w:w="74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3.2×</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3.2×</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2.5×</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p>
              </w:tc>
              <w:tc>
                <w:tcPr>
                  <w:tcW w:w="749"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2.5×</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镍(mg/L)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9.8×</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1.25×</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74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1.02×</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1.10×</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1.32×</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749"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1.41×</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氟化物(mg/L)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0.79</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0.7</w:t>
                  </w:r>
                </w:p>
              </w:tc>
              <w:tc>
                <w:tcPr>
                  <w:tcW w:w="74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0.73</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0.67</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0.66</w:t>
                  </w:r>
                </w:p>
              </w:tc>
              <w:tc>
                <w:tcPr>
                  <w:tcW w:w="749"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六价铬(mg/L)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0.004L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0.004L</w:t>
                  </w:r>
                </w:p>
              </w:tc>
              <w:tc>
                <w:tcPr>
                  <w:tcW w:w="74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0.004L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0.004L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0.004L</w:t>
                  </w:r>
                </w:p>
              </w:tc>
              <w:tc>
                <w:tcPr>
                  <w:tcW w:w="749"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银(mg/L)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Style w:val="127"/>
                      <w:rFonts w:hint="default" w:ascii="Times New Roman" w:hAnsi="Times New Roman" w:eastAsia="宋体" w:cs="Times New Roman"/>
                      <w:color w:val="auto"/>
                      <w:sz w:val="21"/>
                      <w:szCs w:val="21"/>
                      <w:highlight w:val="none"/>
                      <w:lang w:val="en-US" w:eastAsia="zh-CN" w:bidi="ar"/>
                    </w:rPr>
                    <w:t>L</w:t>
                  </w:r>
                </w:p>
              </w:tc>
              <w:tc>
                <w:tcPr>
                  <w:tcW w:w="120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Style w:val="127"/>
                      <w:rFonts w:hint="default" w:ascii="Times New Roman" w:hAnsi="Times New Roman" w:eastAsia="宋体" w:cs="Times New Roman"/>
                      <w:color w:val="auto"/>
                      <w:sz w:val="21"/>
                      <w:szCs w:val="21"/>
                      <w:highlight w:val="none"/>
                      <w:lang w:val="en-US" w:eastAsia="zh-CN" w:bidi="ar"/>
                    </w:rPr>
                    <w:t>L</w:t>
                  </w:r>
                </w:p>
              </w:tc>
              <w:tc>
                <w:tcPr>
                  <w:tcW w:w="120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Style w:val="127"/>
                      <w:rFonts w:hint="default" w:ascii="Times New Roman" w:hAnsi="Times New Roman" w:eastAsia="宋体" w:cs="Times New Roman"/>
                      <w:color w:val="auto"/>
                      <w:sz w:val="21"/>
                      <w:szCs w:val="21"/>
                      <w:highlight w:val="none"/>
                      <w:lang w:val="en-US" w:eastAsia="zh-CN" w:bidi="ar"/>
                    </w:rPr>
                    <w:t>L</w:t>
                  </w:r>
                </w:p>
              </w:tc>
              <w:tc>
                <w:tcPr>
                  <w:tcW w:w="120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Style w:val="127"/>
                      <w:rFonts w:hint="default" w:ascii="Times New Roman" w:hAnsi="Times New Roman" w:eastAsia="宋体" w:cs="Times New Roman"/>
                      <w:color w:val="auto"/>
                      <w:sz w:val="21"/>
                      <w:szCs w:val="21"/>
                      <w:highlight w:val="none"/>
                      <w:lang w:val="en-US" w:eastAsia="zh-CN" w:bidi="ar"/>
                    </w:rPr>
                    <w:t>L</w:t>
                  </w:r>
                </w:p>
              </w:tc>
              <w:tc>
                <w:tcPr>
                  <w:tcW w:w="120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Style w:val="127"/>
                      <w:rFonts w:hint="default" w:ascii="Times New Roman" w:hAnsi="Times New Roman" w:eastAsia="宋体" w:cs="Times New Roman"/>
                      <w:color w:val="auto"/>
                      <w:sz w:val="21"/>
                      <w:szCs w:val="21"/>
                      <w:highlight w:val="none"/>
                      <w:lang w:val="en-US" w:eastAsia="zh-CN" w:bidi="ar"/>
                    </w:rPr>
                    <w:t>L</w:t>
                  </w:r>
                </w:p>
              </w:tc>
              <w:tc>
                <w:tcPr>
                  <w:tcW w:w="120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Style w:val="127"/>
                      <w:rFonts w:hint="default" w:ascii="Times New Roman" w:hAnsi="Times New Roman" w:eastAsia="宋体" w:cs="Times New Roman"/>
                      <w:color w:val="auto"/>
                      <w:sz w:val="21"/>
                      <w:szCs w:val="21"/>
                      <w:highlight w:val="none"/>
                      <w:lang w:val="en-US" w:eastAsia="zh-CN" w:bidi="ar"/>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硒(mg/L)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7.9×</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Style w:val="127"/>
                      <w:rFonts w:hint="default" w:ascii="Times New Roman" w:hAnsi="Times New Roman" w:eastAsia="宋体" w:cs="Times New Roman"/>
                      <w:color w:val="auto"/>
                      <w:sz w:val="21"/>
                      <w:szCs w:val="21"/>
                      <w:highlight w:val="none"/>
                      <w:lang w:val="en-US" w:eastAsia="zh-CN" w:bidi="ar"/>
                    </w:rPr>
                    <w:t>L</w:t>
                  </w:r>
                </w:p>
              </w:tc>
              <w:tc>
                <w:tcPr>
                  <w:tcW w:w="120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7.9×</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Style w:val="127"/>
                      <w:rFonts w:hint="default" w:ascii="Times New Roman" w:hAnsi="Times New Roman" w:eastAsia="宋体" w:cs="Times New Roman"/>
                      <w:color w:val="auto"/>
                      <w:sz w:val="21"/>
                      <w:szCs w:val="21"/>
                      <w:highlight w:val="none"/>
                      <w:lang w:val="en-US" w:eastAsia="zh-CN" w:bidi="ar"/>
                    </w:rPr>
                    <w:t>L</w:t>
                  </w:r>
                </w:p>
              </w:tc>
              <w:tc>
                <w:tcPr>
                  <w:tcW w:w="120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7.9×</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Style w:val="127"/>
                      <w:rFonts w:hint="default" w:ascii="Times New Roman" w:hAnsi="Times New Roman" w:eastAsia="宋体" w:cs="Times New Roman"/>
                      <w:color w:val="auto"/>
                      <w:sz w:val="21"/>
                      <w:szCs w:val="21"/>
                      <w:highlight w:val="none"/>
                      <w:lang w:val="en-US" w:eastAsia="zh-CN" w:bidi="ar"/>
                    </w:rPr>
                    <w:t>L</w:t>
                  </w:r>
                </w:p>
              </w:tc>
              <w:tc>
                <w:tcPr>
                  <w:tcW w:w="120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7.9×</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Style w:val="127"/>
                      <w:rFonts w:hint="default" w:ascii="Times New Roman" w:hAnsi="Times New Roman" w:eastAsia="宋体" w:cs="Times New Roman"/>
                      <w:color w:val="auto"/>
                      <w:sz w:val="21"/>
                      <w:szCs w:val="21"/>
                      <w:highlight w:val="none"/>
                      <w:lang w:val="en-US" w:eastAsia="zh-CN" w:bidi="ar"/>
                    </w:rPr>
                    <w:t>L</w:t>
                  </w:r>
                </w:p>
              </w:tc>
              <w:tc>
                <w:tcPr>
                  <w:tcW w:w="120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7.9×</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Style w:val="127"/>
                      <w:rFonts w:hint="default" w:ascii="Times New Roman" w:hAnsi="Times New Roman" w:eastAsia="宋体" w:cs="Times New Roman"/>
                      <w:color w:val="auto"/>
                      <w:sz w:val="21"/>
                      <w:szCs w:val="21"/>
                      <w:highlight w:val="none"/>
                      <w:lang w:val="en-US" w:eastAsia="zh-CN" w:bidi="ar"/>
                    </w:rPr>
                    <w:t>L</w:t>
                  </w:r>
                </w:p>
              </w:tc>
              <w:tc>
                <w:tcPr>
                  <w:tcW w:w="120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7.9×</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Style w:val="127"/>
                      <w:rFonts w:hint="default" w:ascii="Times New Roman" w:hAnsi="Times New Roman" w:eastAsia="宋体" w:cs="Times New Roman"/>
                      <w:color w:val="auto"/>
                      <w:sz w:val="21"/>
                      <w:szCs w:val="21"/>
                      <w:highlight w:val="none"/>
                      <w:lang w:val="en-US" w:eastAsia="zh-CN" w:bidi="ar"/>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氰化物(ug/L)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0.1L</w:t>
                  </w:r>
                </w:p>
              </w:tc>
              <w:tc>
                <w:tcPr>
                  <w:tcW w:w="74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0.1L</w:t>
                  </w:r>
                </w:p>
              </w:tc>
              <w:tc>
                <w:tcPr>
                  <w:tcW w:w="74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0.1L</w:t>
                  </w:r>
                </w:p>
              </w:tc>
              <w:tc>
                <w:tcPr>
                  <w:tcW w:w="749"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铍(mg/L)</w:t>
                  </w:r>
                </w:p>
              </w:tc>
              <w:tc>
                <w:tcPr>
                  <w:tcW w:w="120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120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120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120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120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120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钡(mg/L)</w:t>
                  </w:r>
                </w:p>
              </w:tc>
              <w:tc>
                <w:tcPr>
                  <w:tcW w:w="120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1.14×</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120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7.4×</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120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9.4×</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120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6.5×</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120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6.9×</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120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5.4×</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甲基汞(ng/L)</w:t>
                  </w:r>
                </w:p>
              </w:tc>
              <w:tc>
                <w:tcPr>
                  <w:tcW w:w="74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10L</w:t>
                  </w:r>
                </w:p>
              </w:tc>
              <w:tc>
                <w:tcPr>
                  <w:tcW w:w="74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10L</w:t>
                  </w:r>
                </w:p>
              </w:tc>
              <w:tc>
                <w:tcPr>
                  <w:tcW w:w="74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10L</w:t>
                  </w:r>
                </w:p>
              </w:tc>
              <w:tc>
                <w:tcPr>
                  <w:tcW w:w="74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10L</w:t>
                  </w:r>
                </w:p>
              </w:tc>
              <w:tc>
                <w:tcPr>
                  <w:tcW w:w="74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10L</w:t>
                  </w:r>
                </w:p>
              </w:tc>
              <w:tc>
                <w:tcPr>
                  <w:tcW w:w="74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乙基汞(ng/L)</w:t>
                  </w:r>
                </w:p>
              </w:tc>
              <w:tc>
                <w:tcPr>
                  <w:tcW w:w="74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20L</w:t>
                  </w:r>
                </w:p>
              </w:tc>
              <w:tc>
                <w:tcPr>
                  <w:tcW w:w="74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20L</w:t>
                  </w:r>
                </w:p>
              </w:tc>
              <w:tc>
                <w:tcPr>
                  <w:tcW w:w="74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20L</w:t>
                  </w:r>
                </w:p>
              </w:tc>
              <w:tc>
                <w:tcPr>
                  <w:tcW w:w="74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20L</w:t>
                  </w:r>
                </w:p>
              </w:tc>
              <w:tc>
                <w:tcPr>
                  <w:tcW w:w="74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20L</w:t>
                  </w:r>
                </w:p>
              </w:tc>
              <w:tc>
                <w:tcPr>
                  <w:tcW w:w="74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20L</w:t>
                  </w:r>
                </w:p>
              </w:tc>
            </w:tr>
          </w:tbl>
          <w:p>
            <w:pPr>
              <w:pStyle w:val="69"/>
              <w:keepNext w:val="0"/>
              <w:keepLines w:val="0"/>
              <w:suppressLineNumbers w:val="0"/>
              <w:spacing w:before="0" w:beforeAutospacing="0" w:after="0" w:afterAutospacing="0"/>
              <w:ind w:left="0" w:right="0" w:firstLine="482"/>
              <w:jc w:val="both"/>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根据监测结果，污泥浸出液污染物浓度均低于《危险废物鉴别标准浸出毒性鉴别》(GB5085.3-2007)（酸浸），污泥成分中不含重金属及氯化物，不属于危险废物。项目</w:t>
            </w:r>
            <w:r>
              <w:rPr>
                <w:rFonts w:hint="default" w:ascii="Times New Roman" w:hAnsi="Times New Roman" w:eastAsia="宋体" w:cs="Times New Roman"/>
                <w:b w:val="0"/>
                <w:bCs/>
                <w:color w:val="auto"/>
                <w:highlight w:val="none"/>
                <w:lang w:val="en-US" w:eastAsia="zh-CN"/>
              </w:rPr>
              <w:t>使用的污泥为</w:t>
            </w:r>
            <w:r>
              <w:rPr>
                <w:rFonts w:hint="default" w:ascii="Times New Roman" w:hAnsi="Times New Roman" w:eastAsia="宋体" w:cs="Times New Roman"/>
                <w:b w:val="0"/>
                <w:bCs/>
                <w:color w:val="auto"/>
                <w:sz w:val="24"/>
                <w:szCs w:val="24"/>
                <w:highlight w:val="none"/>
                <w:lang w:val="en-US" w:eastAsia="zh-CN"/>
              </w:rPr>
              <w:t>昆明渝润水务有限公司（昆明市第十四水质净化厂）提供的</w:t>
            </w:r>
            <w:r>
              <w:rPr>
                <w:rFonts w:hint="default" w:ascii="Times New Roman" w:hAnsi="Times New Roman" w:eastAsia="宋体" w:cs="Times New Roman"/>
                <w:b w:val="0"/>
                <w:bCs/>
                <w:color w:val="auto"/>
                <w:highlight w:val="none"/>
                <w:lang w:val="en-US" w:eastAsia="zh-CN"/>
              </w:rPr>
              <w:t>污泥，</w:t>
            </w:r>
            <w:r>
              <w:rPr>
                <w:rFonts w:hint="default" w:ascii="Times New Roman" w:hAnsi="Times New Roman" w:eastAsia="宋体" w:cs="Times New Roman"/>
                <w:b w:val="0"/>
                <w:bCs/>
                <w:color w:val="auto"/>
                <w:sz w:val="24"/>
                <w:szCs w:val="24"/>
                <w:highlight w:val="none"/>
                <w:lang w:val="en-US" w:eastAsia="zh-CN"/>
              </w:rPr>
              <w:t>根据《关于污（废）水处理设施产生污泥危险特性鉴别有关意见的</w:t>
            </w:r>
            <w:r>
              <w:rPr>
                <w:rFonts w:hint="default" w:ascii="Times New Roman" w:hAnsi="Times New Roman" w:eastAsia="宋体" w:cs="Times New Roman"/>
                <w:b w:val="0"/>
                <w:bCs/>
                <w:color w:val="auto"/>
                <w:szCs w:val="24"/>
                <w:highlight w:val="none"/>
                <w:lang w:val="en-US" w:eastAsia="zh-CN"/>
              </w:rPr>
              <w:t>函》（环函〔2010〕129号），单纯处理生活污水的公共污水处理厂，其污泥通常不具有危险特性，可作为一般固体废物管理。</w:t>
            </w:r>
            <w:r>
              <w:rPr>
                <w:rFonts w:hint="default" w:ascii="Times New Roman" w:hAnsi="Times New Roman" w:eastAsia="宋体" w:cs="Times New Roman"/>
                <w:b/>
                <w:bCs w:val="0"/>
                <w:color w:val="auto"/>
                <w:szCs w:val="24"/>
                <w:highlight w:val="none"/>
                <w:lang w:val="en-US" w:eastAsia="zh-CN"/>
              </w:rPr>
              <w:t>本次</w:t>
            </w:r>
            <w:r>
              <w:rPr>
                <w:rFonts w:hint="default" w:ascii="Times New Roman" w:hAnsi="Times New Roman" w:eastAsia="宋体" w:cs="Times New Roman"/>
                <w:b/>
                <w:bCs w:val="0"/>
                <w:color w:val="auto"/>
                <w:sz w:val="24"/>
                <w:highlight w:val="none"/>
                <w:lang w:val="en-US" w:eastAsia="zh-CN"/>
              </w:rPr>
              <w:t>环评要求，项目利用的污泥在入场前，应按批次进行检测，</w:t>
            </w:r>
            <w:r>
              <w:rPr>
                <w:rFonts w:hint="default" w:ascii="Times New Roman" w:hAnsi="Times New Roman" w:eastAsia="宋体" w:cs="Times New Roman"/>
                <w:b/>
                <w:bCs w:val="0"/>
                <w:color w:val="auto"/>
                <w:sz w:val="24"/>
                <w:szCs w:val="22"/>
                <w:highlight w:val="none"/>
              </w:rPr>
              <w:t>确保</w:t>
            </w:r>
            <w:r>
              <w:rPr>
                <w:rFonts w:hint="default" w:ascii="Times New Roman" w:hAnsi="Times New Roman" w:eastAsia="宋体" w:cs="Times New Roman"/>
                <w:b/>
                <w:bCs w:val="0"/>
                <w:color w:val="auto"/>
                <w:sz w:val="24"/>
                <w:szCs w:val="22"/>
                <w:highlight w:val="none"/>
                <w:lang w:val="en-US" w:eastAsia="zh-CN"/>
              </w:rPr>
              <w:t>污泥</w:t>
            </w:r>
            <w:r>
              <w:rPr>
                <w:rFonts w:hint="default" w:ascii="Times New Roman" w:hAnsi="Times New Roman" w:eastAsia="宋体" w:cs="Times New Roman"/>
                <w:b/>
                <w:bCs w:val="0"/>
                <w:color w:val="auto"/>
                <w:sz w:val="24"/>
                <w:szCs w:val="22"/>
                <w:highlight w:val="none"/>
              </w:rPr>
              <w:t>的各指标达到国家标准值，</w:t>
            </w:r>
            <w:r>
              <w:rPr>
                <w:rFonts w:hint="default" w:ascii="Times New Roman" w:hAnsi="Times New Roman" w:eastAsia="宋体" w:cs="Times New Roman"/>
                <w:b/>
                <w:bCs w:val="0"/>
                <w:color w:val="auto"/>
                <w:sz w:val="24"/>
                <w:szCs w:val="22"/>
                <w:highlight w:val="none"/>
                <w:lang w:val="en-US" w:eastAsia="zh-CN"/>
              </w:rPr>
              <w:t>且</w:t>
            </w:r>
            <w:r>
              <w:rPr>
                <w:rFonts w:hint="default" w:ascii="Times New Roman" w:hAnsi="Times New Roman" w:eastAsia="宋体" w:cs="Times New Roman"/>
                <w:b/>
                <w:bCs w:val="0"/>
                <w:color w:val="auto"/>
                <w:sz w:val="24"/>
                <w:szCs w:val="24"/>
                <w:highlight w:val="none"/>
                <w:lang w:val="en-US" w:eastAsia="zh-CN"/>
              </w:rPr>
              <w:t>不属于危险废物后</w:t>
            </w:r>
            <w:r>
              <w:rPr>
                <w:rFonts w:hint="default" w:ascii="Times New Roman" w:hAnsi="Times New Roman" w:eastAsia="宋体" w:cs="Times New Roman"/>
                <w:b/>
                <w:bCs w:val="0"/>
                <w:color w:val="auto"/>
                <w:sz w:val="24"/>
                <w:highlight w:val="none"/>
                <w:lang w:val="en-US" w:eastAsia="zh-CN"/>
              </w:rPr>
              <w:t>方可用于制砖。入场原料应做好台帐管理，对来料量、种类、流向等严格做好登记，并存档。</w:t>
            </w:r>
          </w:p>
          <w:p>
            <w:pPr>
              <w:pStyle w:val="69"/>
              <w:keepNext w:val="0"/>
              <w:keepLines w:val="0"/>
              <w:suppressLineNumbers w:val="0"/>
              <w:spacing w:before="0" w:beforeAutospacing="0" w:after="0" w:afterAutospacing="0"/>
              <w:ind w:left="0" w:right="0"/>
              <w:jc w:val="both"/>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3.3.1.4污泥质量检测</w:t>
            </w:r>
          </w:p>
          <w:p>
            <w:pPr>
              <w:pStyle w:val="69"/>
              <w:keepNext w:val="0"/>
              <w:keepLines w:val="0"/>
              <w:suppressLineNumbers w:val="0"/>
              <w:spacing w:before="0" w:beforeAutospacing="0" w:after="0" w:afterAutospacing="0"/>
              <w:ind w:left="0" w:right="0" w:firstLine="482"/>
              <w:jc w:val="both"/>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根据云南方源科技有限公司对昆明市第十四水质净化厂污泥质量检测报告（附件9），污泥中挥发份为21.5mg/kg，矿物油为309mg/kg。污泥泥质满足《城镇污水处理厂污泥泥质》（GB24188-2009）的标准限值。</w:t>
            </w:r>
          </w:p>
          <w:p>
            <w:pPr>
              <w:pStyle w:val="69"/>
              <w:keepNext w:val="0"/>
              <w:keepLines w:val="0"/>
              <w:suppressLineNumbers w:val="0"/>
              <w:spacing w:before="0" w:beforeAutospacing="0" w:after="0" w:afterAutospacing="0"/>
              <w:ind w:left="0" w:right="0" w:firstLine="482"/>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3.3.1.5</w:t>
            </w:r>
            <w:r>
              <w:rPr>
                <w:rFonts w:hint="default" w:ascii="Times New Roman" w:hAnsi="Times New Roman" w:eastAsia="宋体" w:cs="Times New Roman"/>
                <w:color w:val="auto"/>
                <w:sz w:val="24"/>
                <w:szCs w:val="24"/>
                <w:highlight w:val="none"/>
                <w:lang w:val="en-US" w:eastAsia="zh-CN"/>
              </w:rPr>
              <w:t>炉渣</w:t>
            </w:r>
          </w:p>
          <w:p>
            <w:pPr>
              <w:pStyle w:val="69"/>
              <w:keepNext w:val="0"/>
              <w:keepLines w:val="0"/>
              <w:suppressLineNumbers w:val="0"/>
              <w:spacing w:before="0" w:beforeAutospacing="0" w:after="0" w:afterAutospacing="0"/>
              <w:ind w:left="0" w:right="0" w:firstLine="482"/>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炉渣是煤在锅炉中燃烧后，从炉床底部排出的固态残余物。</w:t>
            </w:r>
          </w:p>
          <w:p>
            <w:pPr>
              <w:pStyle w:val="69"/>
              <w:keepNext w:val="0"/>
              <w:keepLines w:val="0"/>
              <w:suppressLineNumbers w:val="0"/>
              <w:spacing w:before="0" w:beforeAutospacing="0" w:after="0" w:afterAutospacing="0"/>
              <w:ind w:left="0" w:right="0" w:firstLine="482"/>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val="0"/>
                <w:color w:val="auto"/>
                <w:sz w:val="24"/>
                <w:szCs w:val="24"/>
                <w:highlight w:val="none"/>
                <w:lang w:val="en-US" w:eastAsia="zh-CN"/>
              </w:rPr>
              <w:t>3.3.1.6</w:t>
            </w:r>
            <w:r>
              <w:rPr>
                <w:rFonts w:hint="default" w:ascii="Times New Roman" w:hAnsi="Times New Roman" w:eastAsia="宋体" w:cs="Times New Roman"/>
                <w:color w:val="auto"/>
                <w:sz w:val="24"/>
                <w:szCs w:val="24"/>
                <w:highlight w:val="none"/>
              </w:rPr>
              <w:t>氢氧化钠</w:t>
            </w:r>
          </w:p>
          <w:p>
            <w:pPr>
              <w:pStyle w:val="69"/>
              <w:keepNext w:val="0"/>
              <w:keepLines w:val="0"/>
              <w:suppressLineNumbers w:val="0"/>
              <w:spacing w:before="0" w:beforeAutospacing="0" w:after="0" w:afterAutospacing="0"/>
              <w:ind w:left="0" w:right="0" w:firstLine="482"/>
              <w:jc w:val="both"/>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fldChar w:fldCharType="begin"/>
            </w:r>
            <w:r>
              <w:rPr>
                <w:rFonts w:hint="default" w:ascii="Times New Roman" w:hAnsi="Times New Roman" w:eastAsia="宋体" w:cs="Times New Roman"/>
                <w:b w:val="0"/>
                <w:bCs/>
                <w:color w:val="auto"/>
                <w:sz w:val="24"/>
                <w:szCs w:val="24"/>
                <w:highlight w:val="none"/>
              </w:rPr>
              <w:instrText xml:space="preserve"> HYPERLINK "https://baike.so.com/doc/804239-850746.html" \t "https://baike.so.com/doc/_blank" </w:instrText>
            </w:r>
            <w:r>
              <w:rPr>
                <w:rFonts w:hint="default" w:ascii="Times New Roman" w:hAnsi="Times New Roman" w:eastAsia="宋体" w:cs="Times New Roman"/>
                <w:b w:val="0"/>
                <w:bCs/>
                <w:color w:val="auto"/>
                <w:sz w:val="24"/>
                <w:szCs w:val="24"/>
                <w:highlight w:val="none"/>
              </w:rPr>
              <w:fldChar w:fldCharType="separate"/>
            </w:r>
            <w:r>
              <w:rPr>
                <w:rFonts w:hint="default" w:ascii="Times New Roman" w:hAnsi="Times New Roman" w:eastAsia="宋体" w:cs="Times New Roman"/>
                <w:b w:val="0"/>
                <w:bCs/>
                <w:color w:val="auto"/>
                <w:sz w:val="24"/>
                <w:szCs w:val="24"/>
                <w:highlight w:val="none"/>
              </w:rPr>
              <w:t>化学式</w:t>
            </w:r>
            <w:r>
              <w:rPr>
                <w:rFonts w:hint="default" w:ascii="Times New Roman" w:hAnsi="Times New Roman" w:eastAsia="宋体" w:cs="Times New Roman"/>
                <w:b w:val="0"/>
                <w:bCs/>
                <w:color w:val="auto"/>
                <w:sz w:val="24"/>
                <w:szCs w:val="24"/>
                <w:highlight w:val="none"/>
              </w:rPr>
              <w:fldChar w:fldCharType="end"/>
            </w:r>
            <w:r>
              <w:rPr>
                <w:rFonts w:hint="default" w:ascii="Times New Roman" w:hAnsi="Times New Roman" w:eastAsia="宋体" w:cs="Times New Roman"/>
                <w:b w:val="0"/>
                <w:bCs/>
                <w:color w:val="auto"/>
                <w:sz w:val="24"/>
                <w:szCs w:val="24"/>
                <w:highlight w:val="none"/>
              </w:rPr>
              <w:t>为NaOH，俗称烧碱、火碱、苛性钠，为一种具有强腐蚀性的</w:t>
            </w:r>
            <w:r>
              <w:rPr>
                <w:rFonts w:hint="default" w:ascii="Times New Roman" w:hAnsi="Times New Roman" w:eastAsia="宋体" w:cs="Times New Roman"/>
                <w:b w:val="0"/>
                <w:bCs/>
                <w:color w:val="auto"/>
                <w:sz w:val="24"/>
                <w:szCs w:val="24"/>
                <w:highlight w:val="none"/>
              </w:rPr>
              <w:fldChar w:fldCharType="begin"/>
            </w:r>
            <w:r>
              <w:rPr>
                <w:rFonts w:hint="default" w:ascii="Times New Roman" w:hAnsi="Times New Roman" w:eastAsia="宋体" w:cs="Times New Roman"/>
                <w:b w:val="0"/>
                <w:bCs/>
                <w:color w:val="auto"/>
                <w:sz w:val="24"/>
                <w:szCs w:val="24"/>
                <w:highlight w:val="none"/>
              </w:rPr>
              <w:instrText xml:space="preserve"> HYPERLINK "https://baike.so.com/doc/81217-85715.html" \t "https://baike.so.com/doc/_blank" </w:instrText>
            </w:r>
            <w:r>
              <w:rPr>
                <w:rFonts w:hint="default" w:ascii="Times New Roman" w:hAnsi="Times New Roman" w:eastAsia="宋体" w:cs="Times New Roman"/>
                <w:b w:val="0"/>
                <w:bCs/>
                <w:color w:val="auto"/>
                <w:sz w:val="24"/>
                <w:szCs w:val="24"/>
                <w:highlight w:val="none"/>
              </w:rPr>
              <w:fldChar w:fldCharType="separate"/>
            </w:r>
            <w:r>
              <w:rPr>
                <w:rFonts w:hint="default" w:ascii="Times New Roman" w:hAnsi="Times New Roman" w:eastAsia="宋体" w:cs="Times New Roman"/>
                <w:b w:val="0"/>
                <w:bCs/>
                <w:color w:val="auto"/>
                <w:sz w:val="24"/>
                <w:szCs w:val="24"/>
                <w:highlight w:val="none"/>
              </w:rPr>
              <w:t>强碱</w:t>
            </w:r>
            <w:r>
              <w:rPr>
                <w:rFonts w:hint="default" w:ascii="Times New Roman" w:hAnsi="Times New Roman" w:eastAsia="宋体" w:cs="Times New Roman"/>
                <w:b w:val="0"/>
                <w:bCs/>
                <w:color w:val="auto"/>
                <w:sz w:val="24"/>
                <w:szCs w:val="24"/>
                <w:highlight w:val="none"/>
              </w:rPr>
              <w:fldChar w:fldCharType="end"/>
            </w:r>
            <w:r>
              <w:rPr>
                <w:rFonts w:hint="default" w:ascii="Times New Roman" w:hAnsi="Times New Roman" w:eastAsia="宋体" w:cs="Times New Roman"/>
                <w:b w:val="0"/>
                <w:bCs/>
                <w:color w:val="auto"/>
                <w:szCs w:val="24"/>
                <w:highlight w:val="none"/>
              </w:rPr>
              <w:t>，</w:t>
            </w:r>
            <w:r>
              <w:rPr>
                <w:rFonts w:hint="default" w:ascii="Times New Roman" w:hAnsi="Times New Roman" w:eastAsia="宋体" w:cs="Times New Roman"/>
                <w:b w:val="0"/>
                <w:bCs/>
                <w:color w:val="auto"/>
                <w:sz w:val="24"/>
                <w:szCs w:val="24"/>
                <w:highlight w:val="none"/>
              </w:rPr>
              <w:t>一般为片状或颗粒形态，易溶于水(溶于水时放热)并形成碱性溶液，另有</w:t>
            </w:r>
            <w:r>
              <w:rPr>
                <w:rFonts w:hint="default" w:ascii="Times New Roman" w:hAnsi="Times New Roman" w:eastAsia="宋体" w:cs="Times New Roman"/>
                <w:b w:val="0"/>
                <w:bCs/>
                <w:color w:val="auto"/>
                <w:sz w:val="24"/>
                <w:szCs w:val="24"/>
                <w:highlight w:val="none"/>
              </w:rPr>
              <w:fldChar w:fldCharType="begin"/>
            </w:r>
            <w:r>
              <w:rPr>
                <w:rFonts w:hint="default" w:ascii="Times New Roman" w:hAnsi="Times New Roman" w:eastAsia="宋体" w:cs="Times New Roman"/>
                <w:b w:val="0"/>
                <w:bCs/>
                <w:color w:val="auto"/>
                <w:sz w:val="24"/>
                <w:szCs w:val="24"/>
                <w:highlight w:val="none"/>
              </w:rPr>
              <w:instrText xml:space="preserve"> HYPERLINK "https://baike.so.com/doc/2628817-2775779.html" \t "https://baike.so.com/doc/_blank" </w:instrText>
            </w:r>
            <w:r>
              <w:rPr>
                <w:rFonts w:hint="default" w:ascii="Times New Roman" w:hAnsi="Times New Roman" w:eastAsia="宋体" w:cs="Times New Roman"/>
                <w:b w:val="0"/>
                <w:bCs/>
                <w:color w:val="auto"/>
                <w:sz w:val="24"/>
                <w:szCs w:val="24"/>
                <w:highlight w:val="none"/>
              </w:rPr>
              <w:fldChar w:fldCharType="separate"/>
            </w:r>
            <w:r>
              <w:rPr>
                <w:rFonts w:hint="default" w:ascii="Times New Roman" w:hAnsi="Times New Roman" w:eastAsia="宋体" w:cs="Times New Roman"/>
                <w:b w:val="0"/>
                <w:bCs/>
                <w:color w:val="auto"/>
                <w:sz w:val="24"/>
                <w:szCs w:val="24"/>
                <w:highlight w:val="none"/>
              </w:rPr>
              <w:t>潮解性</w:t>
            </w:r>
            <w:r>
              <w:rPr>
                <w:rFonts w:hint="default" w:ascii="Times New Roman" w:hAnsi="Times New Roman" w:eastAsia="宋体" w:cs="Times New Roman"/>
                <w:b w:val="0"/>
                <w:bCs/>
                <w:color w:val="auto"/>
                <w:sz w:val="24"/>
                <w:szCs w:val="24"/>
                <w:highlight w:val="none"/>
              </w:rPr>
              <w:fldChar w:fldCharType="end"/>
            </w:r>
            <w:r>
              <w:rPr>
                <w:rFonts w:hint="default" w:ascii="Times New Roman" w:hAnsi="Times New Roman" w:eastAsia="宋体" w:cs="Times New Roman"/>
                <w:b w:val="0"/>
                <w:bCs/>
                <w:color w:val="auto"/>
                <w:sz w:val="24"/>
                <w:szCs w:val="24"/>
                <w:highlight w:val="none"/>
              </w:rPr>
              <w:t>，易吸取空气中的水蒸气（潮解）和二氧化碳（变质）。是</w:t>
            </w:r>
            <w:r>
              <w:rPr>
                <w:rFonts w:hint="default" w:ascii="Times New Roman" w:hAnsi="Times New Roman" w:eastAsia="宋体" w:cs="Times New Roman"/>
                <w:b w:val="0"/>
                <w:bCs/>
                <w:color w:val="auto"/>
                <w:sz w:val="24"/>
                <w:szCs w:val="24"/>
                <w:highlight w:val="none"/>
              </w:rPr>
              <w:fldChar w:fldCharType="begin"/>
            </w:r>
            <w:r>
              <w:rPr>
                <w:rFonts w:hint="default" w:ascii="Times New Roman" w:hAnsi="Times New Roman" w:eastAsia="宋体" w:cs="Times New Roman"/>
                <w:b w:val="0"/>
                <w:bCs/>
                <w:color w:val="auto"/>
                <w:sz w:val="24"/>
                <w:szCs w:val="24"/>
                <w:highlight w:val="none"/>
              </w:rPr>
              <w:instrText xml:space="preserve"> HYPERLINK "https://baike.so.com/doc/6554657-6768406.html" \t "https://baike.so.com/doc/_blank" </w:instrText>
            </w:r>
            <w:r>
              <w:rPr>
                <w:rFonts w:hint="default" w:ascii="Times New Roman" w:hAnsi="Times New Roman" w:eastAsia="宋体" w:cs="Times New Roman"/>
                <w:b w:val="0"/>
                <w:bCs/>
                <w:color w:val="auto"/>
                <w:sz w:val="24"/>
                <w:szCs w:val="24"/>
                <w:highlight w:val="none"/>
              </w:rPr>
              <w:fldChar w:fldCharType="separate"/>
            </w:r>
            <w:r>
              <w:rPr>
                <w:rFonts w:hint="default" w:ascii="Times New Roman" w:hAnsi="Times New Roman" w:eastAsia="宋体" w:cs="Times New Roman"/>
                <w:b w:val="0"/>
                <w:bCs/>
                <w:color w:val="auto"/>
                <w:sz w:val="24"/>
                <w:szCs w:val="24"/>
                <w:highlight w:val="none"/>
              </w:rPr>
              <w:t>化学实验室</w:t>
            </w:r>
            <w:r>
              <w:rPr>
                <w:rFonts w:hint="default" w:ascii="Times New Roman" w:hAnsi="Times New Roman" w:eastAsia="宋体" w:cs="Times New Roman"/>
                <w:b w:val="0"/>
                <w:bCs/>
                <w:color w:val="auto"/>
                <w:sz w:val="24"/>
                <w:szCs w:val="24"/>
                <w:highlight w:val="none"/>
              </w:rPr>
              <w:fldChar w:fldCharType="end"/>
            </w:r>
            <w:r>
              <w:rPr>
                <w:rFonts w:hint="default" w:ascii="Times New Roman" w:hAnsi="Times New Roman" w:eastAsia="宋体" w:cs="Times New Roman"/>
                <w:b w:val="0"/>
                <w:bCs/>
                <w:color w:val="auto"/>
                <w:sz w:val="24"/>
                <w:szCs w:val="24"/>
                <w:highlight w:val="none"/>
              </w:rPr>
              <w:t>其中一种必备的化学品，亦为常见的化工品之一。纯品是无色透明的晶体。密度2.130g/cm³。熔点318.4℃。沸点1390℃。工业品含有少量的</w:t>
            </w:r>
            <w:r>
              <w:rPr>
                <w:rFonts w:hint="default" w:ascii="Times New Roman" w:hAnsi="Times New Roman" w:eastAsia="宋体" w:cs="Times New Roman"/>
                <w:b w:val="0"/>
                <w:bCs/>
                <w:color w:val="auto"/>
                <w:sz w:val="24"/>
                <w:szCs w:val="24"/>
                <w:highlight w:val="none"/>
              </w:rPr>
              <w:fldChar w:fldCharType="begin"/>
            </w:r>
            <w:r>
              <w:rPr>
                <w:rFonts w:hint="default" w:ascii="Times New Roman" w:hAnsi="Times New Roman" w:eastAsia="宋体" w:cs="Times New Roman"/>
                <w:b w:val="0"/>
                <w:bCs/>
                <w:color w:val="auto"/>
                <w:sz w:val="24"/>
                <w:szCs w:val="24"/>
                <w:highlight w:val="none"/>
              </w:rPr>
              <w:instrText xml:space="preserve"> HYPERLINK "https://baike.so.com/doc/1243217-1314844.html" \t "https://baike.so.com/doc/_blank" </w:instrText>
            </w:r>
            <w:r>
              <w:rPr>
                <w:rFonts w:hint="default" w:ascii="Times New Roman" w:hAnsi="Times New Roman" w:eastAsia="宋体" w:cs="Times New Roman"/>
                <w:b w:val="0"/>
                <w:bCs/>
                <w:color w:val="auto"/>
                <w:sz w:val="24"/>
                <w:szCs w:val="24"/>
                <w:highlight w:val="none"/>
              </w:rPr>
              <w:fldChar w:fldCharType="separate"/>
            </w:r>
            <w:r>
              <w:rPr>
                <w:rFonts w:hint="default" w:ascii="Times New Roman" w:hAnsi="Times New Roman" w:eastAsia="宋体" w:cs="Times New Roman"/>
                <w:b w:val="0"/>
                <w:bCs/>
                <w:color w:val="auto"/>
                <w:sz w:val="24"/>
                <w:szCs w:val="24"/>
                <w:highlight w:val="none"/>
              </w:rPr>
              <w:t>氯化钠</w:t>
            </w:r>
            <w:r>
              <w:rPr>
                <w:rFonts w:hint="default" w:ascii="Times New Roman" w:hAnsi="Times New Roman" w:eastAsia="宋体" w:cs="Times New Roman"/>
                <w:b w:val="0"/>
                <w:bCs/>
                <w:color w:val="auto"/>
                <w:sz w:val="24"/>
                <w:szCs w:val="24"/>
                <w:highlight w:val="none"/>
              </w:rPr>
              <w:fldChar w:fldCharType="end"/>
            </w:r>
            <w:r>
              <w:rPr>
                <w:rFonts w:hint="default" w:ascii="Times New Roman" w:hAnsi="Times New Roman" w:eastAsia="宋体" w:cs="Times New Roman"/>
                <w:b w:val="0"/>
                <w:bCs/>
                <w:color w:val="auto"/>
                <w:sz w:val="24"/>
                <w:szCs w:val="24"/>
                <w:highlight w:val="none"/>
              </w:rPr>
              <w:t>和碳酸钠，是白色不透明的晶体。有块状，片状，粒状和棒状等。式量40.01氢氧化钠在水处理中可作为碱性清洗剂，溶于乙醇和甘油，不溶于丙醇、乙醚。在高温下对碳钠也有腐蚀作用。与氯、溴、碘等卤素发生歧化反应，与酸类起中和作用而生成盐和水。</w:t>
            </w:r>
          </w:p>
          <w:p>
            <w:pPr>
              <w:pStyle w:val="69"/>
              <w:keepNext w:val="0"/>
              <w:keepLines w:val="0"/>
              <w:suppressLineNumbers w:val="0"/>
              <w:spacing w:before="0" w:beforeAutospacing="0" w:after="0" w:afterAutospacing="0"/>
              <w:ind w:left="0" w:right="0" w:firstLine="482"/>
              <w:jc w:val="both"/>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b/>
                <w:bCs w:val="0"/>
                <w:color w:val="auto"/>
                <w:sz w:val="24"/>
                <w:szCs w:val="24"/>
                <w:highlight w:val="none"/>
                <w:lang w:val="en-US" w:eastAsia="zh-CN"/>
              </w:rPr>
              <w:t>3.3.1.7</w:t>
            </w:r>
            <w:r>
              <w:rPr>
                <w:rFonts w:hint="default" w:ascii="Times New Roman" w:hAnsi="Times New Roman" w:eastAsia="宋体" w:cs="Times New Roman"/>
                <w:color w:val="auto"/>
                <w:sz w:val="24"/>
                <w:szCs w:val="24"/>
                <w:highlight w:val="none"/>
                <w:shd w:val="clear" w:color="auto" w:fill="FFFFFF"/>
              </w:rPr>
              <w:t>生石灰</w:t>
            </w:r>
          </w:p>
          <w:p>
            <w:pPr>
              <w:pStyle w:val="69"/>
              <w:keepNext w:val="0"/>
              <w:keepLines w:val="0"/>
              <w:suppressLineNumbers w:val="0"/>
              <w:spacing w:before="0" w:beforeAutospacing="0" w:after="0" w:afterAutospacing="0"/>
              <w:ind w:left="0" w:right="0" w:firstLine="482"/>
              <w:jc w:val="both"/>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shd w:val="clear" w:color="auto" w:fill="FFFFFF"/>
              </w:rPr>
              <w:t>主要成分为氧化钙，通常制法为将主要</w:t>
            </w:r>
            <w:r>
              <w:rPr>
                <w:rFonts w:hint="default" w:ascii="Times New Roman" w:hAnsi="Times New Roman" w:eastAsia="宋体" w:cs="Times New Roman"/>
                <w:b w:val="0"/>
                <w:bCs/>
                <w:color w:val="auto"/>
                <w:sz w:val="24"/>
                <w:szCs w:val="24"/>
                <w:highlight w:val="none"/>
              </w:rPr>
              <w:fldChar w:fldCharType="begin"/>
            </w:r>
            <w:r>
              <w:rPr>
                <w:rFonts w:hint="default" w:ascii="Times New Roman" w:hAnsi="Times New Roman" w:eastAsia="宋体" w:cs="Times New Roman"/>
                <w:b w:val="0"/>
                <w:bCs/>
                <w:color w:val="auto"/>
                <w:sz w:val="24"/>
                <w:szCs w:val="24"/>
                <w:highlight w:val="none"/>
              </w:rPr>
              <w:instrText xml:space="preserve"> HYPERLINK "https://baike.so.com/doc/23788612-24344706.html" \t "_blank" </w:instrText>
            </w:r>
            <w:r>
              <w:rPr>
                <w:rFonts w:hint="default" w:ascii="Times New Roman" w:hAnsi="Times New Roman" w:eastAsia="宋体" w:cs="Times New Roman"/>
                <w:b w:val="0"/>
                <w:bCs/>
                <w:color w:val="auto"/>
                <w:sz w:val="24"/>
                <w:szCs w:val="24"/>
                <w:highlight w:val="none"/>
              </w:rPr>
              <w:fldChar w:fldCharType="separate"/>
            </w:r>
            <w:r>
              <w:rPr>
                <w:rStyle w:val="33"/>
                <w:rFonts w:hint="default" w:ascii="Times New Roman" w:hAnsi="Times New Roman" w:eastAsia="宋体" w:cs="Times New Roman"/>
                <w:b w:val="0"/>
                <w:bCs/>
                <w:color w:val="auto"/>
                <w:sz w:val="24"/>
                <w:szCs w:val="24"/>
                <w:highlight w:val="none"/>
                <w:shd w:val="clear" w:color="auto" w:fill="FFFFFF"/>
              </w:rPr>
              <w:t>成分</w:t>
            </w:r>
            <w:r>
              <w:rPr>
                <w:rFonts w:hint="default" w:ascii="Times New Roman" w:hAnsi="Times New Roman" w:eastAsia="宋体" w:cs="Times New Roman"/>
                <w:b w:val="0"/>
                <w:bCs/>
                <w:color w:val="auto"/>
                <w:sz w:val="24"/>
                <w:szCs w:val="24"/>
                <w:highlight w:val="none"/>
              </w:rPr>
              <w:fldChar w:fldCharType="end"/>
            </w:r>
            <w:r>
              <w:rPr>
                <w:rFonts w:hint="default" w:ascii="Times New Roman" w:hAnsi="Times New Roman" w:eastAsia="宋体" w:cs="Times New Roman"/>
                <w:b w:val="0"/>
                <w:bCs/>
                <w:color w:val="auto"/>
                <w:sz w:val="24"/>
                <w:szCs w:val="24"/>
                <w:highlight w:val="none"/>
                <w:shd w:val="clear" w:color="auto" w:fill="FFFFFF"/>
              </w:rPr>
              <w:t>为碳酸钙的天然岩石，在高温下</w:t>
            </w:r>
            <w:r>
              <w:rPr>
                <w:rFonts w:hint="default" w:ascii="Times New Roman" w:hAnsi="Times New Roman" w:eastAsia="宋体" w:cs="Times New Roman"/>
                <w:b w:val="0"/>
                <w:bCs/>
                <w:color w:val="auto"/>
                <w:sz w:val="24"/>
                <w:szCs w:val="24"/>
                <w:highlight w:val="none"/>
              </w:rPr>
              <w:fldChar w:fldCharType="begin"/>
            </w:r>
            <w:r>
              <w:rPr>
                <w:rFonts w:hint="default" w:ascii="Times New Roman" w:hAnsi="Times New Roman" w:eastAsia="宋体" w:cs="Times New Roman"/>
                <w:b w:val="0"/>
                <w:bCs/>
                <w:color w:val="auto"/>
                <w:sz w:val="24"/>
                <w:szCs w:val="24"/>
                <w:highlight w:val="none"/>
              </w:rPr>
              <w:instrText xml:space="preserve"> HYPERLINK "https://baike.so.com/doc/6945744-7168107.html" \t "_blank" </w:instrText>
            </w:r>
            <w:r>
              <w:rPr>
                <w:rFonts w:hint="default" w:ascii="Times New Roman" w:hAnsi="Times New Roman" w:eastAsia="宋体" w:cs="Times New Roman"/>
                <w:b w:val="0"/>
                <w:bCs/>
                <w:color w:val="auto"/>
                <w:sz w:val="24"/>
                <w:szCs w:val="24"/>
                <w:highlight w:val="none"/>
              </w:rPr>
              <w:fldChar w:fldCharType="separate"/>
            </w:r>
            <w:r>
              <w:rPr>
                <w:rStyle w:val="33"/>
                <w:rFonts w:hint="default" w:ascii="Times New Roman" w:hAnsi="Times New Roman" w:eastAsia="宋体" w:cs="Times New Roman"/>
                <w:b w:val="0"/>
                <w:bCs/>
                <w:color w:val="auto"/>
                <w:sz w:val="24"/>
                <w:szCs w:val="24"/>
                <w:highlight w:val="none"/>
                <w:shd w:val="clear" w:color="auto" w:fill="FFFFFF"/>
              </w:rPr>
              <w:t>煅烧</w:t>
            </w:r>
            <w:r>
              <w:rPr>
                <w:rFonts w:hint="default" w:ascii="Times New Roman" w:hAnsi="Times New Roman" w:eastAsia="宋体" w:cs="Times New Roman"/>
                <w:b w:val="0"/>
                <w:bCs/>
                <w:color w:val="auto"/>
                <w:sz w:val="24"/>
                <w:szCs w:val="24"/>
                <w:highlight w:val="none"/>
              </w:rPr>
              <w:fldChar w:fldCharType="end"/>
            </w:r>
            <w:r>
              <w:rPr>
                <w:rFonts w:hint="default" w:ascii="Times New Roman" w:hAnsi="Times New Roman" w:eastAsia="宋体" w:cs="Times New Roman"/>
                <w:b w:val="0"/>
                <w:bCs/>
                <w:color w:val="auto"/>
                <w:sz w:val="24"/>
                <w:szCs w:val="24"/>
                <w:highlight w:val="none"/>
                <w:shd w:val="clear" w:color="auto" w:fill="FFFFFF"/>
              </w:rPr>
              <w:t>，即可分解生成二氧化碳以及</w:t>
            </w:r>
            <w:r>
              <w:rPr>
                <w:rFonts w:hint="default" w:ascii="Times New Roman" w:hAnsi="Times New Roman" w:eastAsia="宋体" w:cs="Times New Roman"/>
                <w:b w:val="0"/>
                <w:bCs/>
                <w:color w:val="auto"/>
                <w:sz w:val="24"/>
                <w:szCs w:val="24"/>
                <w:highlight w:val="none"/>
              </w:rPr>
              <w:fldChar w:fldCharType="begin"/>
            </w:r>
            <w:r>
              <w:rPr>
                <w:rFonts w:hint="default" w:ascii="Times New Roman" w:hAnsi="Times New Roman" w:eastAsia="宋体" w:cs="Times New Roman"/>
                <w:b w:val="0"/>
                <w:bCs/>
                <w:color w:val="auto"/>
                <w:sz w:val="24"/>
                <w:szCs w:val="24"/>
                <w:highlight w:val="none"/>
              </w:rPr>
              <w:instrText xml:space="preserve"> HYPERLINK "https://baike.so.com/doc/988576-1045035.html" \t "_blank" </w:instrText>
            </w:r>
            <w:r>
              <w:rPr>
                <w:rFonts w:hint="default" w:ascii="Times New Roman" w:hAnsi="Times New Roman" w:eastAsia="宋体" w:cs="Times New Roman"/>
                <w:b w:val="0"/>
                <w:bCs/>
                <w:color w:val="auto"/>
                <w:sz w:val="24"/>
                <w:szCs w:val="24"/>
                <w:highlight w:val="none"/>
              </w:rPr>
              <w:fldChar w:fldCharType="separate"/>
            </w:r>
            <w:r>
              <w:rPr>
                <w:rStyle w:val="33"/>
                <w:rFonts w:hint="default" w:ascii="Times New Roman" w:hAnsi="Times New Roman" w:eastAsia="宋体" w:cs="Times New Roman"/>
                <w:b w:val="0"/>
                <w:bCs/>
                <w:color w:val="auto"/>
                <w:sz w:val="24"/>
                <w:szCs w:val="24"/>
                <w:highlight w:val="none"/>
                <w:shd w:val="clear" w:color="auto" w:fill="FFFFFF"/>
              </w:rPr>
              <w:t>氧化钙</w:t>
            </w:r>
            <w:r>
              <w:rPr>
                <w:rFonts w:hint="default" w:ascii="Times New Roman" w:hAnsi="Times New Roman" w:eastAsia="宋体" w:cs="Times New Roman"/>
                <w:b w:val="0"/>
                <w:bCs/>
                <w:color w:val="auto"/>
                <w:sz w:val="24"/>
                <w:szCs w:val="24"/>
                <w:highlight w:val="none"/>
              </w:rPr>
              <w:fldChar w:fldCharType="end"/>
            </w:r>
            <w:r>
              <w:rPr>
                <w:rFonts w:hint="default" w:ascii="Times New Roman" w:hAnsi="Times New Roman" w:eastAsia="宋体" w:cs="Times New Roman"/>
                <w:b w:val="0"/>
                <w:bCs/>
                <w:color w:val="auto"/>
                <w:sz w:val="24"/>
                <w:szCs w:val="24"/>
                <w:highlight w:val="none"/>
                <w:shd w:val="clear" w:color="auto" w:fill="FFFFFF"/>
              </w:rPr>
              <w:t>(化学式</w:t>
            </w:r>
            <w:r>
              <w:rPr>
                <w:rFonts w:hint="default" w:ascii="Times New Roman" w:hAnsi="Times New Roman" w:eastAsia="宋体" w:cs="Times New Roman"/>
                <w:b w:val="0"/>
                <w:bCs/>
                <w:color w:val="auto"/>
                <w:sz w:val="24"/>
                <w:szCs w:val="24"/>
                <w:highlight w:val="none"/>
                <w:shd w:val="clear" w:color="auto" w:fill="FFFFFF"/>
                <w:lang w:eastAsia="zh-CN"/>
              </w:rPr>
              <w:t>：</w:t>
            </w:r>
            <w:r>
              <w:rPr>
                <w:rFonts w:hint="default" w:ascii="Times New Roman" w:hAnsi="Times New Roman" w:eastAsia="宋体" w:cs="Times New Roman"/>
                <w:b w:val="0"/>
                <w:bCs/>
                <w:color w:val="auto"/>
                <w:sz w:val="24"/>
                <w:szCs w:val="24"/>
                <w:highlight w:val="none"/>
                <w:shd w:val="clear" w:color="auto" w:fill="FFFFFF"/>
              </w:rPr>
              <w:t>CaO，即生石灰，又称云石。分子量为56.08)。外形为白色(或灰色、棕白)，无定形，在空气中吸收水和二氧化碳。氧化钙与水作用生成氢氧化钙，并放出热量。溶于酸水，不溶于醇。系属无机碱性蚀物品。生石灰与水会发生化学反应，接着就会立刻加热到超100℃的高温。</w:t>
            </w:r>
          </w:p>
          <w:p>
            <w:pPr>
              <w:keepNext w:val="0"/>
              <w:keepLines w:val="0"/>
              <w:suppressLineNumbers w:val="0"/>
              <w:adjustRightInd w:val="0"/>
              <w:snapToGrid w:val="0"/>
              <w:spacing w:before="0" w:beforeAutospacing="0" w:after="0" w:afterAutospacing="0" w:line="360" w:lineRule="auto"/>
              <w:ind w:left="0" w:right="0"/>
              <w:jc w:val="left"/>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四</w:t>
            </w:r>
            <w:r>
              <w:rPr>
                <w:rFonts w:hint="default" w:ascii="Times New Roman" w:hAnsi="Times New Roman" w:eastAsia="宋体" w:cs="Times New Roman"/>
                <w:b/>
                <w:bCs/>
                <w:color w:val="auto"/>
                <w:sz w:val="24"/>
                <w:szCs w:val="24"/>
                <w:highlight w:val="none"/>
              </w:rPr>
              <w:t>、项目主要平衡</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4.1</w:t>
            </w:r>
            <w:r>
              <w:rPr>
                <w:rFonts w:hint="default" w:ascii="Times New Roman" w:hAnsi="Times New Roman" w:eastAsia="宋体" w:cs="Times New Roman"/>
                <w:b/>
                <w:bCs/>
                <w:color w:val="auto"/>
                <w:sz w:val="24"/>
                <w:szCs w:val="24"/>
                <w:highlight w:val="none"/>
              </w:rPr>
              <w:t>物料平衡</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根据调查，项目生产过程中投加原、辅材料及产排情况</w:t>
            </w:r>
            <w:r>
              <w:rPr>
                <w:rFonts w:hint="default" w:ascii="Times New Roman" w:hAnsi="Times New Roman" w:eastAsia="宋体" w:cs="Times New Roman"/>
                <w:color w:val="auto"/>
                <w:sz w:val="24"/>
                <w:szCs w:val="24"/>
                <w:highlight w:val="none"/>
                <w:lang w:val="en-US" w:eastAsia="zh-CN"/>
              </w:rPr>
              <w:t>如下：</w:t>
            </w:r>
          </w:p>
          <w:p>
            <w:pPr>
              <w:keepNext w:val="0"/>
              <w:keepLines w:val="0"/>
              <w:suppressLineNumbers w:val="0"/>
              <w:tabs>
                <w:tab w:val="left" w:pos="2395"/>
              </w:tabs>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表2.4-</w:t>
            </w:r>
            <w:r>
              <w:rPr>
                <w:rFonts w:hint="default" w:ascii="Times New Roman" w:hAnsi="Times New Roman" w:eastAsia="宋体" w:cs="Times New Roman"/>
                <w:b/>
                <w:bCs/>
                <w:color w:val="auto"/>
                <w:szCs w:val="21"/>
                <w:highlight w:val="none"/>
                <w:lang w:val="en-US" w:eastAsia="zh-CN"/>
              </w:rPr>
              <w:t>1</w:t>
            </w:r>
            <w:r>
              <w:rPr>
                <w:rFonts w:hint="default" w:ascii="Times New Roman" w:hAnsi="Times New Roman" w:eastAsia="宋体" w:cs="Times New Roman"/>
                <w:b/>
                <w:bCs/>
                <w:color w:val="auto"/>
                <w:szCs w:val="21"/>
                <w:highlight w:val="none"/>
              </w:rPr>
              <w:t xml:space="preserve">   生产投加原、辅材料及物料产排情况汇总表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6"/>
              <w:gridCol w:w="1529"/>
              <w:gridCol w:w="2119"/>
              <w:gridCol w:w="1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63" w:type="pct"/>
                  <w:noWrap w:val="0"/>
                  <w:vAlign w:val="center"/>
                </w:tcPr>
                <w:p>
                  <w:pPr>
                    <w:keepNext w:val="0"/>
                    <w:keepLines w:val="0"/>
                    <w:suppressLineNumbers w:val="0"/>
                    <w:tabs>
                      <w:tab w:val="left" w:pos="2395"/>
                    </w:tabs>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原、辅料名称</w:t>
                  </w:r>
                </w:p>
              </w:tc>
              <w:tc>
                <w:tcPr>
                  <w:tcW w:w="962" w:type="pct"/>
                  <w:noWrap w:val="0"/>
                  <w:vAlign w:val="center"/>
                </w:tcPr>
                <w:p>
                  <w:pPr>
                    <w:keepNext w:val="0"/>
                    <w:keepLines w:val="0"/>
                    <w:suppressLineNumbers w:val="0"/>
                    <w:tabs>
                      <w:tab w:val="left" w:pos="2395"/>
                    </w:tabs>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数量（t/a）</w:t>
                  </w:r>
                </w:p>
              </w:tc>
              <w:tc>
                <w:tcPr>
                  <w:tcW w:w="1333" w:type="pct"/>
                  <w:noWrap w:val="0"/>
                  <w:vAlign w:val="center"/>
                </w:tcPr>
                <w:p>
                  <w:pPr>
                    <w:keepNext w:val="0"/>
                    <w:keepLines w:val="0"/>
                    <w:suppressLineNumbers w:val="0"/>
                    <w:tabs>
                      <w:tab w:val="left" w:pos="2395"/>
                    </w:tabs>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产、排物料名称</w:t>
                  </w:r>
                </w:p>
              </w:tc>
              <w:tc>
                <w:tcPr>
                  <w:tcW w:w="1240" w:type="pct"/>
                  <w:noWrap w:val="0"/>
                  <w:vAlign w:val="center"/>
                </w:tcPr>
                <w:p>
                  <w:pPr>
                    <w:keepNext w:val="0"/>
                    <w:keepLines w:val="0"/>
                    <w:suppressLineNumbers w:val="0"/>
                    <w:tabs>
                      <w:tab w:val="left" w:pos="2395"/>
                    </w:tabs>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数量（t/a）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60"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页岩</w:t>
                  </w:r>
                </w:p>
              </w:tc>
              <w:tc>
                <w:tcPr>
                  <w:tcW w:w="1552"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129167</w:t>
                  </w:r>
                </w:p>
              </w:tc>
              <w:tc>
                <w:tcPr>
                  <w:tcW w:w="2151"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页岩砖</w:t>
                  </w:r>
                </w:p>
              </w:tc>
              <w:tc>
                <w:tcPr>
                  <w:tcW w:w="2001"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181244.9336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360"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褐煤</w:t>
                  </w:r>
                </w:p>
              </w:tc>
              <w:tc>
                <w:tcPr>
                  <w:tcW w:w="1552"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24800</w:t>
                  </w:r>
                </w:p>
              </w:tc>
              <w:tc>
                <w:tcPr>
                  <w:tcW w:w="2151"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外排烟尘</w:t>
                  </w:r>
                </w:p>
              </w:tc>
              <w:tc>
                <w:tcPr>
                  <w:tcW w:w="2001"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5.6544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2360"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炉渣</w:t>
                  </w:r>
                </w:p>
              </w:tc>
              <w:tc>
                <w:tcPr>
                  <w:tcW w:w="1552"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3720</w:t>
                  </w:r>
                </w:p>
              </w:tc>
              <w:tc>
                <w:tcPr>
                  <w:tcW w:w="2151"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外排二氧化硫</w:t>
                  </w:r>
                </w:p>
              </w:tc>
              <w:tc>
                <w:tcPr>
                  <w:tcW w:w="2001"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60"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污泥</w:t>
                  </w:r>
                </w:p>
              </w:tc>
              <w:tc>
                <w:tcPr>
                  <w:tcW w:w="1552"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25834</w:t>
                  </w:r>
                </w:p>
              </w:tc>
              <w:tc>
                <w:tcPr>
                  <w:tcW w:w="2151"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外排氮氧化物</w:t>
                  </w:r>
                </w:p>
              </w:tc>
              <w:tc>
                <w:tcPr>
                  <w:tcW w:w="2001"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60"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水</w:t>
                  </w:r>
                </w:p>
              </w:tc>
              <w:tc>
                <w:tcPr>
                  <w:tcW w:w="1552" w:type="dxa"/>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893354.39</w:t>
                  </w:r>
                </w:p>
              </w:tc>
              <w:tc>
                <w:tcPr>
                  <w:tcW w:w="2151"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外排氟化物</w:t>
                  </w:r>
                </w:p>
              </w:tc>
              <w:tc>
                <w:tcPr>
                  <w:tcW w:w="2001"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0.9687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60" w:type="dxa"/>
                  <w:noWrap w:val="0"/>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1552"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51"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外排粉尘</w:t>
                  </w:r>
                </w:p>
              </w:tc>
              <w:tc>
                <w:tcPr>
                  <w:tcW w:w="2001"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3.1448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60" w:type="dxa"/>
                  <w:noWrap w:val="0"/>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1552"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51"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废泥坯</w:t>
                  </w:r>
                </w:p>
              </w:tc>
              <w:tc>
                <w:tcPr>
                  <w:tcW w:w="2001"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22.9648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60" w:type="dxa"/>
                  <w:noWrap w:val="0"/>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1552"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51"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废砖</w:t>
                  </w:r>
                </w:p>
              </w:tc>
              <w:tc>
                <w:tcPr>
                  <w:tcW w:w="2001"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60" w:type="dxa"/>
                  <w:noWrap w:val="0"/>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1552"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51"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煤渣</w:t>
                  </w:r>
                </w:p>
              </w:tc>
              <w:tc>
                <w:tcPr>
                  <w:tcW w:w="2001"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1714.65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60" w:type="dxa"/>
                  <w:noWrap w:val="0"/>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1552"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51"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除尘灰</w:t>
                  </w:r>
                </w:p>
              </w:tc>
              <w:tc>
                <w:tcPr>
                  <w:tcW w:w="2001"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60" w:type="dxa"/>
                  <w:noWrap w:val="0"/>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1552"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51"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脱硫除尘渣</w:t>
                  </w:r>
                </w:p>
              </w:tc>
              <w:tc>
                <w:tcPr>
                  <w:tcW w:w="2001"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253.6296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60" w:type="dxa"/>
                  <w:noWrap w:val="0"/>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1552"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51"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脱硫渣带走水量</w:t>
                  </w:r>
                </w:p>
              </w:tc>
              <w:tc>
                <w:tcPr>
                  <w:tcW w:w="2001" w:type="dxa"/>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699149.74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60" w:type="dxa"/>
                  <w:noWrap w:val="0"/>
                  <w:vAlign w:val="bottom"/>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1552"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51"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蒸发、损失及回用水</w:t>
                  </w:r>
                </w:p>
              </w:tc>
              <w:tc>
                <w:tcPr>
                  <w:tcW w:w="2001" w:type="dxa"/>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194204.65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60"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合计</w:t>
                  </w:r>
                </w:p>
              </w:tc>
              <w:tc>
                <w:tcPr>
                  <w:tcW w:w="1552"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1076875.39</w:t>
                  </w:r>
                </w:p>
              </w:tc>
              <w:tc>
                <w:tcPr>
                  <w:tcW w:w="2151"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合计</w:t>
                  </w:r>
                </w:p>
              </w:tc>
              <w:tc>
                <w:tcPr>
                  <w:tcW w:w="2001" w:type="dxa"/>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1076875.39</w:t>
                  </w:r>
                </w:p>
              </w:tc>
            </w:tr>
          </w:tbl>
          <w:p>
            <w:pPr>
              <w:pStyle w:val="74"/>
              <w:keepNext w:val="0"/>
              <w:keepLines w:val="0"/>
              <w:suppressLineNumbers w:val="0"/>
              <w:adjustRightInd/>
              <w:spacing w:before="0" w:beforeAutospacing="0" w:after="0" w:afterAutospacing="0"/>
              <w:ind w:left="0" w:right="0" w:firstLine="0" w:firstLineChar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Cs w:val="24"/>
                <w:highlight w:val="none"/>
              </w:rPr>
              <w:t>4.</w:t>
            </w:r>
            <w:r>
              <w:rPr>
                <w:rFonts w:hint="default" w:ascii="Times New Roman" w:hAnsi="Times New Roman" w:eastAsia="宋体" w:cs="Times New Roman"/>
                <w:b/>
                <w:bCs/>
                <w:color w:val="auto"/>
                <w:sz w:val="24"/>
                <w:szCs w:val="24"/>
                <w:highlight w:val="none"/>
              </w:rPr>
              <w:t>2硫平衡</w:t>
            </w:r>
          </w:p>
          <w:p>
            <w:pPr>
              <w:pStyle w:val="74"/>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项目运营过程硫来源于点火过程</w:t>
            </w:r>
            <w:r>
              <w:rPr>
                <w:rFonts w:hint="default" w:ascii="Times New Roman" w:hAnsi="Times New Roman" w:eastAsia="宋体" w:cs="Times New Roman"/>
                <w:color w:val="auto"/>
                <w:sz w:val="24"/>
                <w:szCs w:val="24"/>
                <w:highlight w:val="none"/>
                <w:lang w:val="en-US" w:eastAsia="zh-CN"/>
              </w:rPr>
              <w:t>使用</w:t>
            </w:r>
            <w:r>
              <w:rPr>
                <w:rFonts w:hint="default" w:ascii="Times New Roman" w:hAnsi="Times New Roman" w:eastAsia="宋体" w:cs="Times New Roman"/>
                <w:color w:val="auto"/>
                <w:sz w:val="24"/>
                <w:szCs w:val="24"/>
                <w:highlight w:val="none"/>
              </w:rPr>
              <w:t>的</w:t>
            </w:r>
            <w:r>
              <w:rPr>
                <w:rFonts w:hint="default" w:ascii="Times New Roman" w:hAnsi="Times New Roman" w:eastAsia="宋体" w:cs="Times New Roman"/>
                <w:color w:val="auto"/>
                <w:sz w:val="24"/>
                <w:szCs w:val="24"/>
                <w:highlight w:val="none"/>
                <w:lang w:val="en-US" w:eastAsia="zh-CN"/>
              </w:rPr>
              <w:t>褐煤</w:t>
            </w:r>
            <w:r>
              <w:rPr>
                <w:rFonts w:hint="default" w:ascii="Times New Roman" w:hAnsi="Times New Roman" w:eastAsia="宋体" w:cs="Times New Roman"/>
                <w:color w:val="auto"/>
                <w:sz w:val="24"/>
                <w:szCs w:val="24"/>
                <w:highlight w:val="none"/>
              </w:rPr>
              <w:t>和焙烧过程砖坯内的</w:t>
            </w:r>
            <w:r>
              <w:rPr>
                <w:rFonts w:hint="default" w:ascii="Times New Roman" w:hAnsi="Times New Roman" w:eastAsia="宋体" w:cs="Times New Roman"/>
                <w:color w:val="auto"/>
                <w:sz w:val="24"/>
                <w:szCs w:val="24"/>
                <w:highlight w:val="none"/>
                <w:lang w:val="en-US" w:eastAsia="zh-CN"/>
              </w:rPr>
              <w:t>褐煤</w:t>
            </w:r>
            <w:r>
              <w:rPr>
                <w:rFonts w:hint="default" w:ascii="Times New Roman" w:hAnsi="Times New Roman" w:eastAsia="宋体" w:cs="Times New Roman"/>
                <w:color w:val="auto"/>
                <w:sz w:val="24"/>
                <w:szCs w:val="24"/>
                <w:highlight w:val="none"/>
              </w:rPr>
              <w:t>，褐煤用量为2</w:t>
            </w:r>
            <w:r>
              <w:rPr>
                <w:rFonts w:hint="default" w:ascii="Times New Roman" w:hAnsi="Times New Roman" w:eastAsia="宋体" w:cs="Times New Roman"/>
                <w:color w:val="auto"/>
                <w:sz w:val="24"/>
                <w:szCs w:val="24"/>
                <w:highlight w:val="none"/>
                <w:lang w:val="en-US" w:eastAsia="zh-CN"/>
              </w:rPr>
              <w:t>48</w:t>
            </w:r>
            <w:r>
              <w:rPr>
                <w:rFonts w:hint="default" w:ascii="Times New Roman" w:hAnsi="Times New Roman" w:eastAsia="宋体" w:cs="Times New Roman"/>
                <w:color w:val="auto"/>
                <w:sz w:val="24"/>
                <w:szCs w:val="24"/>
                <w:highlight w:val="none"/>
              </w:rPr>
              <w:t>00t/a。根据《排放源统计调查产排污核算方法和系数手册》中“303 砖瓦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石材等建筑材料制造行业系数手册”二氧化硫</w:t>
            </w:r>
            <w:r>
              <w:rPr>
                <w:rFonts w:hint="default" w:ascii="Times New Roman" w:hAnsi="Times New Roman" w:eastAsia="宋体" w:cs="Times New Roman"/>
                <w:color w:val="auto"/>
                <w:sz w:val="24"/>
                <w:szCs w:val="24"/>
                <w:highlight w:val="none"/>
                <w:lang w:val="en-US" w:eastAsia="zh-CN"/>
              </w:rPr>
              <w:t>16.8</w:t>
            </w:r>
            <w:r>
              <w:rPr>
                <w:rFonts w:hint="default" w:ascii="Times New Roman" w:hAnsi="Times New Roman" w:eastAsia="宋体" w:cs="Times New Roman"/>
                <w:color w:val="auto"/>
                <w:sz w:val="24"/>
                <w:szCs w:val="24"/>
                <w:highlight w:val="none"/>
              </w:rPr>
              <w:t>千克/万块标砖</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项目年产6200万块页岩砖。则二氧化硫产生量为104.16t/a，</w:t>
            </w:r>
            <w:r>
              <w:rPr>
                <w:rFonts w:hint="default" w:ascii="Times New Roman" w:hAnsi="Times New Roman" w:eastAsia="宋体" w:cs="Times New Roman"/>
                <w:color w:val="auto"/>
                <w:sz w:val="24"/>
                <w:szCs w:val="24"/>
                <w:highlight w:val="none"/>
              </w:rPr>
              <w:t>其中</w:t>
            </w:r>
            <w:r>
              <w:rPr>
                <w:rFonts w:hint="default" w:ascii="Times New Roman" w:hAnsi="Times New Roman" w:eastAsia="宋体" w:cs="Times New Roman"/>
                <w:color w:val="auto"/>
                <w:sz w:val="24"/>
                <w:szCs w:val="24"/>
                <w:highlight w:val="none"/>
                <w:lang w:val="en-US" w:eastAsia="zh-CN"/>
              </w:rPr>
              <w:t>根据燃煤特性，则有10.416</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pacing w:val="0"/>
                <w:position w:val="0"/>
                <w:sz w:val="24"/>
                <w:szCs w:val="24"/>
                <w:highlight w:val="none"/>
                <w:lang w:val="en-US" w:eastAsia="zh-CN"/>
              </w:rPr>
              <w:t>经</w:t>
            </w:r>
            <w:r>
              <w:rPr>
                <w:rFonts w:hint="default" w:ascii="Times New Roman" w:hAnsi="Times New Roman" w:eastAsia="宋体" w:cs="Times New Roman"/>
                <w:color w:val="auto"/>
                <w:sz w:val="24"/>
                <w:szCs w:val="24"/>
                <w:highlight w:val="none"/>
              </w:rPr>
              <w:t>双碱法脱硫后排入大气</w:t>
            </w:r>
            <w:r>
              <w:rPr>
                <w:rFonts w:hint="default" w:ascii="Times New Roman" w:hAnsi="Times New Roman" w:eastAsia="宋体" w:cs="Times New Roman"/>
                <w:color w:val="auto"/>
                <w:sz w:val="24"/>
                <w:szCs w:val="24"/>
                <w:highlight w:val="none"/>
                <w:lang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则项目硫平衡如图所示。</w:t>
            </w:r>
          </w:p>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object>
                <v:shape id="_x0000_i1025" o:spt="75" type="#_x0000_t75" style="height:86.55pt;width:397.55pt;" o:ole="t" filled="f" o:preferrelative="t" stroked="f" coordsize="21600,21600">
                  <v:path/>
                  <v:fill on="f" focussize="0,0"/>
                  <v:stroke on="f"/>
                  <v:imagedata r:id="rId9" o:title=""/>
                  <o:lock v:ext="edit" aspectratio="f"/>
                  <w10:wrap type="none"/>
                  <w10:anchorlock/>
                </v:shape>
                <o:OLEObject Type="Embed" ProgID="Visio.Drawing.15" ShapeID="_x0000_i1025" DrawAspect="Content" ObjectID="_1468075725" r:id="rId8">
                  <o:LockedField>false</o:LockedField>
                </o:OLEObject>
              </w:objec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
                <w:color w:val="auto"/>
                <w:szCs w:val="21"/>
                <w:highlight w:val="none"/>
              </w:rPr>
              <w:t>图2.4-</w:t>
            </w:r>
            <w:r>
              <w:rPr>
                <w:rFonts w:hint="default" w:ascii="Times New Roman" w:hAnsi="Times New Roman" w:eastAsia="宋体" w:cs="Times New Roman"/>
                <w:b/>
                <w:color w:val="auto"/>
                <w:szCs w:val="21"/>
                <w:highlight w:val="none"/>
                <w:lang w:val="en-US" w:eastAsia="zh-CN"/>
              </w:rPr>
              <w:t>1</w:t>
            </w:r>
            <w:r>
              <w:rPr>
                <w:rFonts w:hint="default" w:ascii="Times New Roman" w:hAnsi="Times New Roman" w:eastAsia="宋体" w:cs="Times New Roman"/>
                <w:b/>
                <w:color w:val="auto"/>
                <w:szCs w:val="21"/>
                <w:highlight w:val="none"/>
              </w:rPr>
              <w:t xml:space="preserve">   项目硫平衡图（单位：t/a）</w:t>
            </w:r>
          </w:p>
          <w:p>
            <w:pPr>
              <w:pStyle w:val="74"/>
              <w:keepNext w:val="0"/>
              <w:keepLines w:val="0"/>
              <w:suppressLineNumbers w:val="0"/>
              <w:adjustRightInd/>
              <w:spacing w:before="0" w:beforeAutospacing="0" w:after="0" w:afterAutospacing="0"/>
              <w:ind w:left="0" w:right="0" w:firstLine="0" w:firstLineChars="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Cs w:val="24"/>
                <w:highlight w:val="none"/>
              </w:rPr>
              <w:t>4.</w:t>
            </w:r>
            <w:r>
              <w:rPr>
                <w:rFonts w:hint="default" w:ascii="Times New Roman" w:hAnsi="Times New Roman" w:eastAsia="宋体" w:cs="Times New Roman"/>
                <w:b/>
                <w:bCs/>
                <w:color w:val="auto"/>
                <w:szCs w:val="24"/>
                <w:highlight w:val="none"/>
                <w:lang w:val="en-US" w:eastAsia="zh-CN"/>
              </w:rPr>
              <w:t>3氟</w:t>
            </w:r>
            <w:r>
              <w:rPr>
                <w:rFonts w:hint="default" w:ascii="Times New Roman" w:hAnsi="Times New Roman" w:eastAsia="宋体" w:cs="Times New Roman"/>
                <w:b/>
                <w:bCs/>
                <w:color w:val="auto"/>
                <w:sz w:val="24"/>
                <w:szCs w:val="24"/>
                <w:highlight w:val="none"/>
              </w:rPr>
              <w:t>平衡</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lang w:eastAsia="zh-CN" w:bidi="ar"/>
              </w:rPr>
            </w:pPr>
            <w:r>
              <w:rPr>
                <w:rFonts w:hint="default" w:ascii="Times New Roman" w:hAnsi="Times New Roman" w:eastAsia="宋体" w:cs="Times New Roman"/>
                <w:color w:val="auto"/>
                <w:sz w:val="24"/>
                <w:szCs w:val="24"/>
                <w:highlight w:val="none"/>
              </w:rPr>
              <w:t>项目运营过程</w:t>
            </w:r>
            <w:r>
              <w:rPr>
                <w:rFonts w:hint="default" w:ascii="Times New Roman" w:hAnsi="Times New Roman" w:eastAsia="宋体" w:cs="Times New Roman"/>
                <w:color w:val="auto"/>
                <w:spacing w:val="0"/>
                <w:position w:val="0"/>
                <w:sz w:val="24"/>
                <w:szCs w:val="24"/>
                <w:highlight w:val="none"/>
              </w:rPr>
              <w:t>氟主要来源于</w:t>
            </w:r>
            <w:r>
              <w:rPr>
                <w:rFonts w:hint="default" w:ascii="Times New Roman" w:hAnsi="Times New Roman" w:eastAsia="宋体" w:cs="Times New Roman"/>
                <w:color w:val="auto"/>
                <w:spacing w:val="0"/>
                <w:position w:val="0"/>
                <w:sz w:val="24"/>
                <w:szCs w:val="24"/>
                <w:highlight w:val="none"/>
                <w:lang w:val="en-US" w:eastAsia="zh-CN"/>
              </w:rPr>
              <w:t>页岩</w:t>
            </w:r>
            <w:r>
              <w:rPr>
                <w:rFonts w:hint="default" w:ascii="Times New Roman" w:hAnsi="Times New Roman" w:eastAsia="宋体" w:cs="Times New Roman"/>
                <w:color w:val="auto"/>
                <w:spacing w:val="0"/>
                <w:position w:val="0"/>
                <w:sz w:val="24"/>
                <w:szCs w:val="24"/>
                <w:highlight w:val="none"/>
              </w:rPr>
              <w:t>中。</w:t>
            </w:r>
            <w:r>
              <w:rPr>
                <w:rFonts w:hint="default" w:ascii="Times New Roman" w:hAnsi="Times New Roman" w:eastAsia="宋体" w:cs="Times New Roman"/>
                <w:color w:val="auto"/>
                <w:sz w:val="24"/>
                <w:szCs w:val="24"/>
                <w:highlight w:val="none"/>
                <w:lang w:val="en-US" w:eastAsia="zh-CN"/>
              </w:rPr>
              <w:t>原料</w:t>
            </w:r>
            <w:r>
              <w:rPr>
                <w:rFonts w:hint="default" w:ascii="Times New Roman" w:hAnsi="Times New Roman" w:eastAsia="宋体" w:cs="Times New Roman"/>
                <w:color w:val="auto"/>
                <w:sz w:val="24"/>
                <w:szCs w:val="24"/>
                <w:highlight w:val="none"/>
              </w:rPr>
              <w:t>中的氟元素在高温烧结的情况下易转化为气态氟化物，</w:t>
            </w:r>
            <w:r>
              <w:rPr>
                <w:rFonts w:hint="default" w:ascii="Times New Roman" w:hAnsi="Times New Roman" w:eastAsia="宋体" w:cs="Times New Roman"/>
                <w:color w:val="auto"/>
                <w:kern w:val="0"/>
                <w:sz w:val="24"/>
                <w:szCs w:val="24"/>
                <w:highlight w:val="none"/>
                <w:lang w:bidi="ar"/>
              </w:rPr>
              <w:t>主要以HF气体为主。项目页岩用量为</w:t>
            </w:r>
            <w:r>
              <w:rPr>
                <w:rFonts w:hint="default" w:ascii="Times New Roman" w:hAnsi="Times New Roman" w:eastAsia="宋体" w:cs="Times New Roman"/>
                <w:color w:val="auto"/>
                <w:kern w:val="0"/>
                <w:sz w:val="24"/>
                <w:szCs w:val="24"/>
                <w:highlight w:val="none"/>
                <w:lang w:val="en-US" w:eastAsia="zh-CN" w:bidi="ar"/>
              </w:rPr>
              <w:t>129167</w:t>
            </w:r>
            <w:r>
              <w:rPr>
                <w:rFonts w:hint="default" w:ascii="Times New Roman" w:hAnsi="Times New Roman" w:eastAsia="宋体" w:cs="Times New Roman"/>
                <w:color w:val="auto"/>
                <w:kern w:val="0"/>
                <w:sz w:val="24"/>
                <w:szCs w:val="24"/>
                <w:highlight w:val="none"/>
                <w:lang w:bidi="ar"/>
              </w:rPr>
              <w:t>t/a，</w:t>
            </w:r>
            <w:r>
              <w:rPr>
                <w:rFonts w:hint="default" w:ascii="Times New Roman" w:hAnsi="Times New Roman" w:eastAsia="宋体" w:cs="Times New Roman"/>
                <w:color w:val="auto"/>
                <w:kern w:val="0"/>
                <w:sz w:val="24"/>
                <w:szCs w:val="24"/>
                <w:highlight w:val="none"/>
                <w:lang w:val="en-US" w:eastAsia="zh-CN" w:bidi="ar"/>
              </w:rPr>
              <w:t>其中</w:t>
            </w:r>
            <w:r>
              <w:rPr>
                <w:rFonts w:hint="default" w:ascii="Times New Roman" w:hAnsi="Times New Roman" w:eastAsia="宋体" w:cs="Times New Roman"/>
                <w:color w:val="auto"/>
                <w:spacing w:val="0"/>
                <w:position w:val="0"/>
                <w:sz w:val="24"/>
                <w:szCs w:val="24"/>
                <w:highlight w:val="none"/>
                <w:lang w:val="en-US" w:eastAsia="zh-CN"/>
              </w:rPr>
              <w:t>50%</w:t>
            </w:r>
            <w:r>
              <w:rPr>
                <w:rFonts w:hint="default" w:ascii="Times New Roman" w:hAnsi="Times New Roman" w:eastAsia="宋体" w:cs="Times New Roman"/>
                <w:color w:val="auto"/>
                <w:spacing w:val="0"/>
                <w:position w:val="0"/>
                <w:sz w:val="24"/>
                <w:szCs w:val="24"/>
                <w:highlight w:val="none"/>
              </w:rPr>
              <w:t>氟</w:t>
            </w:r>
            <w:r>
              <w:rPr>
                <w:rFonts w:hint="default" w:ascii="Times New Roman" w:hAnsi="Times New Roman" w:eastAsia="宋体" w:cs="Times New Roman"/>
                <w:color w:val="auto"/>
                <w:spacing w:val="0"/>
                <w:position w:val="0"/>
                <w:sz w:val="24"/>
                <w:szCs w:val="24"/>
                <w:highlight w:val="none"/>
                <w:lang w:val="en-US" w:eastAsia="zh-CN"/>
              </w:rPr>
              <w:t>在焙烧中</w:t>
            </w:r>
            <w:r>
              <w:rPr>
                <w:rFonts w:hint="default" w:ascii="Times New Roman" w:hAnsi="Times New Roman" w:eastAsia="宋体" w:cs="Times New Roman"/>
                <w:color w:val="auto"/>
                <w:spacing w:val="0"/>
                <w:position w:val="0"/>
                <w:sz w:val="24"/>
                <w:szCs w:val="24"/>
                <w:highlight w:val="none"/>
              </w:rPr>
              <w:t>释</w:t>
            </w:r>
            <w:r>
              <w:rPr>
                <w:rFonts w:hint="default" w:ascii="Times New Roman" w:hAnsi="Times New Roman" w:eastAsia="宋体" w:cs="Times New Roman"/>
                <w:color w:val="auto"/>
                <w:spacing w:val="0"/>
                <w:position w:val="0"/>
                <w:sz w:val="24"/>
                <w:szCs w:val="24"/>
                <w:highlight w:val="none"/>
                <w:lang w:val="en-US" w:eastAsia="zh-CN"/>
              </w:rPr>
              <w:t>放</w:t>
            </w:r>
            <w:r>
              <w:rPr>
                <w:rFonts w:hint="default" w:ascii="Times New Roman" w:hAnsi="Times New Roman" w:eastAsia="宋体" w:cs="Times New Roman"/>
                <w:color w:val="auto"/>
                <w:spacing w:val="0"/>
                <w:position w:val="0"/>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%进入烟气</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则有</w:t>
            </w:r>
            <w:r>
              <w:rPr>
                <w:rFonts w:hint="default" w:ascii="Times New Roman" w:hAnsi="Times New Roman" w:eastAsia="宋体" w:cs="Times New Roman"/>
                <w:color w:val="auto"/>
                <w:kern w:val="0"/>
                <w:sz w:val="24"/>
                <w:szCs w:val="24"/>
                <w:highlight w:val="none"/>
                <w:lang w:val="en-US" w:eastAsia="zh-CN" w:bidi="ar"/>
              </w:rPr>
              <w:t>19.3751</w:t>
            </w:r>
            <w:r>
              <w:rPr>
                <w:rFonts w:hint="default" w:ascii="Times New Roman" w:hAnsi="Times New Roman" w:eastAsia="宋体" w:cs="Times New Roman"/>
                <w:color w:val="auto"/>
                <w:kern w:val="0"/>
                <w:sz w:val="24"/>
                <w:szCs w:val="24"/>
                <w:highlight w:val="none"/>
                <w:lang w:bidi="ar"/>
              </w:rPr>
              <w:t>t/a</w:t>
            </w:r>
            <w:r>
              <w:rPr>
                <w:rFonts w:hint="default" w:ascii="Times New Roman" w:hAnsi="Times New Roman" w:eastAsia="宋体" w:cs="Times New Roman"/>
                <w:color w:val="auto"/>
                <w:spacing w:val="0"/>
                <w:position w:val="0"/>
                <w:sz w:val="24"/>
                <w:szCs w:val="24"/>
                <w:highlight w:val="none"/>
                <w:lang w:val="en-US" w:eastAsia="zh-CN"/>
              </w:rPr>
              <w:t>在焙烧中</w:t>
            </w:r>
            <w:r>
              <w:rPr>
                <w:rFonts w:hint="default" w:ascii="Times New Roman" w:hAnsi="Times New Roman" w:eastAsia="宋体" w:cs="Times New Roman"/>
                <w:color w:val="auto"/>
                <w:spacing w:val="0"/>
                <w:position w:val="0"/>
                <w:sz w:val="24"/>
                <w:szCs w:val="24"/>
                <w:highlight w:val="none"/>
              </w:rPr>
              <w:t>释</w:t>
            </w:r>
            <w:r>
              <w:rPr>
                <w:rFonts w:hint="default" w:ascii="Times New Roman" w:hAnsi="Times New Roman" w:eastAsia="宋体" w:cs="Times New Roman"/>
                <w:color w:val="auto"/>
                <w:spacing w:val="0"/>
                <w:position w:val="0"/>
                <w:sz w:val="24"/>
                <w:szCs w:val="24"/>
                <w:highlight w:val="none"/>
                <w:lang w:val="en-US" w:eastAsia="zh-CN"/>
              </w:rPr>
              <w:t>放</w:t>
            </w:r>
            <w:r>
              <w:rPr>
                <w:rFonts w:hint="default" w:ascii="Times New Roman" w:hAnsi="Times New Roman" w:eastAsia="宋体" w:cs="Times New Roman"/>
                <w:color w:val="auto"/>
                <w:spacing w:val="0"/>
                <w:positio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bidi="ar"/>
              </w:rPr>
              <w:t>0.9687</w:t>
            </w:r>
            <w:r>
              <w:rPr>
                <w:rFonts w:hint="default" w:ascii="Times New Roman" w:hAnsi="Times New Roman" w:eastAsia="宋体" w:cs="Times New Roman"/>
                <w:color w:val="auto"/>
                <w:kern w:val="0"/>
                <w:sz w:val="24"/>
                <w:szCs w:val="24"/>
                <w:highlight w:val="none"/>
                <w:lang w:bidi="ar"/>
              </w:rPr>
              <w:t>t/a</w:t>
            </w:r>
            <w:r>
              <w:rPr>
                <w:rFonts w:hint="default" w:ascii="Times New Roman" w:hAnsi="Times New Roman" w:eastAsia="宋体" w:cs="Times New Roman"/>
                <w:color w:val="auto"/>
                <w:kern w:val="0"/>
                <w:sz w:val="24"/>
                <w:szCs w:val="24"/>
                <w:highlight w:val="none"/>
                <w:lang w:val="en-US" w:eastAsia="zh-CN" w:bidi="ar"/>
              </w:rPr>
              <w:t>的</w:t>
            </w:r>
            <w:r>
              <w:rPr>
                <w:rFonts w:hint="default" w:ascii="Times New Roman" w:hAnsi="Times New Roman" w:eastAsia="宋体" w:cs="Times New Roman"/>
                <w:color w:val="auto"/>
                <w:spacing w:val="0"/>
                <w:position w:val="0"/>
                <w:sz w:val="24"/>
                <w:szCs w:val="24"/>
                <w:highlight w:val="none"/>
              </w:rPr>
              <w:t>氟</w:t>
            </w:r>
            <w:r>
              <w:rPr>
                <w:rFonts w:hint="default" w:ascii="Times New Roman" w:hAnsi="Times New Roman" w:eastAsia="宋体" w:cs="Times New Roman"/>
                <w:color w:val="auto"/>
                <w:spacing w:val="0"/>
                <w:position w:val="0"/>
                <w:sz w:val="24"/>
                <w:szCs w:val="24"/>
                <w:highlight w:val="none"/>
                <w:lang w:val="en-US" w:eastAsia="zh-CN"/>
              </w:rPr>
              <w:t>经</w:t>
            </w:r>
            <w:r>
              <w:rPr>
                <w:rFonts w:hint="default" w:ascii="Times New Roman" w:hAnsi="Times New Roman" w:eastAsia="宋体" w:cs="Times New Roman"/>
                <w:color w:val="auto"/>
                <w:sz w:val="24"/>
                <w:szCs w:val="24"/>
                <w:highlight w:val="none"/>
              </w:rPr>
              <w:t>双碱法脱硫后排入大气</w:t>
            </w:r>
            <w:r>
              <w:rPr>
                <w:rFonts w:hint="default" w:ascii="Times New Roman" w:hAnsi="Times New Roman" w:eastAsia="宋体" w:cs="Times New Roman"/>
                <w:color w:val="auto"/>
                <w:sz w:val="24"/>
                <w:szCs w:val="24"/>
                <w:highlight w:val="none"/>
                <w:lang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则项目</w:t>
            </w:r>
            <w:r>
              <w:rPr>
                <w:rFonts w:hint="default" w:ascii="Times New Roman" w:hAnsi="Times New Roman" w:eastAsia="宋体" w:cs="Times New Roman"/>
                <w:color w:val="auto"/>
                <w:spacing w:val="0"/>
                <w:position w:val="0"/>
                <w:sz w:val="24"/>
                <w:szCs w:val="24"/>
                <w:highlight w:val="none"/>
              </w:rPr>
              <w:t>氟</w:t>
            </w:r>
            <w:r>
              <w:rPr>
                <w:rFonts w:hint="default" w:ascii="Times New Roman" w:hAnsi="Times New Roman" w:eastAsia="宋体" w:cs="Times New Roman"/>
                <w:color w:val="auto"/>
                <w:sz w:val="24"/>
                <w:szCs w:val="24"/>
                <w:highlight w:val="none"/>
              </w:rPr>
              <w:t>平衡如图所示。</w:t>
            </w:r>
          </w:p>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object>
                <v:shape id="_x0000_i1026" o:spt="75" type="#_x0000_t75" style="height:86.55pt;width:397.55pt;" o:ole="t" filled="f" o:preferrelative="t" stroked="f" coordsize="21600,21600">
                  <v:path/>
                  <v:fill on="f" focussize="0,0"/>
                  <v:stroke on="f"/>
                  <v:imagedata r:id="rId11" o:title=""/>
                  <o:lock v:ext="edit" aspectratio="f"/>
                  <w10:wrap type="none"/>
                  <w10:anchorlock/>
                </v:shape>
                <o:OLEObject Type="Embed" ProgID="Visio.Drawing.15" ShapeID="_x0000_i1026" DrawAspect="Content" ObjectID="_1468075726" r:id="rId10">
                  <o:LockedField>false</o:LockedField>
                </o:OLEObject>
              </w:object>
            </w:r>
          </w:p>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b/>
                <w:color w:val="auto"/>
                <w:szCs w:val="21"/>
                <w:highlight w:val="none"/>
              </w:rPr>
              <w:t>图2.4-</w:t>
            </w:r>
            <w:r>
              <w:rPr>
                <w:rFonts w:hint="default" w:ascii="Times New Roman" w:hAnsi="Times New Roman" w:eastAsia="宋体" w:cs="Times New Roman"/>
                <w:b/>
                <w:color w:val="auto"/>
                <w:szCs w:val="21"/>
                <w:highlight w:val="none"/>
                <w:lang w:val="en-US" w:eastAsia="zh-CN"/>
              </w:rPr>
              <w:t>2</w:t>
            </w:r>
            <w:r>
              <w:rPr>
                <w:rFonts w:hint="default" w:ascii="Times New Roman" w:hAnsi="Times New Roman" w:eastAsia="宋体" w:cs="Times New Roman"/>
                <w:b/>
                <w:color w:val="auto"/>
                <w:szCs w:val="21"/>
                <w:highlight w:val="none"/>
              </w:rPr>
              <w:t xml:space="preserve">   项目氟平衡图（单位：t/a）</w:t>
            </w:r>
          </w:p>
          <w:p>
            <w:pPr>
              <w:pStyle w:val="74"/>
              <w:keepNext w:val="0"/>
              <w:keepLines w:val="0"/>
              <w:suppressLineNumbers w:val="0"/>
              <w:adjustRightInd/>
              <w:spacing w:before="0" w:beforeAutospacing="0" w:after="0" w:afterAutospacing="0"/>
              <w:ind w:left="0" w:right="0" w:firstLine="0" w:firstLineChars="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4.</w:t>
            </w: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水平衡</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4.4.1</w:t>
            </w:r>
            <w:r>
              <w:rPr>
                <w:rFonts w:hint="default" w:ascii="Times New Roman" w:hAnsi="Times New Roman" w:eastAsia="宋体" w:cs="Times New Roman"/>
                <w:b/>
                <w:bCs/>
                <w:color w:val="auto"/>
                <w:sz w:val="24"/>
                <w:szCs w:val="24"/>
                <w:highlight w:val="none"/>
              </w:rPr>
              <w:t>用水和产、排污情况</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项目运营期用水主要包括陈化用水、搅拌用水、洒水降尘用水；产生的污水、废水主要包括生活污水、</w:t>
            </w:r>
            <w:r>
              <w:rPr>
                <w:rFonts w:hint="default" w:ascii="Times New Roman" w:hAnsi="Times New Roman" w:eastAsia="宋体" w:cs="Times New Roman"/>
                <w:color w:val="auto"/>
                <w:sz w:val="24"/>
                <w:szCs w:val="24"/>
                <w:highlight w:val="none"/>
                <w:lang w:val="en-US" w:eastAsia="zh-CN"/>
              </w:rPr>
              <w:t>吸收液</w:t>
            </w:r>
            <w:r>
              <w:rPr>
                <w:rFonts w:hint="default" w:ascii="Times New Roman" w:hAnsi="Times New Roman" w:eastAsia="宋体" w:cs="Times New Roman"/>
                <w:color w:val="auto"/>
                <w:sz w:val="24"/>
                <w:szCs w:val="24"/>
                <w:highlight w:val="none"/>
              </w:rPr>
              <w:t>。</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①</w:t>
            </w:r>
            <w:r>
              <w:rPr>
                <w:rFonts w:hint="default" w:ascii="Times New Roman" w:hAnsi="Times New Roman" w:eastAsia="宋体" w:cs="Times New Roman"/>
                <w:b/>
                <w:color w:val="auto"/>
                <w:sz w:val="24"/>
                <w:szCs w:val="24"/>
                <w:highlight w:val="none"/>
              </w:rPr>
              <w:t>陈化用水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szCs w:val="24"/>
                <w:highlight w:val="none"/>
              </w:rPr>
              <w:t>为使原料中水分均化程度提高、原料颗粒表面和内部性能更加均匀，颗粒变得容易疏解物料的成型性能得到提高，破碎筛分后的混合物料需要加水进行陈化处理，根据建设单位提供，滚筛</w:t>
            </w:r>
            <w:r>
              <w:rPr>
                <w:rFonts w:hint="default" w:ascii="Times New Roman" w:hAnsi="Times New Roman" w:eastAsia="宋体" w:cs="Times New Roman"/>
                <w:color w:val="auto"/>
                <w:sz w:val="24"/>
                <w:szCs w:val="24"/>
                <w:highlight w:val="none"/>
                <w:lang w:val="en-US" w:eastAsia="zh-CN"/>
              </w:rPr>
              <w:t>机</w:t>
            </w:r>
            <w:r>
              <w:rPr>
                <w:rFonts w:hint="default" w:ascii="Times New Roman" w:hAnsi="Times New Roman" w:eastAsia="宋体" w:cs="Times New Roman"/>
                <w:color w:val="auto"/>
                <w:sz w:val="24"/>
                <w:szCs w:val="24"/>
                <w:highlight w:val="none"/>
              </w:rPr>
              <w:t>出料口设置喷水设施，一方面起到降尘的作用，另一方面使混合物料中水分满足陈化要求。陈化用水量约为混合料量的6%，项目原料用量</w:t>
            </w:r>
            <w:r>
              <w:rPr>
                <w:rFonts w:hint="default" w:ascii="Times New Roman" w:hAnsi="Times New Roman" w:eastAsia="宋体" w:cs="Times New Roman"/>
                <w:color w:val="auto"/>
                <w:sz w:val="24"/>
                <w:szCs w:val="24"/>
                <w:highlight w:val="none"/>
                <w:lang w:val="en-US" w:eastAsia="zh-CN"/>
              </w:rPr>
              <w:t>183521</w:t>
            </w:r>
            <w:r>
              <w:rPr>
                <w:rFonts w:hint="default" w:ascii="Times New Roman" w:hAnsi="Times New Roman" w:eastAsia="宋体" w:cs="Times New Roman"/>
                <w:color w:val="auto"/>
                <w:sz w:val="24"/>
                <w:szCs w:val="24"/>
                <w:highlight w:val="none"/>
              </w:rPr>
              <w:t>t/a，则陈化用水量为</w:t>
            </w:r>
            <w:r>
              <w:rPr>
                <w:rFonts w:hint="default" w:ascii="Times New Roman" w:hAnsi="Times New Roman" w:eastAsia="宋体" w:cs="Times New Roman"/>
                <w:color w:val="auto"/>
                <w:sz w:val="24"/>
                <w:szCs w:val="24"/>
                <w:highlight w:val="none"/>
                <w:lang w:val="en-US" w:eastAsia="zh-CN"/>
              </w:rPr>
              <w:t>11011.26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lang w:val="en-US" w:eastAsia="zh-CN"/>
              </w:rPr>
              <w:t>36.7042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/d，约5%在陈化过程损耗，损耗量约为</w:t>
            </w:r>
            <w:r>
              <w:rPr>
                <w:rFonts w:hint="default" w:ascii="Times New Roman" w:hAnsi="Times New Roman" w:eastAsia="宋体" w:cs="Times New Roman"/>
                <w:color w:val="auto"/>
                <w:sz w:val="24"/>
                <w:szCs w:val="24"/>
                <w:highlight w:val="none"/>
                <w:lang w:val="en-US" w:eastAsia="zh-CN"/>
              </w:rPr>
              <w:t>1.8352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/d，其余</w:t>
            </w:r>
            <w:r>
              <w:rPr>
                <w:rFonts w:hint="default" w:ascii="Times New Roman" w:hAnsi="Times New Roman" w:eastAsia="宋体" w:cs="Times New Roman"/>
                <w:color w:val="auto"/>
                <w:sz w:val="24"/>
                <w:szCs w:val="24"/>
                <w:highlight w:val="none"/>
                <w:lang w:val="en-US" w:eastAsia="zh-CN"/>
              </w:rPr>
              <w:t>34.869</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的水在后期隧道烘干窑内全部受热蒸发。无外排废水产生。</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②搅拌用水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混合料在搅拌过程中，</w:t>
            </w:r>
            <w:r>
              <w:rPr>
                <w:rFonts w:hint="default" w:ascii="Times New Roman" w:hAnsi="Times New Roman" w:eastAsia="宋体" w:cs="Times New Roman"/>
                <w:color w:val="auto"/>
                <w:sz w:val="24"/>
                <w:szCs w:val="24"/>
                <w:highlight w:val="none"/>
                <w:lang w:val="en-US" w:eastAsia="zh-CN"/>
              </w:rPr>
              <w:t>砖坯</w:t>
            </w:r>
            <w:r>
              <w:rPr>
                <w:rFonts w:hint="default" w:ascii="Times New Roman" w:hAnsi="Times New Roman" w:eastAsia="宋体" w:cs="Times New Roman"/>
                <w:color w:val="auto"/>
                <w:sz w:val="24"/>
                <w:szCs w:val="24"/>
                <w:highlight w:val="none"/>
              </w:rPr>
              <w:t>成型</w:t>
            </w:r>
            <w:r>
              <w:rPr>
                <w:rFonts w:hint="default" w:ascii="Times New Roman" w:hAnsi="Times New Roman" w:eastAsia="宋体" w:cs="Times New Roman"/>
                <w:color w:val="auto"/>
                <w:sz w:val="24"/>
                <w:szCs w:val="24"/>
                <w:highlight w:val="none"/>
                <w:lang w:val="en-US" w:eastAsia="zh-CN"/>
              </w:rPr>
              <w:t>时含水率</w:t>
            </w:r>
            <w:r>
              <w:rPr>
                <w:rFonts w:hint="default" w:ascii="Times New Roman" w:hAnsi="Times New Roman" w:eastAsia="宋体" w:cs="Times New Roman"/>
                <w:color w:val="auto"/>
                <w:sz w:val="24"/>
                <w:szCs w:val="24"/>
                <w:highlight w:val="none"/>
              </w:rPr>
              <w:t>需达到13%，</w:t>
            </w:r>
            <w:r>
              <w:rPr>
                <w:rFonts w:hint="default" w:ascii="Times New Roman" w:hAnsi="Times New Roman" w:eastAsia="宋体" w:cs="Times New Roman"/>
                <w:color w:val="auto"/>
                <w:sz w:val="24"/>
                <w:szCs w:val="24"/>
                <w:highlight w:val="none"/>
                <w:lang w:val="en-US" w:eastAsia="zh-CN"/>
              </w:rPr>
              <w:t>其中</w:t>
            </w:r>
            <w:r>
              <w:rPr>
                <w:rFonts w:hint="default" w:ascii="Times New Roman" w:hAnsi="Times New Roman" w:eastAsia="宋体" w:cs="Times New Roman"/>
                <w:color w:val="auto"/>
                <w:sz w:val="24"/>
                <w:szCs w:val="24"/>
                <w:highlight w:val="none"/>
              </w:rPr>
              <w:t>原料的含水率在4%~6%（本环评取值5%），</w:t>
            </w:r>
            <w:r>
              <w:rPr>
                <w:rFonts w:hint="default" w:ascii="Times New Roman" w:hAnsi="Times New Roman" w:eastAsia="宋体" w:cs="Times New Roman"/>
                <w:color w:val="auto"/>
                <w:sz w:val="24"/>
                <w:szCs w:val="24"/>
                <w:highlight w:val="none"/>
                <w:lang w:val="en-US" w:eastAsia="zh-CN"/>
              </w:rPr>
              <w:t>在</w:t>
            </w:r>
            <w:r>
              <w:rPr>
                <w:rFonts w:hint="default" w:ascii="Times New Roman" w:hAnsi="Times New Roman" w:eastAsia="宋体" w:cs="Times New Roman"/>
                <w:color w:val="auto"/>
                <w:sz w:val="24"/>
                <w:szCs w:val="24"/>
                <w:highlight w:val="none"/>
              </w:rPr>
              <w:t>陈化处理后含水率</w:t>
            </w:r>
            <w:r>
              <w:rPr>
                <w:rFonts w:hint="default" w:ascii="Times New Roman" w:hAnsi="Times New Roman" w:eastAsia="宋体" w:cs="Times New Roman"/>
                <w:color w:val="auto"/>
                <w:sz w:val="24"/>
                <w:szCs w:val="24"/>
                <w:highlight w:val="none"/>
                <w:lang w:val="en-US" w:eastAsia="zh-CN"/>
              </w:rPr>
              <w:t>需</w:t>
            </w:r>
            <w:r>
              <w:rPr>
                <w:rFonts w:hint="default" w:ascii="Times New Roman" w:hAnsi="Times New Roman" w:eastAsia="宋体" w:cs="Times New Roman"/>
                <w:color w:val="auto"/>
                <w:sz w:val="24"/>
                <w:szCs w:val="24"/>
                <w:highlight w:val="none"/>
              </w:rPr>
              <w:t>达10%</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则还需添加</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水使砖坯</w:t>
            </w:r>
            <w:r>
              <w:rPr>
                <w:rFonts w:hint="default" w:ascii="Times New Roman" w:hAnsi="Times New Roman" w:eastAsia="宋体" w:cs="Times New Roman"/>
                <w:color w:val="auto"/>
                <w:sz w:val="24"/>
                <w:szCs w:val="24"/>
                <w:highlight w:val="none"/>
              </w:rPr>
              <w:t>成型，项目原料用量</w:t>
            </w:r>
            <w:r>
              <w:rPr>
                <w:rFonts w:hint="default" w:ascii="Times New Roman" w:hAnsi="Times New Roman" w:eastAsia="宋体" w:cs="Times New Roman"/>
                <w:color w:val="auto"/>
                <w:sz w:val="24"/>
                <w:szCs w:val="24"/>
                <w:highlight w:val="none"/>
                <w:lang w:val="en-US" w:eastAsia="zh-CN"/>
              </w:rPr>
              <w:t>183521</w:t>
            </w:r>
            <w:r>
              <w:rPr>
                <w:rFonts w:hint="default" w:ascii="Times New Roman" w:hAnsi="Times New Roman" w:eastAsia="宋体" w:cs="Times New Roman"/>
                <w:color w:val="auto"/>
                <w:sz w:val="24"/>
                <w:szCs w:val="24"/>
                <w:highlight w:val="none"/>
              </w:rPr>
              <w:t>t/a。即搅拌过程用水量为</w:t>
            </w:r>
            <w:r>
              <w:rPr>
                <w:rFonts w:hint="default" w:ascii="Times New Roman" w:hAnsi="Times New Roman" w:eastAsia="宋体" w:cs="Times New Roman"/>
                <w:color w:val="auto"/>
                <w:sz w:val="24"/>
                <w:szCs w:val="24"/>
                <w:highlight w:val="none"/>
                <w:lang w:val="en-US" w:eastAsia="zh-CN"/>
              </w:rPr>
              <w:t>14681.68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lang w:val="en-US" w:eastAsia="zh-CN"/>
              </w:rPr>
              <w:t>48.9389</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/d，全部进入砖坯，在隧道烘干窑内全部受热蒸发，无外排废水产生。</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③洒水降尘用水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项目原料破碎、堆存属于易产尘项目，需定时对厂区进行洒水降尘，项目</w:t>
            </w:r>
            <w:r>
              <w:rPr>
                <w:rFonts w:hint="default" w:ascii="Times New Roman" w:hAnsi="Times New Roman" w:eastAsia="宋体" w:cs="Times New Roman"/>
                <w:color w:val="auto"/>
                <w:sz w:val="24"/>
                <w:szCs w:val="24"/>
                <w:highlight w:val="none"/>
                <w:lang w:val="en-US" w:eastAsia="zh-CN"/>
              </w:rPr>
              <w:t>原料</w:t>
            </w:r>
            <w:r>
              <w:rPr>
                <w:rFonts w:hint="default" w:ascii="Times New Roman" w:hAnsi="Times New Roman" w:eastAsia="宋体" w:cs="Times New Roman"/>
                <w:color w:val="auto"/>
                <w:sz w:val="24"/>
                <w:szCs w:val="24"/>
                <w:highlight w:val="none"/>
              </w:rPr>
              <w:t>堆场面积为</w:t>
            </w:r>
            <w:r>
              <w:rPr>
                <w:rFonts w:hint="default" w:ascii="Times New Roman" w:hAnsi="Times New Roman" w:eastAsia="宋体" w:cs="Times New Roman"/>
                <w:color w:val="auto"/>
                <w:sz w:val="24"/>
                <w:szCs w:val="24"/>
                <w:highlight w:val="none"/>
                <w:lang w:val="en-US" w:eastAsia="zh-CN"/>
              </w:rPr>
              <w:t>900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，洒水量</w:t>
            </w:r>
            <w:r>
              <w:rPr>
                <w:rFonts w:hint="default" w:ascii="Times New Roman" w:hAnsi="Times New Roman" w:eastAsia="宋体" w:cs="Times New Roman"/>
                <w:color w:val="auto"/>
                <w:sz w:val="24"/>
                <w:szCs w:val="24"/>
                <w:highlight w:val="none"/>
                <w:lang w:val="en-US" w:eastAsia="zh-CN"/>
              </w:rPr>
              <w:t>按照</w:t>
            </w:r>
            <w:r>
              <w:rPr>
                <w:rFonts w:hint="default" w:ascii="Times New Roman" w:hAnsi="Times New Roman" w:eastAsia="宋体" w:cs="Times New Roman"/>
                <w:color w:val="auto"/>
                <w:sz w:val="24"/>
                <w:szCs w:val="24"/>
                <w:highlight w:val="none"/>
              </w:rPr>
              <w:t>0.3L/m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•d，则堆场洒水降尘耗水量为</w:t>
            </w:r>
            <w:r>
              <w:rPr>
                <w:rFonts w:hint="default" w:ascii="Times New Roman" w:hAnsi="Times New Roman" w:eastAsia="宋体" w:cs="Times New Roman"/>
                <w:color w:val="auto"/>
                <w:sz w:val="24"/>
                <w:szCs w:val="24"/>
                <w:highlight w:val="none"/>
                <w:lang w:val="en-US" w:eastAsia="zh-CN"/>
              </w:rPr>
              <w:t>0.27</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/d，破碎</w:t>
            </w:r>
            <w:r>
              <w:rPr>
                <w:rFonts w:hint="default" w:ascii="Times New Roman" w:hAnsi="Times New Roman" w:eastAsia="宋体" w:cs="Times New Roman"/>
                <w:color w:val="auto"/>
                <w:sz w:val="24"/>
                <w:szCs w:val="24"/>
                <w:highlight w:val="none"/>
                <w:lang w:val="en-US" w:eastAsia="zh-CN"/>
              </w:rPr>
              <w:t>及原料</w:t>
            </w:r>
            <w:r>
              <w:rPr>
                <w:rFonts w:hint="default" w:ascii="Times New Roman" w:hAnsi="Times New Roman" w:eastAsia="宋体" w:cs="Times New Roman"/>
                <w:color w:val="auto"/>
                <w:sz w:val="24"/>
                <w:szCs w:val="24"/>
                <w:highlight w:val="none"/>
              </w:rPr>
              <w:t>装卸过程扬尘洒水量</w:t>
            </w:r>
            <w:r>
              <w:rPr>
                <w:rFonts w:hint="default" w:ascii="Times New Roman" w:hAnsi="Times New Roman" w:eastAsia="宋体" w:cs="Times New Roman"/>
                <w:color w:val="auto"/>
                <w:sz w:val="24"/>
                <w:szCs w:val="24"/>
                <w:highlight w:val="none"/>
                <w:lang w:val="en-US" w:eastAsia="zh-CN"/>
              </w:rPr>
              <w:t>按照1%计</w:t>
            </w:r>
            <w:r>
              <w:rPr>
                <w:rFonts w:hint="default" w:ascii="Times New Roman" w:hAnsi="Times New Roman" w:eastAsia="宋体" w:cs="Times New Roman"/>
                <w:color w:val="auto"/>
                <w:sz w:val="24"/>
                <w:szCs w:val="24"/>
                <w:highlight w:val="none"/>
              </w:rPr>
              <w:t>，则破碎</w:t>
            </w:r>
            <w:r>
              <w:rPr>
                <w:rFonts w:hint="default" w:ascii="Times New Roman" w:hAnsi="Times New Roman" w:eastAsia="宋体" w:cs="Times New Roman"/>
                <w:color w:val="auto"/>
                <w:sz w:val="24"/>
                <w:szCs w:val="24"/>
                <w:highlight w:val="none"/>
                <w:lang w:val="en-US" w:eastAsia="zh-CN"/>
              </w:rPr>
              <w:t>及原料</w:t>
            </w:r>
            <w:r>
              <w:rPr>
                <w:rFonts w:hint="default" w:ascii="Times New Roman" w:hAnsi="Times New Roman" w:eastAsia="宋体" w:cs="Times New Roman"/>
                <w:color w:val="auto"/>
                <w:sz w:val="24"/>
                <w:szCs w:val="24"/>
                <w:highlight w:val="none"/>
              </w:rPr>
              <w:t>装卸过程洒水降尘耗水量为</w:t>
            </w:r>
            <w:r>
              <w:rPr>
                <w:rFonts w:hint="default" w:ascii="Times New Roman" w:hAnsi="Times New Roman" w:eastAsia="宋体" w:cs="Times New Roman"/>
                <w:color w:val="auto"/>
                <w:sz w:val="24"/>
                <w:szCs w:val="24"/>
                <w:highlight w:val="none"/>
                <w:lang w:val="en-US" w:eastAsia="zh-CN"/>
              </w:rPr>
              <w:t>1291.67</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4.3056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则项目每天降尘洒水量为</w:t>
            </w:r>
            <w:r>
              <w:rPr>
                <w:rFonts w:hint="default" w:ascii="Times New Roman" w:hAnsi="Times New Roman" w:eastAsia="宋体" w:cs="Times New Roman"/>
                <w:color w:val="auto"/>
                <w:sz w:val="24"/>
                <w:szCs w:val="24"/>
                <w:highlight w:val="none"/>
                <w:lang w:val="en-US" w:eastAsia="zh-CN"/>
              </w:rPr>
              <w:t>4.5756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val="en-US" w:eastAsia="zh-CN"/>
              </w:rPr>
              <w:t>1372.67</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/a，全部蒸发，无外排废水产生。</w:t>
            </w:r>
          </w:p>
          <w:p>
            <w:pPr>
              <w:pStyle w:val="68"/>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④污泥渗滤液</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污泥含水率80%，年用量25834t/a，暂存于污泥堆放池。污泥在堆放过程中因自重挤压产生渗滤液，参照同类项目经验按污泥中水分的10%计，渗滤液产生量为2066.72m³/a（6.8891m³/d）；污泥池设置在原料堆场内，原料堆场密闭，不考虑雨水渗入的情况。项目污泥堆放池设防渗及渗滤液收集管，渗滤液经收集后回用于制砖过程，不外排。</w:t>
            </w:r>
          </w:p>
          <w:p>
            <w:pPr>
              <w:pStyle w:val="68"/>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⑤吸收液循环水</w:t>
            </w:r>
          </w:p>
          <w:p>
            <w:pPr>
              <w:pStyle w:val="68"/>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设置</w:t>
            </w:r>
            <w:r>
              <w:rPr>
                <w:rFonts w:hint="default" w:ascii="Times New Roman" w:hAnsi="Times New Roman" w:eastAsia="宋体" w:cs="Times New Roman"/>
                <w:color w:val="auto"/>
                <w:sz w:val="24"/>
                <w:szCs w:val="24"/>
                <w:highlight w:val="none"/>
              </w:rPr>
              <w:t>1套脱硫塔装置对焙烧烟气进行除尘、脱硫，脱硫除尘系统所需补充的水为脱硫反应用水、石膏固化带走水以及蒸发损耗。</w:t>
            </w:r>
          </w:p>
          <w:p>
            <w:pPr>
              <w:pStyle w:val="68"/>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吸收液</w:t>
            </w:r>
            <w:r>
              <w:rPr>
                <w:rFonts w:hint="default" w:ascii="Times New Roman" w:hAnsi="Times New Roman" w:eastAsia="宋体" w:cs="Times New Roman"/>
                <w:color w:val="auto"/>
                <w:sz w:val="24"/>
                <w:szCs w:val="24"/>
                <w:highlight w:val="none"/>
              </w:rPr>
              <w:t>循环水量（L/d）=烟气量×液气比×（1-浆液浓度）×</w:t>
            </w:r>
            <w:r>
              <w:rPr>
                <w:rFonts w:hint="default" w:ascii="Times New Roman" w:hAnsi="Times New Roman" w:eastAsia="宋体"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rPr>
              <w:t>小时。</w:t>
            </w:r>
          </w:p>
          <w:p>
            <w:pPr>
              <w:pStyle w:val="68"/>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其中：烟气量为</w:t>
            </w:r>
            <w:r>
              <w:rPr>
                <w:rFonts w:hint="default" w:ascii="Times New Roman" w:hAnsi="Times New Roman" w:eastAsia="宋体" w:cs="Times New Roman"/>
                <w:color w:val="auto"/>
                <w:sz w:val="24"/>
                <w:szCs w:val="24"/>
                <w:highlight w:val="none"/>
                <w:lang w:val="en-US" w:eastAsia="zh-CN"/>
              </w:rPr>
              <w:t>43200</w:t>
            </w:r>
            <w:r>
              <w:rPr>
                <w:rFonts w:hint="default" w:ascii="Times New Roman" w:hAnsi="Times New Roman" w:eastAsia="宋体" w:cs="Times New Roman"/>
                <w:color w:val="auto"/>
                <w:sz w:val="24"/>
                <w:szCs w:val="24"/>
                <w:highlight w:val="none"/>
              </w:rPr>
              <w:t>万m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/a；液气比取8L；浆液浓度取15%。</w:t>
            </w:r>
          </w:p>
          <w:p>
            <w:pPr>
              <w:pStyle w:val="68"/>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因此项目</w:t>
            </w:r>
            <w:r>
              <w:rPr>
                <w:rFonts w:hint="default" w:ascii="Times New Roman" w:hAnsi="Times New Roman" w:eastAsia="宋体" w:cs="Times New Roman"/>
                <w:color w:val="auto"/>
                <w:sz w:val="24"/>
                <w:szCs w:val="24"/>
                <w:highlight w:val="none"/>
                <w:lang w:val="en-US" w:eastAsia="zh-CN"/>
              </w:rPr>
              <w:t>吸收液</w:t>
            </w:r>
            <w:r>
              <w:rPr>
                <w:rFonts w:hint="default" w:ascii="Times New Roman" w:hAnsi="Times New Roman" w:eastAsia="宋体" w:cs="Times New Roman"/>
                <w:color w:val="auto"/>
                <w:sz w:val="24"/>
                <w:szCs w:val="24"/>
                <w:highlight w:val="none"/>
              </w:rPr>
              <w:t>循环水量为</w:t>
            </w:r>
            <w:r>
              <w:rPr>
                <w:rFonts w:hint="default" w:ascii="Times New Roman" w:hAnsi="Times New Roman" w:eastAsia="宋体" w:cs="Times New Roman"/>
                <w:color w:val="auto"/>
                <w:sz w:val="24"/>
                <w:szCs w:val="24"/>
                <w:highlight w:val="none"/>
                <w:lang w:val="en-US" w:eastAsia="zh-CN"/>
              </w:rPr>
              <w:t>7050.24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/d，项目脱硫塔运行过程会损耗8%的水随着烟气流失，损耗水量为</w:t>
            </w:r>
            <w:r>
              <w:rPr>
                <w:rFonts w:hint="default" w:ascii="Times New Roman" w:hAnsi="Times New Roman" w:eastAsia="宋体" w:cs="Times New Roman"/>
                <w:color w:val="auto"/>
                <w:sz w:val="24"/>
                <w:szCs w:val="24"/>
                <w:highlight w:val="none"/>
                <w:lang w:val="en-US" w:eastAsia="zh-CN"/>
              </w:rPr>
              <w:t>564.019</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/d。还有一部分被脱硫石膏渣带走，石膏化学式为CaSO</w:t>
            </w:r>
            <w:r>
              <w:rPr>
                <w:rFonts w:hint="default" w:ascii="Times New Roman" w:hAnsi="Times New Roman" w:eastAsia="宋体" w:cs="Times New Roman"/>
                <w:color w:val="auto"/>
                <w:sz w:val="24"/>
                <w:szCs w:val="24"/>
                <w:highlight w:val="none"/>
                <w:vertAlign w:val="subscript"/>
              </w:rPr>
              <w:t>4</w:t>
            </w:r>
            <w:r>
              <w:rPr>
                <w:rFonts w:hint="default" w:ascii="Times New Roman" w:hAnsi="Times New Roman" w:eastAsia="宋体" w:cs="Times New Roman"/>
                <w:color w:val="auto"/>
                <w:sz w:val="24"/>
                <w:szCs w:val="24"/>
                <w:highlight w:val="none"/>
              </w:rPr>
              <w:t>·2H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O，脱硫石膏结晶含水率为20.93%，而脱硫石膏渣本身就有15%的含水率，因此，项目脱硫石膏渣带走水量为</w:t>
            </w:r>
            <w:r>
              <w:rPr>
                <w:rFonts w:hint="default" w:ascii="Times New Roman" w:hAnsi="Times New Roman" w:eastAsia="宋体" w:cs="Times New Roman"/>
                <w:color w:val="auto"/>
                <w:sz w:val="24"/>
                <w:szCs w:val="24"/>
                <w:highlight w:val="none"/>
                <w:lang w:val="en-US" w:eastAsia="zh-CN"/>
              </w:rPr>
              <w:t>2330.499</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p>
          <w:p>
            <w:pPr>
              <w:pStyle w:val="78"/>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项目脱硫除尘装置内的用水量为</w:t>
            </w:r>
            <w:r>
              <w:rPr>
                <w:rFonts w:hint="default" w:ascii="Times New Roman" w:hAnsi="Times New Roman" w:eastAsia="宋体" w:cs="Times New Roman"/>
                <w:color w:val="auto"/>
                <w:sz w:val="24"/>
                <w:szCs w:val="24"/>
                <w:highlight w:val="none"/>
                <w:lang w:val="en-US" w:eastAsia="zh-CN"/>
              </w:rPr>
              <w:t>120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/d，每天向脱硫除尘装置补充新鲜循环水量为</w:t>
            </w:r>
            <w:r>
              <w:rPr>
                <w:rFonts w:hint="default" w:ascii="Times New Roman" w:hAnsi="Times New Roman" w:eastAsia="宋体" w:cs="Times New Roman"/>
                <w:color w:val="auto"/>
                <w:sz w:val="24"/>
                <w:szCs w:val="24"/>
                <w:highlight w:val="none"/>
                <w:lang w:val="en-US" w:eastAsia="zh-CN"/>
              </w:rPr>
              <w:t>2894.518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val="en-US" w:eastAsia="zh-CN"/>
              </w:rPr>
              <w:t>868355.5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lang w:val="en-US" w:eastAsia="zh-CN"/>
              </w:rPr>
              <w:t>吸收液</w:t>
            </w:r>
            <w:r>
              <w:rPr>
                <w:rFonts w:hint="default" w:ascii="Times New Roman" w:hAnsi="Times New Roman" w:eastAsia="宋体" w:cs="Times New Roman"/>
                <w:color w:val="auto"/>
                <w:sz w:val="24"/>
                <w:szCs w:val="24"/>
                <w:highlight w:val="none"/>
              </w:rPr>
              <w:t>循环水池需混凝土浇灌，做到防渗防漏。</w:t>
            </w:r>
            <w:r>
              <w:rPr>
                <w:rFonts w:hint="default" w:ascii="Times New Roman" w:hAnsi="Times New Roman" w:eastAsia="宋体" w:cs="Times New Roman"/>
                <w:color w:val="auto"/>
                <w:sz w:val="24"/>
                <w:szCs w:val="24"/>
                <w:highlight w:val="none"/>
                <w:lang w:val="en-US" w:eastAsia="zh-CN"/>
              </w:rPr>
              <w:t>吸收液</w:t>
            </w:r>
            <w:r>
              <w:rPr>
                <w:rFonts w:hint="default" w:ascii="Times New Roman" w:hAnsi="Times New Roman" w:eastAsia="宋体" w:cs="Times New Roman"/>
                <w:color w:val="auto"/>
                <w:sz w:val="24"/>
                <w:szCs w:val="24"/>
                <w:highlight w:val="none"/>
              </w:rPr>
              <w:t>循环水进入循环水池后加入石灰料浆对吸收液进行处理，处理后的</w:t>
            </w:r>
            <w:r>
              <w:rPr>
                <w:rFonts w:hint="default" w:ascii="Times New Roman" w:hAnsi="Times New Roman" w:eastAsia="宋体" w:cs="Times New Roman"/>
                <w:color w:val="auto"/>
                <w:sz w:val="24"/>
                <w:szCs w:val="24"/>
                <w:highlight w:val="none"/>
                <w:lang w:val="en-US" w:eastAsia="zh-CN"/>
              </w:rPr>
              <w:t>吸收液</w:t>
            </w:r>
            <w:r>
              <w:rPr>
                <w:rFonts w:hint="default" w:ascii="Times New Roman" w:hAnsi="Times New Roman" w:eastAsia="宋体" w:cs="Times New Roman"/>
                <w:color w:val="auto"/>
                <w:sz w:val="24"/>
                <w:szCs w:val="24"/>
                <w:highlight w:val="none"/>
              </w:rPr>
              <w:t>进入脱硫塔循环使用。</w:t>
            </w:r>
          </w:p>
          <w:p>
            <w:pPr>
              <w:pStyle w:val="78"/>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⑥</w:t>
            </w:r>
            <w:r>
              <w:rPr>
                <w:rFonts w:hint="default" w:ascii="Times New Roman" w:hAnsi="Times New Roman" w:eastAsia="宋体" w:cs="Times New Roman"/>
                <w:b/>
                <w:bCs/>
                <w:color w:val="auto"/>
                <w:sz w:val="24"/>
                <w:szCs w:val="24"/>
                <w:highlight w:val="none"/>
              </w:rPr>
              <w:t>生活污水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项目运营期</w:t>
            </w:r>
            <w:r>
              <w:rPr>
                <w:rFonts w:hint="default" w:ascii="Times New Roman" w:hAnsi="Times New Roman" w:eastAsia="宋体" w:cs="Times New Roman"/>
                <w:color w:val="auto"/>
                <w:sz w:val="24"/>
                <w:szCs w:val="24"/>
                <w:highlight w:val="none"/>
                <w:lang w:val="en-US" w:eastAsia="zh-CN"/>
              </w:rPr>
              <w:t>劳动定员3</w:t>
            </w:r>
            <w:r>
              <w:rPr>
                <w:rFonts w:hint="default" w:ascii="Times New Roman" w:hAnsi="Times New Roman" w:eastAsia="宋体" w:cs="Times New Roman"/>
                <w:color w:val="auto"/>
                <w:sz w:val="24"/>
                <w:szCs w:val="24"/>
                <w:highlight w:val="none"/>
              </w:rPr>
              <w:t>0人，有</w:t>
            </w:r>
            <w:r>
              <w:rPr>
                <w:rFonts w:hint="default"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rPr>
              <w:t>人在项目区</w:t>
            </w:r>
            <w:r>
              <w:rPr>
                <w:rFonts w:hint="default" w:ascii="Times New Roman" w:hAnsi="Times New Roman" w:eastAsia="宋体" w:cs="Times New Roman"/>
                <w:color w:val="auto"/>
                <w:sz w:val="24"/>
                <w:szCs w:val="24"/>
                <w:highlight w:val="none"/>
                <w:lang w:val="en-US" w:eastAsia="zh-CN"/>
              </w:rPr>
              <w:t>内</w:t>
            </w:r>
            <w:r>
              <w:rPr>
                <w:rFonts w:hint="default" w:ascii="Times New Roman" w:hAnsi="Times New Roman" w:eastAsia="宋体" w:cs="Times New Roman"/>
                <w:color w:val="auto"/>
                <w:sz w:val="24"/>
                <w:szCs w:val="24"/>
                <w:highlight w:val="none"/>
              </w:rPr>
              <w:t>食宿</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rPr>
              <w:t>人</w:t>
            </w:r>
            <w:r>
              <w:rPr>
                <w:rFonts w:hint="default" w:ascii="Times New Roman" w:hAnsi="Times New Roman" w:eastAsia="宋体" w:cs="Times New Roman"/>
                <w:color w:val="auto"/>
                <w:sz w:val="24"/>
                <w:szCs w:val="24"/>
                <w:highlight w:val="none"/>
                <w:lang w:val="en-US" w:eastAsia="zh-CN"/>
              </w:rPr>
              <w:t>不在厂区住宿，</w:t>
            </w:r>
            <w:r>
              <w:rPr>
                <w:rFonts w:hint="default" w:ascii="Times New Roman" w:hAnsi="Times New Roman" w:eastAsia="宋体" w:cs="Times New Roman"/>
                <w:color w:val="auto"/>
                <w:sz w:val="24"/>
                <w:szCs w:val="24"/>
                <w:highlight w:val="none"/>
              </w:rPr>
              <w:t>根据《云南省地方标准 用水定额》（DB53/T168-20</w:t>
            </w:r>
            <w:r>
              <w:rPr>
                <w:rFonts w:hint="default" w:ascii="Times New Roman" w:hAnsi="Times New Roman" w:eastAsia="宋体" w:cs="Times New Roman"/>
                <w:color w:val="auto"/>
                <w:sz w:val="24"/>
                <w:szCs w:val="24"/>
                <w:highlight w:val="none"/>
                <w:lang w:val="en-US" w:eastAsia="zh-CN"/>
              </w:rPr>
              <w:t>26</w:t>
            </w:r>
            <w:r>
              <w:rPr>
                <w:rFonts w:hint="default" w:ascii="Times New Roman" w:hAnsi="Times New Roman" w:eastAsia="宋体" w:cs="Times New Roman"/>
                <w:color w:val="auto"/>
                <w:sz w:val="24"/>
                <w:szCs w:val="24"/>
                <w:highlight w:val="none"/>
              </w:rPr>
              <w:t>）用水定额，在项目区食宿用水量按</w:t>
            </w:r>
            <w:r>
              <w:rPr>
                <w:rFonts w:hint="default" w:ascii="Times New Roman" w:hAnsi="Times New Roman" w:eastAsia="宋体" w:cs="Times New Roman"/>
                <w:color w:val="auto"/>
                <w:sz w:val="24"/>
                <w:szCs w:val="24"/>
                <w:highlight w:val="none"/>
                <w:lang w:val="en-US" w:eastAsia="zh-CN"/>
              </w:rPr>
              <w:t>100</w:t>
            </w:r>
            <w:r>
              <w:rPr>
                <w:rFonts w:hint="default" w:ascii="Times New Roman" w:hAnsi="Times New Roman" w:eastAsia="宋体" w:cs="Times New Roman"/>
                <w:color w:val="auto"/>
                <w:sz w:val="24"/>
                <w:szCs w:val="24"/>
                <w:highlight w:val="none"/>
              </w:rPr>
              <w:t>L/d人计，则用水量为</w:t>
            </w:r>
            <w:r>
              <w:rPr>
                <w:rFonts w:hint="default"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pacing w:val="-2"/>
                <w:sz w:val="24"/>
                <w:szCs w:val="24"/>
                <w:highlight w:val="none"/>
              </w:rPr>
              <w:t>污水产生量按照用水量的</w:t>
            </w:r>
            <w:r>
              <w:rPr>
                <w:rFonts w:hint="default" w:ascii="Times New Roman" w:hAnsi="Times New Roman" w:eastAsia="宋体" w:cs="Times New Roman"/>
                <w:color w:val="auto"/>
                <w:sz w:val="24"/>
                <w:szCs w:val="24"/>
                <w:highlight w:val="none"/>
              </w:rPr>
              <w:t>80%计，则污水产生</w:t>
            </w:r>
            <w:r>
              <w:rPr>
                <w:rFonts w:hint="default" w:ascii="Times New Roman" w:hAnsi="Times New Roman" w:eastAsia="宋体" w:cs="Times New Roman"/>
                <w:color w:val="auto"/>
                <w:spacing w:val="-21"/>
                <w:sz w:val="24"/>
                <w:szCs w:val="24"/>
                <w:highlight w:val="none"/>
              </w:rPr>
              <w:t>量约</w:t>
            </w:r>
            <w:r>
              <w:rPr>
                <w:rFonts w:hint="default" w:ascii="Times New Roman" w:hAnsi="Times New Roman" w:eastAsia="宋体" w:cs="Times New Roman"/>
                <w:color w:val="auto"/>
                <w:spacing w:val="-21"/>
                <w:sz w:val="24"/>
                <w:szCs w:val="24"/>
                <w:highlight w:val="none"/>
                <w:lang w:val="en-US" w:eastAsia="zh-CN"/>
              </w:rPr>
              <w:t>1.2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/d。不在项目区</w:t>
            </w:r>
            <w:r>
              <w:rPr>
                <w:rFonts w:hint="default" w:ascii="Times New Roman" w:hAnsi="Times New Roman" w:eastAsia="宋体" w:cs="Times New Roman"/>
                <w:color w:val="auto"/>
                <w:sz w:val="24"/>
                <w:szCs w:val="24"/>
                <w:highlight w:val="none"/>
                <w:lang w:val="en-US" w:eastAsia="zh-CN"/>
              </w:rPr>
              <w:t>住</w:t>
            </w:r>
            <w:r>
              <w:rPr>
                <w:rFonts w:hint="default" w:ascii="Times New Roman" w:hAnsi="Times New Roman" w:eastAsia="宋体" w:cs="Times New Roman"/>
                <w:color w:val="auto"/>
                <w:sz w:val="24"/>
                <w:szCs w:val="24"/>
                <w:highlight w:val="none"/>
              </w:rPr>
              <w:t>宿的生活污水量按</w:t>
            </w:r>
            <w:r>
              <w:rPr>
                <w:rFonts w:hint="default" w:ascii="Times New Roman" w:hAnsi="Times New Roman" w:eastAsia="宋体"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rPr>
              <w:t>L/d人计，则用水量为</w:t>
            </w:r>
            <w:r>
              <w:rPr>
                <w:rFonts w:hint="default" w:ascii="Times New Roman" w:hAnsi="Times New Roman" w:eastAsia="宋体" w:cs="Times New Roman"/>
                <w:color w:val="auto"/>
                <w:sz w:val="24"/>
                <w:szCs w:val="24"/>
                <w:highlight w:val="none"/>
                <w:lang w:val="en-US" w:eastAsia="zh-CN"/>
              </w:rPr>
              <w:t>0.6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pacing w:val="-2"/>
                <w:sz w:val="24"/>
                <w:szCs w:val="24"/>
                <w:highlight w:val="none"/>
              </w:rPr>
              <w:t>污水产生量按照用水量的</w:t>
            </w:r>
            <w:r>
              <w:rPr>
                <w:rFonts w:hint="default" w:ascii="Times New Roman" w:hAnsi="Times New Roman" w:eastAsia="宋体" w:cs="Times New Roman"/>
                <w:color w:val="auto"/>
                <w:sz w:val="24"/>
                <w:szCs w:val="24"/>
                <w:highlight w:val="none"/>
              </w:rPr>
              <w:t>80%计，则污水产生</w:t>
            </w:r>
            <w:r>
              <w:rPr>
                <w:rFonts w:hint="default" w:ascii="Times New Roman" w:hAnsi="Times New Roman" w:eastAsia="宋体" w:cs="Times New Roman"/>
                <w:color w:val="auto"/>
                <w:spacing w:val="-21"/>
                <w:sz w:val="24"/>
                <w:szCs w:val="24"/>
                <w:highlight w:val="none"/>
              </w:rPr>
              <w:t>量约</w:t>
            </w:r>
            <w:r>
              <w:rPr>
                <w:rFonts w:hint="default" w:ascii="Times New Roman" w:hAnsi="Times New Roman" w:eastAsia="宋体" w:cs="Times New Roman"/>
                <w:color w:val="auto"/>
                <w:spacing w:val="-21"/>
                <w:sz w:val="24"/>
                <w:szCs w:val="24"/>
                <w:highlight w:val="none"/>
                <w:lang w:val="en-US" w:eastAsia="zh-CN"/>
              </w:rPr>
              <w:t>0.48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/d。项目总生活污水产生量为</w:t>
            </w:r>
            <w:r>
              <w:rPr>
                <w:rFonts w:hint="default" w:ascii="Times New Roman" w:hAnsi="Times New Roman" w:eastAsia="宋体" w:cs="Times New Roman"/>
                <w:color w:val="auto"/>
                <w:sz w:val="24"/>
                <w:szCs w:val="24"/>
                <w:highlight w:val="none"/>
                <w:lang w:val="en-US" w:eastAsia="zh-CN"/>
              </w:rPr>
              <w:t>1.68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val="en-US" w:eastAsia="zh-CN"/>
              </w:rPr>
              <w:t>食堂污水通过油水分离器处理后与其他生活污水共同进入化粪池处理，再排入</w:t>
            </w:r>
            <w:r>
              <w:rPr>
                <w:rFonts w:hint="default" w:ascii="Times New Roman" w:hAnsi="Times New Roman" w:eastAsia="宋体" w:cs="Times New Roman"/>
                <w:color w:val="auto"/>
                <w:kern w:val="0"/>
                <w:sz w:val="24"/>
                <w:szCs w:val="24"/>
                <w:highlight w:val="none"/>
                <w:vertAlign w:val="baseline"/>
                <w:lang w:val="en-US" w:eastAsia="zh-CN"/>
              </w:rPr>
              <w:t>集水池回用于生产。</w:t>
            </w:r>
          </w:p>
          <w:p>
            <w:pPr>
              <w:pStyle w:val="78"/>
              <w:keepNext w:val="0"/>
              <w:keepLines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⑦</w:t>
            </w:r>
            <w:r>
              <w:rPr>
                <w:rFonts w:hint="default" w:ascii="Times New Roman" w:hAnsi="Times New Roman" w:eastAsia="宋体" w:cs="Times New Roman"/>
                <w:b/>
                <w:bCs/>
                <w:color w:val="auto"/>
                <w:sz w:val="24"/>
                <w:szCs w:val="24"/>
                <w:highlight w:val="none"/>
              </w:rPr>
              <w:t>场地初期雨水</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区域初期雨水经</w:t>
            </w:r>
            <w:r>
              <w:rPr>
                <w:rFonts w:hint="default" w:ascii="Times New Roman" w:hAnsi="Times New Roman" w:eastAsia="宋体" w:cs="Times New Roman"/>
                <w:color w:val="auto"/>
                <w:sz w:val="24"/>
                <w:szCs w:val="24"/>
                <w:highlight w:val="none"/>
                <w:lang w:val="en-US" w:eastAsia="zh-CN"/>
              </w:rPr>
              <w:t>雨水沉淀池沉淀后进入集水池回用于生产。</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厂区总汇水面积为</w:t>
            </w:r>
            <w:r>
              <w:rPr>
                <w:rFonts w:hint="default" w:ascii="Times New Roman" w:hAnsi="Times New Roman" w:eastAsia="宋体" w:cs="Times New Roman"/>
                <w:color w:val="auto"/>
                <w:sz w:val="24"/>
                <w:szCs w:val="24"/>
                <w:highlight w:val="none"/>
                <w:lang w:val="en-US" w:eastAsia="zh-CN"/>
              </w:rPr>
              <w:t>1.526</w:t>
            </w:r>
            <w:r>
              <w:rPr>
                <w:rFonts w:hint="default" w:ascii="Times New Roman" w:hAnsi="Times New Roman" w:eastAsia="宋体" w:cs="Times New Roman"/>
                <w:color w:val="auto"/>
                <w:sz w:val="24"/>
                <w:szCs w:val="24"/>
                <w:highlight w:val="none"/>
              </w:rPr>
              <w:t>hm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，采用历年最大降雨量来计算厂区初期雨水产生量，计算公式为：</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Wi=ψ×q×F×10</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×15</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式中：Wi—</w:t>
            </w:r>
            <w:r>
              <w:rPr>
                <w:rFonts w:hint="default" w:ascii="Times New Roman" w:hAnsi="Times New Roman" w:eastAsia="宋体" w:cs="Times New Roman"/>
                <w:color w:val="auto"/>
                <w:sz w:val="24"/>
                <w:szCs w:val="24"/>
                <w:highlight w:val="none"/>
                <w:lang w:val="zh-CN"/>
              </w:rPr>
              <w:t>初期雨水量</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zh-CN"/>
              </w:rPr>
              <w:t>次</w:t>
            </w:r>
            <w:r>
              <w:rPr>
                <w:rFonts w:hint="default" w:ascii="Times New Roman" w:hAnsi="Times New Roman" w:eastAsia="宋体" w:cs="Times New Roman"/>
                <w:color w:val="auto"/>
                <w:sz w:val="24"/>
                <w:szCs w:val="24"/>
                <w:highlight w:val="none"/>
              </w:rPr>
              <w:t>）；</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      q</w:t>
            </w:r>
            <w:r>
              <w:rPr>
                <w:rFonts w:hint="default" w:ascii="Times New Roman" w:hAnsi="Times New Roman" w:eastAsia="宋体" w:cs="Times New Roman"/>
                <w:color w:val="auto"/>
                <w:sz w:val="24"/>
                <w:szCs w:val="24"/>
                <w:highlight w:val="none"/>
                <w:lang w:val="zh-CN"/>
              </w:rPr>
              <w:t>—降雨强度（</w:t>
            </w:r>
            <w:r>
              <w:rPr>
                <w:rFonts w:hint="default" w:ascii="Times New Roman" w:hAnsi="Times New Roman" w:eastAsia="宋体" w:cs="Times New Roman"/>
                <w:color w:val="auto"/>
                <w:sz w:val="24"/>
                <w:szCs w:val="24"/>
                <w:highlight w:val="none"/>
              </w:rPr>
              <w:t>mm</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rPr>
              <w:t>min</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rPr>
              <w:t>，历年最大降雨量为</w:t>
            </w:r>
            <w:r>
              <w:rPr>
                <w:rFonts w:hint="default" w:ascii="Times New Roman" w:hAnsi="Times New Roman" w:eastAsia="宋体" w:cs="Times New Roman"/>
                <w:color w:val="auto"/>
                <w:sz w:val="24"/>
                <w:szCs w:val="24"/>
                <w:highlight w:val="none"/>
                <w:lang w:val="en-US" w:eastAsia="zh-CN"/>
              </w:rPr>
              <w:t>912.2</w:t>
            </w:r>
            <w:r>
              <w:rPr>
                <w:rFonts w:hint="default" w:ascii="Times New Roman" w:hAnsi="Times New Roman" w:eastAsia="宋体" w:cs="Times New Roman"/>
                <w:color w:val="auto"/>
                <w:sz w:val="24"/>
                <w:szCs w:val="24"/>
                <w:highlight w:val="none"/>
              </w:rPr>
              <w:t>mm</w:t>
            </w:r>
            <w:r>
              <w:rPr>
                <w:rFonts w:hint="default" w:ascii="Times New Roman" w:hAnsi="Times New Roman" w:eastAsia="宋体" w:cs="Times New Roman"/>
                <w:color w:val="auto"/>
                <w:sz w:val="24"/>
                <w:szCs w:val="24"/>
                <w:highlight w:val="none"/>
                <w:lang w:val="zh-CN"/>
              </w:rPr>
              <w:t>；</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      F</w:t>
            </w:r>
            <w:r>
              <w:rPr>
                <w:rFonts w:hint="default" w:ascii="Times New Roman" w:hAnsi="Times New Roman" w:eastAsia="宋体" w:cs="Times New Roman"/>
                <w:color w:val="auto"/>
                <w:sz w:val="24"/>
                <w:szCs w:val="24"/>
                <w:highlight w:val="none"/>
                <w:lang w:val="zh-CN"/>
              </w:rPr>
              <w:t>—汇水面积（</w:t>
            </w:r>
            <w:r>
              <w:rPr>
                <w:rFonts w:hint="default" w:ascii="Times New Roman" w:hAnsi="Times New Roman" w:eastAsia="宋体" w:cs="Times New Roman"/>
                <w:color w:val="auto"/>
                <w:sz w:val="24"/>
                <w:szCs w:val="24"/>
                <w:highlight w:val="none"/>
              </w:rPr>
              <w:t>hm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lang w:val="zh-CN"/>
              </w:rPr>
              <w:t>），项目区汇水面积</w:t>
            </w:r>
            <w:r>
              <w:rPr>
                <w:rFonts w:hint="default" w:ascii="Times New Roman" w:hAnsi="Times New Roman" w:eastAsia="宋体" w:cs="Times New Roman"/>
                <w:color w:val="auto"/>
                <w:sz w:val="24"/>
                <w:szCs w:val="24"/>
                <w:highlight w:val="none"/>
                <w:lang w:val="en-US" w:eastAsia="zh-CN"/>
              </w:rPr>
              <w:t>1.526</w:t>
            </w:r>
            <w:r>
              <w:rPr>
                <w:rFonts w:hint="default" w:ascii="Times New Roman" w:hAnsi="Times New Roman" w:eastAsia="宋体" w:cs="Times New Roman"/>
                <w:color w:val="auto"/>
                <w:sz w:val="24"/>
                <w:szCs w:val="24"/>
                <w:highlight w:val="none"/>
              </w:rPr>
              <w:t>hm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lang w:val="zh-CN"/>
              </w:rPr>
              <w:t>；</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      ψ</w:t>
            </w:r>
            <w:r>
              <w:rPr>
                <w:rFonts w:hint="default" w:ascii="Times New Roman" w:hAnsi="Times New Roman" w:eastAsia="宋体" w:cs="Times New Roman"/>
                <w:color w:val="auto"/>
                <w:sz w:val="24"/>
                <w:szCs w:val="24"/>
                <w:highlight w:val="none"/>
                <w:lang w:val="zh-CN"/>
              </w:rPr>
              <w:t>—径流系数，项目区水泥地面，径流系数取</w:t>
            </w:r>
            <w:r>
              <w:rPr>
                <w:rFonts w:hint="default" w:ascii="Times New Roman" w:hAnsi="Times New Roman" w:eastAsia="宋体" w:cs="Times New Roman"/>
                <w:color w:val="auto"/>
                <w:sz w:val="24"/>
                <w:szCs w:val="24"/>
                <w:highlight w:val="none"/>
              </w:rPr>
              <w:t>0.7；</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      15</w:t>
            </w:r>
            <w:r>
              <w:rPr>
                <w:rFonts w:hint="default" w:ascii="Times New Roman" w:hAnsi="Times New Roman" w:eastAsia="宋体" w:cs="Times New Roman"/>
                <w:color w:val="auto"/>
                <w:sz w:val="24"/>
                <w:szCs w:val="24"/>
                <w:highlight w:val="none"/>
                <w:lang w:val="zh-CN"/>
              </w:rPr>
              <w:t>—初期雨水按降雨前</w:t>
            </w:r>
            <w:r>
              <w:rPr>
                <w:rFonts w:hint="default" w:ascii="Times New Roman" w:hAnsi="Times New Roman" w:eastAsia="宋体" w:cs="Times New Roman"/>
                <w:color w:val="auto"/>
                <w:sz w:val="24"/>
                <w:szCs w:val="24"/>
                <w:highlight w:val="none"/>
              </w:rPr>
              <w:t>15min计；</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lang w:val="zh-CN"/>
              </w:rPr>
              <w:t>经计算，降雨前</w:t>
            </w:r>
            <w:r>
              <w:rPr>
                <w:rFonts w:hint="default" w:ascii="Times New Roman" w:hAnsi="Times New Roman" w:eastAsia="宋体" w:cs="Times New Roman"/>
                <w:color w:val="auto"/>
                <w:sz w:val="24"/>
                <w:szCs w:val="24"/>
                <w:highlight w:val="none"/>
              </w:rPr>
              <w:t>15min初期雨水产生量为</w:t>
            </w:r>
            <w:r>
              <w:rPr>
                <w:rFonts w:hint="default" w:ascii="Times New Roman" w:hAnsi="Times New Roman" w:eastAsia="宋体" w:cs="Times New Roman"/>
                <w:color w:val="auto"/>
                <w:sz w:val="24"/>
                <w:szCs w:val="24"/>
                <w:highlight w:val="none"/>
                <w:lang w:val="en-US" w:eastAsia="zh-CN"/>
              </w:rPr>
              <w:t>14.616</w:t>
            </w:r>
            <w:r>
              <w:rPr>
                <w:rFonts w:hint="default" w:ascii="Times New Roman" w:hAnsi="Times New Roman" w:eastAsia="宋体" w:cs="Times New Roman"/>
                <w:color w:val="auto"/>
                <w:sz w:val="24"/>
                <w:szCs w:val="24"/>
                <w:highlight w:val="none"/>
                <w:lang w:val="zh-CN"/>
              </w:rPr>
              <w:t>m</w:t>
            </w:r>
            <w:r>
              <w:rPr>
                <w:rFonts w:hint="default" w:ascii="Times New Roman" w:hAnsi="Times New Roman" w:eastAsia="宋体" w:cs="Times New Roman"/>
                <w:color w:val="auto"/>
                <w:sz w:val="24"/>
                <w:szCs w:val="24"/>
                <w:highlight w:val="none"/>
                <w:vertAlign w:val="superscript"/>
                <w:lang w:val="zh-CN"/>
              </w:rPr>
              <w:t>3</w:t>
            </w:r>
            <w:r>
              <w:rPr>
                <w:rFonts w:hint="default" w:ascii="Times New Roman" w:hAnsi="Times New Roman" w:eastAsia="宋体" w:cs="Times New Roman"/>
                <w:color w:val="auto"/>
                <w:sz w:val="24"/>
                <w:szCs w:val="24"/>
                <w:highlight w:val="none"/>
                <w:lang w:val="zh-CN"/>
              </w:rPr>
              <w:t>/次。</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项目用水情况见下表。</w:t>
            </w:r>
          </w:p>
          <w:p>
            <w:pPr>
              <w:keepNext w:val="0"/>
              <w:keepLines w:val="0"/>
              <w:suppressLineNumbers w:val="0"/>
              <w:spacing w:before="0" w:beforeAutospacing="0" w:after="0" w:afterAutospacing="0"/>
              <w:ind w:left="0" w:right="0" w:firstLine="422" w:firstLineChars="20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表2.</w:t>
            </w:r>
            <w:r>
              <w:rPr>
                <w:rFonts w:hint="default" w:ascii="Times New Roman" w:hAnsi="Times New Roman" w:eastAsia="宋体" w:cs="Times New Roman"/>
                <w:b/>
                <w:color w:val="auto"/>
                <w:szCs w:val="21"/>
                <w:highlight w:val="none"/>
              </w:rPr>
              <w:t>4-3</w:t>
            </w:r>
            <w:r>
              <w:rPr>
                <w:rFonts w:hint="default" w:ascii="Times New Roman" w:hAnsi="Times New Roman" w:eastAsia="宋体" w:cs="Times New Roman"/>
                <w:b/>
                <w:bCs/>
                <w:color w:val="auto"/>
                <w:szCs w:val="21"/>
                <w:highlight w:val="none"/>
              </w:rPr>
              <w:t xml:space="preserve">   项目用污水情况统计表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1057"/>
              <w:gridCol w:w="1265"/>
              <w:gridCol w:w="1394"/>
              <w:gridCol w:w="1601"/>
              <w:gridCol w:w="1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931" w:type="pct"/>
                  <w:noWrap w:val="0"/>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用水项目</w:t>
                  </w:r>
                </w:p>
              </w:tc>
              <w:tc>
                <w:tcPr>
                  <w:tcW w:w="665" w:type="pct"/>
                  <w:noWrap w:val="0"/>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数量</w:t>
                  </w:r>
                </w:p>
              </w:tc>
              <w:tc>
                <w:tcPr>
                  <w:tcW w:w="796" w:type="pct"/>
                  <w:noWrap w:val="0"/>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用水定额</w:t>
                  </w:r>
                </w:p>
              </w:tc>
              <w:tc>
                <w:tcPr>
                  <w:tcW w:w="877" w:type="pct"/>
                  <w:noWrap w:val="0"/>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用水量（m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/d）</w:t>
                  </w:r>
                </w:p>
              </w:tc>
              <w:tc>
                <w:tcPr>
                  <w:tcW w:w="1007" w:type="pct"/>
                  <w:noWrap w:val="0"/>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/d）</w:t>
                  </w:r>
                </w:p>
              </w:tc>
              <w:tc>
                <w:tcPr>
                  <w:tcW w:w="722" w:type="pct"/>
                  <w:noWrap w:val="0"/>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1" w:type="pct"/>
                  <w:noWrap w:val="0"/>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陈化用水</w:t>
                  </w:r>
                </w:p>
              </w:tc>
              <w:tc>
                <w:tcPr>
                  <w:tcW w:w="6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9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39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36.7042 </w:t>
                  </w:r>
                </w:p>
              </w:tc>
              <w:tc>
                <w:tcPr>
                  <w:tcW w:w="100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2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1" w:type="pct"/>
                  <w:noWrap w:val="0"/>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搅拌用水</w:t>
                  </w:r>
                </w:p>
              </w:tc>
              <w:tc>
                <w:tcPr>
                  <w:tcW w:w="6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9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39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48.9389 </w:t>
                  </w:r>
                </w:p>
              </w:tc>
              <w:tc>
                <w:tcPr>
                  <w:tcW w:w="100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2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不排放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931" w:type="pct"/>
                  <w:noWrap w:val="0"/>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洒水降尘用水</w:t>
                  </w:r>
                </w:p>
              </w:tc>
              <w:tc>
                <w:tcPr>
                  <w:tcW w:w="6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9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39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4.5756 </w:t>
                  </w:r>
                </w:p>
              </w:tc>
              <w:tc>
                <w:tcPr>
                  <w:tcW w:w="100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2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不排放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931" w:type="pct"/>
                  <w:noWrap w:val="0"/>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污泥渗滤液</w:t>
                  </w:r>
                </w:p>
              </w:tc>
              <w:tc>
                <w:tcPr>
                  <w:tcW w:w="6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79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7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0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6.8891</w:t>
                  </w:r>
                </w:p>
              </w:tc>
              <w:tc>
                <w:tcPr>
                  <w:tcW w:w="72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931" w:type="pct"/>
                  <w:noWrap w:val="0"/>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脱硫用水</w:t>
                  </w:r>
                </w:p>
              </w:tc>
              <w:tc>
                <w:tcPr>
                  <w:tcW w:w="6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9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87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2894.518 </w:t>
                  </w:r>
                </w:p>
              </w:tc>
              <w:tc>
                <w:tcPr>
                  <w:tcW w:w="100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2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不排放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931" w:type="pct"/>
                  <w:noWrap w:val="0"/>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初期雨水</w:t>
                  </w:r>
                </w:p>
              </w:tc>
              <w:tc>
                <w:tcPr>
                  <w:tcW w:w="6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9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87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0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14.616</w:t>
                  </w:r>
                  <w:r>
                    <w:rPr>
                      <w:rFonts w:hint="default" w:ascii="Times New Roman" w:hAnsi="Times New Roman" w:eastAsia="宋体" w:cs="Times New Roman"/>
                      <w:color w:val="auto"/>
                      <w:sz w:val="21"/>
                      <w:szCs w:val="21"/>
                      <w:highlight w:val="none"/>
                      <w:lang w:val="zh-CN"/>
                    </w:rPr>
                    <w:t>m</w:t>
                  </w:r>
                  <w:r>
                    <w:rPr>
                      <w:rFonts w:hint="default" w:ascii="Times New Roman" w:hAnsi="Times New Roman" w:eastAsia="宋体" w:cs="Times New Roman"/>
                      <w:color w:val="auto"/>
                      <w:sz w:val="21"/>
                      <w:szCs w:val="21"/>
                      <w:highlight w:val="none"/>
                      <w:vertAlign w:val="superscript"/>
                      <w:lang w:val="zh-CN"/>
                    </w:rPr>
                    <w:t>3</w:t>
                  </w:r>
                  <w:r>
                    <w:rPr>
                      <w:rFonts w:hint="default" w:ascii="Times New Roman" w:hAnsi="Times New Roman" w:eastAsia="宋体" w:cs="Times New Roman"/>
                      <w:color w:val="auto"/>
                      <w:sz w:val="21"/>
                      <w:szCs w:val="21"/>
                      <w:highlight w:val="none"/>
                      <w:lang w:val="zh-CN"/>
                    </w:rPr>
                    <w:t>/次</w:t>
                  </w:r>
                </w:p>
              </w:tc>
              <w:tc>
                <w:tcPr>
                  <w:tcW w:w="72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不排放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1" w:type="pct"/>
                  <w:vMerge w:val="restart"/>
                  <w:noWrap w:val="0"/>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w:t>
                  </w:r>
                </w:p>
              </w:tc>
              <w:tc>
                <w:tcPr>
                  <w:tcW w:w="6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人</w:t>
                  </w:r>
                </w:p>
              </w:tc>
              <w:tc>
                <w:tcPr>
                  <w:tcW w:w="79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L/人·d</w:t>
                  </w:r>
                </w:p>
              </w:tc>
              <w:tc>
                <w:tcPr>
                  <w:tcW w:w="87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100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w:t>
                  </w:r>
                </w:p>
              </w:tc>
              <w:tc>
                <w:tcPr>
                  <w:tcW w:w="72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1" w:type="pct"/>
                  <w:vMerge w:val="continue"/>
                  <w:noWrap w:val="0"/>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6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人</w:t>
                  </w:r>
                </w:p>
              </w:tc>
              <w:tc>
                <w:tcPr>
                  <w:tcW w:w="79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0L/人·d</w:t>
                  </w:r>
                </w:p>
              </w:tc>
              <w:tc>
                <w:tcPr>
                  <w:tcW w:w="877"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0.6</w:t>
                  </w:r>
                </w:p>
              </w:tc>
              <w:tc>
                <w:tcPr>
                  <w:tcW w:w="100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0.48</w:t>
                  </w:r>
                </w:p>
              </w:tc>
              <w:tc>
                <w:tcPr>
                  <w:tcW w:w="72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2" w:type="pct"/>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合计</w:t>
                  </w:r>
                </w:p>
              </w:tc>
              <w:tc>
                <w:tcPr>
                  <w:tcW w:w="877"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2986.837</w:t>
                  </w:r>
                </w:p>
              </w:tc>
              <w:tc>
                <w:tcPr>
                  <w:tcW w:w="1007"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8.569</w:t>
                  </w:r>
                </w:p>
              </w:tc>
              <w:tc>
                <w:tcPr>
                  <w:tcW w:w="72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504</w:t>
                  </w:r>
                </w:p>
              </w:tc>
            </w:tr>
          </w:tbl>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4.4.2</w:t>
            </w:r>
            <w:r>
              <w:rPr>
                <w:rFonts w:hint="default" w:ascii="Times New Roman" w:hAnsi="Times New Roman" w:eastAsia="宋体" w:cs="Times New Roman"/>
                <w:b/>
                <w:bCs/>
                <w:color w:val="auto"/>
                <w:sz w:val="24"/>
                <w:szCs w:val="24"/>
                <w:highlight w:val="none"/>
              </w:rPr>
              <w:t>水量平衡图</w:t>
            </w:r>
          </w:p>
          <w:p>
            <w:pPr>
              <w:pStyle w:val="8"/>
              <w:keepNext w:val="0"/>
              <w:keepLines w:val="0"/>
              <w:suppressLineNumbers w:val="0"/>
              <w:spacing w:beforeAutospacing="0" w:afterAutospacing="0"/>
              <w:ind w:lef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color w:val="auto"/>
                <w:highlight w:val="none"/>
              </w:rPr>
              <w:object>
                <v:shape id="_x0000_i1027" o:spt="75" type="#_x0000_t75" style="height:306.6pt;width:397.05pt;" o:ole="t" filled="f" o:preferrelative="t" stroked="f" coordsize="21600,21600">
                  <v:path/>
                  <v:fill on="f" focussize="0,0"/>
                  <v:stroke on="f"/>
                  <v:imagedata r:id="rId13" o:title=""/>
                  <o:lock v:ext="edit" aspectratio="f"/>
                  <w10:wrap type="none"/>
                  <w10:anchorlock/>
                </v:shape>
                <o:OLEObject Type="Embed" ProgID="Visio.Drawing.15" ShapeID="_x0000_i1027" DrawAspect="Content" ObjectID="_1468075727" r:id="rId12">
                  <o:LockedField>false</o:LockedField>
                </o:OLEObject>
              </w:object>
            </w:r>
            <w:r>
              <w:rPr>
                <w:rFonts w:hint="default" w:ascii="Times New Roman" w:hAnsi="Times New Roman" w:eastAsia="宋体" w:cs="Times New Roman"/>
                <w:b/>
                <w:bCs/>
                <w:color w:val="auto"/>
                <w:sz w:val="21"/>
                <w:szCs w:val="21"/>
                <w:highlight w:val="none"/>
              </w:rPr>
              <w:t>图2.4-</w:t>
            </w:r>
            <w:r>
              <w:rPr>
                <w:rFonts w:hint="default" w:ascii="Times New Roman" w:hAnsi="Times New Roman"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项目</w:t>
            </w:r>
            <w:r>
              <w:rPr>
                <w:rFonts w:hint="default" w:ascii="Times New Roman" w:hAnsi="Times New Roman" w:eastAsia="宋体" w:cs="Times New Roman"/>
                <w:b/>
                <w:bCs/>
                <w:color w:val="auto"/>
                <w:sz w:val="21"/>
                <w:szCs w:val="21"/>
                <w:highlight w:val="none"/>
              </w:rPr>
              <w:t>雨天水量平衡图（单位：m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/d）</w:t>
            </w:r>
          </w:p>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object>
                <v:shape id="_x0000_i1028" o:spt="75" type="#_x0000_t75" style="height:313.75pt;width:397.8pt;" o:ole="t" filled="f" o:preferrelative="t" stroked="f" coordsize="21600,21600">
                  <v:path/>
                  <v:fill on="f" focussize="0,0"/>
                  <v:stroke on="f"/>
                  <v:imagedata r:id="rId15" o:title=""/>
                  <o:lock v:ext="edit" aspectratio="f"/>
                  <w10:wrap type="none"/>
                  <w10:anchorlock/>
                </v:shape>
                <o:OLEObject Type="Embed" ProgID="Visio.Drawing.15" ShapeID="_x0000_i1028" DrawAspect="Content" ObjectID="_1468075728" r:id="rId14">
                  <o:LockedField>false</o:LockedField>
                </o:OLEObject>
              </w:object>
            </w:r>
            <w:r>
              <w:rPr>
                <w:rFonts w:hint="default" w:ascii="Times New Roman" w:hAnsi="Times New Roman" w:eastAsia="宋体" w:cs="Times New Roman"/>
                <w:b/>
                <w:bCs/>
                <w:color w:val="auto"/>
                <w:szCs w:val="21"/>
                <w:highlight w:val="none"/>
              </w:rPr>
              <w:t>图2.4-</w:t>
            </w:r>
            <w:r>
              <w:rPr>
                <w:rFonts w:hint="default" w:ascii="Times New Roman" w:hAnsi="Times New Roman" w:eastAsia="宋体" w:cs="Times New Roman"/>
                <w:b/>
                <w:bCs/>
                <w:color w:val="auto"/>
                <w:szCs w:val="21"/>
                <w:highlight w:val="none"/>
                <w:lang w:val="en-US" w:eastAsia="zh-CN"/>
              </w:rPr>
              <w:t>4</w:t>
            </w:r>
            <w:r>
              <w:rPr>
                <w:rFonts w:hint="default" w:ascii="Times New Roman" w:hAnsi="Times New Roman" w:eastAsia="宋体" w:cs="Times New Roman"/>
                <w:b/>
                <w:bCs/>
                <w:color w:val="auto"/>
                <w:szCs w:val="21"/>
                <w:highlight w:val="none"/>
              </w:rPr>
              <w:t xml:space="preserve">   非雨天水量平衡图（单位：m</w:t>
            </w:r>
            <w:r>
              <w:rPr>
                <w:rFonts w:hint="default" w:ascii="Times New Roman" w:hAnsi="Times New Roman" w:eastAsia="宋体" w:cs="Times New Roman"/>
                <w:b/>
                <w:bCs/>
                <w:color w:val="auto"/>
                <w:szCs w:val="21"/>
                <w:highlight w:val="none"/>
                <w:vertAlign w:val="superscript"/>
              </w:rPr>
              <w:t>3</w:t>
            </w:r>
            <w:r>
              <w:rPr>
                <w:rFonts w:hint="default" w:ascii="Times New Roman" w:hAnsi="Times New Roman" w:eastAsia="宋体" w:cs="Times New Roman"/>
                <w:b/>
                <w:bCs/>
                <w:color w:val="auto"/>
                <w:szCs w:val="21"/>
                <w:highlight w:val="none"/>
              </w:rPr>
              <w:t>/d）</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五、劳动定员及工作制度</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5.1劳动定员</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项目原有劳动定员为</w:t>
            </w:r>
            <w:r>
              <w:rPr>
                <w:rFonts w:hint="default" w:ascii="Times New Roman" w:hAnsi="Times New Roman" w:eastAsia="宋体"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rPr>
              <w:t>人，</w:t>
            </w:r>
            <w:r>
              <w:rPr>
                <w:rFonts w:hint="default" w:ascii="Times New Roman" w:hAnsi="Times New Roman" w:eastAsia="宋体" w:cs="Times New Roman"/>
                <w:color w:val="auto"/>
                <w:sz w:val="24"/>
                <w:szCs w:val="24"/>
                <w:highlight w:val="none"/>
                <w:lang w:eastAsia="zh-CN"/>
              </w:rPr>
              <w:t>改扩建</w:t>
            </w:r>
            <w:r>
              <w:rPr>
                <w:rFonts w:hint="default" w:ascii="Times New Roman" w:hAnsi="Times New Roman" w:eastAsia="宋体" w:cs="Times New Roman"/>
                <w:color w:val="auto"/>
                <w:sz w:val="24"/>
                <w:szCs w:val="24"/>
                <w:highlight w:val="none"/>
              </w:rPr>
              <w:t>后</w:t>
            </w:r>
            <w:r>
              <w:rPr>
                <w:rFonts w:hint="default" w:ascii="Times New Roman" w:hAnsi="Times New Roman" w:eastAsia="宋体" w:cs="Times New Roman"/>
                <w:color w:val="auto"/>
                <w:sz w:val="24"/>
                <w:szCs w:val="24"/>
                <w:highlight w:val="none"/>
                <w:lang w:val="en-US" w:eastAsia="zh-CN"/>
              </w:rPr>
              <w:t>未</w:t>
            </w:r>
            <w:r>
              <w:rPr>
                <w:rFonts w:hint="default" w:ascii="Times New Roman" w:hAnsi="Times New Roman" w:eastAsia="宋体" w:cs="Times New Roman"/>
                <w:color w:val="auto"/>
                <w:sz w:val="24"/>
                <w:szCs w:val="24"/>
                <w:highlight w:val="none"/>
              </w:rPr>
              <w:t>新增劳动定员。项目劳动定员为</w:t>
            </w:r>
            <w:r>
              <w:rPr>
                <w:rFonts w:hint="default" w:ascii="Times New Roman" w:hAnsi="Times New Roman" w:eastAsia="宋体"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rPr>
              <w:t>人，其中有</w:t>
            </w:r>
            <w:r>
              <w:rPr>
                <w:rFonts w:hint="default"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rPr>
              <w:t>人在厂区食宿</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15人不在厂区住宿。</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5.2工作制度</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项目年工作天数3</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0d，</w:t>
            </w:r>
            <w:r>
              <w:rPr>
                <w:rFonts w:hint="default" w:ascii="Times New Roman" w:hAnsi="Times New Roman" w:eastAsia="宋体" w:cs="Times New Roman"/>
                <w:color w:val="auto"/>
                <w:kern w:val="1"/>
                <w:sz w:val="24"/>
                <w:szCs w:val="24"/>
                <w:highlight w:val="none"/>
              </w:rPr>
              <w:t>制砖生产线每天运行8小时，隧道焙烧窑24小时运行。</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5.3建设工期</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项目预计于2026年</w:t>
            </w:r>
            <w:r>
              <w:rPr>
                <w:rFonts w:hint="default"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月开始施工，202</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底</w:t>
            </w:r>
            <w:r>
              <w:rPr>
                <w:rFonts w:hint="default" w:ascii="Times New Roman" w:hAnsi="Times New Roman" w:eastAsia="宋体" w:cs="Times New Roman"/>
                <w:color w:val="auto"/>
                <w:sz w:val="24"/>
                <w:szCs w:val="24"/>
                <w:highlight w:val="none"/>
              </w:rPr>
              <w:t>建成；施工工期共1个月</w:t>
            </w:r>
            <w:r>
              <w:rPr>
                <w:rFonts w:hint="default" w:ascii="Times New Roman" w:hAnsi="Times New Roman" w:eastAsia="宋体" w:cs="Times New Roman"/>
                <w:color w:val="auto"/>
                <w:kern w:val="0"/>
                <w:sz w:val="24"/>
                <w:szCs w:val="24"/>
                <w:highlight w:val="none"/>
              </w:rPr>
              <w:t>。</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六、项目投资</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bCs/>
                <w:color w:val="auto"/>
                <w:highlight w:val="none"/>
              </w:rPr>
            </w:pPr>
            <w:r>
              <w:rPr>
                <w:rFonts w:hint="default" w:ascii="Times New Roman" w:hAnsi="Times New Roman" w:eastAsia="宋体" w:cs="Times New Roman"/>
                <w:color w:val="auto"/>
                <w:sz w:val="24"/>
                <w:szCs w:val="24"/>
                <w:highlight w:val="none"/>
              </w:rPr>
              <w:t>项目总投资为</w:t>
            </w:r>
            <w:r>
              <w:rPr>
                <w:rFonts w:hint="default" w:ascii="Times New Roman" w:hAnsi="Times New Roman" w:eastAsia="宋体" w:cs="Times New Roman"/>
                <w:color w:val="auto"/>
                <w:sz w:val="24"/>
                <w:szCs w:val="24"/>
                <w:highlight w:val="none"/>
                <w:lang w:val="en-US" w:eastAsia="zh-CN"/>
              </w:rPr>
              <w:t>100</w:t>
            </w:r>
            <w:r>
              <w:rPr>
                <w:rFonts w:hint="default" w:ascii="Times New Roman" w:hAnsi="Times New Roman" w:eastAsia="宋体" w:cs="Times New Roman"/>
                <w:color w:val="auto"/>
                <w:sz w:val="24"/>
                <w:szCs w:val="24"/>
                <w:highlight w:val="none"/>
              </w:rPr>
              <w:t>万元，其中环保投资为</w:t>
            </w:r>
            <w:r>
              <w:rPr>
                <w:rFonts w:hint="default"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rPr>
              <w:t>万元，环保投资占总投资的</w:t>
            </w:r>
            <w:r>
              <w:rPr>
                <w:rFonts w:hint="default"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rPr>
              <w:t>%。环保投资情况详见下表。</w:t>
            </w:r>
          </w:p>
          <w:p>
            <w:pPr>
              <w:keepNext w:val="0"/>
              <w:keepLines w:val="0"/>
              <w:suppressLineNumbers w:val="0"/>
              <w:autoSpaceDE w:val="0"/>
              <w:autoSpaceDN w:val="0"/>
              <w:spacing w:before="0" w:beforeAutospacing="0" w:after="0" w:afterAutospacing="0"/>
              <w:ind w:left="0" w:right="0"/>
              <w:contextualSpacing/>
              <w:jc w:val="center"/>
              <w:rPr>
                <w:rFonts w:hint="default" w:ascii="Times New Roman" w:hAnsi="Times New Roman" w:eastAsia="宋体" w:cs="Times New Roman"/>
                <w:b/>
                <w:bCs/>
                <w:color w:val="auto"/>
                <w:highlight w:val="none"/>
              </w:rPr>
            </w:pPr>
          </w:p>
          <w:p>
            <w:pPr>
              <w:keepNext w:val="0"/>
              <w:keepLines w:val="0"/>
              <w:suppressLineNumbers w:val="0"/>
              <w:autoSpaceDE w:val="0"/>
              <w:autoSpaceDN w:val="0"/>
              <w:spacing w:before="0" w:beforeAutospacing="0" w:after="0" w:afterAutospacing="0"/>
              <w:ind w:left="0" w:right="0"/>
              <w:contextualSpacing/>
              <w:jc w:val="center"/>
              <w:rPr>
                <w:rFonts w:hint="default" w:ascii="Times New Roman" w:hAnsi="Times New Roman" w:eastAsia="宋体" w:cs="Times New Roman"/>
                <w:b/>
                <w:bCs/>
                <w:color w:val="auto"/>
                <w:highlight w:val="none"/>
              </w:rPr>
            </w:pPr>
          </w:p>
          <w:p>
            <w:pPr>
              <w:keepNext w:val="0"/>
              <w:keepLines w:val="0"/>
              <w:suppressLineNumbers w:val="0"/>
              <w:autoSpaceDE w:val="0"/>
              <w:autoSpaceDN w:val="0"/>
              <w:spacing w:before="0" w:beforeAutospacing="0" w:after="0" w:afterAutospacing="0"/>
              <w:ind w:left="0" w:right="0"/>
              <w:contextualSpacing/>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highlight w:val="none"/>
              </w:rPr>
              <w:t>表2.6-1   项目环保投资表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2373"/>
              <w:gridCol w:w="3335"/>
              <w:gridCol w:w="1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bookmarkStart w:id="3" w:name="OLE_LINK8"/>
                  <w:r>
                    <w:rPr>
                      <w:rFonts w:hint="default" w:ascii="Times New Roman" w:hAnsi="Times New Roman" w:eastAsia="宋体" w:cs="Times New Roman"/>
                      <w:b/>
                      <w:bCs/>
                      <w:color w:val="auto"/>
                      <w:sz w:val="21"/>
                      <w:szCs w:val="21"/>
                      <w:highlight w:val="none"/>
                    </w:rPr>
                    <w:t>治理类型</w:t>
                  </w:r>
                  <w:bookmarkEnd w:id="3"/>
                </w:p>
              </w:tc>
              <w:tc>
                <w:tcPr>
                  <w:tcW w:w="1493"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环保设施</w:t>
                  </w:r>
                </w:p>
              </w:tc>
              <w:tc>
                <w:tcPr>
                  <w:tcW w:w="2098"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设置规模</w:t>
                  </w:r>
                </w:p>
              </w:tc>
              <w:tc>
                <w:tcPr>
                  <w:tcW w:w="716"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投资</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pct"/>
                  <w:vMerge w:val="restart"/>
                  <w:tcBorders>
                    <w:top w:val="nil"/>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firstLine="210" w:firstLineChars="1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1493"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shd w:val="clear" w:color="auto" w:fill="FFFFFF"/>
                    </w:rPr>
                    <w:t>布袋除尘器、集气罩</w:t>
                  </w:r>
                </w:p>
              </w:tc>
              <w:tc>
                <w:tcPr>
                  <w:tcW w:w="2098"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1</w:t>
                  </w:r>
                  <w:r>
                    <w:rPr>
                      <w:rStyle w:val="85"/>
                      <w:rFonts w:hint="default" w:ascii="Times New Roman" w:hAnsi="Times New Roman" w:eastAsia="宋体" w:cs="Times New Roman"/>
                      <w:color w:val="auto"/>
                      <w:sz w:val="21"/>
                      <w:szCs w:val="21"/>
                      <w:highlight w:val="none"/>
                    </w:rPr>
                    <w:t>套</w:t>
                  </w:r>
                  <w:r>
                    <w:rPr>
                      <w:rStyle w:val="85"/>
                      <w:rFonts w:hint="default" w:ascii="Times New Roman" w:hAnsi="Times New Roman" w:eastAsia="宋体" w:cs="Times New Roman"/>
                      <w:color w:val="auto"/>
                      <w:sz w:val="21"/>
                      <w:szCs w:val="21"/>
                      <w:highlight w:val="none"/>
                      <w:lang w:eastAsia="zh-CN"/>
                    </w:rPr>
                    <w:t>（</w:t>
                  </w:r>
                  <w:r>
                    <w:rPr>
                      <w:rStyle w:val="85"/>
                      <w:rFonts w:hint="default" w:ascii="Times New Roman" w:hAnsi="Times New Roman" w:eastAsia="宋体" w:cs="Times New Roman"/>
                      <w:color w:val="auto"/>
                      <w:sz w:val="21"/>
                      <w:szCs w:val="21"/>
                      <w:highlight w:val="none"/>
                    </w:rPr>
                    <w:t>依托</w:t>
                  </w:r>
                  <w:r>
                    <w:rPr>
                      <w:rStyle w:val="85"/>
                      <w:rFonts w:hint="default" w:ascii="Times New Roman" w:hAnsi="Times New Roman" w:eastAsia="宋体" w:cs="Times New Roman"/>
                      <w:color w:val="auto"/>
                      <w:sz w:val="21"/>
                      <w:szCs w:val="21"/>
                      <w:highlight w:val="none"/>
                      <w:lang w:eastAsia="zh-CN"/>
                    </w:rPr>
                    <w:t>）</w:t>
                  </w:r>
                </w:p>
              </w:tc>
              <w:tc>
                <w:tcPr>
                  <w:tcW w:w="716"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pct"/>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p>
              </w:tc>
              <w:tc>
                <w:tcPr>
                  <w:tcW w:w="1493"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shd w:val="clear" w:color="auto" w:fill="FFFFFF"/>
                    </w:rPr>
                    <w:t>脱硫塔装置</w:t>
                  </w:r>
                </w:p>
              </w:tc>
              <w:tc>
                <w:tcPr>
                  <w:tcW w:w="2098"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r>
                    <w:rPr>
                      <w:rStyle w:val="85"/>
                      <w:rFonts w:hint="default" w:ascii="Times New Roman" w:hAnsi="Times New Roman" w:eastAsia="宋体" w:cs="Times New Roman"/>
                      <w:color w:val="auto"/>
                      <w:sz w:val="21"/>
                      <w:szCs w:val="21"/>
                      <w:highlight w:val="none"/>
                    </w:rPr>
                    <w:t>套</w:t>
                  </w:r>
                  <w:r>
                    <w:rPr>
                      <w:rStyle w:val="85"/>
                      <w:rFonts w:hint="default" w:ascii="Times New Roman" w:hAnsi="Times New Roman" w:eastAsia="宋体" w:cs="Times New Roman"/>
                      <w:color w:val="auto"/>
                      <w:sz w:val="21"/>
                      <w:szCs w:val="21"/>
                      <w:highlight w:val="none"/>
                      <w:lang w:eastAsia="zh-CN"/>
                    </w:rPr>
                    <w:t>（</w:t>
                  </w:r>
                  <w:r>
                    <w:rPr>
                      <w:rStyle w:val="85"/>
                      <w:rFonts w:hint="default" w:ascii="Times New Roman" w:hAnsi="Times New Roman" w:eastAsia="宋体" w:cs="Times New Roman"/>
                      <w:color w:val="auto"/>
                      <w:sz w:val="21"/>
                      <w:szCs w:val="21"/>
                      <w:highlight w:val="none"/>
                    </w:rPr>
                    <w:t>依托</w:t>
                  </w:r>
                  <w:r>
                    <w:rPr>
                      <w:rStyle w:val="85"/>
                      <w:rFonts w:hint="default" w:ascii="Times New Roman" w:hAnsi="Times New Roman" w:eastAsia="宋体" w:cs="Times New Roman"/>
                      <w:color w:val="auto"/>
                      <w:sz w:val="21"/>
                      <w:szCs w:val="21"/>
                      <w:highlight w:val="none"/>
                      <w:lang w:eastAsia="zh-CN"/>
                    </w:rPr>
                    <w:t>）</w:t>
                  </w:r>
                </w:p>
              </w:tc>
              <w:tc>
                <w:tcPr>
                  <w:tcW w:w="716"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pct"/>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p>
              </w:tc>
              <w:tc>
                <w:tcPr>
                  <w:tcW w:w="1493"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shd w:val="clear" w:color="auto" w:fill="FFFFFF"/>
                    </w:rPr>
                    <w:t>排气筒</w:t>
                  </w:r>
                </w:p>
              </w:tc>
              <w:tc>
                <w:tcPr>
                  <w:tcW w:w="2098"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r>
                    <w:rPr>
                      <w:rStyle w:val="85"/>
                      <w:rFonts w:hint="default" w:ascii="Times New Roman" w:hAnsi="Times New Roman" w:eastAsia="宋体" w:cs="Times New Roman"/>
                      <w:color w:val="auto"/>
                      <w:sz w:val="21"/>
                      <w:szCs w:val="21"/>
                      <w:highlight w:val="none"/>
                    </w:rPr>
                    <w:t>个</w:t>
                  </w:r>
                  <w:r>
                    <w:rPr>
                      <w:rStyle w:val="85"/>
                      <w:rFonts w:hint="default" w:ascii="Times New Roman" w:hAnsi="Times New Roman" w:eastAsia="宋体" w:cs="Times New Roman"/>
                      <w:color w:val="auto"/>
                      <w:sz w:val="21"/>
                      <w:szCs w:val="21"/>
                      <w:highlight w:val="none"/>
                      <w:lang w:eastAsia="zh-CN"/>
                    </w:rPr>
                    <w:t>（</w:t>
                  </w:r>
                  <w:r>
                    <w:rPr>
                      <w:rStyle w:val="85"/>
                      <w:rFonts w:hint="default" w:ascii="Times New Roman" w:hAnsi="Times New Roman" w:eastAsia="宋体" w:cs="Times New Roman"/>
                      <w:color w:val="auto"/>
                      <w:sz w:val="21"/>
                      <w:szCs w:val="21"/>
                      <w:highlight w:val="none"/>
                    </w:rPr>
                    <w:t>依托</w:t>
                  </w:r>
                  <w:r>
                    <w:rPr>
                      <w:rStyle w:val="85"/>
                      <w:rFonts w:hint="default" w:ascii="Times New Roman" w:hAnsi="Times New Roman" w:eastAsia="宋体" w:cs="Times New Roman"/>
                      <w:color w:val="auto"/>
                      <w:sz w:val="21"/>
                      <w:szCs w:val="21"/>
                      <w:highlight w:val="none"/>
                      <w:lang w:eastAsia="zh-CN"/>
                    </w:rPr>
                    <w:t>）</w:t>
                  </w:r>
                </w:p>
              </w:tc>
              <w:tc>
                <w:tcPr>
                  <w:tcW w:w="716"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pct"/>
                  <w:vMerge w:val="restart"/>
                  <w:tcBorders>
                    <w:top w:val="nil"/>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493" w:type="pct"/>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雨水收集池</w:t>
                  </w:r>
                </w:p>
              </w:tc>
              <w:tc>
                <w:tcPr>
                  <w:tcW w:w="2098" w:type="pct"/>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个，容积为</w:t>
                  </w:r>
                  <w:r>
                    <w:rPr>
                      <w:rStyle w:val="86"/>
                      <w:rFonts w:hint="default" w:ascii="Times New Roman" w:hAnsi="Times New Roman" w:eastAsia="宋体" w:cs="Times New Roman"/>
                      <w:color w:val="auto"/>
                      <w:sz w:val="21"/>
                      <w:szCs w:val="21"/>
                      <w:highlight w:val="none"/>
                      <w:lang w:val="en-US" w:eastAsia="zh-CN"/>
                    </w:rPr>
                    <w:t>1</w:t>
                  </w:r>
                  <w:r>
                    <w:rPr>
                      <w:rStyle w:val="86"/>
                      <w:rFonts w:hint="default" w:ascii="Times New Roman" w:hAnsi="Times New Roman" w:eastAsia="宋体" w:cs="Times New Roman"/>
                      <w:color w:val="auto"/>
                      <w:sz w:val="21"/>
                      <w:szCs w:val="21"/>
                      <w:highlight w:val="none"/>
                    </w:rPr>
                    <w:t>00m</w:t>
                  </w:r>
                  <w:r>
                    <w:rPr>
                      <w:rStyle w:val="87"/>
                      <w:rFonts w:hint="default" w:ascii="Times New Roman" w:hAnsi="Times New Roman" w:eastAsia="宋体" w:cs="Times New Roman"/>
                      <w:color w:val="auto"/>
                      <w:sz w:val="21"/>
                      <w:szCs w:val="21"/>
                      <w:highlight w:val="none"/>
                    </w:rPr>
                    <w:t>3</w:t>
                  </w:r>
                  <w:r>
                    <w:rPr>
                      <w:rStyle w:val="85"/>
                      <w:rFonts w:hint="default" w:ascii="Times New Roman" w:hAnsi="Times New Roman" w:eastAsia="宋体" w:cs="Times New Roman"/>
                      <w:color w:val="auto"/>
                      <w:sz w:val="21"/>
                      <w:szCs w:val="21"/>
                      <w:highlight w:val="none"/>
                      <w:lang w:eastAsia="zh-CN"/>
                    </w:rPr>
                    <w:t>（</w:t>
                  </w:r>
                  <w:r>
                    <w:rPr>
                      <w:rStyle w:val="85"/>
                      <w:rFonts w:hint="default" w:ascii="Times New Roman" w:hAnsi="Times New Roman" w:eastAsia="宋体" w:cs="Times New Roman"/>
                      <w:color w:val="auto"/>
                      <w:sz w:val="21"/>
                      <w:szCs w:val="21"/>
                      <w:highlight w:val="none"/>
                    </w:rPr>
                    <w:t>依托</w:t>
                  </w:r>
                  <w:r>
                    <w:rPr>
                      <w:rStyle w:val="85"/>
                      <w:rFonts w:hint="default" w:ascii="Times New Roman" w:hAnsi="Times New Roman" w:eastAsia="宋体" w:cs="Times New Roman"/>
                      <w:color w:val="auto"/>
                      <w:sz w:val="21"/>
                      <w:szCs w:val="21"/>
                      <w:highlight w:val="none"/>
                      <w:lang w:eastAsia="zh-CN"/>
                    </w:rPr>
                    <w:t>）</w:t>
                  </w:r>
                </w:p>
              </w:tc>
              <w:tc>
                <w:tcPr>
                  <w:tcW w:w="716"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pct"/>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p>
              </w:tc>
              <w:tc>
                <w:tcPr>
                  <w:tcW w:w="1493" w:type="pct"/>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雨水沟</w:t>
                  </w:r>
                </w:p>
              </w:tc>
              <w:tc>
                <w:tcPr>
                  <w:tcW w:w="2098" w:type="pct"/>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约</w:t>
                  </w:r>
                  <w:r>
                    <w:rPr>
                      <w:rStyle w:val="86"/>
                      <w:rFonts w:hint="default" w:ascii="Times New Roman" w:hAnsi="Times New Roman" w:eastAsia="宋体" w:cs="Times New Roman"/>
                      <w:color w:val="auto"/>
                      <w:sz w:val="21"/>
                      <w:szCs w:val="21"/>
                      <w:highlight w:val="none"/>
                      <w:lang w:val="en-US" w:eastAsia="zh-CN"/>
                    </w:rPr>
                    <w:t>2</w:t>
                  </w:r>
                  <w:r>
                    <w:rPr>
                      <w:rStyle w:val="86"/>
                      <w:rFonts w:hint="default" w:ascii="Times New Roman" w:hAnsi="Times New Roman" w:eastAsia="宋体" w:cs="Times New Roman"/>
                      <w:color w:val="auto"/>
                      <w:sz w:val="21"/>
                      <w:szCs w:val="21"/>
                      <w:highlight w:val="none"/>
                    </w:rPr>
                    <w:t>0</w:t>
                  </w:r>
                  <w:r>
                    <w:rPr>
                      <w:rStyle w:val="85"/>
                      <w:rFonts w:hint="default" w:ascii="Times New Roman" w:hAnsi="Times New Roman" w:eastAsia="宋体" w:cs="Times New Roman"/>
                      <w:color w:val="auto"/>
                      <w:sz w:val="21"/>
                      <w:szCs w:val="21"/>
                      <w:highlight w:val="none"/>
                    </w:rPr>
                    <w:t>米</w:t>
                  </w:r>
                  <w:r>
                    <w:rPr>
                      <w:rStyle w:val="85"/>
                      <w:rFonts w:hint="default" w:ascii="Times New Roman" w:hAnsi="Times New Roman" w:eastAsia="宋体" w:cs="Times New Roman"/>
                      <w:color w:val="auto"/>
                      <w:sz w:val="21"/>
                      <w:szCs w:val="21"/>
                      <w:highlight w:val="none"/>
                      <w:lang w:eastAsia="zh-CN"/>
                    </w:rPr>
                    <w:t>（</w:t>
                  </w:r>
                  <w:r>
                    <w:rPr>
                      <w:rStyle w:val="85"/>
                      <w:rFonts w:hint="default" w:ascii="Times New Roman" w:hAnsi="Times New Roman" w:eastAsia="宋体" w:cs="Times New Roman"/>
                      <w:color w:val="auto"/>
                      <w:sz w:val="21"/>
                      <w:szCs w:val="21"/>
                      <w:highlight w:val="none"/>
                    </w:rPr>
                    <w:t>依托</w:t>
                  </w:r>
                  <w:r>
                    <w:rPr>
                      <w:rStyle w:val="85"/>
                      <w:rFonts w:hint="default" w:ascii="Times New Roman" w:hAnsi="Times New Roman" w:eastAsia="宋体" w:cs="Times New Roman"/>
                      <w:color w:val="auto"/>
                      <w:sz w:val="21"/>
                      <w:szCs w:val="21"/>
                      <w:highlight w:val="none"/>
                      <w:lang w:eastAsia="zh-CN"/>
                    </w:rPr>
                    <w:t>）</w:t>
                  </w:r>
                </w:p>
              </w:tc>
              <w:tc>
                <w:tcPr>
                  <w:tcW w:w="716"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pct"/>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p>
              </w:tc>
              <w:tc>
                <w:tcPr>
                  <w:tcW w:w="1493" w:type="pct"/>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集水池</w:t>
                  </w:r>
                </w:p>
              </w:tc>
              <w:tc>
                <w:tcPr>
                  <w:tcW w:w="2098" w:type="pct"/>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个，容积为</w:t>
                  </w:r>
                  <w:r>
                    <w:rPr>
                      <w:rStyle w:val="86"/>
                      <w:rFonts w:hint="default" w:ascii="Times New Roman" w:hAnsi="Times New Roman" w:eastAsia="宋体" w:cs="Times New Roman"/>
                      <w:color w:val="auto"/>
                      <w:sz w:val="21"/>
                      <w:szCs w:val="21"/>
                      <w:highlight w:val="none"/>
                      <w:lang w:val="en-US" w:eastAsia="zh-CN"/>
                    </w:rPr>
                    <w:t>700</w:t>
                  </w:r>
                  <w:r>
                    <w:rPr>
                      <w:rStyle w:val="86"/>
                      <w:rFonts w:hint="default" w:ascii="Times New Roman" w:hAnsi="Times New Roman" w:eastAsia="宋体" w:cs="Times New Roman"/>
                      <w:color w:val="auto"/>
                      <w:sz w:val="21"/>
                      <w:szCs w:val="21"/>
                      <w:highlight w:val="none"/>
                    </w:rPr>
                    <w:t>0m</w:t>
                  </w:r>
                  <w:r>
                    <w:rPr>
                      <w:rStyle w:val="87"/>
                      <w:rFonts w:hint="default" w:ascii="Times New Roman" w:hAnsi="Times New Roman" w:eastAsia="宋体" w:cs="Times New Roman"/>
                      <w:color w:val="auto"/>
                      <w:sz w:val="21"/>
                      <w:szCs w:val="21"/>
                      <w:highlight w:val="none"/>
                    </w:rPr>
                    <w:t>3</w:t>
                  </w:r>
                  <w:r>
                    <w:rPr>
                      <w:rStyle w:val="85"/>
                      <w:rFonts w:hint="default" w:ascii="Times New Roman" w:hAnsi="Times New Roman" w:eastAsia="宋体" w:cs="Times New Roman"/>
                      <w:color w:val="auto"/>
                      <w:sz w:val="21"/>
                      <w:szCs w:val="21"/>
                      <w:highlight w:val="none"/>
                      <w:lang w:eastAsia="zh-CN"/>
                    </w:rPr>
                    <w:t>（</w:t>
                  </w:r>
                  <w:r>
                    <w:rPr>
                      <w:rStyle w:val="85"/>
                      <w:rFonts w:hint="default" w:ascii="Times New Roman" w:hAnsi="Times New Roman" w:eastAsia="宋体" w:cs="Times New Roman"/>
                      <w:color w:val="auto"/>
                      <w:sz w:val="21"/>
                      <w:szCs w:val="21"/>
                      <w:highlight w:val="none"/>
                    </w:rPr>
                    <w:t>依托</w:t>
                  </w:r>
                  <w:r>
                    <w:rPr>
                      <w:rStyle w:val="85"/>
                      <w:rFonts w:hint="default" w:ascii="Times New Roman" w:hAnsi="Times New Roman" w:eastAsia="宋体" w:cs="Times New Roman"/>
                      <w:color w:val="auto"/>
                      <w:sz w:val="21"/>
                      <w:szCs w:val="21"/>
                      <w:highlight w:val="none"/>
                      <w:lang w:eastAsia="zh-CN"/>
                    </w:rPr>
                    <w:t>）</w:t>
                  </w:r>
                </w:p>
              </w:tc>
              <w:tc>
                <w:tcPr>
                  <w:tcW w:w="716"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pct"/>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p>
              </w:tc>
              <w:tc>
                <w:tcPr>
                  <w:tcW w:w="1493" w:type="pct"/>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脱硫塔循环水池</w:t>
                  </w:r>
                </w:p>
              </w:tc>
              <w:tc>
                <w:tcPr>
                  <w:tcW w:w="2098" w:type="pct"/>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r>
                    <w:rPr>
                      <w:rStyle w:val="85"/>
                      <w:rFonts w:hint="default" w:ascii="Times New Roman" w:hAnsi="Times New Roman" w:eastAsia="宋体" w:cs="Times New Roman"/>
                      <w:color w:val="auto"/>
                      <w:sz w:val="21"/>
                      <w:szCs w:val="21"/>
                      <w:highlight w:val="none"/>
                    </w:rPr>
                    <w:t>个，有效容积</w:t>
                  </w:r>
                  <w:r>
                    <w:rPr>
                      <w:rStyle w:val="86"/>
                      <w:rFonts w:hint="default" w:ascii="Times New Roman" w:hAnsi="Times New Roman" w:eastAsia="宋体" w:cs="Times New Roman"/>
                      <w:color w:val="auto"/>
                      <w:sz w:val="21"/>
                      <w:szCs w:val="21"/>
                      <w:highlight w:val="none"/>
                    </w:rPr>
                    <w:t>150m</w:t>
                  </w:r>
                  <w:r>
                    <w:rPr>
                      <w:rStyle w:val="87"/>
                      <w:rFonts w:hint="default" w:ascii="Times New Roman" w:hAnsi="Times New Roman" w:eastAsia="宋体" w:cs="Times New Roman"/>
                      <w:color w:val="auto"/>
                      <w:sz w:val="21"/>
                      <w:szCs w:val="21"/>
                      <w:highlight w:val="none"/>
                    </w:rPr>
                    <w:t>3</w:t>
                  </w:r>
                  <w:r>
                    <w:rPr>
                      <w:rStyle w:val="85"/>
                      <w:rFonts w:hint="default" w:ascii="Times New Roman" w:hAnsi="Times New Roman" w:eastAsia="宋体" w:cs="Times New Roman"/>
                      <w:color w:val="auto"/>
                      <w:sz w:val="21"/>
                      <w:szCs w:val="21"/>
                      <w:highlight w:val="none"/>
                      <w:lang w:eastAsia="zh-CN"/>
                    </w:rPr>
                    <w:t>（</w:t>
                  </w:r>
                  <w:r>
                    <w:rPr>
                      <w:rStyle w:val="85"/>
                      <w:rFonts w:hint="default" w:ascii="Times New Roman" w:hAnsi="Times New Roman" w:eastAsia="宋体" w:cs="Times New Roman"/>
                      <w:color w:val="auto"/>
                      <w:sz w:val="21"/>
                      <w:szCs w:val="21"/>
                      <w:highlight w:val="none"/>
                    </w:rPr>
                    <w:t>依托</w:t>
                  </w:r>
                  <w:r>
                    <w:rPr>
                      <w:rStyle w:val="85"/>
                      <w:rFonts w:hint="default" w:ascii="Times New Roman" w:hAnsi="Times New Roman" w:eastAsia="宋体" w:cs="Times New Roman"/>
                      <w:color w:val="auto"/>
                      <w:sz w:val="21"/>
                      <w:szCs w:val="21"/>
                      <w:highlight w:val="none"/>
                      <w:lang w:eastAsia="zh-CN"/>
                    </w:rPr>
                    <w:t>）</w:t>
                  </w:r>
                </w:p>
              </w:tc>
              <w:tc>
                <w:tcPr>
                  <w:tcW w:w="716"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pct"/>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p>
              </w:tc>
              <w:tc>
                <w:tcPr>
                  <w:tcW w:w="149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化粪池</w:t>
                  </w:r>
                </w:p>
              </w:tc>
              <w:tc>
                <w:tcPr>
                  <w:tcW w:w="2098"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r>
                    <w:rPr>
                      <w:rStyle w:val="85"/>
                      <w:rFonts w:hint="default" w:ascii="Times New Roman" w:hAnsi="Times New Roman" w:eastAsia="宋体" w:cs="Times New Roman"/>
                      <w:color w:val="auto"/>
                      <w:sz w:val="21"/>
                      <w:szCs w:val="21"/>
                      <w:highlight w:val="none"/>
                    </w:rPr>
                    <w:t>个，</w:t>
                  </w:r>
                  <w:r>
                    <w:rPr>
                      <w:rFonts w:hint="default" w:ascii="Times New Roman" w:hAnsi="Times New Roman" w:eastAsia="宋体" w:cs="Times New Roman"/>
                      <w:color w:val="auto"/>
                      <w:sz w:val="21"/>
                      <w:szCs w:val="21"/>
                      <w:highlight w:val="none"/>
                    </w:rPr>
                    <w:t>有效容积</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m</w:t>
                  </w:r>
                  <w:r>
                    <w:rPr>
                      <w:rStyle w:val="87"/>
                      <w:rFonts w:hint="default" w:ascii="Times New Roman" w:hAnsi="Times New Roman" w:eastAsia="宋体" w:cs="Times New Roman"/>
                      <w:color w:val="auto"/>
                      <w:sz w:val="21"/>
                      <w:szCs w:val="21"/>
                      <w:highlight w:val="none"/>
                    </w:rPr>
                    <w:t>3</w:t>
                  </w:r>
                  <w:r>
                    <w:rPr>
                      <w:rStyle w:val="85"/>
                      <w:rFonts w:hint="default" w:ascii="Times New Roman" w:hAnsi="Times New Roman" w:eastAsia="宋体" w:cs="Times New Roman"/>
                      <w:color w:val="auto"/>
                      <w:sz w:val="21"/>
                      <w:szCs w:val="21"/>
                      <w:highlight w:val="none"/>
                      <w:lang w:eastAsia="zh-CN"/>
                    </w:rPr>
                    <w:t>（</w:t>
                  </w:r>
                  <w:r>
                    <w:rPr>
                      <w:rStyle w:val="85"/>
                      <w:rFonts w:hint="default" w:ascii="Times New Roman" w:hAnsi="Times New Roman" w:eastAsia="宋体" w:cs="Times New Roman"/>
                      <w:color w:val="auto"/>
                      <w:sz w:val="21"/>
                      <w:szCs w:val="21"/>
                      <w:highlight w:val="none"/>
                    </w:rPr>
                    <w:t>依托</w:t>
                  </w:r>
                  <w:r>
                    <w:rPr>
                      <w:rStyle w:val="85"/>
                      <w:rFonts w:hint="default" w:ascii="Times New Roman" w:hAnsi="Times New Roman" w:eastAsia="宋体" w:cs="Times New Roman"/>
                      <w:color w:val="auto"/>
                      <w:sz w:val="21"/>
                      <w:szCs w:val="21"/>
                      <w:highlight w:val="none"/>
                      <w:lang w:eastAsia="zh-CN"/>
                    </w:rPr>
                    <w:t>）</w:t>
                  </w:r>
                </w:p>
              </w:tc>
              <w:tc>
                <w:tcPr>
                  <w:tcW w:w="716"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pct"/>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p>
              </w:tc>
              <w:tc>
                <w:tcPr>
                  <w:tcW w:w="149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油水分离器</w:t>
                  </w:r>
                </w:p>
              </w:tc>
              <w:tc>
                <w:tcPr>
                  <w:tcW w:w="2098"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r>
                    <w:rPr>
                      <w:rStyle w:val="85"/>
                      <w:rFonts w:hint="default" w:ascii="Times New Roman" w:hAnsi="Times New Roman" w:eastAsia="宋体" w:cs="Times New Roman"/>
                      <w:color w:val="auto"/>
                      <w:sz w:val="21"/>
                      <w:szCs w:val="21"/>
                      <w:highlight w:val="none"/>
                    </w:rPr>
                    <w:t>个，有效容积为</w:t>
                  </w:r>
                  <w:r>
                    <w:rPr>
                      <w:rStyle w:val="86"/>
                      <w:rFonts w:hint="default" w:ascii="Times New Roman" w:hAnsi="Times New Roman" w:eastAsia="宋体" w:cs="Times New Roman"/>
                      <w:color w:val="auto"/>
                      <w:sz w:val="21"/>
                      <w:szCs w:val="21"/>
                      <w:highlight w:val="none"/>
                      <w:lang w:val="en-US" w:eastAsia="zh-CN"/>
                    </w:rPr>
                    <w:t>0.5</w:t>
                  </w:r>
                  <w:r>
                    <w:rPr>
                      <w:rStyle w:val="86"/>
                      <w:rFonts w:hint="default" w:ascii="Times New Roman" w:hAnsi="Times New Roman" w:eastAsia="宋体" w:cs="Times New Roman"/>
                      <w:color w:val="auto"/>
                      <w:sz w:val="21"/>
                      <w:szCs w:val="21"/>
                      <w:highlight w:val="none"/>
                    </w:rPr>
                    <w:t>m</w:t>
                  </w:r>
                  <w:r>
                    <w:rPr>
                      <w:rStyle w:val="87"/>
                      <w:rFonts w:hint="default" w:ascii="Times New Roman" w:hAnsi="Times New Roman" w:eastAsia="宋体" w:cs="Times New Roman"/>
                      <w:color w:val="auto"/>
                      <w:sz w:val="21"/>
                      <w:szCs w:val="21"/>
                      <w:highlight w:val="none"/>
                    </w:rPr>
                    <w:t>3</w:t>
                  </w:r>
                  <w:r>
                    <w:rPr>
                      <w:rStyle w:val="85"/>
                      <w:rFonts w:hint="default" w:ascii="Times New Roman" w:hAnsi="Times New Roman" w:eastAsia="宋体" w:cs="Times New Roman"/>
                      <w:color w:val="auto"/>
                      <w:sz w:val="21"/>
                      <w:szCs w:val="21"/>
                      <w:highlight w:val="none"/>
                      <w:lang w:eastAsia="zh-CN"/>
                    </w:rPr>
                    <w:t>（</w:t>
                  </w:r>
                  <w:r>
                    <w:rPr>
                      <w:rStyle w:val="85"/>
                      <w:rFonts w:hint="default" w:ascii="Times New Roman" w:hAnsi="Times New Roman" w:eastAsia="宋体" w:cs="Times New Roman"/>
                      <w:color w:val="auto"/>
                      <w:sz w:val="21"/>
                      <w:szCs w:val="21"/>
                      <w:highlight w:val="none"/>
                    </w:rPr>
                    <w:t>依托</w:t>
                  </w:r>
                  <w:r>
                    <w:rPr>
                      <w:rStyle w:val="85"/>
                      <w:rFonts w:hint="default" w:ascii="Times New Roman" w:hAnsi="Times New Roman" w:eastAsia="宋体" w:cs="Times New Roman"/>
                      <w:color w:val="auto"/>
                      <w:sz w:val="21"/>
                      <w:szCs w:val="21"/>
                      <w:highlight w:val="none"/>
                      <w:lang w:eastAsia="zh-CN"/>
                    </w:rPr>
                    <w:t>）</w:t>
                  </w:r>
                </w:p>
              </w:tc>
              <w:tc>
                <w:tcPr>
                  <w:tcW w:w="716"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pct"/>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p>
              </w:tc>
              <w:tc>
                <w:tcPr>
                  <w:tcW w:w="149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喷淋设施</w:t>
                  </w:r>
                </w:p>
              </w:tc>
              <w:tc>
                <w:tcPr>
                  <w:tcW w:w="2098"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r>
                    <w:rPr>
                      <w:rStyle w:val="85"/>
                      <w:rFonts w:hint="default" w:ascii="Times New Roman" w:hAnsi="Times New Roman" w:eastAsia="宋体" w:cs="Times New Roman"/>
                      <w:color w:val="auto"/>
                      <w:sz w:val="21"/>
                      <w:szCs w:val="21"/>
                      <w:highlight w:val="none"/>
                    </w:rPr>
                    <w:t>套</w:t>
                  </w:r>
                  <w:r>
                    <w:rPr>
                      <w:rStyle w:val="85"/>
                      <w:rFonts w:hint="default" w:ascii="Times New Roman" w:hAnsi="Times New Roman" w:eastAsia="宋体" w:cs="Times New Roman"/>
                      <w:color w:val="auto"/>
                      <w:sz w:val="21"/>
                      <w:szCs w:val="21"/>
                      <w:highlight w:val="none"/>
                      <w:lang w:eastAsia="zh-CN"/>
                    </w:rPr>
                    <w:t>（</w:t>
                  </w:r>
                  <w:r>
                    <w:rPr>
                      <w:rStyle w:val="85"/>
                      <w:rFonts w:hint="default" w:ascii="Times New Roman" w:hAnsi="Times New Roman" w:eastAsia="宋体" w:cs="Times New Roman"/>
                      <w:color w:val="auto"/>
                      <w:sz w:val="21"/>
                      <w:szCs w:val="21"/>
                      <w:highlight w:val="none"/>
                    </w:rPr>
                    <w:t>依托</w:t>
                  </w:r>
                  <w:r>
                    <w:rPr>
                      <w:rStyle w:val="85"/>
                      <w:rFonts w:hint="default" w:ascii="Times New Roman" w:hAnsi="Times New Roman" w:eastAsia="宋体" w:cs="Times New Roman"/>
                      <w:color w:val="auto"/>
                      <w:sz w:val="21"/>
                      <w:szCs w:val="21"/>
                      <w:highlight w:val="none"/>
                      <w:lang w:eastAsia="zh-CN"/>
                    </w:rPr>
                    <w:t>）</w:t>
                  </w:r>
                </w:p>
              </w:tc>
              <w:tc>
                <w:tcPr>
                  <w:tcW w:w="716"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493"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厂房封闭</w:t>
                  </w:r>
                </w:p>
              </w:tc>
              <w:tc>
                <w:tcPr>
                  <w:tcW w:w="2098"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厂房已建</w:t>
                  </w:r>
                  <w:r>
                    <w:rPr>
                      <w:rStyle w:val="85"/>
                      <w:rFonts w:hint="default" w:ascii="Times New Roman" w:hAnsi="Times New Roman" w:eastAsia="宋体" w:cs="Times New Roman"/>
                      <w:color w:val="auto"/>
                      <w:sz w:val="21"/>
                      <w:szCs w:val="21"/>
                      <w:highlight w:val="none"/>
                      <w:lang w:eastAsia="zh-CN"/>
                    </w:rPr>
                    <w:t>（</w:t>
                  </w:r>
                  <w:r>
                    <w:rPr>
                      <w:rStyle w:val="85"/>
                      <w:rFonts w:hint="default" w:ascii="Times New Roman" w:hAnsi="Times New Roman" w:eastAsia="宋体" w:cs="Times New Roman"/>
                      <w:color w:val="auto"/>
                      <w:sz w:val="21"/>
                      <w:szCs w:val="21"/>
                      <w:highlight w:val="none"/>
                    </w:rPr>
                    <w:t>依托</w:t>
                  </w:r>
                  <w:r>
                    <w:rPr>
                      <w:rStyle w:val="85"/>
                      <w:rFonts w:hint="default" w:ascii="Times New Roman" w:hAnsi="Times New Roman" w:eastAsia="宋体" w:cs="Times New Roman"/>
                      <w:color w:val="auto"/>
                      <w:sz w:val="21"/>
                      <w:szCs w:val="21"/>
                      <w:highlight w:val="none"/>
                      <w:lang w:eastAsia="zh-CN"/>
                    </w:rPr>
                    <w:t>）</w:t>
                  </w:r>
                </w:p>
              </w:tc>
              <w:tc>
                <w:tcPr>
                  <w:tcW w:w="716"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pct"/>
                  <w:vMerge w:val="restart"/>
                  <w:tcBorders>
                    <w:top w:val="nil"/>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1493"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生活垃圾收集桶</w:t>
                  </w:r>
                </w:p>
              </w:tc>
              <w:tc>
                <w:tcPr>
                  <w:tcW w:w="2098"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r>
                    <w:rPr>
                      <w:rStyle w:val="85"/>
                      <w:rFonts w:hint="default" w:ascii="Times New Roman" w:hAnsi="Times New Roman" w:eastAsia="宋体" w:cs="Times New Roman"/>
                      <w:color w:val="auto"/>
                      <w:sz w:val="21"/>
                      <w:szCs w:val="21"/>
                      <w:highlight w:val="none"/>
                    </w:rPr>
                    <w:t>个</w:t>
                  </w:r>
                  <w:r>
                    <w:rPr>
                      <w:rStyle w:val="85"/>
                      <w:rFonts w:hint="default" w:ascii="Times New Roman" w:hAnsi="Times New Roman" w:eastAsia="宋体" w:cs="Times New Roman"/>
                      <w:color w:val="auto"/>
                      <w:sz w:val="21"/>
                      <w:szCs w:val="21"/>
                      <w:highlight w:val="none"/>
                      <w:lang w:eastAsia="zh-CN"/>
                    </w:rPr>
                    <w:t>（</w:t>
                  </w:r>
                  <w:r>
                    <w:rPr>
                      <w:rStyle w:val="85"/>
                      <w:rFonts w:hint="default" w:ascii="Times New Roman" w:hAnsi="Times New Roman" w:eastAsia="宋体" w:cs="Times New Roman"/>
                      <w:color w:val="auto"/>
                      <w:sz w:val="21"/>
                      <w:szCs w:val="21"/>
                      <w:highlight w:val="none"/>
                    </w:rPr>
                    <w:t>依托</w:t>
                  </w:r>
                  <w:r>
                    <w:rPr>
                      <w:rStyle w:val="85"/>
                      <w:rFonts w:hint="default" w:ascii="Times New Roman" w:hAnsi="Times New Roman" w:eastAsia="宋体" w:cs="Times New Roman"/>
                      <w:color w:val="auto"/>
                      <w:sz w:val="21"/>
                      <w:szCs w:val="21"/>
                      <w:highlight w:val="none"/>
                      <w:lang w:eastAsia="zh-CN"/>
                    </w:rPr>
                    <w:t>）</w:t>
                  </w:r>
                </w:p>
              </w:tc>
              <w:tc>
                <w:tcPr>
                  <w:tcW w:w="716"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91" w:type="pct"/>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p>
              </w:tc>
              <w:tc>
                <w:tcPr>
                  <w:tcW w:w="1493"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危险废物暂存间</w:t>
                  </w:r>
                </w:p>
              </w:tc>
              <w:tc>
                <w:tcPr>
                  <w:tcW w:w="2098"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r>
                    <w:rPr>
                      <w:rStyle w:val="85"/>
                      <w:rFonts w:hint="default" w:ascii="Times New Roman" w:hAnsi="Times New Roman" w:eastAsia="宋体" w:cs="Times New Roman"/>
                      <w:color w:val="auto"/>
                      <w:sz w:val="21"/>
                      <w:szCs w:val="21"/>
                      <w:highlight w:val="none"/>
                    </w:rPr>
                    <w:t>间，面积约</w:t>
                  </w:r>
                  <w:r>
                    <w:rPr>
                      <w:rStyle w:val="86"/>
                      <w:rFonts w:hint="default" w:ascii="Times New Roman" w:hAnsi="Times New Roman" w:eastAsia="宋体" w:cs="Times New Roman"/>
                      <w:color w:val="auto"/>
                      <w:sz w:val="21"/>
                      <w:szCs w:val="21"/>
                      <w:highlight w:val="none"/>
                    </w:rPr>
                    <w:t>10m</w:t>
                  </w:r>
                  <w:r>
                    <w:rPr>
                      <w:rStyle w:val="87"/>
                      <w:rFonts w:hint="default" w:ascii="Times New Roman" w:hAnsi="Times New Roman" w:eastAsia="宋体" w:cs="Times New Roman"/>
                      <w:color w:val="auto"/>
                      <w:sz w:val="21"/>
                      <w:szCs w:val="21"/>
                      <w:highlight w:val="none"/>
                    </w:rPr>
                    <w:t>2</w:t>
                  </w:r>
                  <w:r>
                    <w:rPr>
                      <w:rStyle w:val="85"/>
                      <w:rFonts w:hint="default" w:ascii="Times New Roman" w:hAnsi="Times New Roman" w:eastAsia="宋体" w:cs="Times New Roman"/>
                      <w:color w:val="auto"/>
                      <w:sz w:val="21"/>
                      <w:szCs w:val="21"/>
                      <w:highlight w:val="none"/>
                      <w:lang w:eastAsia="zh-CN"/>
                    </w:rPr>
                    <w:t>（</w:t>
                  </w:r>
                  <w:r>
                    <w:rPr>
                      <w:rStyle w:val="85"/>
                      <w:rFonts w:hint="default" w:ascii="Times New Roman" w:hAnsi="Times New Roman" w:eastAsia="宋体" w:cs="Times New Roman"/>
                      <w:color w:val="auto"/>
                      <w:sz w:val="21"/>
                      <w:szCs w:val="21"/>
                      <w:highlight w:val="none"/>
                    </w:rPr>
                    <w:t>依托</w:t>
                  </w:r>
                  <w:r>
                    <w:rPr>
                      <w:rStyle w:val="85"/>
                      <w:rFonts w:hint="default" w:ascii="Times New Roman" w:hAnsi="Times New Roman" w:eastAsia="宋体" w:cs="Times New Roman"/>
                      <w:color w:val="auto"/>
                      <w:sz w:val="21"/>
                      <w:szCs w:val="21"/>
                      <w:highlight w:val="none"/>
                      <w:lang w:eastAsia="zh-CN"/>
                    </w:rPr>
                    <w:t>）</w:t>
                  </w:r>
                </w:p>
              </w:tc>
              <w:tc>
                <w:tcPr>
                  <w:tcW w:w="716"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4283" w:type="pct"/>
                  <w:gridSpan w:val="3"/>
                  <w:tcBorders>
                    <w:top w:val="nil"/>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污泥堆放池1个（容积为300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），原料堆场密闭及防渗</w:t>
                  </w:r>
                </w:p>
              </w:tc>
              <w:tc>
                <w:tcPr>
                  <w:tcW w:w="716"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283"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环保设施运行维护管理费用，环境管理与监测费用</w:t>
                  </w:r>
                </w:p>
              </w:tc>
              <w:tc>
                <w:tcPr>
                  <w:tcW w:w="716"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283"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绿化</w:t>
                  </w:r>
                </w:p>
              </w:tc>
              <w:tc>
                <w:tcPr>
                  <w:tcW w:w="716"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3"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合计</w:t>
                  </w:r>
                </w:p>
              </w:tc>
              <w:tc>
                <w:tcPr>
                  <w:tcW w:w="716"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r>
          </w:tbl>
          <w:p>
            <w:pPr>
              <w:keepNext w:val="0"/>
              <w:keepLines w:val="0"/>
              <w:suppressLineNumbers w:val="0"/>
              <w:autoSpaceDE w:val="0"/>
              <w:autoSpaceDN w:val="0"/>
              <w:spacing w:before="0" w:beforeAutospacing="0" w:after="0" w:afterAutospacing="0" w:line="360" w:lineRule="auto"/>
              <w:ind w:left="0" w:right="0"/>
              <w:contextualSpacing/>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七、项目总平面布置</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项目位于</w:t>
            </w:r>
            <w:r>
              <w:rPr>
                <w:rFonts w:hint="default" w:ascii="Times New Roman" w:hAnsi="Times New Roman" w:eastAsia="宋体" w:cs="Times New Roman"/>
                <w:color w:val="auto"/>
                <w:kern w:val="0"/>
                <w:sz w:val="24"/>
                <w:szCs w:val="24"/>
                <w:highlight w:val="none"/>
                <w:u w:val="none"/>
                <w:lang w:eastAsia="zh-CN"/>
              </w:rPr>
              <w:t>云南省昆明市宜良县北古城镇凤莱村委会下前所村</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在原址改扩建，不新增用地；生产区包括原料堆场、给料机、破碎区、螺旋搅拌区、陈化区、制砖切砖区、砖坯放置区、烘干窑、焙烧窑、成品出口。成品堆放区位于项目东侧，生活区位于项目北侧，厂区道路通畅，</w:t>
            </w:r>
            <w:r>
              <w:rPr>
                <w:rFonts w:hint="default" w:ascii="Times New Roman" w:hAnsi="Times New Roman" w:eastAsia="宋体" w:cs="Times New Roman"/>
                <w:color w:val="auto"/>
                <w:sz w:val="24"/>
                <w:szCs w:val="24"/>
                <w:highlight w:val="none"/>
              </w:rPr>
              <w:t>项目总体布局比较简单，从厂区总平面布置来看，功能分区相对合理。总平面布置按场地的自然条件，生产要求与功能需求、行业需求等相关规范进行设计。满足消防、安全、卫生等规范要求，对周围环境影响较小。</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rPr>
              <w:t>综上所述，本项目平面布置合理，功能分区明确。</w:t>
            </w:r>
          </w:p>
          <w:p>
            <w:pPr>
              <w:keepNext w:val="0"/>
              <w:keepLines w:val="0"/>
              <w:suppressLineNumbers w:val="0"/>
              <w:autoSpaceDE w:val="0"/>
              <w:autoSpaceDN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项目总平面布置图详见附图</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823" w:type="dxa"/>
            <w:noWrap w:val="0"/>
            <w:vAlign w:val="center"/>
          </w:tcPr>
          <w:p>
            <w:pPr>
              <w:pStyle w:val="1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工艺流程和产排污环节</w:t>
            </w:r>
          </w:p>
        </w:tc>
        <w:tc>
          <w:tcPr>
            <w:tcW w:w="8171" w:type="dxa"/>
            <w:noWrap w:val="0"/>
            <w:vAlign w:val="top"/>
          </w:tcPr>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八、工艺流程简述（图示）：</w:t>
            </w:r>
          </w:p>
          <w:p>
            <w:pPr>
              <w:keepNext w:val="0"/>
              <w:keepLines w:val="0"/>
              <w:suppressLineNumbers w:val="0"/>
              <w:adjustRightInd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8.1施工期</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经过现场勘查，项目位于</w:t>
            </w:r>
            <w:r>
              <w:rPr>
                <w:rFonts w:hint="default" w:ascii="Times New Roman" w:hAnsi="Times New Roman" w:eastAsia="宋体" w:cs="Times New Roman"/>
                <w:color w:val="auto"/>
                <w:sz w:val="24"/>
                <w:szCs w:val="24"/>
                <w:highlight w:val="none"/>
                <w:lang w:eastAsia="zh-CN"/>
              </w:rPr>
              <w:t>云南省昆明市宜良县北古城镇凤莱村委会下前所村</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Cs/>
                <w:color w:val="auto"/>
                <w:kern w:val="0"/>
                <w:sz w:val="24"/>
                <w:szCs w:val="24"/>
                <w:highlight w:val="none"/>
                <w:lang w:val="en-US" w:eastAsia="zh-CN"/>
              </w:rPr>
              <w:t>项目在原址改扩建，不新增占地；本次改扩建是用污泥替代部分页岩制砖，施工期仅将原有强力搅拌机改为螺旋搅拌机，改造原料堆场，在原料堆场新建一个容积为300m</w:t>
            </w:r>
            <w:r>
              <w:rPr>
                <w:rFonts w:hint="default" w:ascii="Times New Roman" w:hAnsi="Times New Roman" w:eastAsia="宋体" w:cs="Times New Roman"/>
                <w:bCs/>
                <w:color w:val="auto"/>
                <w:kern w:val="0"/>
                <w:sz w:val="24"/>
                <w:szCs w:val="24"/>
                <w:highlight w:val="none"/>
                <w:vertAlign w:val="superscript"/>
                <w:lang w:val="en-US" w:eastAsia="zh-CN"/>
              </w:rPr>
              <w:t>3</w:t>
            </w:r>
            <w:r>
              <w:rPr>
                <w:rFonts w:hint="default" w:ascii="Times New Roman" w:hAnsi="Times New Roman" w:eastAsia="宋体" w:cs="Times New Roman"/>
                <w:bCs/>
                <w:color w:val="auto"/>
                <w:kern w:val="0"/>
                <w:sz w:val="24"/>
                <w:szCs w:val="24"/>
                <w:highlight w:val="none"/>
                <w:lang w:val="en-US" w:eastAsia="zh-CN"/>
              </w:rPr>
              <w:t>的污泥堆放池，并对原料堆场进行密闭，其余建设均为依托原有项目，</w:t>
            </w:r>
            <w:r>
              <w:rPr>
                <w:rFonts w:hint="default" w:ascii="Times New Roman" w:hAnsi="Times New Roman" w:eastAsia="宋体" w:cs="Times New Roman"/>
                <w:color w:val="auto"/>
                <w:sz w:val="24"/>
                <w:szCs w:val="24"/>
                <w:highlight w:val="none"/>
              </w:rPr>
              <w:t>施工过程及流程图如下。</w:t>
            </w:r>
          </w:p>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object>
                <v:shape id="_x0000_i1029" o:spt="75" type="#_x0000_t75" style="height:150.75pt;width:192.7pt;" o:ole="t" filled="f" o:preferrelative="t" stroked="f" coordsize="21600,21600">
                  <v:path/>
                  <v:fill on="f" focussize="0,0"/>
                  <v:stroke on="f"/>
                  <v:imagedata r:id="rId17" o:title=""/>
                  <o:lock v:ext="edit" aspectratio="f"/>
                  <w10:wrap type="none"/>
                  <w10:anchorlock/>
                </v:shape>
                <o:OLEObject Type="Embed" ProgID="Visio.Drawing.15" ShapeID="_x0000_i1029" DrawAspect="Content" ObjectID="_1468075729" r:id="rId16">
                  <o:LockedField>false</o:LockedField>
                </o:OLEObject>
              </w:object>
            </w:r>
          </w:p>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szCs w:val="21"/>
                <w:highlight w:val="none"/>
              </w:rPr>
              <w:t>图2.8-1   施工期生产工艺流程图及产污节点图</w:t>
            </w:r>
          </w:p>
          <w:p>
            <w:pPr>
              <w:keepNext w:val="0"/>
              <w:keepLines w:val="0"/>
              <w:numPr>
                <w:ilvl w:val="0"/>
                <w:numId w:val="1"/>
              </w:numPr>
              <w:suppressLineNumbers w:val="0"/>
              <w:adjustRightInd w:val="0"/>
              <w:spacing w:before="0" w:beforeAutospacing="0" w:after="0" w:afterAutospacing="0" w:line="360" w:lineRule="auto"/>
              <w:ind w:left="0" w:right="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color w:val="auto"/>
                <w:sz w:val="24"/>
                <w:szCs w:val="24"/>
                <w:highlight w:val="none"/>
              </w:rPr>
              <w:t>拆除原有设备：</w:t>
            </w:r>
            <w:r>
              <w:rPr>
                <w:rFonts w:hint="default" w:ascii="Times New Roman" w:hAnsi="Times New Roman" w:eastAsia="宋体" w:cs="Times New Roman"/>
                <w:bCs/>
                <w:color w:val="auto"/>
                <w:kern w:val="0"/>
                <w:sz w:val="24"/>
                <w:szCs w:val="24"/>
                <w:highlight w:val="none"/>
                <w:lang w:val="en-US" w:eastAsia="zh-CN"/>
              </w:rPr>
              <w:t>将原有强力搅拌机</w:t>
            </w:r>
            <w:r>
              <w:rPr>
                <w:rFonts w:hint="default" w:ascii="Times New Roman" w:hAnsi="Times New Roman" w:eastAsia="宋体" w:cs="Times New Roman"/>
                <w:color w:val="auto"/>
                <w:sz w:val="24"/>
                <w:szCs w:val="24"/>
                <w:highlight w:val="none"/>
              </w:rPr>
              <w:t>拆除</w:t>
            </w:r>
            <w:r>
              <w:rPr>
                <w:rFonts w:hint="default" w:ascii="Times New Roman" w:hAnsi="Times New Roman" w:eastAsia="宋体" w:cs="Times New Roman"/>
                <w:color w:val="auto"/>
                <w:sz w:val="24"/>
                <w:szCs w:val="24"/>
                <w:highlight w:val="none"/>
                <w:lang w:eastAsia="zh-CN"/>
              </w:rPr>
              <w:t>。</w:t>
            </w:r>
          </w:p>
          <w:p>
            <w:pPr>
              <w:keepNext w:val="0"/>
              <w:keepLines w:val="0"/>
              <w:numPr>
                <w:ilvl w:val="0"/>
                <w:numId w:val="1"/>
              </w:numPr>
              <w:suppressLineNumbers w:val="0"/>
              <w:adjustRightInd w:val="0"/>
              <w:spacing w:before="0" w:beforeAutospacing="0" w:after="0" w:afterAutospacing="0" w:line="360" w:lineRule="auto"/>
              <w:ind w:left="0" w:right="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安装</w:t>
            </w:r>
            <w:r>
              <w:rPr>
                <w:rFonts w:hint="default" w:ascii="Times New Roman" w:hAnsi="Times New Roman" w:eastAsia="宋体" w:cs="Times New Roman"/>
                <w:color w:val="auto"/>
                <w:sz w:val="24"/>
                <w:szCs w:val="24"/>
                <w:highlight w:val="none"/>
                <w:lang w:val="en-US" w:eastAsia="zh-CN"/>
              </w:rPr>
              <w:t>新</w:t>
            </w:r>
            <w:r>
              <w:rPr>
                <w:rFonts w:hint="default" w:ascii="Times New Roman" w:hAnsi="Times New Roman" w:eastAsia="宋体" w:cs="Times New Roman"/>
                <w:color w:val="auto"/>
                <w:sz w:val="24"/>
                <w:szCs w:val="24"/>
                <w:highlight w:val="none"/>
              </w:rPr>
              <w:t>设备：安装</w:t>
            </w:r>
            <w:r>
              <w:rPr>
                <w:rFonts w:hint="default" w:ascii="Times New Roman" w:hAnsi="Times New Roman" w:eastAsia="宋体" w:cs="Times New Roman"/>
                <w:bCs/>
                <w:color w:val="auto"/>
                <w:kern w:val="0"/>
                <w:sz w:val="24"/>
                <w:szCs w:val="24"/>
                <w:highlight w:val="none"/>
                <w:lang w:val="en-US" w:eastAsia="zh-CN"/>
              </w:rPr>
              <w:t>螺旋搅拌机。</w:t>
            </w:r>
          </w:p>
          <w:p>
            <w:pPr>
              <w:keepNext w:val="0"/>
              <w:keepLines w:val="0"/>
              <w:numPr>
                <w:ilvl w:val="0"/>
                <w:numId w:val="1"/>
              </w:numPr>
              <w:suppressLineNumbers w:val="0"/>
              <w:adjustRightInd w:val="0"/>
              <w:spacing w:before="0" w:beforeAutospacing="0" w:after="0" w:afterAutospacing="0" w:line="360" w:lineRule="auto"/>
              <w:ind w:left="0" w:right="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对原料堆场密闭同时新建污泥堆放池及防渗。</w:t>
            </w:r>
          </w:p>
          <w:p>
            <w:pPr>
              <w:keepNext w:val="0"/>
              <w:keepLines w:val="0"/>
              <w:numPr>
                <w:ilvl w:val="0"/>
                <w:numId w:val="1"/>
              </w:numPr>
              <w:suppressLineNumbers w:val="0"/>
              <w:adjustRightInd w:val="0"/>
              <w:spacing w:before="0" w:beforeAutospacing="0" w:after="0" w:afterAutospacing="0" w:line="360" w:lineRule="auto"/>
              <w:ind w:left="0" w:right="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对</w:t>
            </w:r>
            <w:r>
              <w:rPr>
                <w:rFonts w:hint="default" w:ascii="Times New Roman" w:hAnsi="Times New Roman" w:eastAsia="宋体" w:cs="Times New Roman"/>
                <w:color w:val="auto"/>
                <w:sz w:val="24"/>
                <w:szCs w:val="24"/>
                <w:highlight w:val="none"/>
                <w:lang w:val="en-US" w:eastAsia="zh-CN"/>
              </w:rPr>
              <w:t>新</w:t>
            </w:r>
            <w:r>
              <w:rPr>
                <w:rFonts w:hint="default" w:ascii="Times New Roman" w:hAnsi="Times New Roman" w:eastAsia="宋体" w:cs="Times New Roman"/>
                <w:color w:val="auto"/>
                <w:sz w:val="24"/>
                <w:szCs w:val="24"/>
                <w:highlight w:val="none"/>
              </w:rPr>
              <w:t>设备进行调试，试投等</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对污泥堆放池的防渗进行检查。</w:t>
            </w:r>
          </w:p>
          <w:p>
            <w:pPr>
              <w:pStyle w:val="8"/>
              <w:keepNext w:val="0"/>
              <w:keepLines w:val="0"/>
              <w:suppressLineNumbers w:val="0"/>
              <w:spacing w:beforeAutospacing="0" w:afterAutospacing="0"/>
              <w:ind w:left="0"/>
              <w:rPr>
                <w:rFonts w:hint="default" w:ascii="Times New Roman" w:hAnsi="Times New Roman" w:eastAsia="宋体" w:cs="Times New Roman"/>
                <w:color w:val="auto"/>
                <w:sz w:val="24"/>
                <w:szCs w:val="24"/>
                <w:highlight w:val="none"/>
                <w:lang w:val="en-US" w:eastAsia="zh-CN"/>
              </w:rPr>
            </w:pPr>
          </w:p>
          <w:p>
            <w:pPr>
              <w:keepNext w:val="0"/>
              <w:keepLines w:val="0"/>
              <w:suppressLineNumbers w:val="0"/>
              <w:adjustRightInd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九、运营期工艺流程</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kern w:val="0"/>
                <w:sz w:val="24"/>
                <w:szCs w:val="24"/>
                <w:highlight w:val="none"/>
                <w:lang w:val="en-US" w:eastAsia="zh-CN"/>
              </w:rPr>
              <w:t>项目在原址改扩建，不新增占地；本次改扩建是用污泥替代部分页岩制砖，本次改扩建后产能增加1200万块，改扩建后产能为6200万块页岩砖。</w:t>
            </w:r>
            <w:r>
              <w:rPr>
                <w:rFonts w:hint="default" w:ascii="Times New Roman" w:hAnsi="Times New Roman" w:eastAsia="宋体" w:cs="Times New Roman"/>
                <w:color w:val="auto"/>
                <w:sz w:val="24"/>
                <w:szCs w:val="24"/>
                <w:highlight w:val="none"/>
              </w:rPr>
              <w:t>项目运营期生产工艺及产排污节点图如下。</w:t>
            </w: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rPr>
            </w:pPr>
          </w:p>
          <w:p>
            <w:pPr>
              <w:pStyle w:val="8"/>
              <w:keepNext w:val="0"/>
              <w:keepLines w:val="0"/>
              <w:suppressLineNumbers w:val="0"/>
              <w:spacing w:beforeAutospacing="0" w:afterAutospacing="0"/>
              <w:ind w:lef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color w:val="auto"/>
                <w:highlight w:val="none"/>
              </w:rPr>
              <w:object>
                <v:shape id="_x0000_i1030" o:spt="75" type="#_x0000_t75" style="height:581.8pt;width:396.65pt;" o:ole="t" filled="f" o:preferrelative="t" stroked="f" coordsize="21600,21600">
                  <v:path/>
                  <v:fill on="f" focussize="0,0"/>
                  <v:stroke on="f"/>
                  <v:imagedata r:id="rId19" o:title=""/>
                  <o:lock v:ext="edit" aspectratio="f"/>
                  <w10:wrap type="none"/>
                  <w10:anchorlock/>
                </v:shape>
                <o:OLEObject Type="Embed" ProgID="Visio.Drawing.15" ShapeID="_x0000_i1030" DrawAspect="Content" ObjectID="_1468075730" r:id="rId18">
                  <o:LockedField>false</o:LockedField>
                </o:OLEObject>
              </w:object>
            </w:r>
            <w:r>
              <w:rPr>
                <w:rFonts w:hint="default" w:ascii="Times New Roman" w:hAnsi="Times New Roman" w:eastAsia="宋体" w:cs="Times New Roman"/>
                <w:b/>
                <w:bCs/>
                <w:color w:val="auto"/>
                <w:szCs w:val="21"/>
                <w:highlight w:val="none"/>
              </w:rPr>
              <w:t>2.9-1   运营期生产工艺流程产污节点图</w:t>
            </w:r>
          </w:p>
          <w:p>
            <w:pPr>
              <w:keepNext w:val="0"/>
              <w:keepLines w:val="0"/>
              <w:suppressLineNumbers w:val="0"/>
              <w:adjustRightInd w:val="0"/>
              <w:spacing w:before="0" w:beforeAutospacing="0" w:after="0" w:afterAutospacing="0" w:line="360" w:lineRule="auto"/>
              <w:ind w:left="0" w:right="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十、工艺流程简述：</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10.1、生产工艺</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10.1.1原料制备</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制砖主要原料是褐煤、页岩、炉渣、污泥，堆放于原料堆放区。</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褐煤利用配煤设施添加，页岩铲装至给料机，通过一定比例的配比，输送机均匀输送入破碎机内破碎，破碎后的原料经输送机进入滚筛机，由于滚筛机装置的倾斜与转动，使筛面上的物料翻转与滚动，使合格物料（筛下产品）经滚筒后端底部的出料口排出，经输送带输送至螺旋搅拌机，不合格的物料(筛下产品)经滚筛机尾部的排料口用回料输送带返回至破碎机。合格物料输送至螺旋搅拌机的同时根据配比加入污泥、炉渣在螺旋搅拌机均匀搅拌。污泥在污泥堆放池内通过渣浆泵用管道输送到螺旋搅拌机内，炉渣在炉渣堆放区内用输送带输送到螺旋搅拌机内；此过程会产生粉尘、恶臭。原料堆场粉尘采取彩钢瓦顶棚、内设喷淋设施的措施处理；污泥堆放产生的恶臭采用喷淋设施内增加除臭剂的措施；搅拌粉尘采取工序加水的措施处理；破碎、筛分粉尘经一套集气罩+布袋除尘器+15m高排气筒处理后排放。</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10.1.2原料陈化处理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搅拌后</w:t>
            </w:r>
            <w:r>
              <w:rPr>
                <w:rFonts w:hint="default" w:ascii="Times New Roman" w:hAnsi="Times New Roman" w:eastAsia="宋体" w:cs="Times New Roman"/>
                <w:color w:val="auto"/>
                <w:sz w:val="24"/>
                <w:highlight w:val="none"/>
              </w:rPr>
              <w:t>的物料成堆堆存，堆存陈化时间不少于3天。陈化的作用是使原料中水分均化程度提高，原料颗粒表面和内部性能更加均匀，更趋一致，颗粒变得容易疏解，物料的成型性能得到提高。</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10.1.3制出成型</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陈化后</w:t>
            </w:r>
            <w:r>
              <w:rPr>
                <w:rFonts w:hint="default" w:ascii="Times New Roman" w:hAnsi="Times New Roman" w:eastAsia="宋体" w:cs="Times New Roman"/>
                <w:color w:val="auto"/>
                <w:sz w:val="24"/>
                <w:highlight w:val="none"/>
                <w:lang w:val="en-US" w:eastAsia="zh-CN"/>
              </w:rPr>
              <w:t>的</w:t>
            </w:r>
            <w:r>
              <w:rPr>
                <w:rFonts w:hint="default" w:ascii="Times New Roman" w:hAnsi="Times New Roman" w:eastAsia="宋体" w:cs="Times New Roman"/>
                <w:color w:val="auto"/>
                <w:sz w:val="24"/>
                <w:highlight w:val="none"/>
              </w:rPr>
              <w:t>混合料经输送带连续传输至搅拌机内</w:t>
            </w:r>
            <w:r>
              <w:rPr>
                <w:rFonts w:hint="default" w:ascii="Times New Roman" w:hAnsi="Times New Roman" w:eastAsia="宋体" w:cs="Times New Roman"/>
                <w:color w:val="auto"/>
                <w:sz w:val="24"/>
                <w:highlight w:val="none"/>
                <w:lang w:val="en-US" w:eastAsia="zh-CN"/>
              </w:rPr>
              <w:t>再次搅拌，</w:t>
            </w:r>
            <w:r>
              <w:rPr>
                <w:rFonts w:hint="default" w:ascii="Times New Roman" w:hAnsi="Times New Roman" w:eastAsia="宋体" w:cs="Times New Roman"/>
                <w:color w:val="auto"/>
                <w:sz w:val="24"/>
                <w:highlight w:val="none"/>
              </w:rPr>
              <w:t>搅拌机内再次加水搅拌，其水份控制在13%左右，搅拌均匀后的混合料经输送机输送到制砖机；制出的泥条经</w:t>
            </w:r>
            <w:r>
              <w:rPr>
                <w:rFonts w:hint="default" w:ascii="Times New Roman" w:hAnsi="Times New Roman" w:eastAsia="宋体" w:cs="Times New Roman"/>
                <w:color w:val="auto"/>
                <w:sz w:val="24"/>
                <w:highlight w:val="none"/>
                <w:lang w:val="en-US" w:eastAsia="zh-CN"/>
              </w:rPr>
              <w:t>切砖机</w:t>
            </w:r>
            <w:r>
              <w:rPr>
                <w:rFonts w:hint="default" w:ascii="Times New Roman" w:hAnsi="Times New Roman" w:eastAsia="宋体" w:cs="Times New Roman"/>
                <w:color w:val="auto"/>
                <w:sz w:val="24"/>
                <w:highlight w:val="none"/>
              </w:rPr>
              <w:t>割成需要规格的砖坯，经坯体输送机输送到码坯处，人工将砖坯码放到窑车上。</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10.1.4干燥、焙烧</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干燥采用隧道烘干窑烘干，砖坯经过烘干窑之后在待焙烧区暂存，烘干窑利用焙烧烟气余热作为热源。烟气通过隧道焙烧窑底部总烟道由送热风机通过烟道送至隧道烘干窑。干燥好的砖坯采用顶车机送至隧道焙烧窑进行焙烧，烧成温度为700--780℃，烧成周期为27小时左右。</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隧道焙烧窑焙烧烟气采用双碱法脱硫除尘装置+15m高的烟囱处理后排放。双碱法脱硫除尘工艺如下。</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drawing>
                <wp:inline distT="0" distB="0" distL="114300" distR="114300">
                  <wp:extent cx="4476115" cy="3058795"/>
                  <wp:effectExtent l="0" t="0" r="635" b="8255"/>
                  <wp:docPr id="3"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5"/>
                          <pic:cNvPicPr>
                            <a:picLocks noChangeAspect="1"/>
                          </pic:cNvPicPr>
                        </pic:nvPicPr>
                        <pic:blipFill>
                          <a:blip r:embed="rId20"/>
                          <a:stretch>
                            <a:fillRect/>
                          </a:stretch>
                        </pic:blipFill>
                        <pic:spPr>
                          <a:xfrm>
                            <a:off x="0" y="0"/>
                            <a:ext cx="4476115" cy="3058795"/>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图2.10-1   双碱法脱硫工艺流程图</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NaOH双碱法工艺的脱硫原理是利用NaOH溶液作为启动脱硫剂，将配制好的NaOH溶液打入脱硫塔，吸收烟气中的SO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；脱硫产物与Ca(OH)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溶液反应，还原出NaOH溶液再打回脱硫塔内循环脱硫。脱下的硫强制氧化以后以硫酸钙的形式析出(即脱硫石膏)，脱水处理后进行综合利用。工艺的主要反应过程如下</w:t>
            </w:r>
            <w:r>
              <w:rPr>
                <w:rFonts w:hint="default" w:ascii="Times New Roman" w:hAnsi="Times New Roman" w:eastAsia="宋体" w:cs="Times New Roman"/>
                <w:color w:val="auto"/>
                <w:sz w:val="24"/>
                <w:szCs w:val="24"/>
                <w:highlight w:val="none"/>
                <w:lang w:eastAsia="zh-CN"/>
              </w:rPr>
              <w:t>：</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a.吸收过程</w:t>
            </w:r>
            <w:r>
              <w:rPr>
                <w:rFonts w:hint="default" w:ascii="Times New Roman" w:hAnsi="Times New Roman" w:eastAsia="宋体" w:cs="Times New Roman"/>
                <w:color w:val="auto"/>
                <w:sz w:val="24"/>
                <w:szCs w:val="24"/>
                <w:highlight w:val="none"/>
                <w:lang w:eastAsia="zh-CN"/>
              </w:rPr>
              <w:t>：</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2NaOH+SO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→Na</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SO</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O(1)</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Na</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SO</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O→2NaHSO</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(2)</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式（1）再生液pH值较高时(&gt;9)的主反应；</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式（2）再生液PH值较低时(5-9)的主反应；</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b.再生过程</w:t>
            </w:r>
            <w:r>
              <w:rPr>
                <w:rFonts w:hint="default" w:ascii="Times New Roman" w:hAnsi="Times New Roman" w:eastAsia="宋体" w:cs="Times New Roman"/>
                <w:color w:val="auto"/>
                <w:sz w:val="24"/>
                <w:szCs w:val="24"/>
                <w:highlight w:val="none"/>
                <w:lang w:eastAsia="zh-CN"/>
              </w:rPr>
              <w:t>：</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CaO+H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O→Ca(OH)</w:t>
            </w:r>
            <w:r>
              <w:rPr>
                <w:rFonts w:hint="default" w:ascii="Times New Roman" w:hAnsi="Times New Roman" w:eastAsia="宋体" w:cs="Times New Roman"/>
                <w:color w:val="auto"/>
                <w:sz w:val="24"/>
                <w:szCs w:val="24"/>
                <w:highlight w:val="none"/>
                <w:vertAlign w:val="subscript"/>
              </w:rPr>
              <w:t>2</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Ca(OH)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+Na</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SO</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O→2NaOH+CaSO</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·1/2H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O+1/2H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O</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Ca(OH)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+2NaHSO</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→Na</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SO</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+CaSO</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·1/2H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O+3/2H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O</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c.氧化过程</w:t>
            </w:r>
            <w:r>
              <w:rPr>
                <w:rFonts w:hint="default" w:ascii="Times New Roman" w:hAnsi="Times New Roman" w:eastAsia="宋体" w:cs="Times New Roman"/>
                <w:color w:val="auto"/>
                <w:sz w:val="24"/>
                <w:szCs w:val="24"/>
                <w:highlight w:val="none"/>
                <w:lang w:eastAsia="zh-CN"/>
              </w:rPr>
              <w:t>：</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2CaSO</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·1/2H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O+O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O→2CaSO</w:t>
            </w:r>
            <w:r>
              <w:rPr>
                <w:rFonts w:hint="default" w:ascii="Times New Roman" w:hAnsi="Times New Roman" w:eastAsia="宋体" w:cs="Times New Roman"/>
                <w:color w:val="auto"/>
                <w:sz w:val="24"/>
                <w:szCs w:val="24"/>
                <w:highlight w:val="none"/>
                <w:vertAlign w:val="subscript"/>
              </w:rPr>
              <w:t>4</w:t>
            </w:r>
            <w:r>
              <w:rPr>
                <w:rFonts w:hint="default" w:ascii="Times New Roman" w:hAnsi="Times New Roman" w:eastAsia="宋体" w:cs="Times New Roman"/>
                <w:color w:val="auto"/>
                <w:sz w:val="24"/>
                <w:szCs w:val="24"/>
                <w:highlight w:val="none"/>
              </w:rPr>
              <w:t>·2H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O</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钠钙双碱法采用纯碱吸收SO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石灰还原再生。它具有如下优点：吸收速度快，可降低液气比L/G，从而降低运行费用；吸收系统内不生成沉淀物、无结垢和堵塞问题，可大大降低结垢机会；运行可靠性高、吸收剂利用率高，耗液量少；脱硫率高，脱硫效率可达80-90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04" w:hRule="atLeast"/>
          <w:jc w:val="center"/>
        </w:trPr>
        <w:tc>
          <w:tcPr>
            <w:tcW w:w="823" w:type="dxa"/>
            <w:noWrap w:val="0"/>
            <w:vAlign w:val="center"/>
          </w:tcPr>
          <w:p>
            <w:pPr>
              <w:pStyle w:val="1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2"/>
                <w:sz w:val="21"/>
                <w:szCs w:val="21"/>
                <w:highlight w:val="none"/>
              </w:rPr>
              <w:t>与项目有关的原有环境污染问题</w:t>
            </w:r>
          </w:p>
        </w:tc>
        <w:tc>
          <w:tcPr>
            <w:tcW w:w="8171" w:type="dxa"/>
            <w:noWrap w:val="0"/>
            <w:vAlign w:val="top"/>
          </w:tcPr>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color w:val="auto"/>
                <w:sz w:val="24"/>
                <w:highlight w:val="none"/>
              </w:rPr>
              <w:t>十一、原项目</w:t>
            </w:r>
            <w:r>
              <w:rPr>
                <w:rFonts w:hint="default" w:ascii="Times New Roman" w:hAnsi="Times New Roman" w:eastAsia="宋体" w:cs="Times New Roman"/>
                <w:b/>
                <w:bCs/>
                <w:color w:val="auto"/>
                <w:sz w:val="24"/>
                <w:highlight w:val="none"/>
              </w:rPr>
              <w:t>环保手续审批情况</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i w:val="0"/>
                <w:iCs w:val="0"/>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宜良前所月牙塘机制砖厂</w:t>
            </w:r>
            <w:r>
              <w:rPr>
                <w:rFonts w:hint="eastAsia" w:ascii="Times New Roman" w:hAnsi="Times New Roman" w:eastAsia="宋体" w:cs="Times New Roman"/>
                <w:color w:val="auto"/>
                <w:sz w:val="24"/>
                <w:szCs w:val="24"/>
                <w:highlight w:val="none"/>
                <w:lang w:val="en-US" w:eastAsia="zh-CN"/>
              </w:rPr>
              <w:t>于2011年成立，同时建设</w:t>
            </w:r>
            <w:r>
              <w:rPr>
                <w:rFonts w:hint="default" w:ascii="Times New Roman" w:hAnsi="Times New Roman" w:eastAsia="宋体" w:cs="Times New Roman"/>
                <w:bCs/>
                <w:i w:val="0"/>
                <w:iCs w:val="0"/>
                <w:color w:val="auto"/>
                <w:sz w:val="24"/>
                <w:szCs w:val="24"/>
                <w:highlight w:val="none"/>
              </w:rPr>
              <w:t>矿山</w:t>
            </w:r>
            <w:r>
              <w:rPr>
                <w:rFonts w:hint="eastAsia" w:ascii="Times New Roman" w:hAnsi="Times New Roman" w:eastAsia="宋体" w:cs="Times New Roman"/>
                <w:bCs/>
                <w:i w:val="0"/>
                <w:iCs w:val="0"/>
                <w:color w:val="auto"/>
                <w:sz w:val="24"/>
                <w:szCs w:val="24"/>
                <w:highlight w:val="none"/>
                <w:lang w:val="en-US" w:eastAsia="zh-CN"/>
              </w:rPr>
              <w:t>和砖厂，</w:t>
            </w:r>
            <w:r>
              <w:rPr>
                <w:rFonts w:hint="default" w:ascii="Times New Roman" w:hAnsi="Times New Roman" w:eastAsia="宋体" w:cs="Times New Roman"/>
                <w:bCs/>
                <w:i w:val="0"/>
                <w:iCs w:val="0"/>
                <w:color w:val="auto"/>
                <w:sz w:val="24"/>
                <w:szCs w:val="24"/>
                <w:highlight w:val="none"/>
              </w:rPr>
              <w:t>矿山名称为宜良前所月牙塘砖厂</w:t>
            </w:r>
            <w:r>
              <w:rPr>
                <w:rFonts w:hint="eastAsia" w:ascii="Times New Roman" w:hAnsi="Times New Roman" w:eastAsia="宋体" w:cs="Times New Roman"/>
                <w:bCs/>
                <w:i w:val="0"/>
                <w:iCs w:val="0"/>
                <w:color w:val="auto"/>
                <w:sz w:val="24"/>
                <w:szCs w:val="24"/>
                <w:highlight w:val="none"/>
                <w:lang w:eastAsia="zh-CN"/>
              </w:rPr>
              <w:t>（</w:t>
            </w:r>
            <w:r>
              <w:rPr>
                <w:rFonts w:hint="eastAsia" w:ascii="Times New Roman" w:hAnsi="Times New Roman" w:cs="Times New Roman"/>
                <w:bCs/>
                <w:color w:val="auto"/>
                <w:sz w:val="24"/>
              </w:rPr>
              <w:t>采矿权为宜良凤莱建材有限公司</w:t>
            </w:r>
            <w:r>
              <w:rPr>
                <w:rFonts w:hint="eastAsia" w:ascii="Times New Roman" w:hAnsi="Times New Roman" w:eastAsia="宋体" w:cs="Times New Roman"/>
                <w:bCs/>
                <w:i w:val="0"/>
                <w:iCs w:val="0"/>
                <w:color w:val="auto"/>
                <w:sz w:val="24"/>
                <w:szCs w:val="24"/>
                <w:highlight w:val="none"/>
                <w:lang w:eastAsia="zh-CN"/>
              </w:rPr>
              <w:t>）</w:t>
            </w:r>
            <w:r>
              <w:rPr>
                <w:rFonts w:hint="default" w:ascii="Times New Roman" w:hAnsi="Times New Roman" w:eastAsia="宋体" w:cs="Times New Roman"/>
                <w:bCs/>
                <w:i w:val="0"/>
                <w:iCs w:val="0"/>
                <w:color w:val="auto"/>
                <w:sz w:val="24"/>
                <w:szCs w:val="24"/>
                <w:highlight w:val="none"/>
                <w:lang w:eastAsia="zh-CN"/>
              </w:rPr>
              <w:t>，</w:t>
            </w:r>
            <w:r>
              <w:rPr>
                <w:rFonts w:hint="default" w:ascii="Times New Roman" w:hAnsi="Times New Roman" w:eastAsia="宋体" w:cs="Times New Roman"/>
                <w:b w:val="0"/>
                <w:bCs/>
                <w:i w:val="0"/>
                <w:iCs w:val="0"/>
                <w:color w:val="auto"/>
                <w:sz w:val="24"/>
                <w:szCs w:val="24"/>
                <w:highlight w:val="none"/>
                <w:lang w:val="en-US" w:eastAsia="zh-CN"/>
              </w:rPr>
              <w:t>砖厂</w:t>
            </w:r>
            <w:r>
              <w:rPr>
                <w:rFonts w:hint="default" w:ascii="Times New Roman" w:hAnsi="Times New Roman" w:eastAsia="宋体" w:cs="Times New Roman"/>
                <w:b w:val="0"/>
                <w:bCs/>
                <w:i w:val="0"/>
                <w:iCs w:val="0"/>
                <w:color w:val="auto"/>
                <w:sz w:val="24"/>
                <w:szCs w:val="24"/>
                <w:highlight w:val="none"/>
              </w:rPr>
              <w:t>名称为</w:t>
            </w:r>
            <w:r>
              <w:rPr>
                <w:rFonts w:hint="default" w:ascii="Times New Roman" w:hAnsi="Times New Roman" w:eastAsia="宋体" w:cs="Times New Roman"/>
                <w:b w:val="0"/>
                <w:bCs/>
                <w:i w:val="0"/>
                <w:iCs w:val="0"/>
                <w:color w:val="auto"/>
                <w:sz w:val="24"/>
                <w:szCs w:val="24"/>
                <w:highlight w:val="none"/>
                <w:lang w:val="en-US" w:eastAsia="zh-CN"/>
              </w:rPr>
              <w:t>宜良前所月牙塘机制砖厂。采矿权登记在宜良凤莱建材有限公司名下，与砖厂为关联主体</w:t>
            </w:r>
            <w:r>
              <w:rPr>
                <w:rFonts w:hint="eastAsia" w:ascii="Times New Roman" w:hAnsi="Times New Roman" w:eastAsia="宋体" w:cs="Times New Roman"/>
                <w:b w:val="0"/>
                <w:bCs/>
                <w:i w:val="0"/>
                <w:iCs w:val="0"/>
                <w:color w:val="auto"/>
                <w:sz w:val="24"/>
                <w:szCs w:val="24"/>
                <w:highlight w:val="none"/>
                <w:lang w:val="en-US" w:eastAsia="zh-CN"/>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pacing w:val="8"/>
                <w:sz w:val="24"/>
                <w:highlight w:val="none"/>
                <w:shd w:val="clear" w:color="auto" w:fill="FFFFFF"/>
                <w:lang w:val="en-US"/>
              </w:rPr>
            </w:pPr>
            <w:r>
              <w:rPr>
                <w:rFonts w:hint="default" w:ascii="Times New Roman" w:hAnsi="Times New Roman" w:eastAsia="宋体" w:cs="Times New Roman"/>
                <w:i w:val="0"/>
                <w:iCs w:val="0"/>
                <w:color w:val="auto"/>
                <w:kern w:val="0"/>
                <w:sz w:val="24"/>
                <w:szCs w:val="24"/>
                <w:highlight w:val="none"/>
              </w:rPr>
              <w:t>宜良凤莱建材有限公司</w:t>
            </w:r>
            <w:r>
              <w:rPr>
                <w:rFonts w:hint="default" w:ascii="Times New Roman" w:hAnsi="Times New Roman" w:eastAsia="宋体" w:cs="Times New Roman"/>
                <w:bCs/>
                <w:i w:val="0"/>
                <w:iCs w:val="0"/>
                <w:color w:val="auto"/>
                <w:sz w:val="24"/>
                <w:szCs w:val="24"/>
                <w:highlight w:val="none"/>
              </w:rPr>
              <w:t>2010年11月19日取得采矿许可证，</w:t>
            </w:r>
            <w:r>
              <w:rPr>
                <w:rFonts w:hint="default" w:ascii="Times New Roman" w:hAnsi="Times New Roman" w:eastAsia="宋体" w:cs="Times New Roman"/>
                <w:b w:val="0"/>
                <w:bCs/>
                <w:i w:val="0"/>
                <w:iCs w:val="0"/>
                <w:color w:val="auto"/>
                <w:sz w:val="24"/>
                <w:szCs w:val="24"/>
                <w:highlight w:val="none"/>
              </w:rPr>
              <w:t>2013年、2017年</w:t>
            </w:r>
            <w:r>
              <w:rPr>
                <w:rFonts w:hint="default" w:ascii="Times New Roman" w:hAnsi="Times New Roman" w:eastAsia="宋体" w:cs="Times New Roman"/>
                <w:b w:val="0"/>
                <w:bCs/>
                <w:i w:val="0"/>
                <w:iCs w:val="0"/>
                <w:color w:val="auto"/>
                <w:kern w:val="0"/>
                <w:sz w:val="24"/>
                <w:szCs w:val="24"/>
                <w:highlight w:val="none"/>
              </w:rPr>
              <w:t>分别进行了矿山采矿证延续，</w:t>
            </w:r>
            <w:r>
              <w:rPr>
                <w:rFonts w:hint="default" w:ascii="Times New Roman" w:hAnsi="Times New Roman" w:eastAsia="宋体" w:cs="Times New Roman"/>
                <w:b w:val="0"/>
                <w:bCs/>
                <w:i w:val="0"/>
                <w:iCs w:val="0"/>
                <w:color w:val="auto"/>
                <w:kern w:val="0"/>
                <w:sz w:val="24"/>
                <w:szCs w:val="24"/>
                <w:highlight w:val="none"/>
                <w:lang w:val="en-US" w:eastAsia="zh-CN"/>
              </w:rPr>
              <w:t>2020年12月委托</w:t>
            </w:r>
            <w:r>
              <w:rPr>
                <w:rFonts w:hint="default" w:ascii="Times New Roman" w:hAnsi="Times New Roman" w:eastAsia="宋体" w:cs="Times New Roman"/>
                <w:b w:val="0"/>
                <w:bCs/>
                <w:i w:val="0"/>
                <w:iCs w:val="0"/>
                <w:color w:val="auto"/>
                <w:kern w:val="0"/>
                <w:sz w:val="24"/>
                <w:szCs w:val="24"/>
                <w:highlight w:val="none"/>
              </w:rPr>
              <w:t>大理万成环境工程有限公司</w:t>
            </w:r>
            <w:r>
              <w:rPr>
                <w:rFonts w:hint="default" w:ascii="Times New Roman" w:hAnsi="Times New Roman" w:eastAsia="宋体" w:cs="Times New Roman"/>
                <w:b w:val="0"/>
                <w:bCs/>
                <w:i w:val="0"/>
                <w:iCs w:val="0"/>
                <w:color w:val="auto"/>
                <w:kern w:val="0"/>
                <w:sz w:val="24"/>
                <w:szCs w:val="24"/>
                <w:highlight w:val="none"/>
                <w:lang w:val="en-US" w:eastAsia="zh-CN"/>
              </w:rPr>
              <w:t>为矿山编制</w:t>
            </w:r>
            <w:r>
              <w:rPr>
                <w:rFonts w:hint="default" w:ascii="Times New Roman" w:hAnsi="Times New Roman" w:eastAsia="宋体" w:cs="Times New Roman"/>
                <w:b w:val="0"/>
                <w:bCs/>
                <w:i w:val="0"/>
                <w:iCs w:val="0"/>
                <w:color w:val="auto"/>
                <w:kern w:val="0"/>
                <w:sz w:val="24"/>
                <w:szCs w:val="24"/>
                <w:highlight w:val="none"/>
              </w:rPr>
              <w:t>《云南省宜良前所月牙</w:t>
            </w:r>
            <w:r>
              <w:rPr>
                <w:rFonts w:hint="default" w:ascii="Times New Roman" w:hAnsi="Times New Roman" w:eastAsia="宋体" w:cs="Times New Roman"/>
                <w:i w:val="0"/>
                <w:iCs w:val="0"/>
                <w:color w:val="auto"/>
                <w:kern w:val="0"/>
                <w:sz w:val="24"/>
                <w:szCs w:val="24"/>
                <w:highlight w:val="none"/>
              </w:rPr>
              <w:t>塘砖厂砖瓦用页岩矿项目环境影响报告表》</w:t>
            </w:r>
            <w:r>
              <w:rPr>
                <w:rFonts w:hint="default" w:ascii="Times New Roman" w:hAnsi="Times New Roman" w:eastAsia="宋体" w:cs="Times New Roman"/>
                <w:i w:val="0"/>
                <w:iCs w:val="0"/>
                <w:color w:val="auto"/>
                <w:kern w:val="0"/>
                <w:sz w:val="24"/>
                <w:szCs w:val="24"/>
                <w:highlight w:val="none"/>
                <w:lang w:eastAsia="zh-CN"/>
              </w:rPr>
              <w:t>，</w:t>
            </w:r>
            <w:r>
              <w:rPr>
                <w:rFonts w:hint="default" w:ascii="Times New Roman" w:hAnsi="Times New Roman" w:eastAsia="宋体" w:cs="Times New Roman"/>
                <w:bCs/>
                <w:i w:val="0"/>
                <w:iCs w:val="0"/>
                <w:color w:val="auto"/>
                <w:sz w:val="24"/>
                <w:szCs w:val="24"/>
                <w:highlight w:val="none"/>
                <w:lang w:val="en-US" w:eastAsia="zh-CN"/>
              </w:rPr>
              <w:t>并于2021年8月取得</w:t>
            </w:r>
            <w:r>
              <w:rPr>
                <w:rFonts w:hint="default" w:ascii="Times New Roman" w:hAnsi="Times New Roman" w:eastAsia="宋体" w:cs="Times New Roman"/>
                <w:bCs/>
                <w:i w:val="0"/>
                <w:iCs w:val="0"/>
                <w:color w:val="auto"/>
                <w:sz w:val="24"/>
                <w:szCs w:val="24"/>
                <w:highlight w:val="none"/>
              </w:rPr>
              <w:t>《</w:t>
            </w:r>
            <w:r>
              <w:rPr>
                <w:rFonts w:hint="default" w:ascii="Times New Roman" w:hAnsi="Times New Roman" w:eastAsia="宋体" w:cs="Times New Roman"/>
                <w:i w:val="0"/>
                <w:iCs w:val="0"/>
                <w:color w:val="auto"/>
                <w:kern w:val="0"/>
                <w:sz w:val="24"/>
                <w:szCs w:val="24"/>
                <w:highlight w:val="none"/>
              </w:rPr>
              <w:t>云南省宜良前所月牙塘砖厂砖瓦用页岩矿项目</w:t>
            </w:r>
            <w:r>
              <w:rPr>
                <w:rFonts w:hint="default" w:ascii="Times New Roman" w:hAnsi="Times New Roman" w:eastAsia="宋体" w:cs="Times New Roman"/>
                <w:bCs/>
                <w:i w:val="0"/>
                <w:iCs w:val="0"/>
                <w:color w:val="auto"/>
                <w:sz w:val="24"/>
                <w:szCs w:val="24"/>
                <w:highlight w:val="none"/>
              </w:rPr>
              <w:t>环境影响报告表》</w:t>
            </w:r>
            <w:r>
              <w:rPr>
                <w:rFonts w:hint="default" w:ascii="Times New Roman" w:hAnsi="Times New Roman" w:eastAsia="宋体" w:cs="Times New Roman"/>
                <w:bCs/>
                <w:i w:val="0"/>
                <w:iCs w:val="0"/>
                <w:color w:val="auto"/>
                <w:sz w:val="24"/>
                <w:szCs w:val="24"/>
                <w:highlight w:val="none"/>
                <w:lang w:val="en-US" w:eastAsia="zh-CN"/>
              </w:rPr>
              <w:t>的批复（</w:t>
            </w:r>
            <w:r>
              <w:rPr>
                <w:rFonts w:hint="default" w:ascii="Times New Roman" w:hAnsi="Times New Roman" w:eastAsia="宋体" w:cs="Times New Roman"/>
                <w:bCs/>
                <w:i w:val="0"/>
                <w:iCs w:val="0"/>
                <w:color w:val="auto"/>
                <w:kern w:val="0"/>
                <w:sz w:val="24"/>
                <w:szCs w:val="24"/>
                <w:highlight w:val="none"/>
              </w:rPr>
              <w:t>宜生环[20</w:t>
            </w:r>
            <w:r>
              <w:rPr>
                <w:rFonts w:hint="default" w:ascii="Times New Roman" w:hAnsi="Times New Roman" w:eastAsia="宋体" w:cs="Times New Roman"/>
                <w:bCs/>
                <w:i w:val="0"/>
                <w:iCs w:val="0"/>
                <w:color w:val="auto"/>
                <w:kern w:val="0"/>
                <w:sz w:val="24"/>
                <w:szCs w:val="24"/>
                <w:highlight w:val="none"/>
                <w:lang w:val="en-US" w:eastAsia="zh-CN"/>
              </w:rPr>
              <w:t>21</w:t>
            </w:r>
            <w:r>
              <w:rPr>
                <w:rFonts w:hint="default" w:ascii="Times New Roman" w:hAnsi="Times New Roman" w:eastAsia="宋体" w:cs="Times New Roman"/>
                <w:bCs/>
                <w:i w:val="0"/>
                <w:iCs w:val="0"/>
                <w:color w:val="auto"/>
                <w:kern w:val="0"/>
                <w:sz w:val="24"/>
                <w:szCs w:val="24"/>
                <w:highlight w:val="none"/>
              </w:rPr>
              <w:t>]</w:t>
            </w:r>
            <w:r>
              <w:rPr>
                <w:rFonts w:hint="default" w:ascii="Times New Roman" w:hAnsi="Times New Roman" w:eastAsia="宋体" w:cs="Times New Roman"/>
                <w:bCs/>
                <w:i w:val="0"/>
                <w:iCs w:val="0"/>
                <w:color w:val="auto"/>
                <w:kern w:val="0"/>
                <w:sz w:val="24"/>
                <w:szCs w:val="24"/>
                <w:highlight w:val="none"/>
                <w:lang w:val="en-US" w:eastAsia="zh-CN"/>
              </w:rPr>
              <w:t>86</w:t>
            </w:r>
            <w:r>
              <w:rPr>
                <w:rFonts w:hint="default" w:ascii="Times New Roman" w:hAnsi="Times New Roman" w:eastAsia="宋体" w:cs="Times New Roman"/>
                <w:bCs/>
                <w:i w:val="0"/>
                <w:iCs w:val="0"/>
                <w:color w:val="auto"/>
                <w:kern w:val="0"/>
                <w:sz w:val="24"/>
                <w:szCs w:val="24"/>
                <w:highlight w:val="none"/>
              </w:rPr>
              <w:t>号</w:t>
            </w:r>
            <w:r>
              <w:rPr>
                <w:rFonts w:hint="default" w:ascii="Times New Roman" w:hAnsi="Times New Roman" w:eastAsia="宋体" w:cs="Times New Roman"/>
                <w:bCs/>
                <w:i w:val="0"/>
                <w:iCs w:val="0"/>
                <w:color w:val="auto"/>
                <w:sz w:val="24"/>
                <w:szCs w:val="24"/>
                <w:highlight w:val="none"/>
                <w:lang w:val="en-US" w:eastAsia="zh-CN"/>
              </w:rPr>
              <w:t>）（附件4）</w:t>
            </w:r>
            <w:r>
              <w:rPr>
                <w:rFonts w:hint="default"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color w:val="auto"/>
                <w:sz w:val="24"/>
                <w:szCs w:val="24"/>
                <w:highlight w:val="none"/>
              </w:rPr>
              <w:t>矿区面积0.0839km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，开采矿种</w:t>
            </w:r>
            <w:r>
              <w:rPr>
                <w:rFonts w:hint="default"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color w:val="auto"/>
                <w:sz w:val="24"/>
                <w:szCs w:val="24"/>
                <w:highlight w:val="none"/>
              </w:rPr>
              <w:t>砖瓦用页岩</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开采规模</w:t>
            </w:r>
            <w:r>
              <w:rPr>
                <w:rFonts w:hint="default"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color w:val="auto"/>
                <w:sz w:val="24"/>
                <w:szCs w:val="24"/>
                <w:highlight w:val="none"/>
              </w:rPr>
              <w:t>2</w:t>
            </w:r>
            <w:r>
              <w:rPr>
                <w:rFonts w:hint="default" w:ascii="Times New Roman" w:hAnsi="Times New Roman" w:eastAsia="宋体" w:cs="Times New Roman"/>
                <w:color w:val="auto"/>
                <w:kern w:val="0"/>
                <w:sz w:val="24"/>
                <w:szCs w:val="24"/>
                <w:highlight w:val="none"/>
              </w:rPr>
              <w:t>0万t/a</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目前矿山</w:t>
            </w:r>
            <w:r>
              <w:rPr>
                <w:rFonts w:hint="default" w:ascii="Times New Roman" w:hAnsi="Times New Roman" w:eastAsia="宋体" w:cs="Times New Roman"/>
                <w:bCs/>
                <w:color w:val="auto"/>
                <w:sz w:val="24"/>
                <w:szCs w:val="24"/>
                <w:highlight w:val="none"/>
                <w:lang w:val="en-US" w:eastAsia="zh-CN"/>
              </w:rPr>
              <w:t>验收</w:t>
            </w:r>
            <w:r>
              <w:rPr>
                <w:rFonts w:hint="eastAsia" w:ascii="Times New Roman" w:hAnsi="Times New Roman" w:eastAsia="宋体" w:cs="Times New Roman"/>
                <w:bCs/>
                <w:color w:val="auto"/>
                <w:sz w:val="24"/>
                <w:szCs w:val="24"/>
                <w:highlight w:val="none"/>
                <w:lang w:val="en-US" w:eastAsia="zh-CN"/>
              </w:rPr>
              <w:t>正在开展中</w:t>
            </w:r>
            <w:r>
              <w:rPr>
                <w:rFonts w:hint="default" w:ascii="Times New Roman" w:hAnsi="Times New Roman" w:eastAsia="宋体" w:cs="Times New Roman"/>
                <w:bCs/>
                <w:color w:val="auto"/>
                <w:sz w:val="24"/>
                <w:szCs w:val="24"/>
                <w:highlight w:val="none"/>
                <w:lang w:val="en-US" w:eastAsia="zh-CN"/>
              </w:rPr>
              <w:t>。矿山产出的页岩供给</w:t>
            </w:r>
            <w:r>
              <w:rPr>
                <w:rFonts w:hint="default" w:ascii="Times New Roman" w:hAnsi="Times New Roman" w:eastAsia="宋体" w:cs="Times New Roman"/>
                <w:color w:val="auto"/>
                <w:sz w:val="24"/>
                <w:szCs w:val="24"/>
                <w:highlight w:val="none"/>
                <w:lang w:val="en-US" w:eastAsia="zh-CN"/>
              </w:rPr>
              <w:t>宜良前所月牙塘机制砖厂制砖。宜良前所月牙塘机制砖厂</w:t>
            </w:r>
            <w:r>
              <w:rPr>
                <w:rFonts w:hint="default" w:ascii="Times New Roman" w:hAnsi="Times New Roman" w:eastAsia="宋体" w:cs="Times New Roman"/>
                <w:bCs/>
                <w:color w:val="auto"/>
                <w:sz w:val="24"/>
                <w:szCs w:val="24"/>
                <w:highlight w:val="none"/>
              </w:rPr>
              <w:t>2018年9月</w:t>
            </w:r>
            <w:r>
              <w:rPr>
                <w:rFonts w:hint="default" w:ascii="Times New Roman" w:hAnsi="Times New Roman" w:eastAsia="宋体" w:cs="Times New Roman"/>
                <w:bCs/>
                <w:color w:val="auto"/>
                <w:sz w:val="24"/>
                <w:szCs w:val="24"/>
                <w:highlight w:val="none"/>
                <w:lang w:val="en-US" w:eastAsia="zh-CN"/>
              </w:rPr>
              <w:t>委托</w:t>
            </w:r>
            <w:r>
              <w:rPr>
                <w:rFonts w:hint="default" w:ascii="Times New Roman" w:hAnsi="Times New Roman" w:eastAsia="宋体" w:cs="Times New Roman"/>
                <w:color w:val="auto"/>
                <w:sz w:val="24"/>
                <w:szCs w:val="24"/>
                <w:highlight w:val="none"/>
              </w:rPr>
              <w:t>临沧尚德环境技术有限公司</w:t>
            </w:r>
            <w:r>
              <w:rPr>
                <w:rFonts w:hint="default" w:ascii="Times New Roman" w:hAnsi="Times New Roman" w:eastAsia="宋体" w:cs="Times New Roman"/>
                <w:color w:val="auto"/>
                <w:sz w:val="24"/>
                <w:szCs w:val="24"/>
                <w:highlight w:val="none"/>
                <w:lang w:val="en-US" w:eastAsia="zh-CN"/>
              </w:rPr>
              <w:t>为砖厂</w:t>
            </w:r>
            <w:r>
              <w:rPr>
                <w:rFonts w:hint="default" w:ascii="Times New Roman" w:hAnsi="Times New Roman" w:eastAsia="宋体" w:cs="Times New Roman"/>
                <w:bCs/>
                <w:color w:val="auto"/>
                <w:sz w:val="24"/>
                <w:szCs w:val="24"/>
                <w:highlight w:val="none"/>
              </w:rPr>
              <w:t>编制《</w:t>
            </w:r>
            <w:r>
              <w:rPr>
                <w:rFonts w:hint="default" w:ascii="Times New Roman" w:hAnsi="Times New Roman" w:eastAsia="宋体" w:cs="Times New Roman"/>
                <w:color w:val="auto"/>
                <w:sz w:val="24"/>
                <w:szCs w:val="24"/>
                <w:highlight w:val="none"/>
                <w:lang w:val="en-US" w:eastAsia="zh-CN"/>
              </w:rPr>
              <w:t>宜良前所月牙塘机制砖厂年产5000万块页岩砖建设项目环境影响</w:t>
            </w:r>
            <w:r>
              <w:rPr>
                <w:rFonts w:hint="default" w:ascii="Times New Roman" w:hAnsi="Times New Roman" w:eastAsia="宋体" w:cs="Times New Roman"/>
                <w:bCs/>
                <w:color w:val="auto"/>
                <w:sz w:val="24"/>
                <w:szCs w:val="24"/>
                <w:highlight w:val="none"/>
              </w:rPr>
              <w:t>报告表》</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并于2019年6月取得</w:t>
            </w:r>
            <w:r>
              <w:rPr>
                <w:rFonts w:hint="default" w:ascii="Times New Roman" w:hAnsi="Times New Roman" w:eastAsia="宋体" w:cs="Times New Roman"/>
                <w:bCs/>
                <w:color w:val="auto"/>
                <w:kern w:val="0"/>
                <w:sz w:val="24"/>
                <w:szCs w:val="24"/>
                <w:highlight w:val="none"/>
              </w:rPr>
              <w:t>《关于对“年产5000万块页岩砖建设项目环境影响报告表”的批复》（宜生环[2019]47号）</w:t>
            </w:r>
            <w:r>
              <w:rPr>
                <w:rFonts w:hint="default" w:ascii="Times New Roman" w:hAnsi="Times New Roman" w:eastAsia="宋体" w:cs="Times New Roman"/>
                <w:bCs/>
                <w:color w:val="auto"/>
                <w:kern w:val="0"/>
                <w:sz w:val="24"/>
                <w:szCs w:val="24"/>
                <w:highlight w:val="none"/>
                <w:lang w:eastAsia="zh-CN"/>
              </w:rPr>
              <w:t>（</w:t>
            </w:r>
            <w:r>
              <w:rPr>
                <w:rFonts w:hint="default" w:ascii="Times New Roman" w:hAnsi="Times New Roman" w:eastAsia="宋体" w:cs="Times New Roman"/>
                <w:bCs/>
                <w:color w:val="auto"/>
                <w:kern w:val="0"/>
                <w:sz w:val="24"/>
                <w:szCs w:val="24"/>
                <w:highlight w:val="none"/>
                <w:lang w:val="en-US" w:eastAsia="zh-CN"/>
              </w:rPr>
              <w:t>附件5</w:t>
            </w:r>
            <w:r>
              <w:rPr>
                <w:rFonts w:hint="default" w:ascii="Times New Roman" w:hAnsi="Times New Roman" w:eastAsia="宋体" w:cs="Times New Roman"/>
                <w:bCs/>
                <w:color w:val="auto"/>
                <w:kern w:val="0"/>
                <w:sz w:val="24"/>
                <w:szCs w:val="24"/>
                <w:highlight w:val="none"/>
                <w:lang w:eastAsia="zh-CN"/>
              </w:rPr>
              <w:t>）。</w:t>
            </w:r>
            <w:r>
              <w:rPr>
                <w:rFonts w:hint="default" w:ascii="Times New Roman" w:hAnsi="Times New Roman" w:eastAsia="宋体" w:cs="Times New Roman"/>
                <w:bCs/>
                <w:color w:val="auto"/>
                <w:kern w:val="0"/>
                <w:sz w:val="24"/>
                <w:szCs w:val="24"/>
                <w:highlight w:val="none"/>
                <w:lang w:val="en-US" w:eastAsia="zh-CN"/>
              </w:rPr>
              <w:t>2019年8月</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color w:val="auto"/>
                <w:sz w:val="24"/>
                <w:szCs w:val="24"/>
                <w:highlight w:val="none"/>
                <w:lang w:val="en-US" w:eastAsia="zh-CN"/>
              </w:rPr>
              <w:t>宜良前所月牙塘机制砖厂年产5000万块页岩砖建设项目</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kern w:val="0"/>
                <w:sz w:val="24"/>
                <w:szCs w:val="24"/>
                <w:highlight w:val="none"/>
                <w:lang w:val="en-US" w:eastAsia="zh-CN"/>
              </w:rPr>
              <w:t>通过竣工</w:t>
            </w:r>
            <w:r>
              <w:rPr>
                <w:rFonts w:hint="default" w:ascii="Times New Roman" w:hAnsi="Times New Roman" w:eastAsia="宋体" w:cs="Times New Roman"/>
                <w:bCs/>
                <w:color w:val="auto"/>
                <w:sz w:val="24"/>
                <w:szCs w:val="24"/>
                <w:highlight w:val="none"/>
                <w:lang w:val="en-US" w:eastAsia="zh-CN"/>
              </w:rPr>
              <w:t>环境保护验收（附件6）。</w:t>
            </w:r>
            <w:r>
              <w:rPr>
                <w:rFonts w:hint="default" w:ascii="Times New Roman" w:hAnsi="Times New Roman" w:eastAsia="宋体" w:cs="Times New Roman"/>
                <w:color w:val="auto"/>
                <w:sz w:val="24"/>
                <w:szCs w:val="24"/>
                <w:highlight w:val="none"/>
                <w:lang w:val="en-US" w:eastAsia="zh-CN"/>
              </w:rPr>
              <w:t>2025年10月31日取得排污许可证，</w:t>
            </w:r>
            <w:r>
              <w:rPr>
                <w:rFonts w:hint="default" w:ascii="Times New Roman" w:hAnsi="Times New Roman" w:eastAsia="宋体" w:cs="Times New Roman"/>
                <w:color w:val="auto"/>
                <w:sz w:val="24"/>
                <w:szCs w:val="24"/>
                <w:highlight w:val="none"/>
              </w:rPr>
              <w:t>证书编号：91530125568811324P001V</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附件7</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并且已经编制突发环境事件应急预案，备案号：YYT-HUYA-2025。</w:t>
            </w:r>
          </w:p>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pacing w:val="8"/>
                <w:sz w:val="24"/>
                <w:highlight w:val="none"/>
                <w:shd w:val="clear" w:color="auto" w:fill="FFFFFF"/>
              </w:rPr>
              <w:t>十二、</w:t>
            </w:r>
            <w:r>
              <w:rPr>
                <w:rFonts w:hint="default" w:ascii="Times New Roman" w:hAnsi="Times New Roman" w:eastAsia="宋体" w:cs="Times New Roman"/>
                <w:b/>
                <w:bCs/>
                <w:color w:val="auto"/>
                <w:sz w:val="24"/>
                <w:highlight w:val="none"/>
              </w:rPr>
              <w:t>原项目污染物排放总量</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pacing w:val="8"/>
                <w:sz w:val="24"/>
                <w:highlight w:val="none"/>
                <w:shd w:val="clear" w:color="auto" w:fill="FFFFFF"/>
              </w:rPr>
            </w:pPr>
            <w:r>
              <w:rPr>
                <w:rFonts w:hint="default" w:ascii="Times New Roman" w:hAnsi="Times New Roman" w:eastAsia="宋体" w:cs="Times New Roman"/>
                <w:bCs/>
                <w:color w:val="auto"/>
                <w:sz w:val="24"/>
                <w:highlight w:val="none"/>
                <w:lang w:val="en-US" w:eastAsia="zh-CN"/>
              </w:rPr>
              <w:t>原有项目污染物排放量根据</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color w:val="auto"/>
                <w:sz w:val="24"/>
                <w:szCs w:val="24"/>
                <w:highlight w:val="none"/>
                <w:lang w:val="en-US" w:eastAsia="zh-CN"/>
              </w:rPr>
              <w:t>宜良前所月牙塘机制砖厂年产5000万块页岩砖建设项目</w:t>
            </w:r>
            <w:r>
              <w:rPr>
                <w:rFonts w:hint="default" w:ascii="Times New Roman" w:hAnsi="Times New Roman" w:eastAsia="宋体" w:cs="Times New Roman"/>
                <w:bCs/>
                <w:color w:val="auto"/>
                <w:kern w:val="0"/>
                <w:sz w:val="24"/>
                <w:szCs w:val="24"/>
                <w:highlight w:val="none"/>
                <w:lang w:val="en-US" w:eastAsia="zh-CN"/>
              </w:rPr>
              <w:t>竣工</w:t>
            </w:r>
            <w:r>
              <w:rPr>
                <w:rFonts w:hint="default" w:ascii="Times New Roman" w:hAnsi="Times New Roman" w:eastAsia="宋体" w:cs="Times New Roman"/>
                <w:bCs/>
                <w:color w:val="auto"/>
                <w:sz w:val="24"/>
                <w:szCs w:val="24"/>
                <w:highlight w:val="none"/>
                <w:lang w:val="en-US" w:eastAsia="zh-CN"/>
              </w:rPr>
              <w:t>环境保护验收报告</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、在线监测数据、排污许可证等进行分析。</w:t>
            </w:r>
          </w:p>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bCs/>
                <w:color w:val="auto"/>
                <w:spacing w:val="8"/>
                <w:sz w:val="24"/>
                <w:highlight w:val="none"/>
                <w:shd w:val="clear" w:color="auto" w:fill="FFFFFF"/>
              </w:rPr>
            </w:pPr>
            <w:r>
              <w:rPr>
                <w:rFonts w:hint="default" w:ascii="Times New Roman" w:hAnsi="Times New Roman" w:eastAsia="宋体" w:cs="Times New Roman"/>
                <w:b/>
                <w:bCs/>
                <w:color w:val="auto"/>
                <w:spacing w:val="8"/>
                <w:sz w:val="24"/>
                <w:highlight w:val="none"/>
                <w:shd w:val="clear" w:color="auto" w:fill="FFFFFF"/>
              </w:rPr>
              <w:t>12.1废气</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①</w:t>
            </w:r>
            <w:r>
              <w:rPr>
                <w:rFonts w:hint="default" w:ascii="Times New Roman" w:hAnsi="Times New Roman" w:eastAsia="宋体" w:cs="Times New Roman"/>
                <w:b/>
                <w:bCs/>
                <w:color w:val="auto"/>
                <w:sz w:val="24"/>
                <w:szCs w:val="24"/>
                <w:highlight w:val="none"/>
                <w:lang w:val="en-US" w:eastAsia="zh-CN"/>
              </w:rPr>
              <w:t>隧道窑</w:t>
            </w:r>
            <w:r>
              <w:rPr>
                <w:rFonts w:hint="default" w:ascii="Times New Roman" w:hAnsi="Times New Roman" w:eastAsia="宋体" w:cs="Times New Roman"/>
                <w:b/>
                <w:bCs/>
                <w:color w:val="auto"/>
                <w:sz w:val="24"/>
                <w:szCs w:val="24"/>
                <w:highlight w:val="none"/>
              </w:rPr>
              <w:t>烟气</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pacing w:val="8"/>
                <w:sz w:val="24"/>
                <w:szCs w:val="24"/>
                <w:highlight w:val="none"/>
                <w:shd w:val="clear" w:color="auto" w:fill="FFFFFF"/>
              </w:rPr>
            </w:pPr>
            <w:r>
              <w:rPr>
                <w:rFonts w:hint="default" w:ascii="Times New Roman" w:hAnsi="Times New Roman" w:eastAsia="宋体" w:cs="Times New Roman"/>
                <w:color w:val="auto"/>
                <w:kern w:val="0"/>
                <w:sz w:val="24"/>
                <w:szCs w:val="24"/>
                <w:highlight w:val="none"/>
              </w:rPr>
              <w:t>原有项目废气污染物根据</w:t>
            </w:r>
            <w:r>
              <w:rPr>
                <w:rFonts w:hint="default" w:ascii="Times New Roman" w:hAnsi="Times New Roman" w:eastAsia="宋体" w:cs="Times New Roman"/>
                <w:color w:val="auto"/>
                <w:kern w:val="0"/>
                <w:sz w:val="24"/>
                <w:szCs w:val="24"/>
                <w:highlight w:val="none"/>
                <w:lang w:val="en-US" w:eastAsia="zh-CN"/>
              </w:rPr>
              <w:t>建设单位提供的</w:t>
            </w:r>
            <w:r>
              <w:rPr>
                <w:rFonts w:hint="default" w:ascii="Times New Roman" w:hAnsi="Times New Roman" w:eastAsia="宋体" w:cs="Times New Roman"/>
                <w:color w:val="auto"/>
                <w:spacing w:val="0"/>
                <w:position w:val="0"/>
                <w:sz w:val="24"/>
                <w:szCs w:val="24"/>
                <w:highlight w:val="none"/>
                <w:lang w:eastAsia="zh-CN"/>
              </w:rPr>
              <w:t>“</w:t>
            </w:r>
            <w:r>
              <w:rPr>
                <w:rFonts w:hint="default" w:ascii="Times New Roman" w:hAnsi="Times New Roman" w:eastAsia="宋体" w:cs="Times New Roman"/>
                <w:color w:val="auto"/>
                <w:spacing w:val="0"/>
                <w:position w:val="0"/>
                <w:sz w:val="24"/>
                <w:szCs w:val="24"/>
                <w:highlight w:val="none"/>
              </w:rPr>
              <w:t>宜良前所月牙塘机制砖厂</w:t>
            </w:r>
            <w:r>
              <w:rPr>
                <w:rFonts w:hint="default" w:ascii="Times New Roman" w:hAnsi="Times New Roman" w:eastAsia="宋体" w:cs="Times New Roman"/>
                <w:color w:val="auto"/>
                <w:spacing w:val="0"/>
                <w:position w:val="0"/>
                <w:sz w:val="24"/>
                <w:szCs w:val="24"/>
                <w:highlight w:val="none"/>
                <w:lang w:val="en-US" w:eastAsia="zh-CN"/>
              </w:rPr>
              <w:t>--</w:t>
            </w:r>
            <w:r>
              <w:rPr>
                <w:rFonts w:hint="default" w:ascii="Times New Roman" w:hAnsi="Times New Roman" w:eastAsia="宋体" w:cs="Times New Roman"/>
                <w:color w:val="auto"/>
                <w:spacing w:val="0"/>
                <w:position w:val="0"/>
                <w:sz w:val="24"/>
                <w:szCs w:val="24"/>
                <w:highlight w:val="none"/>
              </w:rPr>
              <w:t>1#脱硫塔废气排放口</w:t>
            </w:r>
            <w:r>
              <w:rPr>
                <w:rFonts w:hint="default" w:ascii="Times New Roman" w:hAnsi="Times New Roman" w:eastAsia="宋体" w:cs="Times New Roman"/>
                <w:color w:val="auto"/>
                <w:spacing w:val="0"/>
                <w:position w:val="0"/>
                <w:sz w:val="24"/>
                <w:szCs w:val="24"/>
                <w:highlight w:val="none"/>
                <w:lang w:eastAsia="zh-CN"/>
              </w:rPr>
              <w:t>”</w:t>
            </w:r>
            <w:r>
              <w:rPr>
                <w:rFonts w:hint="default" w:ascii="Times New Roman" w:hAnsi="Times New Roman" w:eastAsia="宋体" w:cs="Times New Roman"/>
                <w:color w:val="auto"/>
                <w:spacing w:val="0"/>
                <w:position w:val="0"/>
                <w:sz w:val="24"/>
                <w:szCs w:val="24"/>
                <w:highlight w:val="none"/>
              </w:rPr>
              <w:t>2026年0</w:t>
            </w:r>
            <w:r>
              <w:rPr>
                <w:rFonts w:hint="default" w:ascii="Times New Roman" w:hAnsi="Times New Roman" w:eastAsia="宋体" w:cs="Times New Roman"/>
                <w:color w:val="auto"/>
                <w:spacing w:val="0"/>
                <w:position w:val="0"/>
                <w:sz w:val="24"/>
                <w:szCs w:val="24"/>
                <w:highlight w:val="none"/>
                <w:lang w:val="en-US" w:eastAsia="zh-CN"/>
              </w:rPr>
              <w:t>4</w:t>
            </w:r>
            <w:r>
              <w:rPr>
                <w:rFonts w:hint="default" w:ascii="Times New Roman" w:hAnsi="Times New Roman" w:eastAsia="宋体" w:cs="Times New Roman"/>
                <w:color w:val="auto"/>
                <w:spacing w:val="0"/>
                <w:position w:val="0"/>
                <w:sz w:val="24"/>
                <w:szCs w:val="24"/>
                <w:highlight w:val="none"/>
              </w:rPr>
              <w:t>月</w:t>
            </w:r>
            <w:r>
              <w:rPr>
                <w:rFonts w:hint="default" w:ascii="Times New Roman" w:hAnsi="Times New Roman" w:eastAsia="宋体" w:cs="Times New Roman"/>
                <w:color w:val="auto"/>
                <w:spacing w:val="0"/>
                <w:position w:val="0"/>
                <w:sz w:val="24"/>
                <w:szCs w:val="24"/>
                <w:highlight w:val="none"/>
                <w:lang w:val="en-US" w:eastAsia="zh-CN"/>
              </w:rPr>
              <w:t>的在线监测数据</w:t>
            </w:r>
            <w:r>
              <w:rPr>
                <w:rFonts w:hint="default" w:ascii="Times New Roman" w:hAnsi="Times New Roman" w:eastAsia="宋体" w:cs="Times New Roman"/>
                <w:color w:val="auto"/>
                <w:sz w:val="24"/>
                <w:szCs w:val="24"/>
                <w:highlight w:val="none"/>
              </w:rPr>
              <w:t>进行核算</w:t>
            </w:r>
            <w:r>
              <w:rPr>
                <w:rFonts w:hint="default" w:ascii="Times New Roman" w:hAnsi="Times New Roman" w:eastAsia="宋体" w:cs="Times New Roman"/>
                <w:color w:val="auto"/>
                <w:kern w:val="0"/>
                <w:sz w:val="24"/>
                <w:szCs w:val="24"/>
                <w:highlight w:val="none"/>
              </w:rPr>
              <w:t>（监测结果见附件1</w:t>
            </w:r>
            <w:r>
              <w:rPr>
                <w:rFonts w:hint="default" w:ascii="Times New Roman" w:hAnsi="Times New Roman" w:eastAsia="宋体" w:cs="Times New Roman"/>
                <w:color w:val="auto"/>
                <w:kern w:val="0"/>
                <w:sz w:val="24"/>
                <w:szCs w:val="24"/>
                <w:highlight w:val="none"/>
                <w:lang w:val="en-US" w:eastAsia="zh-CN"/>
              </w:rPr>
              <w:t>1</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val="en-US" w:eastAsia="zh-CN"/>
              </w:rPr>
              <w:t>原有项目因为市场需求，未达到满负荷生产，产能约为3000万块/年，则</w:t>
            </w:r>
            <w:r>
              <w:rPr>
                <w:rFonts w:hint="default" w:ascii="Times New Roman" w:hAnsi="Times New Roman" w:eastAsia="宋体" w:cs="Times New Roman"/>
                <w:color w:val="auto"/>
                <w:kern w:val="0"/>
                <w:sz w:val="24"/>
                <w:szCs w:val="24"/>
                <w:highlight w:val="none"/>
              </w:rPr>
              <w:t>原有项目焙烧烟气</w:t>
            </w:r>
            <w:r>
              <w:rPr>
                <w:rFonts w:hint="default" w:ascii="Times New Roman" w:hAnsi="Times New Roman" w:eastAsia="宋体" w:cs="Times New Roman"/>
                <w:color w:val="auto"/>
                <w:kern w:val="0"/>
                <w:sz w:val="24"/>
                <w:szCs w:val="24"/>
                <w:highlight w:val="none"/>
                <w:lang w:val="en-US" w:eastAsia="zh-CN"/>
              </w:rPr>
              <w:t>排放</w:t>
            </w:r>
            <w:r>
              <w:rPr>
                <w:rFonts w:hint="default" w:ascii="Times New Roman" w:hAnsi="Times New Roman" w:eastAsia="宋体" w:cs="Times New Roman"/>
                <w:color w:val="auto"/>
                <w:kern w:val="0"/>
                <w:sz w:val="24"/>
                <w:szCs w:val="24"/>
                <w:highlight w:val="none"/>
              </w:rPr>
              <w:t>情况</w:t>
            </w:r>
            <w:r>
              <w:rPr>
                <w:rFonts w:hint="default" w:ascii="Times New Roman" w:hAnsi="Times New Roman" w:eastAsia="宋体" w:cs="Times New Roman"/>
                <w:color w:val="auto"/>
                <w:sz w:val="24"/>
                <w:szCs w:val="24"/>
                <w:highlight w:val="none"/>
              </w:rPr>
              <w:t>如下</w:t>
            </w:r>
            <w:r>
              <w:rPr>
                <w:rFonts w:hint="default" w:ascii="Times New Roman" w:hAnsi="Times New Roman" w:eastAsia="宋体" w:cs="Times New Roman"/>
                <w:color w:val="auto"/>
                <w:kern w:val="0"/>
                <w:sz w:val="24"/>
                <w:szCs w:val="24"/>
                <w:highlight w:val="none"/>
              </w:rPr>
              <w:t>。</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表2.12-1   原项目焙烧烟气监测结果</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2047"/>
              <w:gridCol w:w="2517"/>
              <w:gridCol w:w="1197"/>
              <w:gridCol w:w="1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961" w:type="pct"/>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因子</w:t>
                  </w:r>
                </w:p>
              </w:tc>
              <w:tc>
                <w:tcPr>
                  <w:tcW w:w="15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
                      <w:color w:val="auto"/>
                      <w:sz w:val="21"/>
                      <w:szCs w:val="21"/>
                      <w:highlight w:val="none"/>
                    </w:rPr>
                    <w:t>监测结果</w:t>
                  </w:r>
                </w:p>
              </w:tc>
              <w:tc>
                <w:tcPr>
                  <w:tcW w:w="75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标准浓度（mg/m³）</w:t>
                  </w:r>
                </w:p>
              </w:tc>
              <w:tc>
                <w:tcPr>
                  <w:tcW w:w="70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673"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28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折算浓度（mg/m³）</w:t>
                  </w:r>
                </w:p>
              </w:tc>
              <w:tc>
                <w:tcPr>
                  <w:tcW w:w="15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8.46</w:t>
                  </w:r>
                </w:p>
              </w:tc>
              <w:tc>
                <w:tcPr>
                  <w:tcW w:w="753"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w:t>
                  </w:r>
                </w:p>
              </w:tc>
              <w:tc>
                <w:tcPr>
                  <w:tcW w:w="701"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3"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28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速率</w:t>
                  </w:r>
                  <w:r>
                    <w:rPr>
                      <w:rFonts w:hint="default" w:ascii="Times New Roman" w:hAnsi="Times New Roman" w:eastAsia="宋体" w:cs="Times New Roman"/>
                      <w:bCs/>
                      <w:color w:val="auto"/>
                      <w:sz w:val="21"/>
                      <w:szCs w:val="21"/>
                      <w:highlight w:val="none"/>
                    </w:rPr>
                    <w:t>（kg/h）</w:t>
                  </w:r>
                </w:p>
              </w:tc>
              <w:tc>
                <w:tcPr>
                  <w:tcW w:w="15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1.0135</w:t>
                  </w:r>
                </w:p>
              </w:tc>
              <w:tc>
                <w:tcPr>
                  <w:tcW w:w="753"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0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 w:hRule="atLeast"/>
                <w:jc w:val="center"/>
              </w:trPr>
              <w:tc>
                <w:tcPr>
                  <w:tcW w:w="673"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28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Cs/>
                      <w:color w:val="auto"/>
                      <w:sz w:val="21"/>
                      <w:szCs w:val="21"/>
                      <w:highlight w:val="none"/>
                    </w:rPr>
                    <w:t>排放量</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t/a</w:t>
                  </w:r>
                  <w:r>
                    <w:rPr>
                      <w:rFonts w:hint="default" w:ascii="Times New Roman" w:hAnsi="Times New Roman" w:eastAsia="宋体" w:cs="Times New Roman"/>
                      <w:bCs/>
                      <w:color w:val="auto"/>
                      <w:sz w:val="21"/>
                      <w:szCs w:val="21"/>
                      <w:highlight w:val="none"/>
                      <w:lang w:eastAsia="zh-CN"/>
                    </w:rPr>
                    <w:t>）</w:t>
                  </w:r>
                </w:p>
              </w:tc>
              <w:tc>
                <w:tcPr>
                  <w:tcW w:w="15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7.2973</w:t>
                  </w:r>
                </w:p>
              </w:tc>
              <w:tc>
                <w:tcPr>
                  <w:tcW w:w="753"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0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673"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128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折算浓度（mg/m³）</w:t>
                  </w:r>
                </w:p>
              </w:tc>
              <w:tc>
                <w:tcPr>
                  <w:tcW w:w="15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rPr>
                  </w:pPr>
                  <w:r>
                    <w:rPr>
                      <w:rFonts w:hint="default" w:ascii="Times New Roman" w:hAnsi="Times New Roman" w:eastAsia="宋体" w:cs="Times New Roman"/>
                      <w:bCs/>
                      <w:color w:val="auto"/>
                      <w:sz w:val="21"/>
                      <w:szCs w:val="21"/>
                      <w:highlight w:val="none"/>
                      <w:lang w:val="en-US" w:eastAsia="zh-CN"/>
                    </w:rPr>
                    <w:t>30.32</w:t>
                  </w:r>
                </w:p>
              </w:tc>
              <w:tc>
                <w:tcPr>
                  <w:tcW w:w="753"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w:t>
                  </w:r>
                </w:p>
              </w:tc>
              <w:tc>
                <w:tcPr>
                  <w:tcW w:w="701"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673"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28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速率</w:t>
                  </w:r>
                  <w:r>
                    <w:rPr>
                      <w:rFonts w:hint="default" w:ascii="Times New Roman" w:hAnsi="Times New Roman" w:eastAsia="宋体" w:cs="Times New Roman"/>
                      <w:bCs/>
                      <w:color w:val="auto"/>
                      <w:sz w:val="21"/>
                      <w:szCs w:val="21"/>
                      <w:highlight w:val="none"/>
                    </w:rPr>
                    <w:t>（kg/h）</w:t>
                  </w:r>
                </w:p>
              </w:tc>
              <w:tc>
                <w:tcPr>
                  <w:tcW w:w="15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rPr>
                  </w:pPr>
                  <w:r>
                    <w:rPr>
                      <w:rFonts w:hint="default" w:ascii="Times New Roman" w:hAnsi="Times New Roman" w:eastAsia="宋体" w:cs="Times New Roman"/>
                      <w:bCs/>
                      <w:color w:val="auto"/>
                      <w:sz w:val="21"/>
                      <w:szCs w:val="21"/>
                      <w:highlight w:val="none"/>
                      <w:lang w:val="en-US" w:eastAsia="zh-CN"/>
                    </w:rPr>
                    <w:t>3.6323</w:t>
                  </w:r>
                </w:p>
              </w:tc>
              <w:tc>
                <w:tcPr>
                  <w:tcW w:w="753"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0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673"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28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排放量</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t/a</w:t>
                  </w:r>
                  <w:r>
                    <w:rPr>
                      <w:rFonts w:hint="default" w:ascii="Times New Roman" w:hAnsi="Times New Roman" w:eastAsia="宋体" w:cs="Times New Roman"/>
                      <w:bCs/>
                      <w:color w:val="auto"/>
                      <w:sz w:val="21"/>
                      <w:szCs w:val="21"/>
                      <w:highlight w:val="none"/>
                      <w:lang w:eastAsia="zh-CN"/>
                    </w:rPr>
                    <w:t>）</w:t>
                  </w:r>
                </w:p>
              </w:tc>
              <w:tc>
                <w:tcPr>
                  <w:tcW w:w="15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rPr>
                  </w:pPr>
                  <w:r>
                    <w:rPr>
                      <w:rFonts w:hint="default" w:ascii="Times New Roman" w:hAnsi="Times New Roman" w:eastAsia="宋体" w:cs="Times New Roman"/>
                      <w:bCs/>
                      <w:color w:val="auto"/>
                      <w:sz w:val="21"/>
                      <w:szCs w:val="21"/>
                      <w:highlight w:val="none"/>
                      <w:lang w:val="en-US" w:eastAsia="zh-CN"/>
                    </w:rPr>
                    <w:t>26.1528</w:t>
                  </w:r>
                </w:p>
              </w:tc>
              <w:tc>
                <w:tcPr>
                  <w:tcW w:w="753"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0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73"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X</w:t>
                  </w:r>
                </w:p>
              </w:tc>
              <w:tc>
                <w:tcPr>
                  <w:tcW w:w="128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折算浓度（mg/m³）</w:t>
                  </w:r>
                </w:p>
              </w:tc>
              <w:tc>
                <w:tcPr>
                  <w:tcW w:w="15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rPr>
                  </w:pPr>
                  <w:r>
                    <w:rPr>
                      <w:rFonts w:hint="default" w:ascii="Times New Roman" w:hAnsi="Times New Roman" w:eastAsia="宋体" w:cs="Times New Roman"/>
                      <w:bCs/>
                      <w:color w:val="auto"/>
                      <w:sz w:val="21"/>
                      <w:szCs w:val="21"/>
                      <w:highlight w:val="none"/>
                      <w:lang w:val="en-US" w:eastAsia="zh-CN"/>
                    </w:rPr>
                    <w:t>47.77</w:t>
                  </w:r>
                </w:p>
              </w:tc>
              <w:tc>
                <w:tcPr>
                  <w:tcW w:w="753"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200</w:t>
                  </w:r>
                </w:p>
              </w:tc>
              <w:tc>
                <w:tcPr>
                  <w:tcW w:w="701"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673"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28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速率</w:t>
                  </w:r>
                  <w:r>
                    <w:rPr>
                      <w:rFonts w:hint="default" w:ascii="Times New Roman" w:hAnsi="Times New Roman" w:eastAsia="宋体" w:cs="Times New Roman"/>
                      <w:bCs/>
                      <w:color w:val="auto"/>
                      <w:sz w:val="21"/>
                      <w:szCs w:val="21"/>
                      <w:highlight w:val="none"/>
                    </w:rPr>
                    <w:t>（kg/h）</w:t>
                  </w:r>
                </w:p>
              </w:tc>
              <w:tc>
                <w:tcPr>
                  <w:tcW w:w="15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rPr>
                  </w:pPr>
                  <w:r>
                    <w:rPr>
                      <w:rFonts w:hint="default" w:ascii="Times New Roman" w:hAnsi="Times New Roman" w:eastAsia="宋体" w:cs="Times New Roman"/>
                      <w:bCs/>
                      <w:color w:val="auto"/>
                      <w:sz w:val="21"/>
                      <w:szCs w:val="21"/>
                      <w:highlight w:val="none"/>
                      <w:lang w:val="en-US" w:eastAsia="zh-CN"/>
                    </w:rPr>
                    <w:t>5.7228</w:t>
                  </w:r>
                </w:p>
              </w:tc>
              <w:tc>
                <w:tcPr>
                  <w:tcW w:w="753"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p>
              </w:tc>
              <w:tc>
                <w:tcPr>
                  <w:tcW w:w="70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 w:hRule="atLeast"/>
                <w:jc w:val="center"/>
              </w:trPr>
              <w:tc>
                <w:tcPr>
                  <w:tcW w:w="673"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28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排放量</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t/a</w:t>
                  </w:r>
                  <w:r>
                    <w:rPr>
                      <w:rFonts w:hint="default" w:ascii="Times New Roman" w:hAnsi="Times New Roman" w:eastAsia="宋体" w:cs="Times New Roman"/>
                      <w:bCs/>
                      <w:color w:val="auto"/>
                      <w:sz w:val="21"/>
                      <w:szCs w:val="21"/>
                      <w:highlight w:val="none"/>
                      <w:lang w:eastAsia="zh-CN"/>
                    </w:rPr>
                    <w:t>）</w:t>
                  </w:r>
                </w:p>
              </w:tc>
              <w:tc>
                <w:tcPr>
                  <w:tcW w:w="15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rPr>
                  </w:pPr>
                  <w:r>
                    <w:rPr>
                      <w:rFonts w:hint="default" w:ascii="Times New Roman" w:hAnsi="Times New Roman" w:eastAsia="宋体" w:cs="Times New Roman"/>
                      <w:bCs/>
                      <w:color w:val="auto"/>
                      <w:sz w:val="21"/>
                      <w:szCs w:val="21"/>
                      <w:highlight w:val="none"/>
                      <w:lang w:val="en-US" w:eastAsia="zh-CN"/>
                    </w:rPr>
                    <w:t>41.2045</w:t>
                  </w:r>
                </w:p>
              </w:tc>
              <w:tc>
                <w:tcPr>
                  <w:tcW w:w="753"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p>
              </w:tc>
              <w:tc>
                <w:tcPr>
                  <w:tcW w:w="70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
                      <w:bCs/>
                      <w:color w:val="auto"/>
                      <w:sz w:val="21"/>
                      <w:szCs w:val="21"/>
                      <w:highlight w:val="none"/>
                    </w:rPr>
                    <w:t>《砖瓦工业大气污染物排放标准》（GB29620-2013）表2排放限值</w:t>
                  </w:r>
                </w:p>
              </w:tc>
            </w:tr>
          </w:tbl>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氟化物</w:t>
            </w:r>
            <w:r>
              <w:rPr>
                <w:rFonts w:hint="default" w:ascii="Times New Roman" w:hAnsi="Times New Roman" w:eastAsia="宋体" w:cs="Times New Roman"/>
                <w:b w:val="0"/>
                <w:bCs/>
                <w:color w:val="auto"/>
                <w:sz w:val="24"/>
                <w:szCs w:val="24"/>
                <w:highlight w:val="none"/>
                <w:lang w:val="en-US" w:eastAsia="zh-CN"/>
              </w:rPr>
              <w:t>根据</w:t>
            </w:r>
            <w:r>
              <w:rPr>
                <w:rFonts w:hint="default" w:ascii="Times New Roman" w:hAnsi="Times New Roman" w:eastAsia="宋体" w:cs="Times New Roman"/>
                <w:b w:val="0"/>
                <w:bCs/>
                <w:color w:val="auto"/>
                <w:sz w:val="24"/>
                <w:szCs w:val="24"/>
                <w:highlight w:val="none"/>
              </w:rPr>
              <w:t>《</w:t>
            </w:r>
            <w:r>
              <w:rPr>
                <w:rFonts w:hint="default" w:ascii="Times New Roman" w:hAnsi="Times New Roman" w:eastAsia="宋体" w:cs="Times New Roman"/>
                <w:b w:val="0"/>
                <w:bCs/>
                <w:color w:val="auto"/>
                <w:sz w:val="24"/>
                <w:szCs w:val="24"/>
                <w:highlight w:val="none"/>
                <w:lang w:val="en-US" w:eastAsia="zh-CN"/>
              </w:rPr>
              <w:t>宜良前所月牙塘机制砖厂年产5000万块页岩砖建设项目</w:t>
            </w:r>
            <w:r>
              <w:rPr>
                <w:rFonts w:hint="default" w:ascii="Times New Roman" w:hAnsi="Times New Roman" w:eastAsia="宋体" w:cs="Times New Roman"/>
                <w:b w:val="0"/>
                <w:bCs/>
                <w:color w:val="auto"/>
                <w:kern w:val="0"/>
                <w:sz w:val="24"/>
                <w:szCs w:val="24"/>
                <w:highlight w:val="none"/>
                <w:lang w:val="en-US" w:eastAsia="zh-CN"/>
              </w:rPr>
              <w:t>竣工</w:t>
            </w:r>
            <w:r>
              <w:rPr>
                <w:rFonts w:hint="default" w:ascii="Times New Roman" w:hAnsi="Times New Roman" w:eastAsia="宋体" w:cs="Times New Roman"/>
                <w:b w:val="0"/>
                <w:bCs/>
                <w:color w:val="auto"/>
                <w:sz w:val="24"/>
                <w:szCs w:val="24"/>
                <w:highlight w:val="none"/>
                <w:lang w:val="en-US" w:eastAsia="zh-CN"/>
              </w:rPr>
              <w:t>环境保护验收报告</w:t>
            </w:r>
            <w:r>
              <w:rPr>
                <w:rFonts w:hint="default" w:ascii="Times New Roman" w:hAnsi="Times New Roman" w:eastAsia="宋体" w:cs="Times New Roman"/>
                <w:b w:val="0"/>
                <w:bCs/>
                <w:color w:val="auto"/>
                <w:sz w:val="24"/>
                <w:szCs w:val="24"/>
                <w:highlight w:val="none"/>
              </w:rPr>
              <w:t>》</w:t>
            </w:r>
            <w:r>
              <w:rPr>
                <w:rFonts w:hint="default" w:ascii="Times New Roman" w:hAnsi="Times New Roman" w:eastAsia="宋体" w:cs="Times New Roman"/>
                <w:b w:val="0"/>
                <w:bCs/>
                <w:color w:val="auto"/>
                <w:sz w:val="24"/>
                <w:szCs w:val="24"/>
                <w:highlight w:val="none"/>
                <w:lang w:val="en-US" w:eastAsia="zh-CN"/>
              </w:rPr>
              <w:t>中的监测数据</w:t>
            </w:r>
            <w:r>
              <w:rPr>
                <w:rFonts w:hint="default" w:ascii="Times New Roman" w:hAnsi="Times New Roman" w:eastAsia="宋体"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lang w:val="en-US" w:eastAsia="zh-CN"/>
              </w:rPr>
              <w:t>原有项目</w:t>
            </w:r>
            <w:r>
              <w:rPr>
                <w:rFonts w:hint="default" w:ascii="Times New Roman" w:hAnsi="Times New Roman" w:eastAsia="宋体" w:cs="Times New Roman"/>
                <w:b w:val="0"/>
                <w:bCs w:val="0"/>
                <w:color w:val="auto"/>
                <w:sz w:val="24"/>
                <w:szCs w:val="24"/>
                <w:highlight w:val="none"/>
                <w:lang w:val="en-US" w:eastAsia="zh-CN"/>
              </w:rPr>
              <w:t>氟化物排放量如下：</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表2.12-1   原项目焙烧烟气</w:t>
            </w:r>
            <w:r>
              <w:rPr>
                <w:rFonts w:hint="default" w:ascii="Times New Roman" w:hAnsi="Times New Roman" w:eastAsia="宋体" w:cs="Times New Roman"/>
                <w:b/>
                <w:color w:val="auto"/>
                <w:szCs w:val="21"/>
                <w:highlight w:val="none"/>
                <w:lang w:val="en-US" w:eastAsia="zh-CN"/>
              </w:rPr>
              <w:t>氟化物</w:t>
            </w:r>
            <w:r>
              <w:rPr>
                <w:rFonts w:hint="default" w:ascii="Times New Roman" w:hAnsi="Times New Roman" w:eastAsia="宋体" w:cs="Times New Roman"/>
                <w:b/>
                <w:color w:val="auto"/>
                <w:szCs w:val="21"/>
                <w:highlight w:val="none"/>
              </w:rPr>
              <w:t>监测结果</w:t>
            </w:r>
          </w:p>
          <w:tbl>
            <w:tblPr>
              <w:tblStyle w:val="23"/>
              <w:tblW w:w="7955"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55"/>
              <w:gridCol w:w="1187"/>
              <w:gridCol w:w="581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0" w:type="pct"/>
                  <w:vMerge w:val="restart"/>
                  <w:tcBorders>
                    <w:top w:val="single" w:color="auto" w:sz="4" w:space="0"/>
                    <w:left w:val="single" w:color="auto" w:sz="12"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样品编号</w:t>
                  </w:r>
                </w:p>
              </w:tc>
              <w:tc>
                <w:tcPr>
                  <w:tcW w:w="74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监测日期</w:t>
                  </w:r>
                </w:p>
              </w:tc>
              <w:tc>
                <w:tcPr>
                  <w:tcW w:w="36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氟化物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p>
              </w:tc>
              <w:tc>
                <w:tcPr>
                  <w:tcW w:w="74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p>
              </w:tc>
              <w:tc>
                <w:tcPr>
                  <w:tcW w:w="36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排放口浓度（mg/m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74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2019/08/08</w:t>
                  </w:r>
                </w:p>
              </w:tc>
              <w:tc>
                <w:tcPr>
                  <w:tcW w:w="36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88" w:leftChars="0"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1.24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74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p>
              </w:tc>
              <w:tc>
                <w:tcPr>
                  <w:tcW w:w="36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88" w:leftChars="0"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1.36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74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p>
              </w:tc>
              <w:tc>
                <w:tcPr>
                  <w:tcW w:w="36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88" w:leftChars="0"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1.07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46"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36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1.22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74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2019/08/9</w:t>
                  </w:r>
                </w:p>
              </w:tc>
              <w:tc>
                <w:tcPr>
                  <w:tcW w:w="36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88" w:leftChars="0"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1.16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74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p>
              </w:tc>
              <w:tc>
                <w:tcPr>
                  <w:tcW w:w="36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88" w:leftChars="0"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1.38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74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p>
              </w:tc>
              <w:tc>
                <w:tcPr>
                  <w:tcW w:w="36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88" w:leftChars="0"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1.26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46"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36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88" w:leftChars="0"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1.27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46"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标准限值</w:t>
                  </w:r>
                </w:p>
              </w:tc>
              <w:tc>
                <w:tcPr>
                  <w:tcW w:w="36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88" w:leftChars="0"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46"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达标评价</w:t>
                  </w:r>
                </w:p>
              </w:tc>
              <w:tc>
                <w:tcPr>
                  <w:tcW w:w="36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88" w:leftChars="0"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89" w:leftChars="0" w:right="0" w:hanging="89" w:hangingChars="42"/>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
                      <w:bCs/>
                      <w:color w:val="auto"/>
                      <w:sz w:val="21"/>
                      <w:szCs w:val="21"/>
                      <w:highlight w:val="none"/>
                    </w:rPr>
                    <w:t>《砖瓦工业大气污染物排放标准》（GB29620-2013）表2排放限值</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根据监测结果原有项目氟化物最大产生量为0.4697t/a</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0.0652</w:t>
            </w:r>
            <w:r>
              <w:rPr>
                <w:rFonts w:hint="default" w:ascii="Times New Roman" w:hAnsi="Times New Roman" w:eastAsia="宋体" w:cs="Times New Roman"/>
                <w:b w:val="0"/>
                <w:bCs w:val="0"/>
                <w:color w:val="auto"/>
                <w:sz w:val="24"/>
                <w:szCs w:val="24"/>
                <w:highlight w:val="none"/>
              </w:rPr>
              <w:t>kg/h</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，排放浓度为</w:t>
            </w:r>
            <w:r>
              <w:rPr>
                <w:rFonts w:hint="default" w:ascii="Times New Roman" w:hAnsi="Times New Roman" w:eastAsia="宋体" w:cs="Times New Roman"/>
                <w:b w:val="0"/>
                <w:bCs w:val="0"/>
                <w:color w:val="auto"/>
                <w:sz w:val="24"/>
                <w:szCs w:val="24"/>
                <w:highlight w:val="none"/>
                <w:lang w:val="en-US" w:eastAsia="zh-CN"/>
              </w:rPr>
              <w:t>1.27</w:t>
            </w:r>
            <w:r>
              <w:rPr>
                <w:rFonts w:hint="default" w:ascii="Times New Roman" w:hAnsi="Times New Roman" w:eastAsia="宋体" w:cs="Times New Roman"/>
                <w:b w:val="0"/>
                <w:bCs w:val="0"/>
                <w:color w:val="auto"/>
                <w:sz w:val="24"/>
                <w:szCs w:val="24"/>
                <w:highlight w:val="none"/>
              </w:rPr>
              <w:t>mg/m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当原有项目生产达到满负荷时，原有项目</w:t>
            </w:r>
            <w:r>
              <w:rPr>
                <w:rFonts w:hint="default" w:ascii="Times New Roman" w:hAnsi="Times New Roman" w:eastAsia="宋体" w:cs="Times New Roman"/>
                <w:color w:val="auto"/>
                <w:sz w:val="24"/>
                <w:highlight w:val="none"/>
              </w:rPr>
              <w:t>烟尘排放量为</w:t>
            </w:r>
            <w:r>
              <w:rPr>
                <w:rFonts w:hint="default" w:ascii="Times New Roman" w:hAnsi="Times New Roman" w:eastAsia="宋体" w:cs="Times New Roman"/>
                <w:color w:val="auto"/>
                <w:sz w:val="24"/>
                <w:highlight w:val="none"/>
                <w:lang w:val="en-US" w:eastAsia="zh-CN"/>
              </w:rPr>
              <w:t>12.1621</w:t>
            </w:r>
            <w:r>
              <w:rPr>
                <w:rFonts w:hint="default" w:ascii="Times New Roman" w:hAnsi="Times New Roman" w:eastAsia="宋体" w:cs="Times New Roman"/>
                <w:color w:val="auto"/>
                <w:sz w:val="24"/>
                <w:highlight w:val="none"/>
              </w:rPr>
              <w:t>t/a（</w:t>
            </w:r>
            <w:r>
              <w:rPr>
                <w:rFonts w:hint="default" w:ascii="Times New Roman" w:hAnsi="Times New Roman" w:eastAsia="宋体" w:cs="Times New Roman"/>
                <w:color w:val="auto"/>
                <w:sz w:val="24"/>
                <w:highlight w:val="none"/>
                <w:lang w:val="en-US" w:eastAsia="zh-CN"/>
              </w:rPr>
              <w:t>1.6892</w:t>
            </w:r>
            <w:r>
              <w:rPr>
                <w:rFonts w:hint="default" w:ascii="Times New Roman" w:hAnsi="Times New Roman" w:eastAsia="宋体" w:cs="Times New Roman"/>
                <w:color w:val="auto"/>
                <w:sz w:val="24"/>
                <w:highlight w:val="none"/>
              </w:rPr>
              <w:t>kg/h），排放浓度为</w:t>
            </w:r>
            <w:r>
              <w:rPr>
                <w:rFonts w:hint="default" w:ascii="Times New Roman" w:hAnsi="Times New Roman" w:eastAsia="宋体" w:cs="Times New Roman"/>
                <w:color w:val="auto"/>
                <w:sz w:val="24"/>
                <w:highlight w:val="none"/>
                <w:lang w:val="en-US" w:eastAsia="zh-CN"/>
              </w:rPr>
              <w:t>28.153</w:t>
            </w:r>
            <w:r>
              <w:rPr>
                <w:rFonts w:hint="default" w:ascii="Times New Roman" w:hAnsi="Times New Roman" w:eastAsia="宋体" w:cs="Times New Roman"/>
                <w:color w:val="auto"/>
                <w:sz w:val="24"/>
                <w:highlight w:val="none"/>
              </w:rPr>
              <w:t>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二氧化硫</w:t>
            </w:r>
            <w:r>
              <w:rPr>
                <w:rFonts w:hint="default" w:ascii="Times New Roman" w:hAnsi="Times New Roman" w:eastAsia="宋体" w:cs="Times New Roman"/>
                <w:color w:val="auto"/>
                <w:sz w:val="24"/>
                <w:highlight w:val="none"/>
              </w:rPr>
              <w:t>排放量为</w:t>
            </w:r>
            <w:r>
              <w:rPr>
                <w:rFonts w:hint="default" w:ascii="Times New Roman" w:hAnsi="Times New Roman" w:eastAsia="宋体" w:cs="Times New Roman"/>
                <w:color w:val="auto"/>
                <w:sz w:val="24"/>
                <w:highlight w:val="none"/>
                <w:lang w:val="en-US" w:eastAsia="zh-CN"/>
              </w:rPr>
              <w:t>43.588</w:t>
            </w:r>
            <w:r>
              <w:rPr>
                <w:rFonts w:hint="default" w:ascii="Times New Roman" w:hAnsi="Times New Roman" w:eastAsia="宋体" w:cs="Times New Roman"/>
                <w:color w:val="auto"/>
                <w:sz w:val="24"/>
                <w:highlight w:val="none"/>
              </w:rPr>
              <w:t>t/a（</w:t>
            </w:r>
            <w:r>
              <w:rPr>
                <w:rFonts w:hint="default" w:ascii="Times New Roman" w:hAnsi="Times New Roman" w:eastAsia="宋体" w:cs="Times New Roman"/>
                <w:color w:val="auto"/>
                <w:sz w:val="24"/>
                <w:highlight w:val="none"/>
                <w:lang w:val="en-US" w:eastAsia="zh-CN"/>
              </w:rPr>
              <w:t>6.0539</w:t>
            </w:r>
            <w:r>
              <w:rPr>
                <w:rFonts w:hint="default" w:ascii="Times New Roman" w:hAnsi="Times New Roman" w:eastAsia="宋体" w:cs="Times New Roman"/>
                <w:color w:val="auto"/>
                <w:sz w:val="24"/>
                <w:highlight w:val="none"/>
              </w:rPr>
              <w:t>kg/h），排放浓度为</w:t>
            </w:r>
            <w:r>
              <w:rPr>
                <w:rFonts w:hint="default" w:ascii="Times New Roman" w:hAnsi="Times New Roman" w:eastAsia="宋体" w:cs="Times New Roman"/>
                <w:color w:val="auto"/>
                <w:sz w:val="24"/>
                <w:highlight w:val="none"/>
                <w:lang w:val="en-US" w:eastAsia="zh-CN"/>
              </w:rPr>
              <w:t>100.8982</w:t>
            </w:r>
            <w:r>
              <w:rPr>
                <w:rFonts w:hint="default" w:ascii="Times New Roman" w:hAnsi="Times New Roman" w:eastAsia="宋体" w:cs="Times New Roman"/>
                <w:color w:val="auto"/>
                <w:sz w:val="24"/>
                <w:highlight w:val="none"/>
              </w:rPr>
              <w:t>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氮氧化物</w:t>
            </w:r>
            <w:r>
              <w:rPr>
                <w:rFonts w:hint="default" w:ascii="Times New Roman" w:hAnsi="Times New Roman" w:eastAsia="宋体" w:cs="Times New Roman"/>
                <w:color w:val="auto"/>
                <w:sz w:val="24"/>
                <w:highlight w:val="none"/>
              </w:rPr>
              <w:t>排放量为</w:t>
            </w:r>
            <w:r>
              <w:rPr>
                <w:rFonts w:hint="default" w:ascii="Times New Roman" w:hAnsi="Times New Roman" w:eastAsia="宋体" w:cs="Times New Roman"/>
                <w:color w:val="auto"/>
                <w:sz w:val="24"/>
                <w:highlight w:val="none"/>
                <w:lang w:val="en-US" w:eastAsia="zh-CN"/>
              </w:rPr>
              <w:t>68.6742</w:t>
            </w:r>
            <w:r>
              <w:rPr>
                <w:rFonts w:hint="default" w:ascii="Times New Roman" w:hAnsi="Times New Roman" w:eastAsia="宋体" w:cs="Times New Roman"/>
                <w:color w:val="auto"/>
                <w:sz w:val="24"/>
                <w:highlight w:val="none"/>
              </w:rPr>
              <w:t>t/a（</w:t>
            </w:r>
            <w:r>
              <w:rPr>
                <w:rFonts w:hint="default" w:ascii="Times New Roman" w:hAnsi="Times New Roman" w:eastAsia="宋体" w:cs="Times New Roman"/>
                <w:color w:val="auto"/>
                <w:sz w:val="24"/>
                <w:highlight w:val="none"/>
                <w:lang w:val="en-US" w:eastAsia="zh-CN"/>
              </w:rPr>
              <w:t>9.5381</w:t>
            </w:r>
            <w:r>
              <w:rPr>
                <w:rFonts w:hint="default" w:ascii="Times New Roman" w:hAnsi="Times New Roman" w:eastAsia="宋体" w:cs="Times New Roman"/>
                <w:color w:val="auto"/>
                <w:sz w:val="24"/>
                <w:highlight w:val="none"/>
              </w:rPr>
              <w:t>kg/h），排放浓度为</w:t>
            </w:r>
            <w:r>
              <w:rPr>
                <w:rFonts w:hint="default" w:ascii="Times New Roman" w:hAnsi="Times New Roman" w:eastAsia="宋体" w:cs="Times New Roman"/>
                <w:color w:val="auto"/>
                <w:sz w:val="24"/>
                <w:highlight w:val="none"/>
                <w:lang w:val="en-US" w:eastAsia="zh-CN"/>
              </w:rPr>
              <w:t>158.9679</w:t>
            </w:r>
            <w:r>
              <w:rPr>
                <w:rFonts w:hint="default" w:ascii="Times New Roman" w:hAnsi="Times New Roman" w:eastAsia="宋体" w:cs="Times New Roman"/>
                <w:color w:val="auto"/>
                <w:sz w:val="24"/>
                <w:highlight w:val="none"/>
              </w:rPr>
              <w:t>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b w:val="0"/>
                <w:bCs w:val="0"/>
                <w:color w:val="auto"/>
                <w:kern w:val="0"/>
                <w:sz w:val="24"/>
                <w:szCs w:val="24"/>
                <w:highlight w:val="none"/>
                <w:lang w:bidi="ar"/>
              </w:rPr>
              <w:t>氟化物排放量为</w:t>
            </w:r>
            <w:r>
              <w:rPr>
                <w:rFonts w:hint="default" w:ascii="Times New Roman" w:hAnsi="Times New Roman" w:eastAsia="宋体" w:cs="Times New Roman"/>
                <w:b w:val="0"/>
                <w:bCs w:val="0"/>
                <w:color w:val="auto"/>
                <w:kern w:val="0"/>
                <w:sz w:val="24"/>
                <w:szCs w:val="24"/>
                <w:highlight w:val="none"/>
                <w:lang w:val="en-US" w:eastAsia="zh-CN" w:bidi="ar"/>
              </w:rPr>
              <w:t>0.7828</w:t>
            </w:r>
            <w:r>
              <w:rPr>
                <w:rFonts w:hint="default" w:ascii="Times New Roman" w:hAnsi="Times New Roman" w:eastAsia="宋体" w:cs="Times New Roman"/>
                <w:b w:val="0"/>
                <w:bCs w:val="0"/>
                <w:color w:val="auto"/>
                <w:kern w:val="0"/>
                <w:sz w:val="24"/>
                <w:szCs w:val="24"/>
                <w:highlight w:val="none"/>
                <w:lang w:bidi="ar"/>
              </w:rPr>
              <w:t>t/a</w:t>
            </w:r>
            <w:r>
              <w:rPr>
                <w:rFonts w:hint="default" w:ascii="Times New Roman" w:hAnsi="Times New Roman" w:eastAsia="宋体" w:cs="Times New Roman"/>
                <w:b w:val="0"/>
                <w:bCs w:val="0"/>
                <w:color w:val="auto"/>
                <w:kern w:val="0"/>
                <w:sz w:val="24"/>
                <w:szCs w:val="24"/>
                <w:highlight w:val="none"/>
                <w:lang w:eastAsia="zh-CN" w:bidi="ar"/>
              </w:rPr>
              <w:t>（</w:t>
            </w:r>
            <w:r>
              <w:rPr>
                <w:rFonts w:hint="default" w:ascii="Times New Roman" w:hAnsi="Times New Roman" w:eastAsia="宋体" w:cs="Times New Roman"/>
                <w:b w:val="0"/>
                <w:bCs w:val="0"/>
                <w:color w:val="auto"/>
                <w:sz w:val="24"/>
                <w:szCs w:val="24"/>
                <w:highlight w:val="none"/>
                <w:lang w:val="en-US" w:eastAsia="zh-CN"/>
              </w:rPr>
              <w:t>0.1087</w:t>
            </w:r>
            <w:r>
              <w:rPr>
                <w:rFonts w:hint="default" w:ascii="Times New Roman" w:hAnsi="Times New Roman" w:eastAsia="宋体" w:cs="Times New Roman"/>
                <w:b w:val="0"/>
                <w:bCs w:val="0"/>
                <w:color w:val="auto"/>
                <w:sz w:val="24"/>
                <w:szCs w:val="24"/>
                <w:highlight w:val="none"/>
              </w:rPr>
              <w:t>kg/h</w:t>
            </w:r>
            <w:r>
              <w:rPr>
                <w:rFonts w:hint="default" w:ascii="Times New Roman" w:hAnsi="Times New Roman" w:eastAsia="宋体" w:cs="Times New Roman"/>
                <w:b w:val="0"/>
                <w:bCs w:val="0"/>
                <w:color w:val="auto"/>
                <w:kern w:val="0"/>
                <w:sz w:val="24"/>
                <w:szCs w:val="24"/>
                <w:highlight w:val="none"/>
                <w:lang w:eastAsia="zh-CN" w:bidi="ar"/>
              </w:rPr>
              <w:t>）</w:t>
            </w:r>
            <w:r>
              <w:rPr>
                <w:rFonts w:hint="default" w:ascii="Times New Roman" w:hAnsi="Times New Roman" w:eastAsia="宋体" w:cs="Times New Roman"/>
                <w:b w:val="0"/>
                <w:bCs w:val="0"/>
                <w:color w:val="auto"/>
                <w:kern w:val="0"/>
                <w:sz w:val="24"/>
                <w:szCs w:val="24"/>
                <w:highlight w:val="none"/>
                <w:lang w:bidi="ar"/>
              </w:rPr>
              <w:t>，</w:t>
            </w:r>
            <w:r>
              <w:rPr>
                <w:rFonts w:hint="default" w:ascii="Times New Roman" w:hAnsi="Times New Roman" w:eastAsia="宋体" w:cs="Times New Roman"/>
                <w:b w:val="0"/>
                <w:bCs w:val="0"/>
                <w:color w:val="auto"/>
                <w:sz w:val="24"/>
                <w:szCs w:val="24"/>
                <w:highlight w:val="none"/>
              </w:rPr>
              <w:t>排放浓度为</w:t>
            </w:r>
            <w:r>
              <w:rPr>
                <w:rFonts w:hint="default" w:ascii="Times New Roman" w:hAnsi="Times New Roman" w:eastAsia="宋体" w:cs="Times New Roman"/>
                <w:b w:val="0"/>
                <w:bCs w:val="0"/>
                <w:color w:val="auto"/>
                <w:sz w:val="24"/>
                <w:szCs w:val="24"/>
                <w:highlight w:val="none"/>
                <w:lang w:val="en-US" w:eastAsia="zh-CN"/>
              </w:rPr>
              <w:t>1.8121</w:t>
            </w:r>
            <w:r>
              <w:rPr>
                <w:rFonts w:hint="default" w:ascii="Times New Roman" w:hAnsi="Times New Roman" w:eastAsia="宋体" w:cs="Times New Roman"/>
                <w:b w:val="0"/>
                <w:bCs w:val="0"/>
                <w:color w:val="auto"/>
                <w:sz w:val="24"/>
                <w:szCs w:val="24"/>
                <w:highlight w:val="none"/>
              </w:rPr>
              <w:t>mg/m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根据</w:t>
            </w:r>
            <w:r>
              <w:rPr>
                <w:rFonts w:hint="default" w:ascii="Times New Roman" w:hAnsi="Times New Roman" w:eastAsia="宋体" w:cs="Times New Roman"/>
                <w:b w:val="0"/>
                <w:bCs w:val="0"/>
                <w:color w:val="auto"/>
                <w:sz w:val="24"/>
                <w:szCs w:val="24"/>
                <w:highlight w:val="none"/>
                <w:lang w:val="en-US" w:eastAsia="zh-CN"/>
              </w:rPr>
              <w:t>核算</w:t>
            </w:r>
            <w:r>
              <w:rPr>
                <w:rFonts w:hint="default" w:ascii="Times New Roman" w:hAnsi="Times New Roman" w:eastAsia="宋体" w:cs="Times New Roman"/>
                <w:b w:val="0"/>
                <w:bCs w:val="0"/>
                <w:color w:val="auto"/>
                <w:sz w:val="24"/>
                <w:szCs w:val="24"/>
                <w:highlight w:val="none"/>
              </w:rPr>
              <w:t>结果</w:t>
            </w:r>
            <w:r>
              <w:rPr>
                <w:rFonts w:hint="default" w:ascii="Times New Roman" w:hAnsi="Times New Roman" w:eastAsia="宋体" w:cs="Times New Roman"/>
                <w:b w:val="0"/>
                <w:bCs w:val="0"/>
                <w:color w:val="auto"/>
                <w:sz w:val="24"/>
                <w:szCs w:val="24"/>
                <w:highlight w:val="none"/>
                <w:lang w:val="en-US" w:eastAsia="zh-CN"/>
              </w:rPr>
              <w:t>原有项目</w:t>
            </w:r>
            <w:r>
              <w:rPr>
                <w:rFonts w:hint="default" w:ascii="Times New Roman" w:hAnsi="Times New Roman" w:eastAsia="宋体" w:cs="Times New Roman"/>
                <w:b w:val="0"/>
                <w:bCs w:val="0"/>
                <w:color w:val="auto"/>
                <w:sz w:val="24"/>
                <w:szCs w:val="24"/>
                <w:highlight w:val="none"/>
              </w:rPr>
              <w:t>焙烧烟气</w:t>
            </w:r>
            <w:r>
              <w:rPr>
                <w:rFonts w:hint="default" w:ascii="Times New Roman" w:hAnsi="Times New Roman" w:eastAsia="宋体" w:cs="Times New Roman"/>
                <w:b w:val="0"/>
                <w:bCs w:val="0"/>
                <w:color w:val="auto"/>
                <w:sz w:val="24"/>
                <w:highlight w:val="none"/>
                <w:lang w:val="en-US" w:eastAsia="zh-CN"/>
              </w:rPr>
              <w:t>能够达到《砖瓦工业大气污</w:t>
            </w:r>
            <w:r>
              <w:rPr>
                <w:rFonts w:hint="default" w:ascii="Times New Roman" w:hAnsi="Times New Roman" w:eastAsia="宋体" w:cs="Times New Roman"/>
                <w:b w:val="0"/>
                <w:bCs w:val="0"/>
                <w:color w:val="auto"/>
                <w:sz w:val="24"/>
                <w:highlight w:val="none"/>
              </w:rPr>
              <w:t>染物排放标</w:t>
            </w:r>
            <w:r>
              <w:rPr>
                <w:rFonts w:hint="default" w:ascii="Times New Roman" w:hAnsi="Times New Roman" w:eastAsia="宋体" w:cs="Times New Roman"/>
                <w:b w:val="0"/>
                <w:bCs w:val="0"/>
                <w:color w:val="auto"/>
                <w:sz w:val="24"/>
                <w:szCs w:val="24"/>
                <w:highlight w:val="none"/>
              </w:rPr>
              <w:t>准》（GB29620-2013）中新建企业大气污染物排放限值</w:t>
            </w:r>
            <w:r>
              <w:rPr>
                <w:rFonts w:hint="default" w:ascii="Times New Roman" w:hAnsi="Times New Roman" w:eastAsia="宋体" w:cs="Times New Roman"/>
                <w:b w:val="0"/>
                <w:bCs w:val="0"/>
                <w:color w:val="auto"/>
                <w:sz w:val="24"/>
                <w:szCs w:val="24"/>
                <w:highlight w:val="none"/>
                <w:lang w:val="en-US" w:eastAsia="zh-CN"/>
              </w:rPr>
              <w:t>要求，对环境影响较小。</w:t>
            </w:r>
          </w:p>
          <w:p>
            <w:pPr>
              <w:pStyle w:val="83"/>
              <w:keepNext w:val="0"/>
              <w:keepLines w:val="0"/>
              <w:suppressLineNumbers w:val="0"/>
              <w:spacing w:before="0" w:beforeAutospacing="0" w:after="0" w:afterAutospacing="0"/>
              <w:ind w:left="0" w:right="0" w:firstLine="482"/>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②原料堆场粉尘</w:t>
            </w:r>
          </w:p>
          <w:p>
            <w:pPr>
              <w:pStyle w:val="83"/>
              <w:keepNext w:val="0"/>
              <w:keepLines w:val="0"/>
              <w:suppressLineNumbers w:val="0"/>
              <w:spacing w:before="0" w:beforeAutospacing="0" w:after="0" w:afterAutospacing="0"/>
              <w:ind w:left="0" w:right="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rPr>
              <w:t>原料堆场粉尘参考《逸散性工业粉尘控制技术》中卡车卸料时排放粉尘的产生量为0.02kg/t卸料。年耗</w:t>
            </w:r>
            <w:r>
              <w:rPr>
                <w:rFonts w:hint="default" w:ascii="Times New Roman" w:hAnsi="Times New Roman" w:eastAsia="宋体" w:cs="Times New Roman"/>
                <w:color w:val="auto"/>
                <w:sz w:val="24"/>
                <w:szCs w:val="24"/>
                <w:highlight w:val="none"/>
                <w:lang w:val="en-US" w:eastAsia="zh-CN"/>
              </w:rPr>
              <w:t>物料量为183521</w:t>
            </w:r>
            <w:r>
              <w:rPr>
                <w:rFonts w:hint="default" w:ascii="Times New Roman" w:hAnsi="Times New Roman" w:eastAsia="宋体" w:cs="Times New Roman"/>
                <w:color w:val="auto"/>
                <w:sz w:val="24"/>
                <w:szCs w:val="24"/>
                <w:highlight w:val="none"/>
              </w:rPr>
              <w:t>吨。则粉尘产生量为</w:t>
            </w:r>
            <w:r>
              <w:rPr>
                <w:rFonts w:hint="default" w:ascii="Times New Roman" w:hAnsi="Times New Roman" w:eastAsia="宋体" w:cs="Times New Roman"/>
                <w:color w:val="auto"/>
                <w:sz w:val="24"/>
                <w:szCs w:val="24"/>
                <w:highlight w:val="none"/>
                <w:lang w:val="en-US" w:eastAsia="zh-CN"/>
              </w:rPr>
              <w:t>2.96</w:t>
            </w:r>
            <w:r>
              <w:rPr>
                <w:rFonts w:hint="default" w:ascii="Times New Roman" w:hAnsi="Times New Roman" w:eastAsia="宋体" w:cs="Times New Roman"/>
                <w:color w:val="auto"/>
                <w:sz w:val="24"/>
                <w:szCs w:val="24"/>
                <w:highlight w:val="none"/>
              </w:rPr>
              <w:t>t/a。粉尘通过洒水降尘处理效率为70%，则原料堆场粉尘排放量为</w:t>
            </w:r>
            <w:r>
              <w:rPr>
                <w:rFonts w:hint="default" w:ascii="Times New Roman" w:hAnsi="Times New Roman" w:eastAsia="宋体" w:cs="Times New Roman"/>
                <w:color w:val="auto"/>
                <w:sz w:val="24"/>
                <w:szCs w:val="24"/>
                <w:highlight w:val="none"/>
                <w:lang w:val="en-US" w:eastAsia="zh-CN"/>
              </w:rPr>
              <w:t>0.888</w:t>
            </w:r>
            <w:r>
              <w:rPr>
                <w:rFonts w:hint="default" w:ascii="Times New Roman" w:hAnsi="Times New Roman" w:eastAsia="宋体" w:cs="Times New Roman"/>
                <w:color w:val="auto"/>
                <w:sz w:val="24"/>
                <w:szCs w:val="24"/>
                <w:highlight w:val="none"/>
              </w:rPr>
              <w:t>t/a。</w:t>
            </w:r>
          </w:p>
          <w:p>
            <w:pPr>
              <w:pStyle w:val="83"/>
              <w:keepNext w:val="0"/>
              <w:keepLines w:val="0"/>
              <w:suppressLineNumbers w:val="0"/>
              <w:spacing w:before="0" w:beforeAutospacing="0" w:after="0" w:afterAutospacing="0"/>
              <w:ind w:left="0" w:right="0" w:firstLine="482"/>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③搅拌粉尘</w:t>
            </w:r>
          </w:p>
          <w:p>
            <w:pPr>
              <w:pStyle w:val="83"/>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搅拌粉尘根据</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sz w:val="24"/>
                <w:szCs w:val="24"/>
                <w:highlight w:val="none"/>
              </w:rPr>
              <w:t>排放源统计调查产排污核算方法和系数手册</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val="en-US" w:eastAsia="zh-CN"/>
              </w:rPr>
              <w:t>中</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3031 粘土砖瓦及建筑砌块制造系数表</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颗粒物</w:t>
            </w:r>
            <w:r>
              <w:rPr>
                <w:rFonts w:hint="default" w:ascii="Times New Roman" w:hAnsi="Times New Roman" w:eastAsia="宋体" w:cs="Times New Roman"/>
                <w:color w:val="auto"/>
                <w:sz w:val="24"/>
                <w:szCs w:val="24"/>
                <w:highlight w:val="none"/>
              </w:rPr>
              <w:t>按1.232千克/万块标砖计算，原有项目年产</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000万块页岩砖，则粉尘产生量为</w:t>
            </w:r>
            <w:r>
              <w:rPr>
                <w:rFonts w:hint="default" w:ascii="Times New Roman" w:hAnsi="Times New Roman" w:eastAsia="宋体" w:cs="Times New Roman"/>
                <w:color w:val="auto"/>
                <w:sz w:val="24"/>
                <w:szCs w:val="24"/>
                <w:highlight w:val="none"/>
                <w:lang w:val="en-US" w:eastAsia="zh-CN"/>
              </w:rPr>
              <w:t>6.16</w:t>
            </w:r>
            <w:r>
              <w:rPr>
                <w:rFonts w:hint="default" w:ascii="Times New Roman" w:hAnsi="Times New Roman" w:eastAsia="宋体" w:cs="Times New Roman"/>
                <w:color w:val="auto"/>
                <w:sz w:val="24"/>
                <w:szCs w:val="24"/>
                <w:highlight w:val="none"/>
              </w:rPr>
              <w:t>t/a。搅拌原料时含水率为13%，降尘效率</w:t>
            </w:r>
            <w:r>
              <w:rPr>
                <w:rFonts w:hint="default" w:ascii="Times New Roman" w:hAnsi="Times New Roman" w:eastAsia="宋体" w:cs="Times New Roman"/>
                <w:color w:val="auto"/>
                <w:sz w:val="24"/>
                <w:szCs w:val="24"/>
                <w:highlight w:val="none"/>
                <w:lang w:val="en-US" w:eastAsia="zh-CN"/>
              </w:rPr>
              <w:t>可达到85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左右</w:t>
            </w:r>
            <w:r>
              <w:rPr>
                <w:rFonts w:hint="default" w:ascii="Times New Roman" w:hAnsi="Times New Roman" w:eastAsia="宋体" w:cs="Times New Roman"/>
                <w:color w:val="auto"/>
                <w:sz w:val="24"/>
                <w:szCs w:val="24"/>
                <w:highlight w:val="none"/>
              </w:rPr>
              <w:t>，则</w:t>
            </w:r>
            <w:r>
              <w:rPr>
                <w:rFonts w:hint="default" w:ascii="Times New Roman" w:hAnsi="Times New Roman" w:eastAsia="宋体" w:cs="Times New Roman"/>
                <w:color w:val="auto"/>
                <w:sz w:val="24"/>
                <w:szCs w:val="24"/>
                <w:highlight w:val="none"/>
                <w:lang w:val="en-US" w:eastAsia="zh-CN"/>
              </w:rPr>
              <w:t>原有</w:t>
            </w:r>
            <w:r>
              <w:rPr>
                <w:rFonts w:hint="default" w:ascii="Times New Roman" w:hAnsi="Times New Roman" w:eastAsia="宋体" w:cs="Times New Roman"/>
                <w:color w:val="auto"/>
                <w:sz w:val="24"/>
                <w:szCs w:val="24"/>
                <w:highlight w:val="none"/>
              </w:rPr>
              <w:t>项目搅拌粉尘排放量为</w:t>
            </w:r>
            <w:r>
              <w:rPr>
                <w:rFonts w:hint="default" w:ascii="Times New Roman" w:hAnsi="Times New Roman" w:eastAsia="宋体" w:cs="Times New Roman"/>
                <w:color w:val="auto"/>
                <w:sz w:val="24"/>
                <w:szCs w:val="24"/>
                <w:highlight w:val="none"/>
                <w:lang w:val="en-US" w:eastAsia="zh-CN"/>
              </w:rPr>
              <w:t>0.924</w:t>
            </w:r>
            <w:r>
              <w:rPr>
                <w:rFonts w:hint="default" w:ascii="Times New Roman" w:hAnsi="Times New Roman" w:eastAsia="宋体" w:cs="Times New Roman"/>
                <w:color w:val="auto"/>
                <w:sz w:val="24"/>
                <w:szCs w:val="24"/>
                <w:highlight w:val="none"/>
              </w:rPr>
              <w:t>t/a。</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④破碎、筛分粉尘</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根据</w:t>
            </w:r>
            <w:r>
              <w:rPr>
                <w:rFonts w:hint="default" w:ascii="Times New Roman" w:hAnsi="Times New Roman" w:eastAsia="宋体" w:cs="Times New Roman"/>
                <w:b w:val="0"/>
                <w:bCs/>
                <w:color w:val="auto"/>
                <w:sz w:val="24"/>
                <w:szCs w:val="24"/>
                <w:highlight w:val="none"/>
              </w:rPr>
              <w:t>《</w:t>
            </w:r>
            <w:r>
              <w:rPr>
                <w:rFonts w:hint="default" w:ascii="Times New Roman" w:hAnsi="Times New Roman" w:eastAsia="宋体" w:cs="Times New Roman"/>
                <w:b w:val="0"/>
                <w:bCs/>
                <w:color w:val="auto"/>
                <w:sz w:val="24"/>
                <w:szCs w:val="24"/>
                <w:highlight w:val="none"/>
                <w:lang w:val="en-US" w:eastAsia="zh-CN"/>
              </w:rPr>
              <w:t>宜良前所月牙塘机制砖厂年产5000万块页岩砖建设项目</w:t>
            </w:r>
            <w:r>
              <w:rPr>
                <w:rFonts w:hint="default" w:ascii="Times New Roman" w:hAnsi="Times New Roman" w:eastAsia="宋体" w:cs="Times New Roman"/>
                <w:b w:val="0"/>
                <w:bCs/>
                <w:color w:val="auto"/>
                <w:kern w:val="0"/>
                <w:sz w:val="24"/>
                <w:szCs w:val="24"/>
                <w:highlight w:val="none"/>
                <w:lang w:val="en-US" w:eastAsia="zh-CN"/>
              </w:rPr>
              <w:t>竣工</w:t>
            </w:r>
            <w:r>
              <w:rPr>
                <w:rFonts w:hint="default" w:ascii="Times New Roman" w:hAnsi="Times New Roman" w:eastAsia="宋体" w:cs="Times New Roman"/>
                <w:b w:val="0"/>
                <w:bCs/>
                <w:color w:val="auto"/>
                <w:sz w:val="24"/>
                <w:szCs w:val="24"/>
                <w:highlight w:val="none"/>
                <w:lang w:val="en-US" w:eastAsia="zh-CN"/>
              </w:rPr>
              <w:t>环境保护验收报告</w:t>
            </w:r>
            <w:r>
              <w:rPr>
                <w:rFonts w:hint="default" w:ascii="Times New Roman" w:hAnsi="Times New Roman" w:eastAsia="宋体" w:cs="Times New Roman"/>
                <w:b w:val="0"/>
                <w:bCs/>
                <w:color w:val="auto"/>
                <w:sz w:val="24"/>
                <w:szCs w:val="24"/>
                <w:highlight w:val="none"/>
              </w:rPr>
              <w:t>》</w:t>
            </w:r>
            <w:r>
              <w:rPr>
                <w:rFonts w:hint="default" w:ascii="Times New Roman" w:hAnsi="Times New Roman" w:eastAsia="宋体" w:cs="Times New Roman"/>
                <w:b w:val="0"/>
                <w:bCs/>
                <w:color w:val="auto"/>
                <w:sz w:val="24"/>
                <w:szCs w:val="24"/>
                <w:highlight w:val="none"/>
                <w:lang w:val="en-US" w:eastAsia="zh-CN"/>
              </w:rPr>
              <w:t>中的监测数据</w:t>
            </w:r>
            <w:r>
              <w:rPr>
                <w:rFonts w:hint="default" w:ascii="Times New Roman" w:hAnsi="Times New Roman" w:eastAsia="宋体"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lang w:val="en-US" w:eastAsia="zh-CN"/>
              </w:rPr>
              <w:t>原有项目</w:t>
            </w:r>
            <w:r>
              <w:rPr>
                <w:rFonts w:hint="default" w:ascii="Times New Roman" w:hAnsi="Times New Roman" w:eastAsia="宋体" w:cs="Times New Roman"/>
                <w:b w:val="0"/>
                <w:bCs/>
                <w:color w:val="auto"/>
                <w:sz w:val="24"/>
                <w:szCs w:val="24"/>
                <w:highlight w:val="none"/>
              </w:rPr>
              <w:t>破碎、筛分粉尘</w:t>
            </w:r>
            <w:r>
              <w:rPr>
                <w:rFonts w:hint="default" w:ascii="Times New Roman" w:hAnsi="Times New Roman" w:eastAsia="宋体" w:cs="Times New Roman"/>
                <w:b w:val="0"/>
                <w:bCs/>
                <w:color w:val="auto"/>
                <w:sz w:val="24"/>
                <w:szCs w:val="24"/>
                <w:highlight w:val="none"/>
                <w:lang w:val="en-US" w:eastAsia="zh-CN"/>
              </w:rPr>
              <w:t>排放情况如下：</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w:t>
            </w:r>
            <w:r>
              <w:rPr>
                <w:rFonts w:hint="default" w:ascii="Times New Roman" w:hAnsi="Times New Roman" w:eastAsia="宋体" w:cs="Times New Roman"/>
                <w:b/>
                <w:color w:val="auto"/>
                <w:szCs w:val="21"/>
                <w:highlight w:val="none"/>
                <w:lang w:val="en-US" w:eastAsia="zh-CN"/>
              </w:rPr>
              <w:t>2.12-1</w:t>
            </w:r>
            <w:r>
              <w:rPr>
                <w:rFonts w:hint="default" w:ascii="Times New Roman" w:hAnsi="Times New Roman" w:eastAsia="宋体" w:cs="Times New Roman"/>
                <w:b/>
                <w:color w:val="auto"/>
                <w:szCs w:val="21"/>
                <w:highlight w:val="none"/>
              </w:rPr>
              <w:t xml:space="preserve">  布袋除尘器出口废气监测结果</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55"/>
              <w:gridCol w:w="1187"/>
              <w:gridCol w:w="581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0" w:type="pct"/>
                  <w:vMerge w:val="restart"/>
                  <w:tcBorders>
                    <w:top w:val="single" w:color="auto" w:sz="4" w:space="0"/>
                    <w:left w:val="single" w:color="auto" w:sz="12"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样品编号</w:t>
                  </w:r>
                </w:p>
              </w:tc>
              <w:tc>
                <w:tcPr>
                  <w:tcW w:w="745"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监测日期</w:t>
                  </w:r>
                </w:p>
              </w:tc>
              <w:tc>
                <w:tcPr>
                  <w:tcW w:w="36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p>
              </w:tc>
              <w:tc>
                <w:tcPr>
                  <w:tcW w:w="74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p>
              </w:tc>
              <w:tc>
                <w:tcPr>
                  <w:tcW w:w="36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排放口浓度（mg/m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745"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2019/08/08</w:t>
                  </w:r>
                </w:p>
              </w:tc>
              <w:tc>
                <w:tcPr>
                  <w:tcW w:w="36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74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p>
              </w:tc>
              <w:tc>
                <w:tcPr>
                  <w:tcW w:w="36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74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p>
              </w:tc>
              <w:tc>
                <w:tcPr>
                  <w:tcW w:w="36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46"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36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745"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2019/08/9</w:t>
                  </w:r>
                </w:p>
              </w:tc>
              <w:tc>
                <w:tcPr>
                  <w:tcW w:w="36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74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p>
              </w:tc>
              <w:tc>
                <w:tcPr>
                  <w:tcW w:w="36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74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p>
              </w:tc>
              <w:tc>
                <w:tcPr>
                  <w:tcW w:w="36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46"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36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46"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标准限值</w:t>
                  </w:r>
                </w:p>
              </w:tc>
              <w:tc>
                <w:tcPr>
                  <w:tcW w:w="36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46"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达标评价</w:t>
                  </w:r>
                </w:p>
              </w:tc>
              <w:tc>
                <w:tcPr>
                  <w:tcW w:w="36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88" w:right="0" w:hanging="88" w:hangingChars="4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i/>
                <w:i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根据监测结果原有项目</w:t>
            </w:r>
            <w:r>
              <w:rPr>
                <w:rFonts w:hint="default" w:ascii="Times New Roman" w:hAnsi="Times New Roman" w:eastAsia="宋体" w:cs="Times New Roman"/>
                <w:b w:val="0"/>
                <w:bCs/>
                <w:color w:val="auto"/>
                <w:sz w:val="24"/>
                <w:szCs w:val="24"/>
                <w:highlight w:val="none"/>
              </w:rPr>
              <w:t>破碎、筛分粉尘</w:t>
            </w:r>
            <w:r>
              <w:rPr>
                <w:rFonts w:hint="default" w:ascii="Times New Roman" w:hAnsi="Times New Roman" w:eastAsia="宋体" w:cs="Times New Roman"/>
                <w:b w:val="0"/>
                <w:bCs/>
                <w:color w:val="auto"/>
                <w:sz w:val="24"/>
                <w:szCs w:val="24"/>
                <w:highlight w:val="none"/>
                <w:lang w:val="en-US" w:eastAsia="zh-CN"/>
              </w:rPr>
              <w:t>产生量为18.8379t/a。原有项目</w:t>
            </w:r>
            <w:r>
              <w:rPr>
                <w:rFonts w:hint="default" w:ascii="Times New Roman" w:hAnsi="Times New Roman" w:eastAsia="宋体" w:cs="Times New Roman"/>
                <w:b w:val="0"/>
                <w:bCs/>
                <w:color w:val="auto"/>
                <w:sz w:val="24"/>
                <w:szCs w:val="24"/>
                <w:highlight w:val="none"/>
              </w:rPr>
              <w:t>破碎、筛分</w:t>
            </w:r>
            <w:r>
              <w:rPr>
                <w:rFonts w:hint="default" w:ascii="Times New Roman" w:hAnsi="Times New Roman" w:eastAsia="宋体" w:cs="Times New Roman"/>
                <w:b w:val="0"/>
                <w:bCs/>
                <w:color w:val="auto"/>
                <w:sz w:val="24"/>
                <w:szCs w:val="24"/>
                <w:highlight w:val="none"/>
                <w:lang w:val="en-US" w:eastAsia="zh-CN"/>
              </w:rPr>
              <w:t>区域安装集气罩+布袋除尘器+排气筒处理粉尘后排放，</w:t>
            </w:r>
            <w:r>
              <w:rPr>
                <w:rFonts w:hint="default" w:ascii="Times New Roman" w:hAnsi="Times New Roman" w:eastAsia="宋体" w:cs="Times New Roman"/>
                <w:b w:val="0"/>
                <w:bCs w:val="0"/>
                <w:color w:val="auto"/>
                <w:sz w:val="24"/>
                <w:szCs w:val="24"/>
                <w:highlight w:val="none"/>
                <w:lang w:val="en-US" w:eastAsia="zh-CN"/>
              </w:rPr>
              <w:t>当原有项目生产达到满负荷时，</w:t>
            </w:r>
            <w:r>
              <w:rPr>
                <w:rFonts w:hint="default" w:ascii="Times New Roman" w:hAnsi="Times New Roman" w:eastAsia="宋体" w:cs="Times New Roman"/>
                <w:b w:val="0"/>
                <w:bCs/>
                <w:color w:val="auto"/>
                <w:sz w:val="24"/>
                <w:szCs w:val="24"/>
                <w:highlight w:val="none"/>
                <w:lang w:val="en-US" w:eastAsia="zh-CN"/>
              </w:rPr>
              <w:t>则原有项目</w:t>
            </w:r>
            <w:r>
              <w:rPr>
                <w:rFonts w:hint="default" w:ascii="Times New Roman" w:hAnsi="Times New Roman" w:eastAsia="宋体" w:cs="Times New Roman"/>
                <w:b w:val="0"/>
                <w:bCs/>
                <w:color w:val="auto"/>
                <w:sz w:val="24"/>
                <w:szCs w:val="24"/>
                <w:highlight w:val="none"/>
              </w:rPr>
              <w:t>破碎、筛分</w:t>
            </w:r>
            <w:r>
              <w:rPr>
                <w:rFonts w:hint="default" w:ascii="Times New Roman" w:hAnsi="Times New Roman" w:eastAsia="宋体" w:cs="Times New Roman"/>
                <w:b w:val="0"/>
                <w:bCs/>
                <w:color w:val="auto"/>
                <w:sz w:val="24"/>
                <w:szCs w:val="24"/>
                <w:highlight w:val="none"/>
                <w:lang w:val="en-US" w:eastAsia="zh-CN"/>
              </w:rPr>
              <w:t>有组织粉尘</w:t>
            </w:r>
            <w:r>
              <w:rPr>
                <w:rFonts w:hint="default" w:ascii="Times New Roman" w:hAnsi="Times New Roman" w:eastAsia="宋体" w:cs="Times New Roman"/>
                <w:b w:val="0"/>
                <w:bCs/>
                <w:color w:val="auto"/>
                <w:kern w:val="0"/>
                <w:sz w:val="24"/>
                <w:szCs w:val="24"/>
                <w:highlight w:val="none"/>
                <w:lang w:bidi="ar"/>
              </w:rPr>
              <w:t>排放量为</w:t>
            </w:r>
            <w:r>
              <w:rPr>
                <w:rFonts w:hint="default" w:ascii="Times New Roman" w:hAnsi="Times New Roman" w:eastAsia="宋体" w:cs="Times New Roman"/>
                <w:b w:val="0"/>
                <w:bCs/>
                <w:color w:val="auto"/>
                <w:kern w:val="0"/>
                <w:sz w:val="24"/>
                <w:szCs w:val="24"/>
                <w:highlight w:val="none"/>
                <w:lang w:val="en-US" w:eastAsia="zh-CN" w:bidi="ar"/>
              </w:rPr>
              <w:t>0.5651</w:t>
            </w:r>
            <w:r>
              <w:rPr>
                <w:rFonts w:hint="default" w:ascii="Times New Roman" w:hAnsi="Times New Roman" w:eastAsia="宋体" w:cs="Times New Roman"/>
                <w:b w:val="0"/>
                <w:bCs/>
                <w:color w:val="auto"/>
                <w:kern w:val="0"/>
                <w:sz w:val="24"/>
                <w:szCs w:val="24"/>
                <w:highlight w:val="none"/>
                <w:lang w:bidi="ar"/>
              </w:rPr>
              <w:t>t/a</w:t>
            </w:r>
            <w:r>
              <w:rPr>
                <w:rFonts w:hint="default" w:ascii="Times New Roman" w:hAnsi="Times New Roman" w:eastAsia="宋体" w:cs="Times New Roman"/>
                <w:b w:val="0"/>
                <w:bCs/>
                <w:color w:val="auto"/>
                <w:kern w:val="0"/>
                <w:sz w:val="24"/>
                <w:szCs w:val="24"/>
                <w:highlight w:val="none"/>
                <w:lang w:eastAsia="zh-CN" w:bidi="ar"/>
              </w:rPr>
              <w:t>（</w:t>
            </w:r>
            <w:r>
              <w:rPr>
                <w:rFonts w:hint="default" w:ascii="Times New Roman" w:hAnsi="Times New Roman" w:eastAsia="宋体" w:cs="Times New Roman"/>
                <w:b w:val="0"/>
                <w:bCs/>
                <w:color w:val="auto"/>
                <w:sz w:val="24"/>
                <w:szCs w:val="24"/>
                <w:highlight w:val="none"/>
                <w:lang w:val="en-US" w:eastAsia="zh-CN"/>
              </w:rPr>
              <w:t>0.0.2355</w:t>
            </w:r>
            <w:r>
              <w:rPr>
                <w:rFonts w:hint="default" w:ascii="Times New Roman" w:hAnsi="Times New Roman" w:eastAsia="宋体" w:cs="Times New Roman"/>
                <w:b w:val="0"/>
                <w:bCs/>
                <w:color w:val="auto"/>
                <w:sz w:val="24"/>
                <w:szCs w:val="24"/>
                <w:highlight w:val="none"/>
              </w:rPr>
              <w:t>kg/h</w:t>
            </w:r>
            <w:r>
              <w:rPr>
                <w:rFonts w:hint="default" w:ascii="Times New Roman" w:hAnsi="Times New Roman" w:eastAsia="宋体" w:cs="Times New Roman"/>
                <w:b w:val="0"/>
                <w:bCs/>
                <w:color w:val="auto"/>
                <w:kern w:val="0"/>
                <w:sz w:val="24"/>
                <w:szCs w:val="24"/>
                <w:highlight w:val="none"/>
                <w:lang w:eastAsia="zh-CN" w:bidi="ar"/>
              </w:rPr>
              <w:t>）</w:t>
            </w:r>
            <w:r>
              <w:rPr>
                <w:rFonts w:hint="default" w:ascii="Times New Roman" w:hAnsi="Times New Roman" w:eastAsia="宋体" w:cs="Times New Roman"/>
                <w:b w:val="0"/>
                <w:bCs/>
                <w:color w:val="auto"/>
                <w:kern w:val="0"/>
                <w:sz w:val="24"/>
                <w:szCs w:val="24"/>
                <w:highlight w:val="none"/>
                <w:lang w:bidi="ar"/>
              </w:rPr>
              <w:t>，</w:t>
            </w:r>
            <w:r>
              <w:rPr>
                <w:rFonts w:hint="default" w:ascii="Times New Roman" w:hAnsi="Times New Roman" w:eastAsia="宋体" w:cs="Times New Roman"/>
                <w:b w:val="0"/>
                <w:bCs/>
                <w:color w:val="auto"/>
                <w:sz w:val="24"/>
                <w:szCs w:val="24"/>
                <w:highlight w:val="none"/>
              </w:rPr>
              <w:t>排放浓度为</w:t>
            </w:r>
            <w:r>
              <w:rPr>
                <w:rFonts w:hint="default" w:ascii="Times New Roman" w:hAnsi="Times New Roman" w:eastAsia="宋体" w:cs="Times New Roman"/>
                <w:b w:val="0"/>
                <w:bCs/>
                <w:color w:val="auto"/>
                <w:sz w:val="24"/>
                <w:szCs w:val="24"/>
                <w:highlight w:val="none"/>
                <w:lang w:val="en-US" w:eastAsia="zh-CN"/>
              </w:rPr>
              <w:t>25.333</w:t>
            </w:r>
            <w:r>
              <w:rPr>
                <w:rFonts w:hint="default" w:ascii="Times New Roman" w:hAnsi="Times New Roman" w:eastAsia="宋体" w:cs="Times New Roman"/>
                <w:b w:val="0"/>
                <w:bCs/>
                <w:color w:val="auto"/>
                <w:sz w:val="24"/>
                <w:szCs w:val="24"/>
                <w:highlight w:val="none"/>
              </w:rPr>
              <w:t>mg/m</w:t>
            </w:r>
            <w:r>
              <w:rPr>
                <w:rFonts w:hint="default" w:ascii="Times New Roman" w:hAnsi="Times New Roman" w:eastAsia="宋体" w:cs="Times New Roman"/>
                <w:b w:val="0"/>
                <w:bCs/>
                <w:color w:val="auto"/>
                <w:sz w:val="24"/>
                <w:szCs w:val="24"/>
                <w:highlight w:val="none"/>
                <w:vertAlign w:val="superscript"/>
              </w:rPr>
              <w:t>3</w:t>
            </w:r>
            <w:r>
              <w:rPr>
                <w:rFonts w:hint="default" w:ascii="Times New Roman" w:hAnsi="Times New Roman" w:eastAsia="宋体" w:cs="Times New Roman"/>
                <w:b w:val="0"/>
                <w:bCs/>
                <w:color w:val="auto"/>
                <w:sz w:val="24"/>
                <w:szCs w:val="24"/>
                <w:highlight w:val="none"/>
              </w:rPr>
              <w:t>。</w:t>
            </w:r>
            <w:r>
              <w:rPr>
                <w:rFonts w:hint="default" w:ascii="Times New Roman" w:hAnsi="Times New Roman" w:eastAsia="宋体" w:cs="Times New Roman"/>
                <w:b w:val="0"/>
                <w:bCs/>
                <w:color w:val="auto"/>
                <w:sz w:val="24"/>
                <w:szCs w:val="24"/>
                <w:highlight w:val="none"/>
                <w:lang w:val="en-US" w:eastAsia="zh-CN"/>
              </w:rPr>
              <w:t>无组织</w:t>
            </w:r>
            <w:r>
              <w:rPr>
                <w:rFonts w:hint="default" w:ascii="Times New Roman" w:hAnsi="Times New Roman" w:eastAsia="宋体" w:cs="Times New Roman"/>
                <w:b w:val="0"/>
                <w:bCs/>
                <w:color w:val="auto"/>
                <w:kern w:val="0"/>
                <w:sz w:val="24"/>
                <w:szCs w:val="24"/>
                <w:highlight w:val="none"/>
                <w:lang w:bidi="ar"/>
              </w:rPr>
              <w:t>排放量为</w:t>
            </w:r>
            <w:r>
              <w:rPr>
                <w:rFonts w:hint="default" w:ascii="Times New Roman" w:hAnsi="Times New Roman" w:eastAsia="宋体" w:cs="Times New Roman"/>
                <w:b w:val="0"/>
                <w:bCs/>
                <w:color w:val="auto"/>
                <w:kern w:val="0"/>
                <w:sz w:val="24"/>
                <w:szCs w:val="24"/>
                <w:highlight w:val="none"/>
                <w:lang w:val="en-US" w:eastAsia="zh-CN" w:bidi="ar"/>
              </w:rPr>
              <w:t>3.1396</w:t>
            </w:r>
            <w:r>
              <w:rPr>
                <w:rFonts w:hint="default" w:ascii="Times New Roman" w:hAnsi="Times New Roman" w:eastAsia="宋体" w:cs="Times New Roman"/>
                <w:b w:val="0"/>
                <w:bCs/>
                <w:color w:val="auto"/>
                <w:kern w:val="0"/>
                <w:sz w:val="24"/>
                <w:szCs w:val="24"/>
                <w:highlight w:val="none"/>
                <w:lang w:bidi="ar"/>
              </w:rPr>
              <w:t>t/a</w:t>
            </w:r>
            <w:r>
              <w:rPr>
                <w:rFonts w:hint="default" w:ascii="Times New Roman" w:hAnsi="Times New Roman" w:eastAsia="宋体" w:cs="Times New Roman"/>
                <w:b w:val="0"/>
                <w:bCs/>
                <w:color w:val="auto"/>
                <w:kern w:val="0"/>
                <w:sz w:val="24"/>
                <w:szCs w:val="24"/>
                <w:highlight w:val="none"/>
                <w:lang w:eastAsia="zh-CN" w:bidi="ar"/>
              </w:rPr>
              <w:t>（</w:t>
            </w:r>
            <w:r>
              <w:rPr>
                <w:rFonts w:hint="default" w:ascii="Times New Roman" w:hAnsi="Times New Roman" w:eastAsia="宋体" w:cs="Times New Roman"/>
                <w:b w:val="0"/>
                <w:bCs/>
                <w:color w:val="auto"/>
                <w:sz w:val="24"/>
                <w:szCs w:val="24"/>
                <w:highlight w:val="none"/>
                <w:lang w:val="en-US" w:eastAsia="zh-CN"/>
              </w:rPr>
              <w:t>1.3082</w:t>
            </w:r>
            <w:r>
              <w:rPr>
                <w:rFonts w:hint="default" w:ascii="Times New Roman" w:hAnsi="Times New Roman" w:eastAsia="宋体" w:cs="Times New Roman"/>
                <w:b w:val="0"/>
                <w:bCs/>
                <w:color w:val="auto"/>
                <w:sz w:val="24"/>
                <w:szCs w:val="24"/>
                <w:highlight w:val="none"/>
              </w:rPr>
              <w:t>kg/h</w:t>
            </w:r>
            <w:r>
              <w:rPr>
                <w:rFonts w:hint="default" w:ascii="Times New Roman" w:hAnsi="Times New Roman" w:eastAsia="宋体" w:cs="Times New Roman"/>
                <w:b w:val="0"/>
                <w:bCs/>
                <w:color w:val="auto"/>
                <w:kern w:val="0"/>
                <w:sz w:val="24"/>
                <w:szCs w:val="24"/>
                <w:highlight w:val="none"/>
                <w:lang w:eastAsia="zh-CN" w:bidi="ar"/>
              </w:rPr>
              <w:t>）。</w:t>
            </w:r>
            <w:r>
              <w:rPr>
                <w:rFonts w:hint="default" w:ascii="Times New Roman" w:hAnsi="Times New Roman" w:eastAsia="宋体" w:cs="Times New Roman"/>
                <w:b w:val="0"/>
                <w:bCs w:val="0"/>
                <w:color w:val="auto"/>
                <w:sz w:val="24"/>
                <w:szCs w:val="24"/>
                <w:highlight w:val="none"/>
              </w:rPr>
              <w:t>破碎、筛分粉尘</w:t>
            </w:r>
            <w:r>
              <w:rPr>
                <w:rFonts w:hint="default" w:ascii="Times New Roman" w:hAnsi="Times New Roman" w:eastAsia="宋体" w:cs="Times New Roman"/>
                <w:b w:val="0"/>
                <w:bCs w:val="0"/>
                <w:color w:val="auto"/>
                <w:sz w:val="24"/>
                <w:szCs w:val="24"/>
                <w:highlight w:val="none"/>
                <w:lang w:val="en-US" w:eastAsia="zh-CN"/>
              </w:rPr>
              <w:t>能够达到《砖瓦工业大气污</w:t>
            </w:r>
            <w:r>
              <w:rPr>
                <w:rFonts w:hint="default" w:ascii="Times New Roman" w:hAnsi="Times New Roman" w:eastAsia="宋体" w:cs="Times New Roman"/>
                <w:b w:val="0"/>
                <w:bCs w:val="0"/>
                <w:color w:val="auto"/>
                <w:sz w:val="24"/>
                <w:szCs w:val="24"/>
                <w:highlight w:val="none"/>
              </w:rPr>
              <w:t>染物排放标准》（GB29620-2013）中新建企业大气污染物排放限值</w:t>
            </w:r>
            <w:r>
              <w:rPr>
                <w:rFonts w:hint="default" w:ascii="Times New Roman" w:hAnsi="Times New Roman" w:eastAsia="宋体" w:cs="Times New Roman"/>
                <w:b w:val="0"/>
                <w:bCs w:val="0"/>
                <w:color w:val="auto"/>
                <w:sz w:val="24"/>
                <w:szCs w:val="24"/>
                <w:highlight w:val="none"/>
                <w:lang w:val="en-US" w:eastAsia="zh-CN"/>
              </w:rPr>
              <w:t>要求，对环境影响较小。</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⑤食堂油烟</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color w:val="auto"/>
                <w:sz w:val="24"/>
                <w:szCs w:val="24"/>
                <w:highlight w:val="none"/>
              </w:rPr>
              <w:t>项目设有厨房，厂区</w:t>
            </w:r>
            <w:r>
              <w:rPr>
                <w:rFonts w:hint="default" w:ascii="Times New Roman" w:hAnsi="Times New Roman" w:eastAsia="宋体"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rPr>
              <w:t>人用餐，能源为电能。根据类比资料，项目食用油用量约为30g/人•天，则耗油量为</w:t>
            </w:r>
            <w:r>
              <w:rPr>
                <w:rFonts w:hint="default" w:ascii="Times New Roman" w:hAnsi="Times New Roman" w:eastAsia="宋体" w:cs="Times New Roman"/>
                <w:color w:val="auto"/>
                <w:sz w:val="24"/>
                <w:szCs w:val="24"/>
                <w:highlight w:val="none"/>
                <w:lang w:val="en-US" w:eastAsia="zh-CN"/>
              </w:rPr>
              <w:t>0.9</w:t>
            </w:r>
            <w:r>
              <w:rPr>
                <w:rFonts w:hint="default" w:ascii="Times New Roman" w:hAnsi="Times New Roman" w:eastAsia="宋体" w:cs="Times New Roman"/>
                <w:color w:val="auto"/>
                <w:sz w:val="24"/>
                <w:szCs w:val="24"/>
                <w:highlight w:val="none"/>
              </w:rPr>
              <w:t>kg/d、</w:t>
            </w:r>
            <w:r>
              <w:rPr>
                <w:rFonts w:hint="default" w:ascii="Times New Roman" w:hAnsi="Times New Roman" w:eastAsia="宋体" w:cs="Times New Roman"/>
                <w:color w:val="auto"/>
                <w:sz w:val="24"/>
                <w:szCs w:val="24"/>
                <w:highlight w:val="none"/>
                <w:lang w:val="en-US" w:eastAsia="zh-CN"/>
              </w:rPr>
              <w:t>0.27</w:t>
            </w:r>
            <w:r>
              <w:rPr>
                <w:rFonts w:hint="default" w:ascii="Times New Roman" w:hAnsi="Times New Roman" w:eastAsia="宋体" w:cs="Times New Roman"/>
                <w:color w:val="auto"/>
                <w:sz w:val="24"/>
                <w:szCs w:val="24"/>
                <w:highlight w:val="none"/>
              </w:rPr>
              <w:t>t/a。不同的烹饪情况，油烟中烟气浓度及挥发量均有所不同，油的平均挥发量为总耗油量的2.83%，项目油烟产生量为</w:t>
            </w:r>
            <w:r>
              <w:rPr>
                <w:rFonts w:hint="default" w:ascii="Times New Roman" w:hAnsi="Times New Roman" w:eastAsia="宋体" w:cs="Times New Roman"/>
                <w:color w:val="auto"/>
                <w:sz w:val="24"/>
                <w:szCs w:val="24"/>
                <w:highlight w:val="none"/>
                <w:lang w:val="en-US" w:eastAsia="zh-CN"/>
              </w:rPr>
              <w:t>0.025</w:t>
            </w:r>
            <w:r>
              <w:rPr>
                <w:rFonts w:hint="default" w:ascii="Times New Roman" w:hAnsi="Times New Roman" w:eastAsia="宋体" w:cs="Times New Roman"/>
                <w:color w:val="auto"/>
                <w:sz w:val="24"/>
                <w:szCs w:val="24"/>
                <w:highlight w:val="none"/>
              </w:rPr>
              <w:t>kg/d、</w:t>
            </w:r>
            <w:r>
              <w:rPr>
                <w:rFonts w:hint="default" w:ascii="Times New Roman" w:hAnsi="Times New Roman" w:eastAsia="宋体" w:cs="Times New Roman"/>
                <w:color w:val="auto"/>
                <w:sz w:val="24"/>
                <w:szCs w:val="24"/>
                <w:highlight w:val="none"/>
                <w:lang w:val="en-US" w:eastAsia="zh-CN"/>
              </w:rPr>
              <w:t>0.006</w:t>
            </w:r>
            <w:r>
              <w:rPr>
                <w:rFonts w:hint="default" w:ascii="Times New Roman" w:hAnsi="Times New Roman" w:eastAsia="宋体" w:cs="Times New Roman"/>
                <w:color w:val="auto"/>
                <w:sz w:val="24"/>
                <w:szCs w:val="24"/>
                <w:highlight w:val="none"/>
              </w:rPr>
              <w:t>kg/h。项目在厨房安装一台风量为3000m³/h的油烟净化器将油烟抽取后外排。油烟净化器有一定的净化效率（约60%），项目油烟最终排放量为</w:t>
            </w:r>
            <w:r>
              <w:rPr>
                <w:rFonts w:hint="default" w:ascii="Times New Roman" w:hAnsi="Times New Roman" w:eastAsia="宋体" w:cs="Times New Roman"/>
                <w:color w:val="auto"/>
                <w:sz w:val="24"/>
                <w:szCs w:val="24"/>
                <w:highlight w:val="none"/>
                <w:lang w:val="en-US" w:eastAsia="zh-CN"/>
              </w:rPr>
              <w:t>0.010</w:t>
            </w:r>
            <w:r>
              <w:rPr>
                <w:rFonts w:hint="default" w:ascii="Times New Roman" w:hAnsi="Times New Roman" w:eastAsia="宋体" w:cs="Times New Roman"/>
                <w:color w:val="auto"/>
                <w:sz w:val="24"/>
                <w:szCs w:val="24"/>
                <w:highlight w:val="none"/>
              </w:rPr>
              <w:t>kg/d、</w:t>
            </w:r>
            <w:r>
              <w:rPr>
                <w:rFonts w:hint="default" w:ascii="Times New Roman" w:hAnsi="Times New Roman" w:eastAsia="宋体" w:cs="Times New Roman"/>
                <w:color w:val="auto"/>
                <w:sz w:val="24"/>
                <w:szCs w:val="24"/>
                <w:highlight w:val="none"/>
                <w:lang w:val="en-US" w:eastAsia="zh-CN"/>
              </w:rPr>
              <w:t>0.003</w:t>
            </w:r>
            <w:r>
              <w:rPr>
                <w:rFonts w:hint="default" w:ascii="Times New Roman" w:hAnsi="Times New Roman" w:eastAsia="宋体" w:cs="Times New Roman"/>
                <w:color w:val="auto"/>
                <w:sz w:val="24"/>
                <w:szCs w:val="24"/>
                <w:highlight w:val="none"/>
              </w:rPr>
              <w:t>kg/h，按烹饪时间</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h计，则油烟排放浓度为</w:t>
            </w:r>
            <w:r>
              <w:rPr>
                <w:rFonts w:hint="default" w:ascii="Times New Roman" w:hAnsi="Times New Roman" w:eastAsia="宋体" w:cs="Times New Roman"/>
                <w:color w:val="auto"/>
                <w:sz w:val="24"/>
                <w:szCs w:val="24"/>
                <w:highlight w:val="none"/>
                <w:lang w:val="en-US" w:eastAsia="zh-CN"/>
              </w:rPr>
              <w:t>0.849</w:t>
            </w:r>
            <w:r>
              <w:rPr>
                <w:rFonts w:hint="default" w:ascii="Times New Roman" w:hAnsi="Times New Roman" w:eastAsia="宋体" w:cs="Times New Roman"/>
                <w:color w:val="auto"/>
                <w:sz w:val="24"/>
                <w:szCs w:val="24"/>
                <w:highlight w:val="none"/>
              </w:rPr>
              <w:t>mg/m³。</w:t>
            </w:r>
          </w:p>
          <w:p>
            <w:pPr>
              <w:keepNext w:val="0"/>
              <w:keepLines w:val="0"/>
              <w:widowControl/>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⑥原有项目厂界无组织排放情况</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根据</w:t>
            </w:r>
            <w:r>
              <w:rPr>
                <w:rFonts w:hint="default" w:ascii="Times New Roman" w:hAnsi="Times New Roman" w:eastAsia="宋体" w:cs="Times New Roman"/>
                <w:b w:val="0"/>
                <w:bCs/>
                <w:color w:val="auto"/>
                <w:sz w:val="24"/>
                <w:szCs w:val="24"/>
                <w:highlight w:val="none"/>
              </w:rPr>
              <w:t>《</w:t>
            </w:r>
            <w:r>
              <w:rPr>
                <w:rFonts w:hint="default" w:ascii="Times New Roman" w:hAnsi="Times New Roman" w:eastAsia="宋体" w:cs="Times New Roman"/>
                <w:b w:val="0"/>
                <w:bCs/>
                <w:color w:val="auto"/>
                <w:sz w:val="24"/>
                <w:szCs w:val="24"/>
                <w:highlight w:val="none"/>
                <w:lang w:val="en-US" w:eastAsia="zh-CN"/>
              </w:rPr>
              <w:t>宜良前所月牙塘机制砖厂年产5000万块页岩砖建设项目</w:t>
            </w:r>
            <w:r>
              <w:rPr>
                <w:rFonts w:hint="default" w:ascii="Times New Roman" w:hAnsi="Times New Roman" w:eastAsia="宋体" w:cs="Times New Roman"/>
                <w:b w:val="0"/>
                <w:bCs/>
                <w:color w:val="auto"/>
                <w:kern w:val="0"/>
                <w:sz w:val="24"/>
                <w:szCs w:val="24"/>
                <w:highlight w:val="none"/>
                <w:lang w:val="en-US" w:eastAsia="zh-CN"/>
              </w:rPr>
              <w:t>竣工</w:t>
            </w:r>
            <w:r>
              <w:rPr>
                <w:rFonts w:hint="default" w:ascii="Times New Roman" w:hAnsi="Times New Roman" w:eastAsia="宋体" w:cs="Times New Roman"/>
                <w:b w:val="0"/>
                <w:bCs/>
                <w:color w:val="auto"/>
                <w:sz w:val="24"/>
                <w:szCs w:val="24"/>
                <w:highlight w:val="none"/>
                <w:lang w:val="en-US" w:eastAsia="zh-CN"/>
              </w:rPr>
              <w:t>环境保护验收报告</w:t>
            </w:r>
            <w:r>
              <w:rPr>
                <w:rFonts w:hint="default" w:ascii="Times New Roman" w:hAnsi="Times New Roman" w:eastAsia="宋体" w:cs="Times New Roman"/>
                <w:b w:val="0"/>
                <w:bCs/>
                <w:color w:val="auto"/>
                <w:sz w:val="24"/>
                <w:szCs w:val="24"/>
                <w:highlight w:val="none"/>
              </w:rPr>
              <w:t>》</w:t>
            </w:r>
            <w:r>
              <w:rPr>
                <w:rFonts w:hint="default" w:ascii="Times New Roman" w:hAnsi="Times New Roman" w:eastAsia="宋体" w:cs="Times New Roman"/>
                <w:b w:val="0"/>
                <w:bCs/>
                <w:color w:val="auto"/>
                <w:sz w:val="24"/>
                <w:szCs w:val="24"/>
                <w:highlight w:val="none"/>
                <w:lang w:val="en-US" w:eastAsia="zh-CN"/>
              </w:rPr>
              <w:t>原有项目厂界无组织废气排放情况如下：</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w:t>
            </w:r>
            <w:r>
              <w:rPr>
                <w:rFonts w:hint="default" w:ascii="Times New Roman" w:hAnsi="Times New Roman" w:eastAsia="宋体" w:cs="Times New Roman"/>
                <w:b/>
                <w:color w:val="auto"/>
                <w:szCs w:val="21"/>
                <w:highlight w:val="none"/>
                <w:lang w:val="en-US" w:eastAsia="zh-CN"/>
              </w:rPr>
              <w:t>2.12-2</w:t>
            </w:r>
            <w:r>
              <w:rPr>
                <w:rFonts w:hint="default" w:ascii="Times New Roman" w:hAnsi="Times New Roman" w:eastAsia="宋体" w:cs="Times New Roman"/>
                <w:b/>
                <w:color w:val="auto"/>
                <w:szCs w:val="21"/>
                <w:highlight w:val="none"/>
              </w:rPr>
              <w:t xml:space="preserve">  项目</w:t>
            </w:r>
            <w:r>
              <w:rPr>
                <w:rFonts w:hint="default" w:ascii="Times New Roman" w:hAnsi="Times New Roman" w:eastAsia="宋体" w:cs="Times New Roman"/>
                <w:b/>
                <w:color w:val="auto"/>
                <w:szCs w:val="21"/>
                <w:highlight w:val="none"/>
                <w:lang w:val="en-US" w:eastAsia="zh-CN"/>
              </w:rPr>
              <w:t>无组织</w:t>
            </w:r>
            <w:r>
              <w:rPr>
                <w:rFonts w:hint="default" w:ascii="Times New Roman" w:hAnsi="Times New Roman" w:eastAsia="宋体" w:cs="Times New Roman"/>
                <w:b/>
                <w:color w:val="auto"/>
                <w:szCs w:val="21"/>
                <w:highlight w:val="none"/>
              </w:rPr>
              <w:t>监测结果</w:t>
            </w:r>
          </w:p>
          <w:tbl>
            <w:tblPr>
              <w:tblStyle w:val="23"/>
              <w:tblW w:w="5000" w:type="pct"/>
              <w:tblInd w:w="5"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79"/>
              <w:gridCol w:w="1646"/>
              <w:gridCol w:w="1640"/>
              <w:gridCol w:w="1643"/>
              <w:gridCol w:w="152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32" w:type="pct"/>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日期</w:t>
                  </w:r>
                </w:p>
              </w:tc>
              <w:tc>
                <w:tcPr>
                  <w:tcW w:w="1036" w:type="pct"/>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采样时段</w:t>
                  </w:r>
                </w:p>
              </w:tc>
              <w:tc>
                <w:tcPr>
                  <w:tcW w:w="3030" w:type="pct"/>
                  <w:gridSpan w:val="3"/>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颗粒物（mg/m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32"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p>
              </w:tc>
              <w:tc>
                <w:tcPr>
                  <w:tcW w:w="1036"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p>
              </w:tc>
              <w:tc>
                <w:tcPr>
                  <w:tcW w:w="1033"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参照点</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（上风向）</w:t>
                  </w:r>
                </w:p>
              </w:tc>
              <w:tc>
                <w:tcPr>
                  <w:tcW w:w="1035"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监控点1</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（下风向）</w:t>
                  </w:r>
                </w:p>
              </w:tc>
              <w:tc>
                <w:tcPr>
                  <w:tcW w:w="961"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监控点2</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（下风向）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32" w:type="pct"/>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2019/08/08</w:t>
                  </w:r>
                </w:p>
              </w:tc>
              <w:tc>
                <w:tcPr>
                  <w:tcW w:w="1036"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08</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30~09</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30</w:t>
                  </w:r>
                </w:p>
              </w:tc>
              <w:tc>
                <w:tcPr>
                  <w:tcW w:w="1033"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0.237</w:t>
                  </w:r>
                </w:p>
              </w:tc>
              <w:tc>
                <w:tcPr>
                  <w:tcW w:w="1035"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0.404</w:t>
                  </w:r>
                </w:p>
              </w:tc>
              <w:tc>
                <w:tcPr>
                  <w:tcW w:w="961"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0.482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32"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036"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30~13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30</w:t>
                  </w:r>
                </w:p>
              </w:tc>
              <w:tc>
                <w:tcPr>
                  <w:tcW w:w="1033"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0.349</w:t>
                  </w:r>
                </w:p>
              </w:tc>
              <w:tc>
                <w:tcPr>
                  <w:tcW w:w="1035"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0.482</w:t>
                  </w:r>
                </w:p>
              </w:tc>
              <w:tc>
                <w:tcPr>
                  <w:tcW w:w="961"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0.557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32"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036"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30~17</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30</w:t>
                  </w:r>
                </w:p>
              </w:tc>
              <w:tc>
                <w:tcPr>
                  <w:tcW w:w="1033"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0.287</w:t>
                  </w:r>
                </w:p>
              </w:tc>
              <w:tc>
                <w:tcPr>
                  <w:tcW w:w="1035"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0.440</w:t>
                  </w:r>
                </w:p>
              </w:tc>
              <w:tc>
                <w:tcPr>
                  <w:tcW w:w="961"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0.518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32" w:type="pct"/>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2019/08/09</w:t>
                  </w:r>
                </w:p>
              </w:tc>
              <w:tc>
                <w:tcPr>
                  <w:tcW w:w="1036"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08</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30~09</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30</w:t>
                  </w:r>
                </w:p>
              </w:tc>
              <w:tc>
                <w:tcPr>
                  <w:tcW w:w="1033"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0.218</w:t>
                  </w:r>
                </w:p>
              </w:tc>
              <w:tc>
                <w:tcPr>
                  <w:tcW w:w="1035"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0.369</w:t>
                  </w:r>
                </w:p>
              </w:tc>
              <w:tc>
                <w:tcPr>
                  <w:tcW w:w="961"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0.449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32"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036"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30~13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30</w:t>
                  </w:r>
                </w:p>
              </w:tc>
              <w:tc>
                <w:tcPr>
                  <w:tcW w:w="1033"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0.333</w:t>
                  </w:r>
                </w:p>
              </w:tc>
              <w:tc>
                <w:tcPr>
                  <w:tcW w:w="1035"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0.451</w:t>
                  </w:r>
                </w:p>
              </w:tc>
              <w:tc>
                <w:tcPr>
                  <w:tcW w:w="961"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0.535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32"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036"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30~17</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30</w:t>
                  </w:r>
                </w:p>
              </w:tc>
              <w:tc>
                <w:tcPr>
                  <w:tcW w:w="1033"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0.250</w:t>
                  </w:r>
                </w:p>
              </w:tc>
              <w:tc>
                <w:tcPr>
                  <w:tcW w:w="1035"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0.399</w:t>
                  </w:r>
                </w:p>
              </w:tc>
              <w:tc>
                <w:tcPr>
                  <w:tcW w:w="961"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0.486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969" w:type="pct"/>
                  <w:gridSpan w:val="2"/>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标准限值</w:t>
                  </w:r>
                </w:p>
              </w:tc>
              <w:tc>
                <w:tcPr>
                  <w:tcW w:w="3030" w:type="pct"/>
                  <w:gridSpan w:val="3"/>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1.0mg/m</w:t>
                  </w:r>
                  <w:r>
                    <w:rPr>
                      <w:rFonts w:hint="default" w:ascii="Times New Roman" w:hAnsi="Times New Roman" w:eastAsia="宋体" w:cs="Times New Roman"/>
                      <w:color w:val="auto"/>
                      <w:sz w:val="21"/>
                      <w:szCs w:val="21"/>
                      <w:highlight w:val="none"/>
                      <w:vertAlign w:val="superscript"/>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969" w:type="pct"/>
                  <w:gridSpan w:val="2"/>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达标评价</w:t>
                  </w:r>
                </w:p>
              </w:tc>
              <w:tc>
                <w:tcPr>
                  <w:tcW w:w="1033"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1035"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961"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32" w:type="pct"/>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日期</w:t>
                  </w:r>
                </w:p>
              </w:tc>
              <w:tc>
                <w:tcPr>
                  <w:tcW w:w="1036" w:type="pct"/>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采样时段</w:t>
                  </w:r>
                </w:p>
              </w:tc>
              <w:tc>
                <w:tcPr>
                  <w:tcW w:w="3030" w:type="pct"/>
                  <w:gridSpan w:val="3"/>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SO</w:t>
                  </w:r>
                  <w:r>
                    <w:rPr>
                      <w:rFonts w:hint="default" w:ascii="Times New Roman" w:hAnsi="Times New Roman" w:eastAsia="宋体" w:cs="Times New Roman"/>
                      <w:b/>
                      <w:color w:val="auto"/>
                      <w:sz w:val="21"/>
                      <w:szCs w:val="21"/>
                      <w:highlight w:val="none"/>
                      <w:vertAlign w:val="subscript"/>
                    </w:rPr>
                    <w:t>2</w:t>
                  </w:r>
                  <w:r>
                    <w:rPr>
                      <w:rFonts w:hint="default" w:ascii="Times New Roman" w:hAnsi="Times New Roman" w:eastAsia="宋体" w:cs="Times New Roman"/>
                      <w:b/>
                      <w:color w:val="auto"/>
                      <w:sz w:val="21"/>
                      <w:szCs w:val="21"/>
                      <w:highlight w:val="none"/>
                    </w:rPr>
                    <w:t>（mg/m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32"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p>
              </w:tc>
              <w:tc>
                <w:tcPr>
                  <w:tcW w:w="1036"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p>
              </w:tc>
              <w:tc>
                <w:tcPr>
                  <w:tcW w:w="1033"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参照点</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（上风向）</w:t>
                  </w:r>
                </w:p>
              </w:tc>
              <w:tc>
                <w:tcPr>
                  <w:tcW w:w="1035"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监控点1</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（下风向）</w:t>
                  </w:r>
                </w:p>
              </w:tc>
              <w:tc>
                <w:tcPr>
                  <w:tcW w:w="961"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监控点2</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（下风向）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c>
                <w:tcPr>
                  <w:tcW w:w="932" w:type="pct"/>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2019/08/08</w:t>
                  </w:r>
                </w:p>
              </w:tc>
              <w:tc>
                <w:tcPr>
                  <w:tcW w:w="1036"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08</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30~09</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30</w:t>
                  </w:r>
                </w:p>
              </w:tc>
              <w:tc>
                <w:tcPr>
                  <w:tcW w:w="1033"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0.020</w:t>
                  </w:r>
                </w:p>
              </w:tc>
              <w:tc>
                <w:tcPr>
                  <w:tcW w:w="1035"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0.033</w:t>
                  </w:r>
                </w:p>
              </w:tc>
              <w:tc>
                <w:tcPr>
                  <w:tcW w:w="961"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32"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036"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30~13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30</w:t>
                  </w:r>
                </w:p>
              </w:tc>
              <w:tc>
                <w:tcPr>
                  <w:tcW w:w="1033"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0.017</w:t>
                  </w:r>
                </w:p>
              </w:tc>
              <w:tc>
                <w:tcPr>
                  <w:tcW w:w="1035"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0.030</w:t>
                  </w:r>
                </w:p>
              </w:tc>
              <w:tc>
                <w:tcPr>
                  <w:tcW w:w="961"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32"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036"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30~17</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30</w:t>
                  </w:r>
                </w:p>
              </w:tc>
              <w:tc>
                <w:tcPr>
                  <w:tcW w:w="1033"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0.018</w:t>
                  </w:r>
                </w:p>
              </w:tc>
              <w:tc>
                <w:tcPr>
                  <w:tcW w:w="1035"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0.034</w:t>
                  </w:r>
                </w:p>
              </w:tc>
              <w:tc>
                <w:tcPr>
                  <w:tcW w:w="961"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c>
                <w:tcPr>
                  <w:tcW w:w="932" w:type="pct"/>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2019/08/09</w:t>
                  </w:r>
                </w:p>
              </w:tc>
              <w:tc>
                <w:tcPr>
                  <w:tcW w:w="1036"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08</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30~09</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30</w:t>
                  </w:r>
                </w:p>
              </w:tc>
              <w:tc>
                <w:tcPr>
                  <w:tcW w:w="1033"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0.013</w:t>
                  </w:r>
                </w:p>
              </w:tc>
              <w:tc>
                <w:tcPr>
                  <w:tcW w:w="1035"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0.029</w:t>
                  </w:r>
                </w:p>
              </w:tc>
              <w:tc>
                <w:tcPr>
                  <w:tcW w:w="961"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32"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036"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30~13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30</w:t>
                  </w:r>
                </w:p>
              </w:tc>
              <w:tc>
                <w:tcPr>
                  <w:tcW w:w="1033"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0.018</w:t>
                  </w:r>
                </w:p>
              </w:tc>
              <w:tc>
                <w:tcPr>
                  <w:tcW w:w="1035"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0.037</w:t>
                  </w:r>
                </w:p>
              </w:tc>
              <w:tc>
                <w:tcPr>
                  <w:tcW w:w="961"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32"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036"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30~17</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30</w:t>
                  </w:r>
                </w:p>
              </w:tc>
              <w:tc>
                <w:tcPr>
                  <w:tcW w:w="1033"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0.014</w:t>
                  </w:r>
                </w:p>
              </w:tc>
              <w:tc>
                <w:tcPr>
                  <w:tcW w:w="1035"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0.041</w:t>
                  </w:r>
                </w:p>
              </w:tc>
              <w:tc>
                <w:tcPr>
                  <w:tcW w:w="961"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969" w:type="pct"/>
                  <w:gridSpan w:val="2"/>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标准限值</w:t>
                  </w:r>
                </w:p>
              </w:tc>
              <w:tc>
                <w:tcPr>
                  <w:tcW w:w="3030" w:type="pct"/>
                  <w:gridSpan w:val="3"/>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0.5mg/m</w:t>
                  </w:r>
                  <w:r>
                    <w:rPr>
                      <w:rFonts w:hint="default" w:ascii="Times New Roman" w:hAnsi="Times New Roman" w:eastAsia="宋体" w:cs="Times New Roman"/>
                      <w:color w:val="auto"/>
                      <w:sz w:val="21"/>
                      <w:szCs w:val="21"/>
                      <w:highlight w:val="none"/>
                      <w:vertAlign w:val="superscript"/>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969" w:type="pct"/>
                  <w:gridSpan w:val="2"/>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达标评价</w:t>
                  </w:r>
                </w:p>
              </w:tc>
              <w:tc>
                <w:tcPr>
                  <w:tcW w:w="1033"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1035"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961"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32" w:type="pct"/>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日期</w:t>
                  </w:r>
                </w:p>
              </w:tc>
              <w:tc>
                <w:tcPr>
                  <w:tcW w:w="1036" w:type="pct"/>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采样时段</w:t>
                  </w:r>
                </w:p>
              </w:tc>
              <w:tc>
                <w:tcPr>
                  <w:tcW w:w="3030" w:type="pct"/>
                  <w:gridSpan w:val="3"/>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氟化物（mg/m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32"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p>
              </w:tc>
              <w:tc>
                <w:tcPr>
                  <w:tcW w:w="1036"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p>
              </w:tc>
              <w:tc>
                <w:tcPr>
                  <w:tcW w:w="1033"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参照点</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（上风向）</w:t>
                  </w:r>
                </w:p>
              </w:tc>
              <w:tc>
                <w:tcPr>
                  <w:tcW w:w="1035"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监控点1</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（下风向）</w:t>
                  </w:r>
                </w:p>
              </w:tc>
              <w:tc>
                <w:tcPr>
                  <w:tcW w:w="961"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监控点2</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（下风向）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32" w:type="pct"/>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2019/08/08</w:t>
                  </w:r>
                </w:p>
              </w:tc>
              <w:tc>
                <w:tcPr>
                  <w:tcW w:w="1036"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08</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30~09</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30</w:t>
                  </w:r>
                </w:p>
              </w:tc>
              <w:tc>
                <w:tcPr>
                  <w:tcW w:w="1033"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1.5×10</w:t>
                  </w:r>
                  <w:r>
                    <w:rPr>
                      <w:rFonts w:hint="default" w:ascii="Times New Roman" w:hAnsi="Times New Roman" w:eastAsia="宋体" w:cs="Times New Roman"/>
                      <w:color w:val="auto"/>
                      <w:sz w:val="21"/>
                      <w:szCs w:val="21"/>
                      <w:highlight w:val="none"/>
                      <w:vertAlign w:val="superscript"/>
                    </w:rPr>
                    <w:t>-3</w:t>
                  </w:r>
                </w:p>
              </w:tc>
              <w:tc>
                <w:tcPr>
                  <w:tcW w:w="1035"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3.5×10</w:t>
                  </w:r>
                  <w:r>
                    <w:rPr>
                      <w:rFonts w:hint="default" w:ascii="Times New Roman" w:hAnsi="Times New Roman" w:eastAsia="宋体" w:cs="Times New Roman"/>
                      <w:color w:val="auto"/>
                      <w:sz w:val="21"/>
                      <w:szCs w:val="21"/>
                      <w:highlight w:val="none"/>
                      <w:vertAlign w:val="superscript"/>
                    </w:rPr>
                    <w:t>-3</w:t>
                  </w:r>
                </w:p>
              </w:tc>
              <w:tc>
                <w:tcPr>
                  <w:tcW w:w="961"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8.2×10</w:t>
                  </w:r>
                  <w:r>
                    <w:rPr>
                      <w:rFonts w:hint="default" w:ascii="Times New Roman" w:hAnsi="Times New Roman" w:eastAsia="宋体" w:cs="Times New Roman"/>
                      <w:color w:val="auto"/>
                      <w:sz w:val="21"/>
                      <w:szCs w:val="21"/>
                      <w:highlight w:val="none"/>
                      <w:vertAlign w:val="superscript"/>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32"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036"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30~13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30</w:t>
                  </w:r>
                </w:p>
              </w:tc>
              <w:tc>
                <w:tcPr>
                  <w:tcW w:w="1033"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2.2×10</w:t>
                  </w:r>
                  <w:r>
                    <w:rPr>
                      <w:rFonts w:hint="default" w:ascii="Times New Roman" w:hAnsi="Times New Roman" w:eastAsia="宋体" w:cs="Times New Roman"/>
                      <w:color w:val="auto"/>
                      <w:sz w:val="21"/>
                      <w:szCs w:val="21"/>
                      <w:highlight w:val="none"/>
                      <w:vertAlign w:val="superscript"/>
                    </w:rPr>
                    <w:t>-3</w:t>
                  </w:r>
                </w:p>
              </w:tc>
              <w:tc>
                <w:tcPr>
                  <w:tcW w:w="1035"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4.9×10</w:t>
                  </w:r>
                  <w:r>
                    <w:rPr>
                      <w:rFonts w:hint="default" w:ascii="Times New Roman" w:hAnsi="Times New Roman" w:eastAsia="宋体" w:cs="Times New Roman"/>
                      <w:color w:val="auto"/>
                      <w:sz w:val="21"/>
                      <w:szCs w:val="21"/>
                      <w:highlight w:val="none"/>
                      <w:vertAlign w:val="superscript"/>
                    </w:rPr>
                    <w:t>-3</w:t>
                  </w:r>
                </w:p>
              </w:tc>
              <w:tc>
                <w:tcPr>
                  <w:tcW w:w="961"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9.1×10</w:t>
                  </w:r>
                  <w:r>
                    <w:rPr>
                      <w:rFonts w:hint="default" w:ascii="Times New Roman" w:hAnsi="Times New Roman" w:eastAsia="宋体" w:cs="Times New Roman"/>
                      <w:color w:val="auto"/>
                      <w:sz w:val="21"/>
                      <w:szCs w:val="21"/>
                      <w:highlight w:val="none"/>
                      <w:vertAlign w:val="superscript"/>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32"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036"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30~17</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30</w:t>
                  </w:r>
                </w:p>
              </w:tc>
              <w:tc>
                <w:tcPr>
                  <w:tcW w:w="1033"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2.0×10</w:t>
                  </w:r>
                  <w:r>
                    <w:rPr>
                      <w:rFonts w:hint="default" w:ascii="Times New Roman" w:hAnsi="Times New Roman" w:eastAsia="宋体" w:cs="Times New Roman"/>
                      <w:color w:val="auto"/>
                      <w:sz w:val="21"/>
                      <w:szCs w:val="21"/>
                      <w:highlight w:val="none"/>
                      <w:vertAlign w:val="superscript"/>
                    </w:rPr>
                    <w:t>-3</w:t>
                  </w:r>
                </w:p>
              </w:tc>
              <w:tc>
                <w:tcPr>
                  <w:tcW w:w="1035"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3.8×10</w:t>
                  </w:r>
                  <w:r>
                    <w:rPr>
                      <w:rFonts w:hint="default" w:ascii="Times New Roman" w:hAnsi="Times New Roman" w:eastAsia="宋体" w:cs="Times New Roman"/>
                      <w:color w:val="auto"/>
                      <w:sz w:val="21"/>
                      <w:szCs w:val="21"/>
                      <w:highlight w:val="none"/>
                      <w:vertAlign w:val="superscript"/>
                    </w:rPr>
                    <w:t>-3</w:t>
                  </w:r>
                </w:p>
              </w:tc>
              <w:tc>
                <w:tcPr>
                  <w:tcW w:w="961"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8.7×10</w:t>
                  </w:r>
                  <w:r>
                    <w:rPr>
                      <w:rFonts w:hint="default" w:ascii="Times New Roman" w:hAnsi="Times New Roman" w:eastAsia="宋体" w:cs="Times New Roman"/>
                      <w:color w:val="auto"/>
                      <w:sz w:val="21"/>
                      <w:szCs w:val="21"/>
                      <w:highlight w:val="none"/>
                      <w:vertAlign w:val="superscript"/>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32" w:type="pct"/>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2019/08/09</w:t>
                  </w:r>
                </w:p>
              </w:tc>
              <w:tc>
                <w:tcPr>
                  <w:tcW w:w="1036"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08</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30~09</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30</w:t>
                  </w:r>
                </w:p>
              </w:tc>
              <w:tc>
                <w:tcPr>
                  <w:tcW w:w="1033"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1.7×10</w:t>
                  </w:r>
                  <w:r>
                    <w:rPr>
                      <w:rFonts w:hint="default" w:ascii="Times New Roman" w:hAnsi="Times New Roman" w:eastAsia="宋体" w:cs="Times New Roman"/>
                      <w:color w:val="auto"/>
                      <w:sz w:val="21"/>
                      <w:szCs w:val="21"/>
                      <w:highlight w:val="none"/>
                      <w:vertAlign w:val="superscript"/>
                    </w:rPr>
                    <w:t>-3</w:t>
                  </w:r>
                </w:p>
              </w:tc>
              <w:tc>
                <w:tcPr>
                  <w:tcW w:w="1035"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4.0×10</w:t>
                  </w:r>
                  <w:r>
                    <w:rPr>
                      <w:rFonts w:hint="default" w:ascii="Times New Roman" w:hAnsi="Times New Roman" w:eastAsia="宋体" w:cs="Times New Roman"/>
                      <w:color w:val="auto"/>
                      <w:sz w:val="21"/>
                      <w:szCs w:val="21"/>
                      <w:highlight w:val="none"/>
                      <w:vertAlign w:val="superscript"/>
                    </w:rPr>
                    <w:t>-3</w:t>
                  </w:r>
                </w:p>
              </w:tc>
              <w:tc>
                <w:tcPr>
                  <w:tcW w:w="961"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7.6×10</w:t>
                  </w:r>
                  <w:r>
                    <w:rPr>
                      <w:rFonts w:hint="default" w:ascii="Times New Roman" w:hAnsi="Times New Roman" w:eastAsia="宋体" w:cs="Times New Roman"/>
                      <w:color w:val="auto"/>
                      <w:sz w:val="21"/>
                      <w:szCs w:val="21"/>
                      <w:highlight w:val="none"/>
                      <w:vertAlign w:val="superscript"/>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32"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036"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30~13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30</w:t>
                  </w:r>
                </w:p>
              </w:tc>
              <w:tc>
                <w:tcPr>
                  <w:tcW w:w="1033"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2.6×10</w:t>
                  </w:r>
                  <w:r>
                    <w:rPr>
                      <w:rFonts w:hint="default" w:ascii="Times New Roman" w:hAnsi="Times New Roman" w:eastAsia="宋体" w:cs="Times New Roman"/>
                      <w:color w:val="auto"/>
                      <w:sz w:val="21"/>
                      <w:szCs w:val="21"/>
                      <w:highlight w:val="none"/>
                      <w:vertAlign w:val="superscript"/>
                    </w:rPr>
                    <w:t>-3</w:t>
                  </w:r>
                </w:p>
              </w:tc>
              <w:tc>
                <w:tcPr>
                  <w:tcW w:w="1035"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4.9×10</w:t>
                  </w:r>
                  <w:r>
                    <w:rPr>
                      <w:rFonts w:hint="default" w:ascii="Times New Roman" w:hAnsi="Times New Roman" w:eastAsia="宋体" w:cs="Times New Roman"/>
                      <w:color w:val="auto"/>
                      <w:sz w:val="21"/>
                      <w:szCs w:val="21"/>
                      <w:highlight w:val="none"/>
                      <w:vertAlign w:val="superscript"/>
                    </w:rPr>
                    <w:t>-3</w:t>
                  </w:r>
                </w:p>
              </w:tc>
              <w:tc>
                <w:tcPr>
                  <w:tcW w:w="961"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8.1×10</w:t>
                  </w:r>
                  <w:r>
                    <w:rPr>
                      <w:rFonts w:hint="default" w:ascii="Times New Roman" w:hAnsi="Times New Roman" w:eastAsia="宋体" w:cs="Times New Roman"/>
                      <w:color w:val="auto"/>
                      <w:sz w:val="21"/>
                      <w:szCs w:val="21"/>
                      <w:highlight w:val="none"/>
                      <w:vertAlign w:val="superscript"/>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32"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036"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30~17</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30</w:t>
                  </w:r>
                </w:p>
              </w:tc>
              <w:tc>
                <w:tcPr>
                  <w:tcW w:w="1033"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1.9×10</w:t>
                  </w:r>
                  <w:r>
                    <w:rPr>
                      <w:rFonts w:hint="default" w:ascii="Times New Roman" w:hAnsi="Times New Roman" w:eastAsia="宋体" w:cs="Times New Roman"/>
                      <w:color w:val="auto"/>
                      <w:sz w:val="21"/>
                      <w:szCs w:val="21"/>
                      <w:highlight w:val="none"/>
                      <w:vertAlign w:val="superscript"/>
                    </w:rPr>
                    <w:t>-3</w:t>
                  </w:r>
                </w:p>
              </w:tc>
              <w:tc>
                <w:tcPr>
                  <w:tcW w:w="1035"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4.3×10</w:t>
                  </w:r>
                  <w:r>
                    <w:rPr>
                      <w:rFonts w:hint="default" w:ascii="Times New Roman" w:hAnsi="Times New Roman" w:eastAsia="宋体" w:cs="Times New Roman"/>
                      <w:color w:val="auto"/>
                      <w:sz w:val="21"/>
                      <w:szCs w:val="21"/>
                      <w:highlight w:val="none"/>
                      <w:vertAlign w:val="superscript"/>
                    </w:rPr>
                    <w:t>-3</w:t>
                  </w:r>
                </w:p>
              </w:tc>
              <w:tc>
                <w:tcPr>
                  <w:tcW w:w="961" w:type="pct"/>
                  <w:tcBorders>
                    <w:tl2br w:val="nil"/>
                    <w:tr2bl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8.9×10</w:t>
                  </w:r>
                  <w:r>
                    <w:rPr>
                      <w:rFonts w:hint="default" w:ascii="Times New Roman" w:hAnsi="Times New Roman" w:eastAsia="宋体" w:cs="Times New Roman"/>
                      <w:color w:val="auto"/>
                      <w:sz w:val="21"/>
                      <w:szCs w:val="21"/>
                      <w:highlight w:val="none"/>
                      <w:vertAlign w:val="superscript"/>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969" w:type="pct"/>
                  <w:gridSpan w:val="2"/>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标准限值</w:t>
                  </w:r>
                </w:p>
              </w:tc>
              <w:tc>
                <w:tcPr>
                  <w:tcW w:w="3030" w:type="pct"/>
                  <w:gridSpan w:val="3"/>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0.02mg/m</w:t>
                  </w:r>
                  <w:r>
                    <w:rPr>
                      <w:rFonts w:hint="default" w:ascii="Times New Roman" w:hAnsi="Times New Roman" w:eastAsia="宋体" w:cs="Times New Roman"/>
                      <w:color w:val="auto"/>
                      <w:sz w:val="21"/>
                      <w:szCs w:val="21"/>
                      <w:highlight w:val="none"/>
                      <w:vertAlign w:val="superscript"/>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969" w:type="pct"/>
                  <w:gridSpan w:val="2"/>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达标评价</w:t>
                  </w:r>
                </w:p>
              </w:tc>
              <w:tc>
                <w:tcPr>
                  <w:tcW w:w="1033"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1035"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961"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根据上表，原有项目厂界</w:t>
            </w:r>
            <w:r>
              <w:rPr>
                <w:rFonts w:hint="default" w:ascii="Times New Roman" w:hAnsi="Times New Roman" w:eastAsia="宋体" w:cs="Times New Roman"/>
                <w:color w:val="auto"/>
                <w:sz w:val="24"/>
                <w:szCs w:val="24"/>
                <w:highlight w:val="none"/>
                <w:lang w:val="zh-CN"/>
              </w:rPr>
              <w:t>无组织</w:t>
            </w:r>
            <w:r>
              <w:rPr>
                <w:rFonts w:hint="default" w:ascii="Times New Roman" w:hAnsi="Times New Roman" w:eastAsia="宋体" w:cs="Times New Roman"/>
                <w:color w:val="auto"/>
                <w:sz w:val="24"/>
                <w:szCs w:val="24"/>
                <w:highlight w:val="none"/>
                <w:lang w:val="en-US" w:eastAsia="zh-CN"/>
              </w:rPr>
              <w:t>颗粒物、二氧化硫、氟化物能够达到</w:t>
            </w:r>
            <w:r>
              <w:rPr>
                <w:rFonts w:hint="default" w:ascii="Times New Roman" w:hAnsi="Times New Roman" w:eastAsia="宋体" w:cs="Times New Roman"/>
                <w:color w:val="auto"/>
                <w:sz w:val="24"/>
                <w:szCs w:val="24"/>
                <w:highlight w:val="none"/>
                <w:lang w:val="zh-CN"/>
              </w:rPr>
              <w:t>《砖瓦工业大气污染物排放标准》（GB29620-2013）中企业边界大气污染物浓度限值</w:t>
            </w:r>
            <w:r>
              <w:rPr>
                <w:rFonts w:hint="default" w:ascii="Times New Roman" w:hAnsi="Times New Roman" w:eastAsia="宋体" w:cs="Times New Roman"/>
                <w:color w:val="auto"/>
                <w:sz w:val="24"/>
                <w:szCs w:val="24"/>
                <w:highlight w:val="none"/>
                <w:lang w:val="en-US" w:eastAsia="zh-CN"/>
              </w:rPr>
              <w:t>要求，对环境影响较小。</w:t>
            </w:r>
          </w:p>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12.2废水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lang w:val="zh-CN"/>
              </w:rPr>
              <w:t>原</w:t>
            </w:r>
            <w:r>
              <w:rPr>
                <w:rFonts w:hint="default" w:ascii="Times New Roman" w:hAnsi="Times New Roman" w:eastAsia="宋体" w:cs="Times New Roman"/>
                <w:color w:val="auto"/>
                <w:sz w:val="24"/>
                <w:szCs w:val="24"/>
                <w:highlight w:val="none"/>
                <w:lang w:val="en-US" w:eastAsia="zh-CN"/>
              </w:rPr>
              <w:t>有</w:t>
            </w:r>
            <w:r>
              <w:rPr>
                <w:rFonts w:hint="default" w:ascii="Times New Roman" w:hAnsi="Times New Roman" w:eastAsia="宋体" w:cs="Times New Roman"/>
                <w:color w:val="auto"/>
                <w:sz w:val="24"/>
                <w:szCs w:val="24"/>
                <w:highlight w:val="none"/>
                <w:lang w:val="zh-CN"/>
              </w:rPr>
              <w:t>项目</w:t>
            </w:r>
            <w:r>
              <w:rPr>
                <w:rFonts w:hint="default" w:ascii="Times New Roman" w:hAnsi="Times New Roman" w:eastAsia="宋体" w:cs="Times New Roman"/>
                <w:color w:val="auto"/>
                <w:sz w:val="24"/>
                <w:szCs w:val="24"/>
                <w:highlight w:val="none"/>
              </w:rPr>
              <w:t>用水主要包括陈化用水、搅拌用水、洒水降尘用水；产生的污水、废水主要包括生活污水、</w:t>
            </w:r>
            <w:r>
              <w:rPr>
                <w:rFonts w:hint="default" w:ascii="Times New Roman" w:hAnsi="Times New Roman" w:eastAsia="宋体" w:cs="Times New Roman"/>
                <w:color w:val="auto"/>
                <w:sz w:val="24"/>
                <w:szCs w:val="24"/>
                <w:highlight w:val="none"/>
                <w:lang w:val="en-US" w:eastAsia="zh-CN"/>
              </w:rPr>
              <w:t>吸收液</w:t>
            </w:r>
            <w:r>
              <w:rPr>
                <w:rFonts w:hint="default" w:ascii="Times New Roman" w:hAnsi="Times New Roman" w:eastAsia="宋体" w:cs="Times New Roman"/>
                <w:color w:val="auto"/>
                <w:sz w:val="24"/>
                <w:szCs w:val="24"/>
                <w:highlight w:val="none"/>
              </w:rPr>
              <w:t>。</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①</w:t>
            </w:r>
            <w:r>
              <w:rPr>
                <w:rFonts w:hint="default" w:ascii="Times New Roman" w:hAnsi="Times New Roman" w:eastAsia="宋体" w:cs="Times New Roman"/>
                <w:b/>
                <w:color w:val="auto"/>
                <w:sz w:val="24"/>
                <w:szCs w:val="24"/>
                <w:highlight w:val="none"/>
              </w:rPr>
              <w:t>陈化用水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szCs w:val="24"/>
                <w:highlight w:val="none"/>
                <w:lang w:val="zh-CN"/>
              </w:rPr>
              <w:t>原</w:t>
            </w:r>
            <w:r>
              <w:rPr>
                <w:rFonts w:hint="default" w:ascii="Times New Roman" w:hAnsi="Times New Roman" w:eastAsia="宋体" w:cs="Times New Roman"/>
                <w:color w:val="auto"/>
                <w:sz w:val="24"/>
                <w:szCs w:val="24"/>
                <w:highlight w:val="none"/>
                <w:lang w:val="en-US" w:eastAsia="zh-CN"/>
              </w:rPr>
              <w:t>有</w:t>
            </w:r>
            <w:r>
              <w:rPr>
                <w:rFonts w:hint="default" w:ascii="Times New Roman" w:hAnsi="Times New Roman" w:eastAsia="宋体" w:cs="Times New Roman"/>
                <w:color w:val="auto"/>
                <w:sz w:val="24"/>
                <w:szCs w:val="24"/>
                <w:highlight w:val="none"/>
                <w:lang w:val="zh-CN"/>
              </w:rPr>
              <w:t>项目</w:t>
            </w:r>
            <w:r>
              <w:rPr>
                <w:rFonts w:hint="default" w:ascii="Times New Roman" w:hAnsi="Times New Roman" w:eastAsia="宋体" w:cs="Times New Roman"/>
                <w:color w:val="auto"/>
                <w:sz w:val="24"/>
                <w:szCs w:val="24"/>
                <w:highlight w:val="none"/>
              </w:rPr>
              <w:t>陈化用水量为</w:t>
            </w:r>
            <w:r>
              <w:rPr>
                <w:rFonts w:hint="default" w:ascii="Times New Roman" w:hAnsi="Times New Roman" w:eastAsia="宋体" w:cs="Times New Roman"/>
                <w:color w:val="auto"/>
                <w:sz w:val="24"/>
                <w:szCs w:val="24"/>
                <w:highlight w:val="none"/>
                <w:lang w:val="en-US" w:eastAsia="zh-CN"/>
              </w:rPr>
              <w:t>34.5333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/d，约5%在陈化过程损耗，损耗量约为</w:t>
            </w:r>
            <w:r>
              <w:rPr>
                <w:rFonts w:hint="default" w:ascii="Times New Roman" w:hAnsi="Times New Roman" w:eastAsia="宋体" w:cs="Times New Roman"/>
                <w:color w:val="auto"/>
                <w:sz w:val="24"/>
                <w:szCs w:val="24"/>
                <w:highlight w:val="none"/>
                <w:lang w:val="en-US" w:eastAsia="zh-CN"/>
              </w:rPr>
              <w:t>1.7267</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/d，其余</w:t>
            </w:r>
            <w:r>
              <w:rPr>
                <w:rFonts w:hint="default" w:ascii="Times New Roman" w:hAnsi="Times New Roman" w:eastAsia="宋体" w:cs="Times New Roman"/>
                <w:color w:val="auto"/>
                <w:sz w:val="24"/>
                <w:szCs w:val="24"/>
                <w:highlight w:val="none"/>
                <w:lang w:val="en-US" w:eastAsia="zh-CN"/>
              </w:rPr>
              <w:t>32.8067</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的水在后期隧道烘干窑内全部受热蒸发。无外排废水产生。</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②搅拌用水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zh-CN"/>
              </w:rPr>
              <w:t>原</w:t>
            </w:r>
            <w:r>
              <w:rPr>
                <w:rFonts w:hint="default" w:ascii="Times New Roman" w:hAnsi="Times New Roman" w:eastAsia="宋体" w:cs="Times New Roman"/>
                <w:color w:val="auto"/>
                <w:sz w:val="24"/>
                <w:szCs w:val="24"/>
                <w:highlight w:val="none"/>
                <w:lang w:val="en-US" w:eastAsia="zh-CN"/>
              </w:rPr>
              <w:t>有</w:t>
            </w:r>
            <w:r>
              <w:rPr>
                <w:rFonts w:hint="default" w:ascii="Times New Roman" w:hAnsi="Times New Roman" w:eastAsia="宋体" w:cs="Times New Roman"/>
                <w:color w:val="auto"/>
                <w:sz w:val="24"/>
                <w:szCs w:val="24"/>
                <w:highlight w:val="none"/>
                <w:lang w:val="zh-CN"/>
              </w:rPr>
              <w:t>项目</w:t>
            </w:r>
            <w:r>
              <w:rPr>
                <w:rFonts w:hint="default" w:ascii="Times New Roman" w:hAnsi="Times New Roman" w:eastAsia="宋体" w:cs="Times New Roman"/>
                <w:color w:val="auto"/>
                <w:sz w:val="24"/>
                <w:szCs w:val="24"/>
                <w:highlight w:val="none"/>
              </w:rPr>
              <w:t>搅拌过程用水量为</w:t>
            </w:r>
            <w:r>
              <w:rPr>
                <w:rFonts w:hint="default" w:ascii="Times New Roman" w:hAnsi="Times New Roman" w:eastAsia="宋体" w:cs="Times New Roman"/>
                <w:color w:val="auto"/>
                <w:sz w:val="24"/>
                <w:szCs w:val="24"/>
                <w:highlight w:val="none"/>
                <w:lang w:val="en-US" w:eastAsia="zh-CN"/>
              </w:rPr>
              <w:t>39.4667</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/d，全部进入砖坯，在隧道烘干窑内全部受热蒸发，无外排废水产生。</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③洒水降尘用水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zh-CN"/>
              </w:rPr>
              <w:t>原</w:t>
            </w:r>
            <w:r>
              <w:rPr>
                <w:rFonts w:hint="default" w:ascii="Times New Roman" w:hAnsi="Times New Roman" w:eastAsia="宋体" w:cs="Times New Roman"/>
                <w:color w:val="auto"/>
                <w:sz w:val="24"/>
                <w:szCs w:val="24"/>
                <w:highlight w:val="none"/>
                <w:lang w:val="en-US" w:eastAsia="zh-CN"/>
              </w:rPr>
              <w:t>有</w:t>
            </w:r>
            <w:r>
              <w:rPr>
                <w:rFonts w:hint="default" w:ascii="Times New Roman" w:hAnsi="Times New Roman" w:eastAsia="宋体" w:cs="Times New Roman"/>
                <w:color w:val="auto"/>
                <w:sz w:val="24"/>
                <w:szCs w:val="24"/>
                <w:highlight w:val="none"/>
                <w:lang w:val="zh-CN"/>
              </w:rPr>
              <w:t>项目</w:t>
            </w:r>
            <w:r>
              <w:rPr>
                <w:rFonts w:hint="default" w:ascii="Times New Roman" w:hAnsi="Times New Roman" w:eastAsia="宋体" w:cs="Times New Roman"/>
                <w:color w:val="auto"/>
                <w:sz w:val="24"/>
                <w:szCs w:val="24"/>
                <w:highlight w:val="none"/>
              </w:rPr>
              <w:t>降尘洒水量为</w:t>
            </w:r>
            <w:r>
              <w:rPr>
                <w:rFonts w:hint="default" w:ascii="Times New Roman" w:hAnsi="Times New Roman" w:eastAsia="宋体" w:cs="Times New Roman"/>
                <w:color w:val="auto"/>
                <w:sz w:val="24"/>
                <w:szCs w:val="24"/>
                <w:highlight w:val="none"/>
                <w:lang w:val="en-US" w:eastAsia="zh-CN"/>
              </w:rPr>
              <w:t>3.603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/d，全部蒸发，无外排废水产生。</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④吸收液</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原</w:t>
            </w:r>
            <w:r>
              <w:rPr>
                <w:rFonts w:hint="default" w:ascii="Times New Roman" w:hAnsi="Times New Roman" w:eastAsia="宋体" w:cs="Times New Roman"/>
                <w:color w:val="auto"/>
                <w:sz w:val="24"/>
                <w:szCs w:val="24"/>
                <w:highlight w:val="none"/>
                <w:lang w:val="en-US" w:eastAsia="zh-CN"/>
              </w:rPr>
              <w:t>有</w:t>
            </w:r>
            <w:r>
              <w:rPr>
                <w:rFonts w:hint="default" w:ascii="Times New Roman" w:hAnsi="Times New Roman" w:eastAsia="宋体" w:cs="Times New Roman"/>
                <w:color w:val="auto"/>
                <w:sz w:val="24"/>
                <w:szCs w:val="24"/>
                <w:highlight w:val="none"/>
                <w:lang w:val="zh-CN"/>
              </w:rPr>
              <w:t>项目</w:t>
            </w:r>
            <w:r>
              <w:rPr>
                <w:rFonts w:hint="default" w:ascii="Times New Roman" w:hAnsi="Times New Roman" w:eastAsia="宋体" w:cs="Times New Roman"/>
                <w:color w:val="auto"/>
                <w:sz w:val="24"/>
                <w:szCs w:val="24"/>
                <w:highlight w:val="none"/>
              </w:rPr>
              <w:t>每天向脱硫除尘装置补充新鲜循环水量为</w:t>
            </w:r>
            <w:r>
              <w:rPr>
                <w:rFonts w:hint="default" w:ascii="Times New Roman" w:hAnsi="Times New Roman" w:eastAsia="宋体" w:cs="Times New Roman"/>
                <w:color w:val="auto"/>
                <w:sz w:val="24"/>
                <w:szCs w:val="24"/>
                <w:highlight w:val="none"/>
                <w:lang w:val="en-US" w:eastAsia="zh-CN"/>
              </w:rPr>
              <w:t>2894.518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吸收液循环使用不外排。</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⑤生活污水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原</w:t>
            </w:r>
            <w:r>
              <w:rPr>
                <w:rFonts w:hint="default" w:ascii="Times New Roman" w:hAnsi="Times New Roman" w:eastAsia="宋体" w:cs="Times New Roman"/>
                <w:color w:val="auto"/>
                <w:sz w:val="24"/>
                <w:szCs w:val="24"/>
                <w:highlight w:val="none"/>
                <w:lang w:val="en-US" w:eastAsia="zh-CN"/>
              </w:rPr>
              <w:t>有</w:t>
            </w:r>
            <w:r>
              <w:rPr>
                <w:rFonts w:hint="default" w:ascii="Times New Roman" w:hAnsi="Times New Roman" w:eastAsia="宋体" w:cs="Times New Roman"/>
                <w:color w:val="auto"/>
                <w:sz w:val="24"/>
                <w:szCs w:val="24"/>
                <w:highlight w:val="none"/>
                <w:lang w:val="zh-CN"/>
              </w:rPr>
              <w:t>项目</w:t>
            </w:r>
            <w:r>
              <w:rPr>
                <w:rFonts w:hint="default" w:ascii="Times New Roman" w:hAnsi="Times New Roman" w:eastAsia="宋体" w:cs="Times New Roman"/>
                <w:color w:val="auto"/>
                <w:sz w:val="24"/>
                <w:szCs w:val="24"/>
                <w:highlight w:val="none"/>
                <w:lang w:val="en-US" w:eastAsia="zh-CN"/>
              </w:rPr>
              <w:t>劳动定员3</w:t>
            </w:r>
            <w:r>
              <w:rPr>
                <w:rFonts w:hint="default" w:ascii="Times New Roman" w:hAnsi="Times New Roman" w:eastAsia="宋体" w:cs="Times New Roman"/>
                <w:color w:val="auto"/>
                <w:sz w:val="24"/>
                <w:szCs w:val="24"/>
                <w:highlight w:val="none"/>
              </w:rPr>
              <w:t>0人，有</w:t>
            </w:r>
            <w:r>
              <w:rPr>
                <w:rFonts w:hint="default"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rPr>
              <w:t>人在项目区</w:t>
            </w:r>
            <w:r>
              <w:rPr>
                <w:rFonts w:hint="default" w:ascii="Times New Roman" w:hAnsi="Times New Roman" w:eastAsia="宋体" w:cs="Times New Roman"/>
                <w:color w:val="auto"/>
                <w:sz w:val="24"/>
                <w:szCs w:val="24"/>
                <w:highlight w:val="none"/>
                <w:lang w:val="en-US" w:eastAsia="zh-CN"/>
              </w:rPr>
              <w:t>内</w:t>
            </w:r>
            <w:r>
              <w:rPr>
                <w:rFonts w:hint="default" w:ascii="Times New Roman" w:hAnsi="Times New Roman" w:eastAsia="宋体" w:cs="Times New Roman"/>
                <w:color w:val="auto"/>
                <w:sz w:val="24"/>
                <w:szCs w:val="24"/>
                <w:highlight w:val="none"/>
              </w:rPr>
              <w:t>食宿</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rPr>
              <w:t>人</w:t>
            </w:r>
            <w:r>
              <w:rPr>
                <w:rFonts w:hint="default" w:ascii="Times New Roman" w:hAnsi="Times New Roman" w:eastAsia="宋体" w:cs="Times New Roman"/>
                <w:color w:val="auto"/>
                <w:sz w:val="24"/>
                <w:szCs w:val="24"/>
                <w:highlight w:val="none"/>
                <w:lang w:val="en-US" w:eastAsia="zh-CN"/>
              </w:rPr>
              <w:t>不在厂区住宿，</w:t>
            </w:r>
            <w:r>
              <w:rPr>
                <w:rFonts w:hint="default" w:ascii="Times New Roman" w:hAnsi="Times New Roman" w:eastAsia="宋体" w:cs="Times New Roman"/>
                <w:color w:val="auto"/>
                <w:sz w:val="24"/>
                <w:szCs w:val="24"/>
                <w:highlight w:val="none"/>
              </w:rPr>
              <w:t>生活污水产生量为</w:t>
            </w:r>
            <w:r>
              <w:rPr>
                <w:rFonts w:hint="default" w:ascii="Times New Roman" w:hAnsi="Times New Roman" w:eastAsia="宋体" w:cs="Times New Roman"/>
                <w:color w:val="auto"/>
                <w:sz w:val="24"/>
                <w:szCs w:val="24"/>
                <w:highlight w:val="none"/>
                <w:lang w:val="en-US" w:eastAsia="zh-CN"/>
              </w:rPr>
              <w:t>1.68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val="en-US" w:eastAsia="zh-CN"/>
              </w:rPr>
              <w:t>食堂污水通过油水分离器处理后与其他生活污水共同进入化粪池处理，再排入</w:t>
            </w:r>
            <w:r>
              <w:rPr>
                <w:rFonts w:hint="default" w:ascii="Times New Roman" w:hAnsi="Times New Roman" w:eastAsia="宋体" w:cs="Times New Roman"/>
                <w:color w:val="auto"/>
                <w:kern w:val="0"/>
                <w:sz w:val="24"/>
                <w:szCs w:val="24"/>
                <w:highlight w:val="none"/>
                <w:vertAlign w:val="baseline"/>
                <w:lang w:val="en-US" w:eastAsia="zh-CN"/>
              </w:rPr>
              <w:t>集水池回用于生产。</w:t>
            </w:r>
          </w:p>
          <w:p>
            <w:pPr>
              <w:pStyle w:val="78"/>
              <w:keepNext w:val="0"/>
              <w:keepLines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⑥</w:t>
            </w:r>
            <w:r>
              <w:rPr>
                <w:rFonts w:hint="default" w:ascii="Times New Roman" w:hAnsi="Times New Roman" w:eastAsia="宋体" w:cs="Times New Roman"/>
                <w:b/>
                <w:bCs/>
                <w:color w:val="auto"/>
                <w:sz w:val="24"/>
                <w:szCs w:val="24"/>
                <w:highlight w:val="none"/>
              </w:rPr>
              <w:t>场地初期雨水</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区域初期雨水经</w:t>
            </w:r>
            <w:r>
              <w:rPr>
                <w:rFonts w:hint="default" w:ascii="Times New Roman" w:hAnsi="Times New Roman" w:eastAsia="宋体" w:cs="Times New Roman"/>
                <w:color w:val="auto"/>
                <w:sz w:val="24"/>
                <w:szCs w:val="24"/>
                <w:highlight w:val="none"/>
                <w:lang w:val="en-US" w:eastAsia="zh-CN"/>
              </w:rPr>
              <w:t>雨水沉淀池沉淀后进入集水池回用于生产。</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厂区总汇水面积为</w:t>
            </w:r>
            <w:r>
              <w:rPr>
                <w:rFonts w:hint="default" w:ascii="Times New Roman" w:hAnsi="Times New Roman" w:eastAsia="宋体" w:cs="Times New Roman"/>
                <w:color w:val="auto"/>
                <w:sz w:val="24"/>
                <w:szCs w:val="24"/>
                <w:highlight w:val="none"/>
                <w:lang w:val="en-US" w:eastAsia="zh-CN"/>
              </w:rPr>
              <w:t>1.526</w:t>
            </w:r>
            <w:r>
              <w:rPr>
                <w:rFonts w:hint="default" w:ascii="Times New Roman" w:hAnsi="Times New Roman" w:eastAsia="宋体" w:cs="Times New Roman"/>
                <w:color w:val="auto"/>
                <w:sz w:val="24"/>
                <w:szCs w:val="24"/>
                <w:highlight w:val="none"/>
              </w:rPr>
              <w:t>hm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，采用历年最大降雨量来计算厂区初期雨水产生量，计算公式为：</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Wi=ψ×q×F×10</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×15</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式中：Wi—</w:t>
            </w:r>
            <w:r>
              <w:rPr>
                <w:rFonts w:hint="default" w:ascii="Times New Roman" w:hAnsi="Times New Roman" w:eastAsia="宋体" w:cs="Times New Roman"/>
                <w:color w:val="auto"/>
                <w:sz w:val="24"/>
                <w:szCs w:val="24"/>
                <w:highlight w:val="none"/>
                <w:lang w:val="zh-CN"/>
              </w:rPr>
              <w:t>初期雨水量</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zh-CN"/>
              </w:rPr>
              <w:t>次</w:t>
            </w:r>
            <w:r>
              <w:rPr>
                <w:rFonts w:hint="default" w:ascii="Times New Roman" w:hAnsi="Times New Roman" w:eastAsia="宋体" w:cs="Times New Roman"/>
                <w:color w:val="auto"/>
                <w:sz w:val="24"/>
                <w:szCs w:val="24"/>
                <w:highlight w:val="none"/>
              </w:rPr>
              <w:t>）；</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      q</w:t>
            </w:r>
            <w:r>
              <w:rPr>
                <w:rFonts w:hint="default" w:ascii="Times New Roman" w:hAnsi="Times New Roman" w:eastAsia="宋体" w:cs="Times New Roman"/>
                <w:color w:val="auto"/>
                <w:sz w:val="24"/>
                <w:szCs w:val="24"/>
                <w:highlight w:val="none"/>
                <w:lang w:val="zh-CN"/>
              </w:rPr>
              <w:t>—降雨强度（</w:t>
            </w:r>
            <w:r>
              <w:rPr>
                <w:rFonts w:hint="default" w:ascii="Times New Roman" w:hAnsi="Times New Roman" w:eastAsia="宋体" w:cs="Times New Roman"/>
                <w:color w:val="auto"/>
                <w:sz w:val="24"/>
                <w:szCs w:val="24"/>
                <w:highlight w:val="none"/>
              </w:rPr>
              <w:t>mm</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rPr>
              <w:t>min</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rPr>
              <w:t>，历年最大降雨量为</w:t>
            </w:r>
            <w:r>
              <w:rPr>
                <w:rFonts w:hint="default" w:ascii="Times New Roman" w:hAnsi="Times New Roman" w:eastAsia="宋体" w:cs="Times New Roman"/>
                <w:color w:val="auto"/>
                <w:sz w:val="24"/>
                <w:szCs w:val="24"/>
                <w:highlight w:val="none"/>
                <w:lang w:val="en-US" w:eastAsia="zh-CN"/>
              </w:rPr>
              <w:t>912.2</w:t>
            </w:r>
            <w:r>
              <w:rPr>
                <w:rFonts w:hint="default" w:ascii="Times New Roman" w:hAnsi="Times New Roman" w:eastAsia="宋体" w:cs="Times New Roman"/>
                <w:color w:val="auto"/>
                <w:sz w:val="24"/>
                <w:szCs w:val="24"/>
                <w:highlight w:val="none"/>
              </w:rPr>
              <w:t>mm</w:t>
            </w:r>
            <w:r>
              <w:rPr>
                <w:rFonts w:hint="default" w:ascii="Times New Roman" w:hAnsi="Times New Roman" w:eastAsia="宋体" w:cs="Times New Roman"/>
                <w:color w:val="auto"/>
                <w:sz w:val="24"/>
                <w:szCs w:val="24"/>
                <w:highlight w:val="none"/>
                <w:lang w:val="zh-CN"/>
              </w:rPr>
              <w:t>；</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      F</w:t>
            </w:r>
            <w:r>
              <w:rPr>
                <w:rFonts w:hint="default" w:ascii="Times New Roman" w:hAnsi="Times New Roman" w:eastAsia="宋体" w:cs="Times New Roman"/>
                <w:color w:val="auto"/>
                <w:sz w:val="24"/>
                <w:szCs w:val="24"/>
                <w:highlight w:val="none"/>
                <w:lang w:val="zh-CN"/>
              </w:rPr>
              <w:t>—汇水面积（</w:t>
            </w:r>
            <w:r>
              <w:rPr>
                <w:rFonts w:hint="default" w:ascii="Times New Roman" w:hAnsi="Times New Roman" w:eastAsia="宋体" w:cs="Times New Roman"/>
                <w:color w:val="auto"/>
                <w:sz w:val="24"/>
                <w:szCs w:val="24"/>
                <w:highlight w:val="none"/>
              </w:rPr>
              <w:t>hm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lang w:val="zh-CN"/>
              </w:rPr>
              <w:t>），项目区汇水面积</w:t>
            </w:r>
            <w:r>
              <w:rPr>
                <w:rFonts w:hint="default" w:ascii="Times New Roman" w:hAnsi="Times New Roman" w:eastAsia="宋体" w:cs="Times New Roman"/>
                <w:color w:val="auto"/>
                <w:sz w:val="24"/>
                <w:szCs w:val="24"/>
                <w:highlight w:val="none"/>
                <w:lang w:val="en-US" w:eastAsia="zh-CN"/>
              </w:rPr>
              <w:t>1.526</w:t>
            </w:r>
            <w:r>
              <w:rPr>
                <w:rFonts w:hint="default" w:ascii="Times New Roman" w:hAnsi="Times New Roman" w:eastAsia="宋体" w:cs="Times New Roman"/>
                <w:color w:val="auto"/>
                <w:sz w:val="24"/>
                <w:szCs w:val="24"/>
                <w:highlight w:val="none"/>
              </w:rPr>
              <w:t>hm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lang w:val="zh-CN"/>
              </w:rPr>
              <w:t>；</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      ψ</w:t>
            </w:r>
            <w:r>
              <w:rPr>
                <w:rFonts w:hint="default" w:ascii="Times New Roman" w:hAnsi="Times New Roman" w:eastAsia="宋体" w:cs="Times New Roman"/>
                <w:color w:val="auto"/>
                <w:sz w:val="24"/>
                <w:szCs w:val="24"/>
                <w:highlight w:val="none"/>
                <w:lang w:val="zh-CN"/>
              </w:rPr>
              <w:t>—径流系数，项目区水泥地面，径流系数取</w:t>
            </w:r>
            <w:r>
              <w:rPr>
                <w:rFonts w:hint="default" w:ascii="Times New Roman" w:hAnsi="Times New Roman" w:eastAsia="宋体" w:cs="Times New Roman"/>
                <w:color w:val="auto"/>
                <w:sz w:val="24"/>
                <w:szCs w:val="24"/>
                <w:highlight w:val="none"/>
              </w:rPr>
              <w:t>0.7；</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      15</w:t>
            </w:r>
            <w:r>
              <w:rPr>
                <w:rFonts w:hint="default" w:ascii="Times New Roman" w:hAnsi="Times New Roman" w:eastAsia="宋体" w:cs="Times New Roman"/>
                <w:color w:val="auto"/>
                <w:sz w:val="24"/>
                <w:szCs w:val="24"/>
                <w:highlight w:val="none"/>
                <w:lang w:val="zh-CN"/>
              </w:rPr>
              <w:t>—初期雨水按降雨前</w:t>
            </w:r>
            <w:r>
              <w:rPr>
                <w:rFonts w:hint="default" w:ascii="Times New Roman" w:hAnsi="Times New Roman" w:eastAsia="宋体" w:cs="Times New Roman"/>
                <w:color w:val="auto"/>
                <w:sz w:val="24"/>
                <w:szCs w:val="24"/>
                <w:highlight w:val="none"/>
              </w:rPr>
              <w:t>15min计；</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color w:val="auto"/>
                <w:sz w:val="24"/>
                <w:szCs w:val="24"/>
                <w:highlight w:val="none"/>
                <w:lang w:val="zh-CN"/>
              </w:rPr>
              <w:t>经计算，降雨前</w:t>
            </w:r>
            <w:r>
              <w:rPr>
                <w:rFonts w:hint="default" w:ascii="Times New Roman" w:hAnsi="Times New Roman" w:eastAsia="宋体" w:cs="Times New Roman"/>
                <w:color w:val="auto"/>
                <w:sz w:val="24"/>
                <w:szCs w:val="24"/>
                <w:highlight w:val="none"/>
              </w:rPr>
              <w:t>15min初期雨水产生量为</w:t>
            </w:r>
            <w:r>
              <w:rPr>
                <w:rFonts w:hint="default" w:ascii="Times New Roman" w:hAnsi="Times New Roman" w:eastAsia="宋体" w:cs="Times New Roman"/>
                <w:color w:val="auto"/>
                <w:sz w:val="24"/>
                <w:szCs w:val="24"/>
                <w:highlight w:val="none"/>
                <w:lang w:val="en-US" w:eastAsia="zh-CN"/>
              </w:rPr>
              <w:t>14.616</w:t>
            </w:r>
            <w:r>
              <w:rPr>
                <w:rFonts w:hint="default" w:ascii="Times New Roman" w:hAnsi="Times New Roman" w:eastAsia="宋体" w:cs="Times New Roman"/>
                <w:color w:val="auto"/>
                <w:sz w:val="24"/>
                <w:szCs w:val="24"/>
                <w:highlight w:val="none"/>
                <w:lang w:val="zh-CN"/>
              </w:rPr>
              <w:t>m</w:t>
            </w:r>
            <w:r>
              <w:rPr>
                <w:rFonts w:hint="default" w:ascii="Times New Roman" w:hAnsi="Times New Roman" w:eastAsia="宋体" w:cs="Times New Roman"/>
                <w:color w:val="auto"/>
                <w:sz w:val="24"/>
                <w:szCs w:val="24"/>
                <w:highlight w:val="none"/>
                <w:vertAlign w:val="superscript"/>
                <w:lang w:val="zh-CN"/>
              </w:rPr>
              <w:t>3</w:t>
            </w:r>
            <w:r>
              <w:rPr>
                <w:rFonts w:hint="default" w:ascii="Times New Roman" w:hAnsi="Times New Roman" w:eastAsia="宋体" w:cs="Times New Roman"/>
                <w:color w:val="auto"/>
                <w:sz w:val="24"/>
                <w:szCs w:val="24"/>
                <w:highlight w:val="none"/>
                <w:lang w:val="zh-CN"/>
              </w:rPr>
              <w:t>/次。</w:t>
            </w:r>
          </w:p>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12.3噪声</w:t>
            </w:r>
          </w:p>
          <w:p>
            <w:pPr>
              <w:pStyle w:val="71"/>
              <w:keepNext w:val="0"/>
              <w:keepLines w:val="0"/>
              <w:suppressLineNumbers w:val="0"/>
              <w:spacing w:before="0" w:beforeAutospacing="0" w:after="0" w:afterAutospacing="0" w:line="360" w:lineRule="auto"/>
              <w:ind w:left="107" w:right="17"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原有项目厂界噪声根据20</w:t>
            </w:r>
            <w:r>
              <w:rPr>
                <w:rFonts w:hint="default" w:ascii="Times New Roman" w:hAnsi="Times New Roman" w:eastAsia="宋体"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19</w:t>
            </w:r>
            <w:r>
              <w:rPr>
                <w:rFonts w:hint="default" w:ascii="Times New Roman" w:hAnsi="Times New Roman" w:eastAsia="宋体" w:cs="Times New Roman"/>
                <w:color w:val="auto"/>
                <w:sz w:val="24"/>
                <w:szCs w:val="24"/>
                <w:highlight w:val="none"/>
              </w:rPr>
              <w:t>日云南华都生态环境监测有限公司对</w:t>
            </w:r>
            <w:r>
              <w:rPr>
                <w:rFonts w:hint="default" w:ascii="Times New Roman" w:hAnsi="Times New Roman" w:eastAsia="宋体" w:cs="Times New Roman"/>
                <w:color w:val="auto"/>
                <w:sz w:val="24"/>
                <w:szCs w:val="24"/>
                <w:highlight w:val="none"/>
                <w:lang w:val="en-US" w:eastAsia="zh-CN"/>
              </w:rPr>
              <w:t>对厂区厂界外1m的自行</w:t>
            </w:r>
            <w:r>
              <w:rPr>
                <w:rFonts w:hint="default" w:ascii="Times New Roman" w:hAnsi="Times New Roman" w:eastAsia="宋体" w:cs="Times New Roman"/>
                <w:color w:val="auto"/>
                <w:sz w:val="24"/>
                <w:szCs w:val="24"/>
                <w:highlight w:val="none"/>
              </w:rPr>
              <w:t>监测数据进行分析。厂界噪声监测结果如下：</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
                <w:color w:val="auto"/>
                <w:szCs w:val="21"/>
                <w:highlight w:val="none"/>
              </w:rPr>
              <w:t>表2.12-3   原项目厂界噪声监测结果</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9"/>
              <w:gridCol w:w="1282"/>
              <w:gridCol w:w="1274"/>
              <w:gridCol w:w="1278"/>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1774" w:type="pct"/>
                  <w:vMerge w:val="restart"/>
                  <w:noWrap w:val="0"/>
                  <w:vAlign w:val="center"/>
                </w:tcPr>
                <w:p>
                  <w:pPr>
                    <w:pStyle w:val="61"/>
                    <w:keepNext w:val="0"/>
                    <w:keepLines w:val="0"/>
                    <w:suppressLineNumbers w:val="0"/>
                    <w:spacing w:before="24" w:beforeAutospacing="0" w:after="24" w:afterAutospacing="0" w:line="240" w:lineRule="auto"/>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监测点位</w:t>
                  </w:r>
                </w:p>
              </w:tc>
              <w:tc>
                <w:tcPr>
                  <w:tcW w:w="3226" w:type="pct"/>
                  <w:gridSpan w:val="4"/>
                  <w:noWrap w:val="0"/>
                  <w:vAlign w:val="center"/>
                </w:tcPr>
                <w:p>
                  <w:pPr>
                    <w:pStyle w:val="61"/>
                    <w:keepNext w:val="0"/>
                    <w:keepLines w:val="0"/>
                    <w:suppressLineNumbers w:val="0"/>
                    <w:spacing w:before="24" w:beforeAutospacing="0" w:after="24" w:afterAutospacing="0" w:line="240" w:lineRule="auto"/>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测量值LeqdB(A)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1774" w:type="pct"/>
                  <w:vMerge w:val="continue"/>
                  <w:noWrap w:val="0"/>
                  <w:vAlign w:val="center"/>
                </w:tcPr>
                <w:p>
                  <w:pPr>
                    <w:pStyle w:val="61"/>
                    <w:keepNext w:val="0"/>
                    <w:keepLines w:val="0"/>
                    <w:suppressLineNumbers w:val="0"/>
                    <w:spacing w:before="24" w:beforeAutospacing="0" w:after="24" w:afterAutospacing="0" w:line="240" w:lineRule="auto"/>
                    <w:ind w:left="0" w:right="0"/>
                    <w:rPr>
                      <w:rFonts w:hint="default" w:ascii="Times New Roman" w:hAnsi="Times New Roman" w:eastAsia="宋体" w:cs="Times New Roman"/>
                      <w:b/>
                      <w:bCs/>
                      <w:color w:val="auto"/>
                      <w:sz w:val="21"/>
                      <w:szCs w:val="21"/>
                      <w:highlight w:val="none"/>
                    </w:rPr>
                  </w:pPr>
                </w:p>
              </w:tc>
              <w:tc>
                <w:tcPr>
                  <w:tcW w:w="1609" w:type="pct"/>
                  <w:gridSpan w:val="2"/>
                  <w:noWrap w:val="0"/>
                  <w:vAlign w:val="center"/>
                </w:tcPr>
                <w:p>
                  <w:pPr>
                    <w:pStyle w:val="61"/>
                    <w:keepNext w:val="0"/>
                    <w:keepLines w:val="0"/>
                    <w:suppressLineNumbers w:val="0"/>
                    <w:spacing w:before="24" w:beforeAutospacing="0" w:after="24" w:afterAutospacing="0" w:line="240" w:lineRule="auto"/>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监测结果</w:t>
                  </w:r>
                </w:p>
                <w:p>
                  <w:pPr>
                    <w:pStyle w:val="61"/>
                    <w:keepNext w:val="0"/>
                    <w:keepLines w:val="0"/>
                    <w:suppressLineNumbers w:val="0"/>
                    <w:spacing w:before="24" w:beforeAutospacing="0" w:after="24" w:afterAutospacing="0" w:line="240" w:lineRule="auto"/>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w:t>
                  </w:r>
                </w:p>
              </w:tc>
              <w:tc>
                <w:tcPr>
                  <w:tcW w:w="804" w:type="pct"/>
                  <w:noWrap w:val="0"/>
                  <w:vAlign w:val="center"/>
                </w:tcPr>
                <w:p>
                  <w:pPr>
                    <w:pStyle w:val="61"/>
                    <w:keepNext w:val="0"/>
                    <w:keepLines w:val="0"/>
                    <w:suppressLineNumbers w:val="0"/>
                    <w:spacing w:before="24" w:beforeAutospacing="0" w:after="24" w:afterAutospacing="0" w:line="240" w:lineRule="auto"/>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w:t>
                  </w:r>
                </w:p>
              </w:tc>
              <w:tc>
                <w:tcPr>
                  <w:tcW w:w="813" w:type="pct"/>
                  <w:noWrap w:val="0"/>
                  <w:vAlign w:val="center"/>
                </w:tcPr>
                <w:p>
                  <w:pPr>
                    <w:pStyle w:val="61"/>
                    <w:keepNext w:val="0"/>
                    <w:keepLines w:val="0"/>
                    <w:suppressLineNumbers w:val="0"/>
                    <w:spacing w:before="24" w:beforeAutospacing="0" w:after="24" w:afterAutospacing="0" w:line="240" w:lineRule="auto"/>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1774" w:type="pct"/>
                  <w:noWrap w:val="0"/>
                  <w:vAlign w:val="center"/>
                </w:tcPr>
                <w:p>
                  <w:pPr>
                    <w:pStyle w:val="61"/>
                    <w:keepNext w:val="0"/>
                    <w:keepLines w:val="0"/>
                    <w:suppressLineNumbers w:val="0"/>
                    <w:spacing w:before="24" w:beforeAutospacing="0" w:after="24"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厂界东1#</w:t>
                  </w:r>
                </w:p>
              </w:tc>
              <w:tc>
                <w:tcPr>
                  <w:tcW w:w="80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52</w:t>
                  </w:r>
                </w:p>
              </w:tc>
              <w:tc>
                <w:tcPr>
                  <w:tcW w:w="80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43</w:t>
                  </w:r>
                </w:p>
              </w:tc>
              <w:tc>
                <w:tcPr>
                  <w:tcW w:w="804"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813" w:type="pct"/>
                  <w:vMerge w:val="restart"/>
                  <w:noWrap w:val="0"/>
                  <w:vAlign w:val="center"/>
                </w:tcPr>
                <w:p>
                  <w:pPr>
                    <w:pStyle w:val="61"/>
                    <w:keepNext w:val="0"/>
                    <w:keepLines w:val="0"/>
                    <w:suppressLineNumbers w:val="0"/>
                    <w:spacing w:before="24" w:beforeAutospacing="0" w:after="24"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1774" w:type="pct"/>
                  <w:noWrap w:val="0"/>
                  <w:vAlign w:val="center"/>
                </w:tcPr>
                <w:p>
                  <w:pPr>
                    <w:pStyle w:val="61"/>
                    <w:keepNext w:val="0"/>
                    <w:keepLines w:val="0"/>
                    <w:suppressLineNumbers w:val="0"/>
                    <w:spacing w:before="24" w:beforeAutospacing="0" w:after="24"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厂界南2#</w:t>
                  </w:r>
                </w:p>
              </w:tc>
              <w:tc>
                <w:tcPr>
                  <w:tcW w:w="80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53</w:t>
                  </w:r>
                </w:p>
              </w:tc>
              <w:tc>
                <w:tcPr>
                  <w:tcW w:w="80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41</w:t>
                  </w:r>
                </w:p>
              </w:tc>
              <w:tc>
                <w:tcPr>
                  <w:tcW w:w="804"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813" w:type="pct"/>
                  <w:vMerge w:val="continue"/>
                  <w:noWrap w:val="0"/>
                  <w:vAlign w:val="center"/>
                </w:tcPr>
                <w:p>
                  <w:pPr>
                    <w:pStyle w:val="61"/>
                    <w:keepNext w:val="0"/>
                    <w:keepLines w:val="0"/>
                    <w:suppressLineNumbers w:val="0"/>
                    <w:spacing w:before="24" w:beforeAutospacing="0" w:after="24" w:afterAutospacing="0" w:line="240" w:lineRule="auto"/>
                    <w:ind w:left="0" w:right="0"/>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1774" w:type="pct"/>
                  <w:noWrap w:val="0"/>
                  <w:vAlign w:val="center"/>
                </w:tcPr>
                <w:p>
                  <w:pPr>
                    <w:pStyle w:val="61"/>
                    <w:keepNext w:val="0"/>
                    <w:keepLines w:val="0"/>
                    <w:suppressLineNumbers w:val="0"/>
                    <w:spacing w:before="24" w:beforeAutospacing="0" w:after="24"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厂界西3#</w:t>
                  </w:r>
                </w:p>
              </w:tc>
              <w:tc>
                <w:tcPr>
                  <w:tcW w:w="80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51</w:t>
                  </w:r>
                </w:p>
              </w:tc>
              <w:tc>
                <w:tcPr>
                  <w:tcW w:w="80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44</w:t>
                  </w:r>
                </w:p>
              </w:tc>
              <w:tc>
                <w:tcPr>
                  <w:tcW w:w="804"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813" w:type="pct"/>
                  <w:vMerge w:val="continue"/>
                  <w:noWrap w:val="0"/>
                  <w:vAlign w:val="center"/>
                </w:tcPr>
                <w:p>
                  <w:pPr>
                    <w:pStyle w:val="61"/>
                    <w:keepNext w:val="0"/>
                    <w:keepLines w:val="0"/>
                    <w:suppressLineNumbers w:val="0"/>
                    <w:spacing w:before="24" w:beforeAutospacing="0" w:after="24" w:afterAutospacing="0" w:line="240" w:lineRule="auto"/>
                    <w:ind w:left="0" w:right="0"/>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1774" w:type="pct"/>
                  <w:noWrap w:val="0"/>
                  <w:vAlign w:val="center"/>
                </w:tcPr>
                <w:p>
                  <w:pPr>
                    <w:pStyle w:val="61"/>
                    <w:keepNext w:val="0"/>
                    <w:keepLines w:val="0"/>
                    <w:suppressLineNumbers w:val="0"/>
                    <w:spacing w:before="24" w:beforeAutospacing="0" w:after="24"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厂界北4#</w:t>
                  </w:r>
                </w:p>
              </w:tc>
              <w:tc>
                <w:tcPr>
                  <w:tcW w:w="80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54</w:t>
                  </w:r>
                </w:p>
              </w:tc>
              <w:tc>
                <w:tcPr>
                  <w:tcW w:w="80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42</w:t>
                  </w:r>
                </w:p>
              </w:tc>
              <w:tc>
                <w:tcPr>
                  <w:tcW w:w="804"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813" w:type="pct"/>
                  <w:vMerge w:val="continue"/>
                  <w:noWrap w:val="0"/>
                  <w:vAlign w:val="center"/>
                </w:tcPr>
                <w:p>
                  <w:pPr>
                    <w:pStyle w:val="61"/>
                    <w:keepNext w:val="0"/>
                    <w:keepLines w:val="0"/>
                    <w:suppressLineNumbers w:val="0"/>
                    <w:spacing w:before="24" w:beforeAutospacing="0" w:after="24" w:afterAutospacing="0" w:line="240" w:lineRule="auto"/>
                    <w:ind w:left="0" w:right="0"/>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5000" w:type="pct"/>
                  <w:gridSpan w:val="5"/>
                  <w:noWrap w:val="0"/>
                  <w:vAlign w:val="center"/>
                </w:tcPr>
                <w:p>
                  <w:pPr>
                    <w:pStyle w:val="61"/>
                    <w:keepNext w:val="0"/>
                    <w:keepLines w:val="0"/>
                    <w:suppressLineNumbers w:val="0"/>
                    <w:spacing w:before="24" w:beforeAutospacing="0" w:after="24"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《工业企业厂界环境噪声排放标准》（GB12348-2008）2类区</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根据监测结果，</w:t>
            </w:r>
            <w:r>
              <w:rPr>
                <w:rFonts w:hint="default" w:ascii="Times New Roman" w:hAnsi="Times New Roman" w:eastAsia="宋体" w:cs="Times New Roman"/>
                <w:color w:val="auto"/>
                <w:sz w:val="24"/>
                <w:highlight w:val="none"/>
                <w:lang w:val="en-US" w:eastAsia="zh-CN"/>
              </w:rPr>
              <w:t>原有项目</w:t>
            </w:r>
            <w:r>
              <w:rPr>
                <w:rFonts w:hint="default" w:ascii="Times New Roman" w:hAnsi="Times New Roman" w:eastAsia="宋体" w:cs="Times New Roman"/>
                <w:color w:val="auto"/>
                <w:sz w:val="24"/>
                <w:highlight w:val="none"/>
              </w:rPr>
              <w:t>厂界噪声低于《声环境质量标准》（GB3096-2008）2类标准值；原项目厂界噪声均达标排放，对周围环境影响较小。</w:t>
            </w:r>
          </w:p>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12.4固体废物</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val="0"/>
                <w:bCs/>
                <w:color w:val="auto"/>
                <w:sz w:val="24"/>
                <w:highlight w:val="none"/>
                <w:lang w:val="en-US" w:eastAsia="zh-CN"/>
              </w:rPr>
              <w:t>根据</w:t>
            </w:r>
            <w:r>
              <w:rPr>
                <w:rFonts w:hint="default" w:ascii="Times New Roman" w:hAnsi="Times New Roman" w:eastAsia="宋体" w:cs="Times New Roman"/>
                <w:b w:val="0"/>
                <w:bCs/>
                <w:color w:val="auto"/>
                <w:sz w:val="24"/>
                <w:szCs w:val="24"/>
                <w:highlight w:val="none"/>
              </w:rPr>
              <w:t>《</w:t>
            </w:r>
            <w:r>
              <w:rPr>
                <w:rFonts w:hint="default" w:ascii="Times New Roman" w:hAnsi="Times New Roman" w:eastAsia="宋体" w:cs="Times New Roman"/>
                <w:b w:val="0"/>
                <w:bCs/>
                <w:color w:val="auto"/>
                <w:sz w:val="24"/>
                <w:szCs w:val="24"/>
                <w:highlight w:val="none"/>
                <w:lang w:val="en-US" w:eastAsia="zh-CN"/>
              </w:rPr>
              <w:t>宜良前所月牙塘机制砖厂年产5000万块页岩砖建设项目</w:t>
            </w:r>
            <w:r>
              <w:rPr>
                <w:rFonts w:hint="default" w:ascii="Times New Roman" w:hAnsi="Times New Roman" w:eastAsia="宋体" w:cs="Times New Roman"/>
                <w:b w:val="0"/>
                <w:bCs/>
                <w:color w:val="auto"/>
                <w:kern w:val="0"/>
                <w:sz w:val="24"/>
                <w:szCs w:val="24"/>
                <w:highlight w:val="none"/>
                <w:lang w:val="en-US" w:eastAsia="zh-CN"/>
              </w:rPr>
              <w:t>竣工</w:t>
            </w:r>
            <w:r>
              <w:rPr>
                <w:rFonts w:hint="default" w:ascii="Times New Roman" w:hAnsi="Times New Roman" w:eastAsia="宋体" w:cs="Times New Roman"/>
                <w:b w:val="0"/>
                <w:bCs/>
                <w:color w:val="auto"/>
                <w:sz w:val="24"/>
                <w:szCs w:val="24"/>
                <w:highlight w:val="none"/>
                <w:lang w:val="en-US" w:eastAsia="zh-CN"/>
              </w:rPr>
              <w:t>环境保护验收报告</w:t>
            </w:r>
            <w:r>
              <w:rPr>
                <w:rFonts w:hint="default" w:ascii="Times New Roman" w:hAnsi="Times New Roman" w:eastAsia="宋体" w:cs="Times New Roman"/>
                <w:b w:val="0"/>
                <w:bCs/>
                <w:color w:val="auto"/>
                <w:sz w:val="24"/>
                <w:szCs w:val="24"/>
                <w:highlight w:val="none"/>
              </w:rPr>
              <w:t>》</w:t>
            </w:r>
            <w:r>
              <w:rPr>
                <w:rFonts w:hint="default" w:ascii="Times New Roman" w:hAnsi="Times New Roman" w:eastAsia="宋体" w:cs="Times New Roman"/>
                <w:b w:val="0"/>
                <w:bCs/>
                <w:color w:val="auto"/>
                <w:sz w:val="24"/>
                <w:szCs w:val="24"/>
                <w:highlight w:val="none"/>
                <w:lang w:eastAsia="zh-CN"/>
              </w:rPr>
              <w:t>，</w:t>
            </w:r>
            <w:r>
              <w:rPr>
                <w:rFonts w:hint="default" w:ascii="Times New Roman" w:hAnsi="Times New Roman" w:eastAsia="宋体" w:cs="Times New Roman"/>
                <w:color w:val="auto"/>
                <w:sz w:val="24"/>
                <w:highlight w:val="none"/>
              </w:rPr>
              <w:t>原项目固体废物主要废泥坯、废砖、废机油、脱硫渣、煤渣、生活垃圾。根据建设单位提供的资料，废泥坯产生量为18.52t/a，作为原料回用于搅拌工序；废砖产生量为8万块/a，统一收集，经破碎处理后回用于制砖；废机油产生量为0.1t/a，统一收集，用于窑车、轨道润滑；脱硫渣产生量为</w:t>
            </w:r>
            <w:r>
              <w:rPr>
                <w:rFonts w:hint="default" w:ascii="Times New Roman" w:hAnsi="Times New Roman" w:eastAsia="宋体" w:cs="Times New Roman"/>
                <w:color w:val="auto"/>
                <w:sz w:val="24"/>
                <w:highlight w:val="none"/>
                <w:lang w:val="en-US" w:eastAsia="zh-CN"/>
              </w:rPr>
              <w:t>213.8349</w:t>
            </w:r>
            <w:r>
              <w:rPr>
                <w:rFonts w:hint="default" w:ascii="Times New Roman" w:hAnsi="Times New Roman" w:eastAsia="宋体" w:cs="Times New Roman"/>
                <w:color w:val="auto"/>
                <w:sz w:val="24"/>
                <w:highlight w:val="none"/>
              </w:rPr>
              <w:t>t/a（不包含脱硫渣带走水量），回用于生产，作为原料重新利用；煤渣产生量为</w:t>
            </w:r>
            <w:r>
              <w:rPr>
                <w:rFonts w:hint="default" w:ascii="Times New Roman" w:hAnsi="Times New Roman" w:eastAsia="宋体" w:cs="Times New Roman"/>
                <w:color w:val="auto"/>
                <w:sz w:val="24"/>
                <w:highlight w:val="none"/>
                <w:lang w:val="en-US" w:eastAsia="zh-CN"/>
              </w:rPr>
              <w:t>1565.55</w:t>
            </w:r>
            <w:r>
              <w:rPr>
                <w:rFonts w:hint="default" w:ascii="Times New Roman" w:hAnsi="Times New Roman" w:eastAsia="宋体" w:cs="Times New Roman"/>
                <w:color w:val="auto"/>
                <w:sz w:val="24"/>
                <w:highlight w:val="none"/>
              </w:rPr>
              <w:t>t/a，回用于生产，作为原料重新利用；生活垃圾年产生量</w:t>
            </w:r>
            <w:r>
              <w:rPr>
                <w:rFonts w:hint="default" w:ascii="Times New Roman" w:hAnsi="Times New Roman" w:eastAsia="宋体" w:cs="Times New Roman"/>
                <w:color w:val="auto"/>
                <w:sz w:val="24"/>
                <w:szCs w:val="24"/>
                <w:highlight w:val="none"/>
              </w:rPr>
              <w:t>为1.9t/a，集中收集后委托环卫部门进行处置。</w:t>
            </w:r>
          </w:p>
          <w:p>
            <w:pPr>
              <w:pStyle w:val="7"/>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十三、原有项目存在的主要环境问题及整改措施</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13.1主要问题</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①原料堆场仅设有顶棚，未</w:t>
            </w:r>
            <w:r>
              <w:rPr>
                <w:rFonts w:hint="default" w:ascii="Times New Roman" w:hAnsi="Times New Roman" w:eastAsia="宋体" w:cs="Times New Roman"/>
                <w:color w:val="auto"/>
                <w:sz w:val="24"/>
                <w:szCs w:val="24"/>
                <w:highlight w:val="none"/>
                <w:lang w:val="en-US" w:eastAsia="zh-CN"/>
              </w:rPr>
              <w:t>进行封闭</w:t>
            </w:r>
            <w:r>
              <w:rPr>
                <w:rFonts w:hint="default" w:ascii="Times New Roman" w:hAnsi="Times New Roman" w:eastAsia="宋体" w:cs="Times New Roman"/>
                <w:color w:val="auto"/>
                <w:sz w:val="24"/>
                <w:szCs w:val="24"/>
                <w:highlight w:val="none"/>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w:t>
            </w:r>
            <w:r>
              <w:rPr>
                <w:rFonts w:hint="default" w:ascii="Times New Roman" w:hAnsi="Times New Roman" w:eastAsia="宋体" w:cs="Times New Roman"/>
                <w:color w:val="auto"/>
                <w:sz w:val="24"/>
                <w:szCs w:val="24"/>
                <w:highlight w:val="none"/>
                <w:lang w:val="en-US" w:eastAsia="zh-CN"/>
              </w:rPr>
              <w:t>废机油回用于窑车轨道润滑</w:t>
            </w:r>
            <w:r>
              <w:rPr>
                <w:rFonts w:hint="default" w:ascii="Times New Roman" w:hAnsi="Times New Roman" w:eastAsia="宋体" w:cs="Times New Roman"/>
                <w:color w:val="auto"/>
                <w:sz w:val="24"/>
                <w:szCs w:val="24"/>
                <w:highlight w:val="none"/>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w:t>
            </w:r>
            <w:r>
              <w:rPr>
                <w:rFonts w:hint="default" w:ascii="Times New Roman" w:hAnsi="Times New Roman" w:eastAsia="宋体" w:cs="Times New Roman"/>
                <w:color w:val="auto"/>
                <w:sz w:val="24"/>
                <w:szCs w:val="24"/>
                <w:highlight w:val="none"/>
                <w:lang w:val="en-US" w:eastAsia="zh-CN"/>
              </w:rPr>
              <w:t>未对破碎、筛分排气筒及厂界废气进行年度监测</w:t>
            </w:r>
            <w:r>
              <w:rPr>
                <w:rFonts w:hint="default" w:ascii="Times New Roman" w:hAnsi="Times New Roman" w:eastAsia="宋体" w:cs="Times New Roman"/>
                <w:color w:val="auto"/>
                <w:sz w:val="24"/>
                <w:szCs w:val="24"/>
                <w:highlight w:val="none"/>
              </w:rPr>
              <w:t>；</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13.2整改措施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①本次</w:t>
            </w:r>
            <w:r>
              <w:rPr>
                <w:rFonts w:hint="default" w:ascii="Times New Roman" w:hAnsi="Times New Roman" w:eastAsia="宋体" w:cs="Times New Roman"/>
                <w:color w:val="auto"/>
                <w:sz w:val="24"/>
                <w:szCs w:val="24"/>
                <w:highlight w:val="none"/>
                <w:lang w:eastAsia="zh-CN"/>
              </w:rPr>
              <w:t>改扩建</w:t>
            </w:r>
            <w:r>
              <w:rPr>
                <w:rFonts w:hint="default" w:ascii="Times New Roman" w:hAnsi="Times New Roman" w:eastAsia="宋体" w:cs="Times New Roman"/>
                <w:color w:val="auto"/>
                <w:sz w:val="24"/>
                <w:szCs w:val="24"/>
                <w:highlight w:val="none"/>
                <w:lang w:val="en-US" w:eastAsia="zh-CN"/>
              </w:rPr>
              <w:t>需对</w:t>
            </w:r>
            <w:r>
              <w:rPr>
                <w:rFonts w:hint="default" w:ascii="Times New Roman" w:hAnsi="Times New Roman" w:eastAsia="宋体" w:cs="Times New Roman"/>
                <w:color w:val="auto"/>
                <w:sz w:val="24"/>
                <w:szCs w:val="24"/>
                <w:highlight w:val="none"/>
              </w:rPr>
              <w:t>原料堆场设置彩钢瓦顶棚，</w:t>
            </w:r>
            <w:r>
              <w:rPr>
                <w:rFonts w:hint="default" w:ascii="Times New Roman" w:hAnsi="Times New Roman" w:eastAsia="宋体" w:cs="Times New Roman"/>
                <w:color w:val="auto"/>
                <w:sz w:val="24"/>
                <w:szCs w:val="24"/>
                <w:highlight w:val="none"/>
                <w:lang w:val="en-US" w:eastAsia="zh-CN"/>
              </w:rPr>
              <w:t>厂房封闭（留有进出口）</w:t>
            </w:r>
            <w:r>
              <w:rPr>
                <w:rFonts w:hint="default" w:ascii="Times New Roman" w:hAnsi="Times New Roman" w:eastAsia="宋体" w:cs="Times New Roman"/>
                <w:color w:val="auto"/>
                <w:sz w:val="24"/>
                <w:szCs w:val="24"/>
                <w:highlight w:val="none"/>
              </w:rPr>
              <w:t>、地面硬化</w:t>
            </w:r>
            <w:r>
              <w:rPr>
                <w:rFonts w:hint="default" w:ascii="Times New Roman" w:hAnsi="Times New Roman" w:eastAsia="宋体" w:cs="Times New Roman"/>
                <w:color w:val="auto"/>
                <w:sz w:val="24"/>
                <w:szCs w:val="24"/>
                <w:highlight w:val="none"/>
                <w:lang w:val="en-US" w:eastAsia="zh-CN"/>
              </w:rPr>
              <w:t>措施</w:t>
            </w:r>
            <w:r>
              <w:rPr>
                <w:rFonts w:hint="default" w:ascii="Times New Roman" w:hAnsi="Times New Roman" w:eastAsia="宋体" w:cs="Times New Roman"/>
                <w:color w:val="auto"/>
                <w:sz w:val="24"/>
                <w:szCs w:val="24"/>
                <w:highlight w:val="none"/>
              </w:rPr>
              <w:t>；并满足“三防”（防风、防雨、防渗）要求；</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②</w:t>
            </w:r>
            <w:r>
              <w:rPr>
                <w:rFonts w:hint="default" w:ascii="Times New Roman" w:hAnsi="Times New Roman" w:eastAsia="宋体" w:cs="Times New Roman"/>
                <w:color w:val="auto"/>
                <w:sz w:val="24"/>
                <w:szCs w:val="24"/>
                <w:highlight w:val="none"/>
                <w:lang w:val="en-US" w:eastAsia="zh-CN"/>
              </w:rPr>
              <w:t>废机油需要委托资质单位进行处置；</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③</w:t>
            </w:r>
            <w:r>
              <w:rPr>
                <w:rFonts w:hint="default" w:ascii="Times New Roman" w:hAnsi="Times New Roman" w:eastAsia="宋体" w:cs="Times New Roman"/>
                <w:color w:val="auto"/>
                <w:sz w:val="24"/>
                <w:szCs w:val="24"/>
                <w:highlight w:val="none"/>
                <w:lang w:val="en-US" w:eastAsia="zh-CN"/>
              </w:rPr>
              <w:t>需对厂区破碎、筛分排气筒及厂界废气进行例行监测。</w:t>
            </w:r>
          </w:p>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Cs/>
                <w:color w:val="auto"/>
                <w:szCs w:val="21"/>
                <w:highlight w:val="none"/>
              </w:rPr>
            </w:pPr>
          </w:p>
          <w:p>
            <w:pPr>
              <w:pStyle w:val="8"/>
              <w:keepNext w:val="0"/>
              <w:keepLines w:val="0"/>
              <w:suppressLineNumbers w:val="0"/>
              <w:spacing w:beforeAutospacing="0" w:afterAutospacing="0"/>
              <w:ind w:left="0"/>
              <w:rPr>
                <w:rFonts w:hint="default" w:ascii="Times New Roman" w:hAnsi="Times New Roman" w:eastAsia="宋体" w:cs="Times New Roman"/>
                <w:bCs/>
                <w:color w:val="auto"/>
                <w:szCs w:val="21"/>
                <w:highlight w:val="none"/>
              </w:rPr>
            </w:pPr>
          </w:p>
          <w:p>
            <w:pPr>
              <w:pStyle w:val="8"/>
              <w:keepNext w:val="0"/>
              <w:keepLines w:val="0"/>
              <w:suppressLineNumbers w:val="0"/>
              <w:spacing w:beforeAutospacing="0" w:afterAutospacing="0"/>
              <w:ind w:left="0"/>
              <w:rPr>
                <w:rFonts w:hint="default" w:ascii="Times New Roman" w:hAnsi="Times New Roman" w:eastAsia="宋体" w:cs="Times New Roman"/>
                <w:bCs/>
                <w:color w:val="auto"/>
                <w:szCs w:val="21"/>
                <w:highlight w:val="none"/>
              </w:rPr>
            </w:pPr>
          </w:p>
          <w:p>
            <w:pPr>
              <w:pStyle w:val="8"/>
              <w:keepNext w:val="0"/>
              <w:keepLines w:val="0"/>
              <w:suppressLineNumbers w:val="0"/>
              <w:spacing w:beforeAutospacing="0" w:afterAutospacing="0"/>
              <w:ind w:left="0"/>
              <w:rPr>
                <w:rFonts w:hint="default" w:ascii="Times New Roman" w:hAnsi="Times New Roman" w:eastAsia="宋体" w:cs="Times New Roman"/>
                <w:bCs/>
                <w:color w:val="auto"/>
                <w:szCs w:val="21"/>
                <w:highlight w:val="none"/>
              </w:rPr>
            </w:pPr>
          </w:p>
          <w:p>
            <w:pPr>
              <w:pStyle w:val="8"/>
              <w:keepNext w:val="0"/>
              <w:keepLines w:val="0"/>
              <w:suppressLineNumbers w:val="0"/>
              <w:spacing w:beforeAutospacing="0" w:afterAutospacing="0"/>
              <w:ind w:left="0"/>
              <w:rPr>
                <w:rFonts w:hint="default" w:ascii="Times New Roman" w:hAnsi="Times New Roman" w:eastAsia="宋体" w:cs="Times New Roman"/>
                <w:bCs/>
                <w:color w:val="auto"/>
                <w:szCs w:val="21"/>
                <w:highlight w:val="none"/>
              </w:rPr>
            </w:pPr>
          </w:p>
          <w:p>
            <w:pPr>
              <w:pStyle w:val="8"/>
              <w:keepNext w:val="0"/>
              <w:keepLines w:val="0"/>
              <w:suppressLineNumbers w:val="0"/>
              <w:spacing w:beforeAutospacing="0" w:afterAutospacing="0"/>
              <w:ind w:left="0"/>
              <w:rPr>
                <w:rFonts w:hint="default" w:ascii="Times New Roman" w:hAnsi="Times New Roman" w:eastAsia="宋体" w:cs="Times New Roman"/>
                <w:bCs/>
                <w:color w:val="auto"/>
                <w:szCs w:val="21"/>
                <w:highlight w:val="none"/>
              </w:rPr>
            </w:pPr>
          </w:p>
          <w:p>
            <w:pPr>
              <w:pStyle w:val="8"/>
              <w:keepNext w:val="0"/>
              <w:keepLines w:val="0"/>
              <w:suppressLineNumbers w:val="0"/>
              <w:spacing w:beforeAutospacing="0" w:afterAutospacing="0"/>
              <w:ind w:left="0"/>
              <w:rPr>
                <w:rFonts w:hint="default" w:ascii="Times New Roman" w:hAnsi="Times New Roman" w:eastAsia="宋体" w:cs="Times New Roman"/>
                <w:bCs/>
                <w:color w:val="auto"/>
                <w:szCs w:val="21"/>
                <w:highlight w:val="none"/>
              </w:rPr>
            </w:pPr>
          </w:p>
          <w:p>
            <w:pPr>
              <w:pStyle w:val="8"/>
              <w:keepNext w:val="0"/>
              <w:keepLines w:val="0"/>
              <w:suppressLineNumbers w:val="0"/>
              <w:spacing w:beforeAutospacing="0" w:afterAutospacing="0"/>
              <w:ind w:left="0"/>
              <w:rPr>
                <w:rFonts w:hint="default" w:ascii="Times New Roman" w:hAnsi="Times New Roman" w:eastAsia="宋体" w:cs="Times New Roman"/>
                <w:bCs/>
                <w:color w:val="auto"/>
                <w:szCs w:val="21"/>
                <w:highlight w:val="none"/>
              </w:rPr>
            </w:pPr>
          </w:p>
          <w:p>
            <w:pPr>
              <w:pStyle w:val="8"/>
              <w:keepNext w:val="0"/>
              <w:keepLines w:val="0"/>
              <w:suppressLineNumbers w:val="0"/>
              <w:spacing w:beforeAutospacing="0" w:afterAutospacing="0"/>
              <w:ind w:left="0"/>
              <w:rPr>
                <w:rFonts w:hint="default" w:ascii="Times New Roman" w:hAnsi="Times New Roman" w:eastAsia="宋体" w:cs="Times New Roman"/>
                <w:bCs/>
                <w:color w:val="auto"/>
                <w:szCs w:val="21"/>
                <w:highlight w:val="none"/>
              </w:rPr>
            </w:pPr>
          </w:p>
          <w:p>
            <w:pPr>
              <w:pStyle w:val="8"/>
              <w:keepNext w:val="0"/>
              <w:keepLines w:val="0"/>
              <w:suppressLineNumbers w:val="0"/>
              <w:spacing w:beforeAutospacing="0" w:afterAutospacing="0"/>
              <w:ind w:left="0"/>
              <w:rPr>
                <w:rFonts w:hint="default" w:ascii="Times New Roman" w:hAnsi="Times New Roman" w:eastAsia="宋体" w:cs="Times New Roman"/>
                <w:bCs/>
                <w:color w:val="auto"/>
                <w:szCs w:val="21"/>
                <w:highlight w:val="none"/>
              </w:rPr>
            </w:pPr>
          </w:p>
          <w:p>
            <w:pPr>
              <w:pStyle w:val="8"/>
              <w:keepNext w:val="0"/>
              <w:keepLines w:val="0"/>
              <w:suppressLineNumbers w:val="0"/>
              <w:spacing w:beforeAutospacing="0" w:afterAutospacing="0"/>
              <w:ind w:left="0"/>
              <w:rPr>
                <w:rFonts w:hint="default" w:ascii="Times New Roman" w:hAnsi="Times New Roman" w:eastAsia="宋体" w:cs="Times New Roman"/>
                <w:bCs/>
                <w:color w:val="auto"/>
                <w:szCs w:val="21"/>
                <w:highlight w:val="none"/>
              </w:rPr>
            </w:pPr>
          </w:p>
          <w:p>
            <w:pPr>
              <w:pStyle w:val="8"/>
              <w:keepNext w:val="0"/>
              <w:keepLines w:val="0"/>
              <w:suppressLineNumbers w:val="0"/>
              <w:spacing w:beforeAutospacing="0" w:afterAutospacing="0"/>
              <w:ind w:left="0"/>
              <w:rPr>
                <w:rFonts w:hint="default" w:ascii="Times New Roman" w:hAnsi="Times New Roman" w:eastAsia="宋体" w:cs="Times New Roman"/>
                <w:bCs/>
                <w:color w:val="auto"/>
                <w:szCs w:val="21"/>
                <w:highlight w:val="none"/>
              </w:rPr>
            </w:pPr>
          </w:p>
          <w:p>
            <w:pPr>
              <w:pStyle w:val="8"/>
              <w:keepNext w:val="0"/>
              <w:keepLines w:val="0"/>
              <w:suppressLineNumbers w:val="0"/>
              <w:spacing w:beforeAutospacing="0" w:afterAutospacing="0"/>
              <w:ind w:left="0"/>
              <w:rPr>
                <w:rFonts w:hint="default" w:ascii="Times New Roman" w:hAnsi="Times New Roman" w:eastAsia="宋体" w:cs="Times New Roman"/>
                <w:bCs/>
                <w:color w:val="auto"/>
                <w:szCs w:val="21"/>
                <w:highlight w:val="none"/>
              </w:rPr>
            </w:pPr>
          </w:p>
          <w:p>
            <w:pPr>
              <w:pStyle w:val="8"/>
              <w:keepNext w:val="0"/>
              <w:keepLines w:val="0"/>
              <w:suppressLineNumbers w:val="0"/>
              <w:spacing w:beforeAutospacing="0" w:afterAutospacing="0"/>
              <w:ind w:left="0"/>
              <w:rPr>
                <w:rFonts w:hint="default" w:ascii="Times New Roman" w:hAnsi="Times New Roman" w:eastAsia="宋体" w:cs="Times New Roman"/>
                <w:bCs/>
                <w:color w:val="auto"/>
                <w:szCs w:val="21"/>
                <w:highlight w:val="none"/>
              </w:rPr>
            </w:pPr>
          </w:p>
        </w:tc>
      </w:tr>
    </w:tbl>
    <w:p>
      <w:pPr>
        <w:pStyle w:val="19"/>
        <w:jc w:val="center"/>
        <w:rPr>
          <w:rFonts w:hint="default" w:ascii="Times New Roman" w:hAnsi="Times New Roman" w:eastAsia="宋体" w:cs="Times New Roman"/>
          <w:snapToGrid w:val="0"/>
          <w:color w:val="auto"/>
          <w:sz w:val="21"/>
          <w:szCs w:val="21"/>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9"/>
        <w:jc w:val="center"/>
        <w:outlineLvl w:val="0"/>
        <w:rPr>
          <w:rFonts w:hint="default" w:ascii="Times New Roman" w:hAnsi="Times New Roman" w:eastAsia="宋体" w:cs="Times New Roman"/>
          <w:b/>
          <w:bCs/>
          <w:snapToGrid w:val="0"/>
          <w:color w:val="auto"/>
          <w:sz w:val="21"/>
          <w:szCs w:val="21"/>
          <w:highlight w:val="none"/>
        </w:rPr>
      </w:pPr>
      <w:bookmarkStart w:id="4" w:name="_Toc69726039"/>
      <w:r>
        <w:rPr>
          <w:rFonts w:hint="default" w:ascii="Times New Roman" w:hAnsi="Times New Roman" w:eastAsia="宋体" w:cs="Times New Roman"/>
          <w:b/>
          <w:bCs/>
          <w:snapToGrid w:val="0"/>
          <w:color w:val="auto"/>
          <w:sz w:val="21"/>
          <w:szCs w:val="21"/>
          <w:highlight w:val="none"/>
        </w:rPr>
        <w:t>三、区域环境质量现状、环境保护目标及评价标准</w:t>
      </w:r>
      <w:bookmarkEnd w:id="4"/>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区域</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环境</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质量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现状</w:t>
            </w:r>
          </w:p>
        </w:tc>
        <w:tc>
          <w:tcPr>
            <w:tcW w:w="8190" w:type="dxa"/>
            <w:noWrap w:val="0"/>
            <w:vAlign w:val="center"/>
          </w:tcPr>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1、大气环境质量现状</w:t>
            </w:r>
          </w:p>
          <w:p>
            <w:pPr>
              <w:keepNext w:val="0"/>
              <w:keepLines w:val="0"/>
              <w:suppressLineNumbers w:val="0"/>
              <w:tabs>
                <w:tab w:val="left" w:pos="1080"/>
              </w:tabs>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项目建设于</w:t>
            </w:r>
            <w:r>
              <w:rPr>
                <w:rFonts w:hint="default" w:ascii="Times New Roman" w:hAnsi="Times New Roman" w:eastAsia="宋体" w:cs="Times New Roman"/>
                <w:color w:val="auto"/>
                <w:sz w:val="24"/>
                <w:highlight w:val="none"/>
                <w:lang w:eastAsia="zh-CN"/>
              </w:rPr>
              <w:t>云南省昆明市宜良县北古城镇凤莱村委会下前所村</w:t>
            </w:r>
            <w:r>
              <w:rPr>
                <w:rFonts w:hint="default" w:ascii="Times New Roman" w:hAnsi="Times New Roman" w:eastAsia="宋体" w:cs="Times New Roman"/>
                <w:color w:val="auto"/>
                <w:sz w:val="24"/>
                <w:highlight w:val="none"/>
              </w:rPr>
              <w:t>，该区域大气环境功能区划为二类区，执行《环境空气质量标准》GB3095-2026过渡阶段二级标准。</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1.1达标区判定</w:t>
            </w:r>
          </w:p>
          <w:p>
            <w:pPr>
              <w:pStyle w:val="8"/>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sz w:val="24"/>
                <w:szCs w:val="24"/>
                <w:highlight w:val="none"/>
              </w:rPr>
              <w:t>根据昆明市生态环境局发布的《2024年昆明市生态环境状况公报》，2024年昆明市主城区外所辖的8个县(市)、区环境空气质量总体保持良好，各项污染物平均浓度均达到《环境空气质量标准》(GB3095-2012)二级标准</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空气优良天数比例范围为97.50%~100%，与2023年相比，石林县、富民县、宜良县、东川区、寻甸县、嵩明县、禄劝县空气优良天数比例均有提高</w:t>
            </w:r>
            <w:r>
              <w:rPr>
                <w:rFonts w:hint="default" w:ascii="Times New Roman" w:hAnsi="Times New Roman" w:eastAsia="宋体" w:cs="Times New Roman"/>
                <w:color w:val="auto"/>
                <w:sz w:val="24"/>
                <w:szCs w:val="24"/>
                <w:highlight w:val="none"/>
              </w:rPr>
              <w:t>。因此，项目所在区域环境空气质量能达到</w:t>
            </w:r>
            <w:r>
              <w:rPr>
                <w:rFonts w:hint="default" w:ascii="Times New Roman" w:hAnsi="Times New Roman" w:eastAsia="宋体" w:cs="Times New Roman"/>
                <w:color w:val="auto"/>
                <w:sz w:val="24"/>
                <w:szCs w:val="24"/>
                <w:highlight w:val="none"/>
                <w:lang w:val="en-US" w:eastAsia="zh-CN"/>
              </w:rPr>
              <w:t>《环境空气质量标准》（GB3095-2026）二级标准，属达标区。</w:t>
            </w:r>
          </w:p>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1.2补充监测</w:t>
            </w:r>
          </w:p>
          <w:p>
            <w:pPr>
              <w:pStyle w:val="8"/>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zh-CN"/>
              </w:rPr>
              <w:t>本项目特征污染物为TSP、</w:t>
            </w:r>
            <w:r>
              <w:rPr>
                <w:rFonts w:hint="default" w:ascii="Times New Roman" w:hAnsi="Times New Roman" w:eastAsia="宋体" w:cs="Times New Roman"/>
                <w:color w:val="auto"/>
                <w:sz w:val="24"/>
                <w:highlight w:val="none"/>
              </w:rPr>
              <w:t>SO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、NO</w:t>
            </w:r>
            <w:r>
              <w:rPr>
                <w:rFonts w:hint="default" w:ascii="Times New Roman" w:hAnsi="Times New Roman" w:eastAsia="宋体" w:cs="Times New Roman"/>
                <w:color w:val="auto"/>
                <w:sz w:val="24"/>
                <w:highlight w:val="none"/>
                <w:vertAlign w:val="subscript"/>
              </w:rPr>
              <w:t>X</w:t>
            </w:r>
            <w:r>
              <w:rPr>
                <w:rFonts w:hint="default" w:ascii="Times New Roman" w:hAnsi="Times New Roman" w:eastAsia="宋体" w:cs="Times New Roman"/>
                <w:color w:val="auto"/>
                <w:sz w:val="24"/>
                <w:highlight w:val="none"/>
              </w:rPr>
              <w:t>、氟化物</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氨、硫化氢</w:t>
            </w:r>
            <w:r>
              <w:rPr>
                <w:rFonts w:hint="default" w:ascii="Times New Roman" w:hAnsi="Times New Roman" w:eastAsia="宋体" w:cs="Times New Roman"/>
                <w:color w:val="auto"/>
                <w:sz w:val="24"/>
                <w:szCs w:val="24"/>
                <w:highlight w:val="none"/>
              </w:rPr>
              <w:t>。根据《建设项目环境影响报告表编制技术指南（污染影响类）（试行）》区域环境质量现状：大气环境排放国家、地方环境空气质量标准中有标准限值要求的特征污染物时，引用建设项目周边5千米范围内近3年的现有监测数据，无相关数据的选择当季主导风向下风向1个点位补充不少于3天的监测数据。</w:t>
            </w:r>
          </w:p>
          <w:p>
            <w:pPr>
              <w:pStyle w:val="8"/>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highlight w:val="none"/>
                <w:lang w:val="en-US" w:eastAsia="zh-CN"/>
              </w:rPr>
              <w:t>氨、硫化氢</w:t>
            </w:r>
            <w:r>
              <w:rPr>
                <w:rFonts w:hint="default" w:ascii="Times New Roman" w:hAnsi="Times New Roman" w:eastAsia="宋体" w:cs="Times New Roman"/>
                <w:color w:val="auto"/>
                <w:sz w:val="24"/>
                <w:szCs w:val="24"/>
                <w:highlight w:val="none"/>
              </w:rPr>
              <w:t>执行《环境影响评价技术导则 大气环境HJ2.2-2018》附录D中的浓度限值。参考生态环境部工程评估中心在全国环评技术评估服务咨询平</w:t>
            </w:r>
            <w:r>
              <w:rPr>
                <w:rFonts w:hint="default" w:ascii="Times New Roman" w:hAnsi="Times New Roman" w:eastAsia="宋体" w:cs="Times New Roman"/>
                <w:color w:val="auto"/>
                <w:sz w:val="24"/>
                <w:szCs w:val="24"/>
                <w:highlight w:val="none"/>
                <w:lang w:val="en-US" w:eastAsia="zh-CN"/>
              </w:rPr>
              <w:t>台</w:t>
            </w:r>
            <w:r>
              <w:rPr>
                <w:rFonts w:hint="default" w:ascii="Times New Roman" w:hAnsi="Times New Roman" w:eastAsia="宋体" w:cs="Times New Roman"/>
                <w:color w:val="auto"/>
                <w:sz w:val="24"/>
                <w:szCs w:val="24"/>
                <w:highlight w:val="none"/>
              </w:rPr>
              <w:t>（http</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iconsult-eia.china-eia.com/index?aimModule=searching_detail&amp;fromHome=1&amp;infoId=2194）相关回复，环境空气质量标准指《环境空气质量标准》（GB3095）和地方的环境空气质量标准，不包括《环境影响评价技术导则大气环境》（HJ2.2-2018）附录 D、《工业企业设计卫生标准》（TJ36-97）、《前苏联居住区标准》（CH245-71）、《大气污染物综合排放标准详解》等导则或参考资料。本项目特征因子</w:t>
            </w:r>
            <w:r>
              <w:rPr>
                <w:rFonts w:hint="default" w:ascii="Times New Roman" w:hAnsi="Times New Roman" w:eastAsia="宋体" w:cs="Times New Roman"/>
                <w:color w:val="auto"/>
                <w:sz w:val="24"/>
                <w:highlight w:val="none"/>
                <w:lang w:val="en-US" w:eastAsia="zh-CN"/>
              </w:rPr>
              <w:t>氨、硫化氢</w:t>
            </w:r>
            <w:r>
              <w:rPr>
                <w:rFonts w:hint="default" w:ascii="Times New Roman" w:hAnsi="Times New Roman" w:eastAsia="宋体" w:cs="Times New Roman"/>
                <w:color w:val="auto"/>
                <w:sz w:val="24"/>
                <w:szCs w:val="24"/>
                <w:highlight w:val="none"/>
              </w:rPr>
              <w:t>不属于《环境空气质量标准》（GB3095-20</w:t>
            </w:r>
            <w:r>
              <w:rPr>
                <w:rFonts w:hint="default" w:ascii="Times New Roman" w:hAnsi="Times New Roman" w:eastAsia="宋体" w:cs="Times New Roman"/>
                <w:color w:val="auto"/>
                <w:sz w:val="24"/>
                <w:szCs w:val="24"/>
                <w:highlight w:val="none"/>
                <w:lang w:val="en-US" w:eastAsia="zh-CN"/>
              </w:rPr>
              <w:t>26</w:t>
            </w:r>
            <w:r>
              <w:rPr>
                <w:rFonts w:hint="default" w:ascii="Times New Roman" w:hAnsi="Times New Roman" w:eastAsia="宋体" w:cs="Times New Roman"/>
                <w:color w:val="auto"/>
                <w:sz w:val="24"/>
                <w:szCs w:val="24"/>
                <w:highlight w:val="none"/>
              </w:rPr>
              <w:t>）中所列项目，因此本次环评不对</w:t>
            </w:r>
            <w:r>
              <w:rPr>
                <w:rFonts w:hint="default" w:ascii="Times New Roman" w:hAnsi="Times New Roman" w:eastAsia="宋体" w:cs="Times New Roman"/>
                <w:color w:val="auto"/>
                <w:sz w:val="24"/>
                <w:szCs w:val="24"/>
                <w:highlight w:val="none"/>
                <w:lang w:val="en-US" w:eastAsia="zh-CN"/>
              </w:rPr>
              <w:t>氨、硫化氢</w:t>
            </w:r>
            <w:r>
              <w:rPr>
                <w:rFonts w:hint="default" w:ascii="Times New Roman" w:hAnsi="Times New Roman" w:eastAsia="宋体" w:cs="Times New Roman"/>
                <w:color w:val="auto"/>
                <w:sz w:val="24"/>
                <w:szCs w:val="24"/>
                <w:highlight w:val="none"/>
                <w:lang w:val="zh-CN"/>
              </w:rPr>
              <w:t>环境质量现状</w:t>
            </w:r>
            <w:r>
              <w:rPr>
                <w:rFonts w:hint="default" w:ascii="Times New Roman" w:hAnsi="Times New Roman" w:eastAsia="宋体" w:cs="Times New Roman"/>
                <w:color w:val="auto"/>
                <w:sz w:val="24"/>
                <w:szCs w:val="24"/>
                <w:highlight w:val="none"/>
              </w:rPr>
              <w:t>进行</w:t>
            </w:r>
            <w:r>
              <w:rPr>
                <w:rFonts w:hint="default" w:ascii="Times New Roman" w:hAnsi="Times New Roman" w:eastAsia="宋体" w:cs="Times New Roman"/>
                <w:color w:val="auto"/>
                <w:sz w:val="24"/>
                <w:szCs w:val="24"/>
                <w:highlight w:val="none"/>
                <w:lang w:val="zh-CN"/>
              </w:rPr>
              <w:t>评价。</w:t>
            </w:r>
          </w:p>
          <w:p>
            <w:pPr>
              <w:keepNext w:val="0"/>
              <w:keepLines w:val="0"/>
              <w:suppressLineNumbers w:val="0"/>
              <w:tabs>
                <w:tab w:val="left" w:pos="1080"/>
              </w:tabs>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rPr>
              <w:t>宜良凤莱建材有限公司</w:t>
            </w:r>
            <w:r>
              <w:rPr>
                <w:rFonts w:hint="default" w:ascii="Times New Roman" w:hAnsi="Times New Roman" w:eastAsia="宋体" w:cs="Times New Roman"/>
                <w:color w:val="auto"/>
                <w:kern w:val="0"/>
                <w:sz w:val="24"/>
                <w:szCs w:val="24"/>
                <w:highlight w:val="none"/>
                <w:lang w:val="en-US" w:eastAsia="zh-CN" w:bidi="ar-SA"/>
              </w:rPr>
              <w:t>于2026年4月委托云南普域环境科技有限公司对宜良前所月牙塘机制砖厂页岩砖污泥利用技改项目进行现状监测。监测结果如下。</w:t>
            </w:r>
          </w:p>
          <w:p>
            <w:pPr>
              <w:pStyle w:val="8"/>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①检测项目：颗粒物（TSP）、NO</w:t>
            </w:r>
            <w:r>
              <w:rPr>
                <w:rFonts w:hint="default" w:ascii="Times New Roman" w:hAnsi="Times New Roman" w:eastAsia="宋体" w:cs="Times New Roman"/>
                <w:color w:val="auto"/>
                <w:sz w:val="24"/>
                <w:szCs w:val="24"/>
                <w:highlight w:val="none"/>
                <w:vertAlign w:val="subscript"/>
              </w:rPr>
              <w:t>X</w:t>
            </w:r>
            <w:r>
              <w:rPr>
                <w:rFonts w:hint="default" w:ascii="Times New Roman" w:hAnsi="Times New Roman" w:eastAsia="宋体" w:cs="Times New Roman"/>
                <w:color w:val="auto"/>
                <w:sz w:val="24"/>
                <w:szCs w:val="24"/>
                <w:highlight w:val="none"/>
              </w:rPr>
              <w:t>、氟化物。</w:t>
            </w:r>
          </w:p>
          <w:p>
            <w:pPr>
              <w:pStyle w:val="8"/>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②检测点位：下风向设置1个检测点。</w:t>
            </w:r>
          </w:p>
          <w:p>
            <w:pPr>
              <w:pStyle w:val="8"/>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③检测频率：连续检测3天。</w:t>
            </w:r>
          </w:p>
          <w:p>
            <w:pPr>
              <w:pStyle w:val="8"/>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rPr>
              <w:t>④监测结果如下。</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表3.1-1  环境空气检测结果一览表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892"/>
              <w:gridCol w:w="1602"/>
              <w:gridCol w:w="2583"/>
              <w:gridCol w:w="1430"/>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检测点位</w:t>
                  </w:r>
                </w:p>
              </w:tc>
              <w:tc>
                <w:tcPr>
                  <w:tcW w:w="56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检测因子</w:t>
                  </w:r>
                </w:p>
              </w:tc>
              <w:tc>
                <w:tcPr>
                  <w:tcW w:w="10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监测时间</w:t>
                  </w:r>
                </w:p>
              </w:tc>
              <w:tc>
                <w:tcPr>
                  <w:tcW w:w="162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浓度范围</w:t>
                  </w:r>
                </w:p>
              </w:tc>
              <w:tc>
                <w:tcPr>
                  <w:tcW w:w="89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标准值</w:t>
                  </w:r>
                </w:p>
              </w:tc>
              <w:tc>
                <w:tcPr>
                  <w:tcW w:w="53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8"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下风向，距厂界10米处</w:t>
                  </w:r>
                </w:p>
              </w:tc>
              <w:tc>
                <w:tcPr>
                  <w:tcW w:w="56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颗粒物24h值</w:t>
                  </w:r>
                </w:p>
              </w:tc>
              <w:tc>
                <w:tcPr>
                  <w:tcW w:w="1006"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2026/04/28--2026/04/30</w:t>
                  </w:r>
                </w:p>
              </w:tc>
              <w:tc>
                <w:tcPr>
                  <w:tcW w:w="162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0.107</w:t>
                  </w:r>
                  <w:r>
                    <w:rPr>
                      <w:rFonts w:hint="default" w:ascii="Times New Roman" w:hAnsi="Times New Roman" w:eastAsia="宋体" w:cs="Times New Roman"/>
                      <w:b w:val="0"/>
                      <w:bCs w:val="0"/>
                      <w:color w:val="auto"/>
                      <w:sz w:val="21"/>
                      <w:szCs w:val="21"/>
                      <w:highlight w:val="none"/>
                    </w:rPr>
                    <w:t>mg/m³</w:t>
                  </w:r>
                  <w:r>
                    <w:rPr>
                      <w:rFonts w:hint="default" w:ascii="Times New Roman" w:hAnsi="Times New Roman" w:eastAsia="宋体" w:cs="Times New Roman"/>
                      <w:b w:val="0"/>
                      <w:bCs w:val="0"/>
                      <w:color w:val="auto"/>
                      <w:sz w:val="21"/>
                      <w:szCs w:val="21"/>
                      <w:highlight w:val="none"/>
                      <w:lang w:val="en-US" w:eastAsia="zh-CN"/>
                    </w:rPr>
                    <w:t>--0.121</w:t>
                  </w:r>
                  <w:r>
                    <w:rPr>
                      <w:rFonts w:hint="default" w:ascii="Times New Roman" w:hAnsi="Times New Roman" w:eastAsia="宋体" w:cs="Times New Roman"/>
                      <w:b w:val="0"/>
                      <w:bCs w:val="0"/>
                      <w:color w:val="auto"/>
                      <w:sz w:val="21"/>
                      <w:szCs w:val="21"/>
                      <w:highlight w:val="none"/>
                    </w:rPr>
                    <w:t>mg/m³</w:t>
                  </w:r>
                </w:p>
              </w:tc>
              <w:tc>
                <w:tcPr>
                  <w:tcW w:w="89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0.3mg/m³</w:t>
                  </w:r>
                </w:p>
              </w:tc>
              <w:tc>
                <w:tcPr>
                  <w:tcW w:w="53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8"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6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氮氧化物24h值</w:t>
                  </w:r>
                </w:p>
              </w:tc>
              <w:tc>
                <w:tcPr>
                  <w:tcW w:w="1006"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rPr>
                  </w:pPr>
                </w:p>
              </w:tc>
              <w:tc>
                <w:tcPr>
                  <w:tcW w:w="162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0..010</w:t>
                  </w:r>
                  <w:r>
                    <w:rPr>
                      <w:rFonts w:hint="default" w:ascii="Times New Roman" w:hAnsi="Times New Roman" w:eastAsia="宋体" w:cs="Times New Roman"/>
                      <w:b w:val="0"/>
                      <w:bCs w:val="0"/>
                      <w:color w:val="auto"/>
                      <w:sz w:val="21"/>
                      <w:szCs w:val="21"/>
                      <w:highlight w:val="none"/>
                    </w:rPr>
                    <w:t>mg/m³</w:t>
                  </w:r>
                  <w:r>
                    <w:rPr>
                      <w:rFonts w:hint="default" w:ascii="Times New Roman" w:hAnsi="Times New Roman" w:eastAsia="宋体" w:cs="Times New Roman"/>
                      <w:b w:val="0"/>
                      <w:bCs w:val="0"/>
                      <w:color w:val="auto"/>
                      <w:sz w:val="21"/>
                      <w:szCs w:val="21"/>
                      <w:highlight w:val="none"/>
                      <w:lang w:val="en-US" w:eastAsia="zh-CN"/>
                    </w:rPr>
                    <w:t>--0.012</w:t>
                  </w:r>
                  <w:r>
                    <w:rPr>
                      <w:rFonts w:hint="default" w:ascii="Times New Roman" w:hAnsi="Times New Roman" w:eastAsia="宋体" w:cs="Times New Roman"/>
                      <w:b w:val="0"/>
                      <w:bCs w:val="0"/>
                      <w:color w:val="auto"/>
                      <w:sz w:val="21"/>
                      <w:szCs w:val="21"/>
                      <w:highlight w:val="none"/>
                    </w:rPr>
                    <w:t>mg/m³</w:t>
                  </w:r>
                </w:p>
              </w:tc>
              <w:tc>
                <w:tcPr>
                  <w:tcW w:w="89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0.1mg/m³</w:t>
                  </w:r>
                </w:p>
              </w:tc>
              <w:tc>
                <w:tcPr>
                  <w:tcW w:w="53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378"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6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氮氧化物</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1h值</w:t>
                  </w:r>
                </w:p>
              </w:tc>
              <w:tc>
                <w:tcPr>
                  <w:tcW w:w="1006"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rPr>
                  </w:pPr>
                </w:p>
              </w:tc>
              <w:tc>
                <w:tcPr>
                  <w:tcW w:w="162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0.017</w:t>
                  </w:r>
                  <w:r>
                    <w:rPr>
                      <w:rFonts w:hint="default" w:ascii="Times New Roman" w:hAnsi="Times New Roman" w:eastAsia="宋体" w:cs="Times New Roman"/>
                      <w:b w:val="0"/>
                      <w:bCs w:val="0"/>
                      <w:color w:val="auto"/>
                      <w:sz w:val="21"/>
                      <w:szCs w:val="21"/>
                      <w:highlight w:val="none"/>
                    </w:rPr>
                    <w:t>mg/m³</w:t>
                  </w:r>
                  <w:r>
                    <w:rPr>
                      <w:rFonts w:hint="default" w:ascii="Times New Roman" w:hAnsi="Times New Roman" w:eastAsia="宋体" w:cs="Times New Roman"/>
                      <w:b w:val="0"/>
                      <w:bCs w:val="0"/>
                      <w:color w:val="auto"/>
                      <w:sz w:val="21"/>
                      <w:szCs w:val="21"/>
                      <w:highlight w:val="none"/>
                      <w:lang w:val="en-US" w:eastAsia="zh-CN"/>
                    </w:rPr>
                    <w:t>--0.024</w:t>
                  </w:r>
                  <w:r>
                    <w:rPr>
                      <w:rFonts w:hint="default" w:ascii="Times New Roman" w:hAnsi="Times New Roman" w:eastAsia="宋体" w:cs="Times New Roman"/>
                      <w:b w:val="0"/>
                      <w:bCs w:val="0"/>
                      <w:color w:val="auto"/>
                      <w:sz w:val="21"/>
                      <w:szCs w:val="21"/>
                      <w:highlight w:val="none"/>
                    </w:rPr>
                    <w:t>mg/m³</w:t>
                  </w:r>
                </w:p>
              </w:tc>
              <w:tc>
                <w:tcPr>
                  <w:tcW w:w="89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0.25mg/m³</w:t>
                  </w:r>
                </w:p>
              </w:tc>
              <w:tc>
                <w:tcPr>
                  <w:tcW w:w="53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8"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6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氟化物</w:t>
                  </w:r>
                  <w:r>
                    <w:rPr>
                      <w:rFonts w:hint="default" w:ascii="Times New Roman" w:hAnsi="Times New Roman" w:eastAsia="宋体" w:cs="Times New Roman"/>
                      <w:b w:val="0"/>
                      <w:bCs w:val="0"/>
                      <w:color w:val="auto"/>
                      <w:sz w:val="21"/>
                      <w:szCs w:val="21"/>
                      <w:highlight w:val="none"/>
                    </w:rPr>
                    <w:t>1h值</w:t>
                  </w:r>
                </w:p>
              </w:tc>
              <w:tc>
                <w:tcPr>
                  <w:tcW w:w="1006"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rPr>
                  </w:pPr>
                </w:p>
              </w:tc>
              <w:tc>
                <w:tcPr>
                  <w:tcW w:w="162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1.3</w:t>
                  </w:r>
                  <w:r>
                    <w:rPr>
                      <w:rFonts w:hint="default" w:ascii="Times New Roman" w:hAnsi="Times New Roman" w:eastAsia="宋体" w:cs="Times New Roman"/>
                      <w:color w:val="auto"/>
                      <w:kern w:val="2"/>
                      <w:sz w:val="21"/>
                      <w:szCs w:val="21"/>
                      <w:highlight w:val="none"/>
                      <w:lang w:val="en-US" w:eastAsia="zh-CN" w:bidi="ar-SA"/>
                    </w:rPr>
                    <w:t>μg/m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b w:val="0"/>
                      <w:bCs w:val="0"/>
                      <w:color w:val="auto"/>
                      <w:sz w:val="21"/>
                      <w:szCs w:val="21"/>
                      <w:highlight w:val="none"/>
                      <w:lang w:val="en-US" w:eastAsia="zh-CN"/>
                    </w:rPr>
                    <w:t>--1.6</w:t>
                  </w:r>
                  <w:r>
                    <w:rPr>
                      <w:rFonts w:hint="default" w:ascii="Times New Roman" w:hAnsi="Times New Roman" w:eastAsia="宋体" w:cs="Times New Roman"/>
                      <w:color w:val="auto"/>
                      <w:kern w:val="2"/>
                      <w:sz w:val="21"/>
                      <w:szCs w:val="21"/>
                      <w:highlight w:val="none"/>
                      <w:lang w:val="en-US" w:eastAsia="zh-CN" w:bidi="ar-SA"/>
                    </w:rPr>
                    <w:t>μg/m</w:t>
                  </w:r>
                  <w:r>
                    <w:rPr>
                      <w:rFonts w:hint="default" w:ascii="Times New Roman" w:hAnsi="Times New Roman" w:eastAsia="宋体" w:cs="Times New Roman"/>
                      <w:color w:val="auto"/>
                      <w:kern w:val="2"/>
                      <w:sz w:val="21"/>
                      <w:szCs w:val="21"/>
                      <w:highlight w:val="none"/>
                      <w:vertAlign w:val="superscript"/>
                      <w:lang w:val="en-US" w:eastAsia="zh-CN" w:bidi="ar-SA"/>
                    </w:rPr>
                    <w:t>3</w:t>
                  </w:r>
                </w:p>
              </w:tc>
              <w:tc>
                <w:tcPr>
                  <w:tcW w:w="89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w:t>
                  </w:r>
                  <w:r>
                    <w:rPr>
                      <w:rFonts w:hint="default" w:ascii="Times New Roman" w:hAnsi="Times New Roman" w:eastAsia="宋体" w:cs="Times New Roman"/>
                      <w:color w:val="auto"/>
                      <w:kern w:val="2"/>
                      <w:sz w:val="21"/>
                      <w:szCs w:val="21"/>
                      <w:highlight w:val="none"/>
                      <w:lang w:val="en-US" w:eastAsia="zh-CN" w:bidi="ar-SA"/>
                    </w:rPr>
                    <w:t>μg/m</w:t>
                  </w:r>
                  <w:r>
                    <w:rPr>
                      <w:rFonts w:hint="default" w:ascii="Times New Roman" w:hAnsi="Times New Roman" w:eastAsia="宋体" w:cs="Times New Roman"/>
                      <w:color w:val="auto"/>
                      <w:kern w:val="2"/>
                      <w:sz w:val="21"/>
                      <w:szCs w:val="21"/>
                      <w:highlight w:val="none"/>
                      <w:vertAlign w:val="superscript"/>
                      <w:lang w:val="en-US" w:eastAsia="zh-CN" w:bidi="ar-SA"/>
                    </w:rPr>
                    <w:t>3</w:t>
                  </w:r>
                </w:p>
              </w:tc>
              <w:tc>
                <w:tcPr>
                  <w:tcW w:w="53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8"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6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氟化物24</w:t>
                  </w:r>
                  <w:r>
                    <w:rPr>
                      <w:rFonts w:hint="default" w:ascii="Times New Roman" w:hAnsi="Times New Roman" w:eastAsia="宋体" w:cs="Times New Roman"/>
                      <w:b w:val="0"/>
                      <w:bCs w:val="0"/>
                      <w:color w:val="auto"/>
                      <w:sz w:val="21"/>
                      <w:szCs w:val="21"/>
                      <w:highlight w:val="none"/>
                    </w:rPr>
                    <w:t>h值</w:t>
                  </w:r>
                </w:p>
              </w:tc>
              <w:tc>
                <w:tcPr>
                  <w:tcW w:w="1006"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rPr>
                  </w:pPr>
                </w:p>
              </w:tc>
              <w:tc>
                <w:tcPr>
                  <w:tcW w:w="162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0.38</w:t>
                  </w:r>
                  <w:r>
                    <w:rPr>
                      <w:rFonts w:hint="default" w:ascii="Times New Roman" w:hAnsi="Times New Roman" w:eastAsia="宋体" w:cs="Times New Roman"/>
                      <w:color w:val="auto"/>
                      <w:kern w:val="2"/>
                      <w:sz w:val="21"/>
                      <w:szCs w:val="21"/>
                      <w:highlight w:val="none"/>
                      <w:lang w:val="en-US" w:eastAsia="zh-CN" w:bidi="ar-SA"/>
                    </w:rPr>
                    <w:t>μg/m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b w:val="0"/>
                      <w:bCs w:val="0"/>
                      <w:color w:val="auto"/>
                      <w:sz w:val="21"/>
                      <w:szCs w:val="21"/>
                      <w:highlight w:val="none"/>
                      <w:lang w:val="en-US" w:eastAsia="zh-CN"/>
                    </w:rPr>
                    <w:t>--0.42</w:t>
                  </w:r>
                  <w:r>
                    <w:rPr>
                      <w:rFonts w:hint="default" w:ascii="Times New Roman" w:hAnsi="Times New Roman" w:eastAsia="宋体" w:cs="Times New Roman"/>
                      <w:color w:val="auto"/>
                      <w:kern w:val="2"/>
                      <w:sz w:val="21"/>
                      <w:szCs w:val="21"/>
                      <w:highlight w:val="none"/>
                      <w:lang w:val="en-US" w:eastAsia="zh-CN" w:bidi="ar-SA"/>
                    </w:rPr>
                    <w:t>μg/m</w:t>
                  </w:r>
                  <w:r>
                    <w:rPr>
                      <w:rFonts w:hint="default" w:ascii="Times New Roman" w:hAnsi="Times New Roman" w:eastAsia="宋体" w:cs="Times New Roman"/>
                      <w:color w:val="auto"/>
                      <w:kern w:val="2"/>
                      <w:sz w:val="21"/>
                      <w:szCs w:val="21"/>
                      <w:highlight w:val="none"/>
                      <w:vertAlign w:val="superscript"/>
                      <w:lang w:val="en-US" w:eastAsia="zh-CN" w:bidi="ar-SA"/>
                    </w:rPr>
                    <w:t>3</w:t>
                  </w:r>
                </w:p>
              </w:tc>
              <w:tc>
                <w:tcPr>
                  <w:tcW w:w="89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7</w:t>
                  </w:r>
                  <w:r>
                    <w:rPr>
                      <w:rFonts w:hint="default" w:ascii="Times New Roman" w:hAnsi="Times New Roman" w:eastAsia="宋体" w:cs="Times New Roman"/>
                      <w:color w:val="auto"/>
                      <w:kern w:val="2"/>
                      <w:sz w:val="21"/>
                      <w:szCs w:val="21"/>
                      <w:highlight w:val="none"/>
                      <w:lang w:val="en-US" w:eastAsia="zh-CN" w:bidi="ar-SA"/>
                    </w:rPr>
                    <w:t>μg/m</w:t>
                  </w:r>
                  <w:r>
                    <w:rPr>
                      <w:rFonts w:hint="default" w:ascii="Times New Roman" w:hAnsi="Times New Roman" w:eastAsia="宋体" w:cs="Times New Roman"/>
                      <w:color w:val="auto"/>
                      <w:kern w:val="2"/>
                      <w:sz w:val="21"/>
                      <w:szCs w:val="21"/>
                      <w:highlight w:val="none"/>
                      <w:vertAlign w:val="superscript"/>
                      <w:lang w:val="en-US" w:eastAsia="zh-CN" w:bidi="ar-SA"/>
                    </w:rPr>
                    <w:t>3</w:t>
                  </w:r>
                </w:p>
              </w:tc>
              <w:tc>
                <w:tcPr>
                  <w:tcW w:w="53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center"/>
                </w:tcPr>
                <w:p>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注：氟化物参照城市地区标准值进行评价。</w:t>
                  </w:r>
                </w:p>
              </w:tc>
            </w:tr>
          </w:tbl>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根据上表监测结果，项目所在区域颗粒物（24小时平均）、NO</w:t>
            </w:r>
            <w:r>
              <w:rPr>
                <w:rFonts w:hint="default" w:ascii="Times New Roman" w:hAnsi="Times New Roman" w:eastAsia="宋体" w:cs="Times New Roman"/>
                <w:color w:val="auto"/>
                <w:sz w:val="24"/>
                <w:szCs w:val="24"/>
                <w:highlight w:val="none"/>
                <w:vertAlign w:val="subscript"/>
              </w:rPr>
              <w:t>X</w:t>
            </w:r>
            <w:r>
              <w:rPr>
                <w:rFonts w:hint="default" w:ascii="Times New Roman" w:hAnsi="Times New Roman" w:eastAsia="宋体" w:cs="Times New Roman"/>
                <w:color w:val="auto"/>
                <w:sz w:val="24"/>
                <w:szCs w:val="24"/>
                <w:highlight w:val="none"/>
              </w:rPr>
              <w:t>（1小时平均、24小时平均）</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氟化物</w:t>
            </w:r>
            <w:r>
              <w:rPr>
                <w:rFonts w:hint="default" w:ascii="Times New Roman" w:hAnsi="Times New Roman" w:eastAsia="宋体" w:cs="Times New Roman"/>
                <w:color w:val="auto"/>
                <w:sz w:val="24"/>
                <w:szCs w:val="24"/>
                <w:highlight w:val="none"/>
              </w:rPr>
              <w:t>（1小时平均、</w:t>
            </w:r>
            <w:r>
              <w:rPr>
                <w:rFonts w:hint="default" w:ascii="Times New Roman" w:hAnsi="Times New Roman" w:eastAsia="宋体" w:cs="Times New Roman"/>
                <w:color w:val="auto"/>
                <w:sz w:val="24"/>
                <w:szCs w:val="24"/>
                <w:highlight w:val="none"/>
                <w:lang w:val="en-US" w:eastAsia="zh-CN"/>
              </w:rPr>
              <w:t>日</w:t>
            </w:r>
            <w:r>
              <w:rPr>
                <w:rFonts w:hint="default" w:ascii="Times New Roman" w:hAnsi="Times New Roman" w:eastAsia="宋体" w:cs="Times New Roman"/>
                <w:color w:val="auto"/>
                <w:sz w:val="24"/>
                <w:szCs w:val="24"/>
                <w:highlight w:val="none"/>
              </w:rPr>
              <w:t>平均）平均浓度满足《环境空气质量标准》（GB3095-2026）二级标准</w:t>
            </w:r>
            <w:r>
              <w:rPr>
                <w:rFonts w:hint="default" w:ascii="Times New Roman" w:hAnsi="Times New Roman" w:eastAsia="宋体" w:cs="Times New Roman"/>
                <w:color w:val="auto"/>
                <w:sz w:val="24"/>
                <w:szCs w:val="24"/>
                <w:highlight w:val="none"/>
                <w:lang w:val="en-US" w:eastAsia="zh-CN"/>
              </w:rPr>
              <w:t>限值</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0"/>
                <w:sz w:val="24"/>
                <w:szCs w:val="24"/>
                <w:highlight w:val="none"/>
                <w:lang w:bidi="ar"/>
              </w:rPr>
              <w:t>项目所在区域环境空气质量良好</w:t>
            </w:r>
            <w:r>
              <w:rPr>
                <w:rFonts w:hint="default" w:ascii="Times New Roman" w:hAnsi="Times New Roman" w:eastAsia="宋体" w:cs="Times New Roman"/>
                <w:color w:val="auto"/>
                <w:kern w:val="0"/>
                <w:sz w:val="24"/>
                <w:szCs w:val="24"/>
                <w:highlight w:val="none"/>
                <w:lang w:eastAsia="zh-CN" w:bidi="ar"/>
              </w:rPr>
              <w:t>，</w:t>
            </w:r>
            <w:r>
              <w:rPr>
                <w:rFonts w:hint="default" w:ascii="Times New Roman" w:hAnsi="Times New Roman" w:eastAsia="宋体" w:cs="Times New Roman"/>
                <w:color w:val="auto"/>
                <w:sz w:val="24"/>
                <w:szCs w:val="24"/>
                <w:highlight w:val="none"/>
              </w:rPr>
              <w:t>满足环境功能要求。</w:t>
            </w:r>
          </w:p>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2、地表水环境质量现状</w:t>
            </w:r>
          </w:p>
          <w:p>
            <w:pPr>
              <w:keepNext w:val="0"/>
              <w:keepLines w:val="0"/>
              <w:widowControl/>
              <w:suppressLineNumbers w:val="0"/>
              <w:tabs>
                <w:tab w:val="left" w:pos="6765"/>
              </w:tabs>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项目区附近地表水体为项目</w:t>
            </w:r>
            <w:r>
              <w:rPr>
                <w:rFonts w:hint="default" w:ascii="Times New Roman" w:hAnsi="Times New Roman" w:eastAsia="宋体" w:cs="Times New Roman"/>
                <w:color w:val="auto"/>
                <w:sz w:val="24"/>
                <w:szCs w:val="24"/>
                <w:highlight w:val="none"/>
                <w:lang w:val="en-US" w:eastAsia="zh-CN"/>
              </w:rPr>
              <w:t>东北侧11</w:t>
            </w:r>
            <w:r>
              <w:rPr>
                <w:rFonts w:hint="default" w:ascii="Times New Roman" w:hAnsi="Times New Roman" w:eastAsia="宋体" w:cs="Times New Roman"/>
                <w:color w:val="auto"/>
                <w:sz w:val="24"/>
                <w:szCs w:val="24"/>
                <w:highlight w:val="none"/>
              </w:rPr>
              <w:t>00m处的</w:t>
            </w:r>
            <w:r>
              <w:rPr>
                <w:rFonts w:hint="default" w:ascii="Times New Roman" w:hAnsi="Times New Roman" w:eastAsia="宋体" w:cs="Times New Roman"/>
                <w:color w:val="auto"/>
                <w:sz w:val="24"/>
                <w:szCs w:val="24"/>
                <w:highlight w:val="none"/>
                <w:lang w:val="en-US" w:eastAsia="zh-CN"/>
              </w:rPr>
              <w:t>南盘江</w:t>
            </w:r>
            <w:r>
              <w:rPr>
                <w:rFonts w:hint="default" w:ascii="Times New Roman" w:hAnsi="Times New Roman" w:eastAsia="宋体" w:cs="Times New Roman"/>
                <w:color w:val="auto"/>
                <w:sz w:val="24"/>
                <w:szCs w:val="24"/>
                <w:highlight w:val="none"/>
              </w:rPr>
              <w:t>。根据昆明市水务局、滇中产业聚集区（新区）水务局发布的《昆明市和滇中产业新区水功能区划》（2010~2030年），项目所在区域属于南盘江宜良工业、农业、渔业用水区：由柴石滩水库坝址至高古马水文站，流经北古城镇、匡远街道办事处、狗街镇，全长43.6km。2020规划水平年水质保护目标为Ⅳ类，2030规划水平年水质保护目标为Ⅲ类。南盘江水质执行《地表水环境质量标准》（GB3838-2002）Ⅲ类标准。</w:t>
            </w:r>
          </w:p>
          <w:p>
            <w:pPr>
              <w:keepNext w:val="0"/>
              <w:keepLines w:val="0"/>
              <w:widowControl/>
              <w:suppressLineNumbers w:val="0"/>
              <w:tabs>
                <w:tab w:val="left" w:pos="6765"/>
              </w:tabs>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根据昆明市生态环境局发布的《2024年度昆明市生态环境状况公报》</w:t>
            </w:r>
            <w:r>
              <w:rPr>
                <w:rFonts w:hint="default" w:ascii="Times New Roman" w:hAnsi="Times New Roman" w:eastAsia="宋体" w:cs="Times New Roman"/>
                <w:color w:val="auto"/>
                <w:sz w:val="24"/>
                <w:szCs w:val="24"/>
                <w:highlight w:val="none"/>
                <w:lang w:eastAsia="zh-CN"/>
              </w:rPr>
              <w:t>，南盘江与2023年相比，南盘江干流段的狗街断面水质类别保持</w:t>
            </w:r>
            <w:r>
              <w:rPr>
                <w:rFonts w:hint="default" w:ascii="Times New Roman" w:hAnsi="Times New Roman" w:eastAsia="宋体" w:cs="Times New Roman"/>
                <w:color w:val="auto"/>
                <w:sz w:val="24"/>
                <w:szCs w:val="24"/>
                <w:highlight w:val="none"/>
              </w:rPr>
              <w:t>Ⅲ</w:t>
            </w:r>
            <w:r>
              <w:rPr>
                <w:rFonts w:hint="default" w:ascii="Times New Roman" w:hAnsi="Times New Roman" w:eastAsia="宋体" w:cs="Times New Roman"/>
                <w:color w:val="auto"/>
                <w:sz w:val="24"/>
                <w:szCs w:val="24"/>
                <w:highlight w:val="none"/>
                <w:lang w:eastAsia="zh-CN"/>
              </w:rPr>
              <w:t>类不变，禄丰村断面、柴石滩断面水质类别保持</w:t>
            </w:r>
            <w:r>
              <w:rPr>
                <w:rFonts w:hint="default" w:ascii="Times New Roman" w:hAnsi="Times New Roman" w:eastAsia="宋体" w:cs="Times New Roman"/>
                <w:color w:val="auto"/>
                <w:sz w:val="24"/>
                <w:szCs w:val="24"/>
                <w:highlight w:val="none"/>
              </w:rPr>
              <w:t>Ⅱ</w:t>
            </w:r>
            <w:r>
              <w:rPr>
                <w:rFonts w:hint="default" w:ascii="Times New Roman" w:hAnsi="Times New Roman" w:eastAsia="宋体" w:cs="Times New Roman"/>
                <w:color w:val="auto"/>
                <w:sz w:val="24"/>
                <w:szCs w:val="24"/>
                <w:highlight w:val="none"/>
                <w:lang w:eastAsia="zh-CN"/>
              </w:rPr>
              <w:t>类不变，</w:t>
            </w:r>
            <w:r>
              <w:rPr>
                <w:rFonts w:hint="default" w:ascii="Times New Roman" w:hAnsi="Times New Roman" w:eastAsia="宋体" w:cs="Times New Roman"/>
                <w:color w:val="auto"/>
                <w:sz w:val="24"/>
                <w:szCs w:val="24"/>
                <w:highlight w:val="none"/>
                <w:lang w:val="en-US" w:eastAsia="zh-CN"/>
              </w:rPr>
              <w:t>因此，项目</w:t>
            </w:r>
            <w:r>
              <w:rPr>
                <w:rFonts w:hint="default" w:ascii="Times New Roman" w:hAnsi="Times New Roman" w:eastAsia="宋体" w:cs="Times New Roman"/>
                <w:color w:val="auto"/>
                <w:sz w:val="24"/>
                <w:szCs w:val="24"/>
                <w:highlight w:val="none"/>
              </w:rPr>
              <w:t>评价区域南盘江水质满足《地表水环境质量标准》（GB3838-2002）Ⅲ类标准要求。项目区域地表水环境为达标区。</w:t>
            </w:r>
          </w:p>
          <w:p>
            <w:pPr>
              <w:keepNext w:val="0"/>
              <w:keepLines w:val="0"/>
              <w:widowControl/>
              <w:suppressLineNumbers w:val="0"/>
              <w:tabs>
                <w:tab w:val="left" w:pos="6765"/>
              </w:tabs>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3、声环境质量现状</w:t>
            </w:r>
          </w:p>
          <w:p>
            <w:pPr>
              <w:keepNext w:val="0"/>
              <w:keepLines w:val="0"/>
              <w:widowControl/>
              <w:suppressLineNumbers w:val="0"/>
              <w:tabs>
                <w:tab w:val="left" w:pos="6765"/>
              </w:tabs>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项目位于</w:t>
            </w:r>
            <w:r>
              <w:rPr>
                <w:rFonts w:hint="default" w:ascii="Times New Roman" w:hAnsi="Times New Roman" w:eastAsia="宋体" w:cs="Times New Roman"/>
                <w:color w:val="auto"/>
                <w:sz w:val="24"/>
                <w:szCs w:val="24"/>
                <w:highlight w:val="none"/>
                <w:lang w:eastAsia="zh-CN"/>
              </w:rPr>
              <w:t>云南省昆明市宜良县北古城镇凤莱村委会下前所村</w:t>
            </w:r>
            <w:r>
              <w:rPr>
                <w:rFonts w:hint="default" w:ascii="Times New Roman" w:hAnsi="Times New Roman" w:eastAsia="宋体" w:cs="Times New Roman"/>
                <w:color w:val="auto"/>
                <w:kern w:val="0"/>
                <w:sz w:val="24"/>
                <w:szCs w:val="24"/>
                <w:highlight w:val="none"/>
                <w:lang w:bidi="ar"/>
              </w:rPr>
              <w:t>，</w:t>
            </w:r>
            <w:r>
              <w:rPr>
                <w:rFonts w:hint="default" w:ascii="Times New Roman" w:hAnsi="Times New Roman" w:eastAsia="宋体" w:cs="Times New Roman"/>
                <w:color w:val="auto"/>
                <w:kern w:val="0"/>
                <w:sz w:val="24"/>
                <w:szCs w:val="24"/>
                <w:highlight w:val="none"/>
                <w:lang w:val="en-US" w:eastAsia="zh-CN" w:bidi="ar"/>
              </w:rPr>
              <w:t>为居住和工业混杂区，</w:t>
            </w:r>
            <w:r>
              <w:rPr>
                <w:rFonts w:hint="default" w:ascii="Times New Roman" w:hAnsi="Times New Roman" w:eastAsia="宋体" w:cs="Times New Roman"/>
                <w:color w:val="auto"/>
                <w:sz w:val="24"/>
                <w:szCs w:val="24"/>
                <w:highlight w:val="none"/>
              </w:rPr>
              <w:t>声环境质量执行《声环境质量标准》（GB3096-2008）2类标准。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根据《2024年度昆明市</w:t>
            </w:r>
            <w:r>
              <w:rPr>
                <w:rFonts w:hint="default" w:ascii="Times New Roman" w:hAnsi="Times New Roman" w:eastAsia="宋体" w:cs="Times New Roman"/>
                <w:bCs/>
                <w:color w:val="auto"/>
                <w:sz w:val="24"/>
                <w:szCs w:val="24"/>
                <w:highlight w:val="none"/>
              </w:rPr>
              <w:t>生态环境状况公报</w:t>
            </w:r>
            <w:r>
              <w:rPr>
                <w:rFonts w:hint="default" w:ascii="Times New Roman" w:hAnsi="Times New Roman" w:eastAsia="宋体" w:cs="Times New Roman"/>
                <w:color w:val="auto"/>
                <w:sz w:val="24"/>
                <w:szCs w:val="24"/>
                <w:highlight w:val="none"/>
              </w:rPr>
              <w:t>》，2024年</w:t>
            </w:r>
            <w:r>
              <w:rPr>
                <w:rFonts w:hint="default" w:ascii="Times New Roman" w:hAnsi="Times New Roman" w:eastAsia="宋体" w:cs="Times New Roman"/>
                <w:color w:val="auto"/>
                <w:sz w:val="24"/>
                <w:szCs w:val="24"/>
                <w:highlight w:val="none"/>
                <w:lang w:val="en-US" w:eastAsia="zh-CN"/>
              </w:rPr>
              <w:t>宜良县</w:t>
            </w:r>
            <w:r>
              <w:rPr>
                <w:rFonts w:hint="default" w:ascii="Times New Roman" w:hAnsi="Times New Roman" w:eastAsia="宋体" w:cs="Times New Roman"/>
                <w:color w:val="auto"/>
                <w:sz w:val="24"/>
                <w:szCs w:val="24"/>
                <w:highlight w:val="none"/>
              </w:rPr>
              <w:t>区域环境昼间等效声级平均值为</w:t>
            </w:r>
            <w:r>
              <w:rPr>
                <w:rFonts w:hint="default" w:ascii="Times New Roman" w:hAnsi="Times New Roman" w:eastAsia="宋体" w:cs="Times New Roman"/>
                <w:color w:val="auto"/>
                <w:sz w:val="24"/>
                <w:szCs w:val="24"/>
                <w:highlight w:val="none"/>
                <w:lang w:val="en-US" w:eastAsia="zh-CN"/>
              </w:rPr>
              <w:t>49.4</w:t>
            </w:r>
            <w:r>
              <w:rPr>
                <w:rFonts w:hint="default" w:ascii="Times New Roman" w:hAnsi="Times New Roman" w:eastAsia="宋体" w:cs="Times New Roman"/>
                <w:color w:val="auto"/>
                <w:sz w:val="24"/>
                <w:szCs w:val="24"/>
                <w:highlight w:val="none"/>
              </w:rPr>
              <w:t>分贝(A)，</w:t>
            </w:r>
            <w:r>
              <w:rPr>
                <w:rFonts w:hint="default" w:ascii="Times New Roman" w:hAnsi="Times New Roman" w:eastAsia="宋体" w:cs="Times New Roman"/>
                <w:color w:val="auto"/>
                <w:sz w:val="24"/>
                <w:szCs w:val="24"/>
                <w:highlight w:val="none"/>
                <w:lang w:val="en-US" w:eastAsia="zh-CN"/>
              </w:rPr>
              <w:t>与2023年相比区域环境昼间等效声级平均值降低，</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在原址改扩建，不新增用地，项目</w:t>
            </w:r>
            <w:r>
              <w:rPr>
                <w:rFonts w:hint="default" w:ascii="Times New Roman" w:hAnsi="Times New Roman" w:eastAsia="宋体" w:cs="Times New Roman"/>
                <w:color w:val="auto"/>
                <w:sz w:val="24"/>
                <w:szCs w:val="24"/>
                <w:highlight w:val="none"/>
              </w:rPr>
              <w:t>周边50m范围内无声环境保护目标，且周边无较大声源，因此项目所在区域声环境质量达到《声环境质量标准》（GB3096-2008）2类功能区标准，属达标区。</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4、生态环境现状</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rPr>
              <w:t>项目位于</w:t>
            </w:r>
            <w:r>
              <w:rPr>
                <w:rFonts w:hint="default" w:ascii="Times New Roman" w:hAnsi="Times New Roman" w:eastAsia="宋体" w:cs="Times New Roman"/>
                <w:color w:val="auto"/>
                <w:kern w:val="0"/>
                <w:sz w:val="24"/>
                <w:szCs w:val="24"/>
                <w:highlight w:val="none"/>
                <w:lang w:eastAsia="zh-CN" w:bidi="ar"/>
              </w:rPr>
              <w:t>云南省昆明市宜良县北古城镇凤莱村委会下前所村</w:t>
            </w:r>
            <w:r>
              <w:rPr>
                <w:rFonts w:hint="default" w:ascii="Times New Roman" w:hAnsi="Times New Roman" w:eastAsia="宋体" w:cs="Times New Roman"/>
                <w:color w:val="auto"/>
                <w:kern w:val="0"/>
                <w:sz w:val="24"/>
                <w:szCs w:val="24"/>
                <w:highlight w:val="none"/>
                <w:lang w:bidi="ar"/>
              </w:rPr>
              <w:t>，项目在原址</w:t>
            </w:r>
            <w:r>
              <w:rPr>
                <w:rFonts w:hint="default" w:ascii="Times New Roman" w:hAnsi="Times New Roman" w:eastAsia="宋体" w:cs="Times New Roman"/>
                <w:color w:val="auto"/>
                <w:kern w:val="0"/>
                <w:sz w:val="24"/>
                <w:szCs w:val="24"/>
                <w:highlight w:val="none"/>
                <w:lang w:eastAsia="zh-CN" w:bidi="ar"/>
              </w:rPr>
              <w:t>改扩建</w:t>
            </w:r>
            <w:r>
              <w:rPr>
                <w:rFonts w:hint="default" w:ascii="Times New Roman" w:hAnsi="Times New Roman" w:eastAsia="宋体" w:cs="Times New Roman"/>
                <w:color w:val="auto"/>
                <w:kern w:val="0"/>
                <w:sz w:val="24"/>
                <w:szCs w:val="24"/>
                <w:highlight w:val="none"/>
                <w:lang w:bidi="ar"/>
              </w:rPr>
              <w:t>，</w:t>
            </w:r>
            <w:r>
              <w:rPr>
                <w:rFonts w:hint="default" w:ascii="Times New Roman" w:hAnsi="Times New Roman" w:eastAsia="宋体" w:cs="Times New Roman"/>
                <w:color w:val="auto"/>
                <w:kern w:val="0"/>
                <w:sz w:val="24"/>
                <w:szCs w:val="24"/>
                <w:highlight w:val="none"/>
              </w:rPr>
              <w:t>不新增用地；</w:t>
            </w: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sz w:val="24"/>
                <w:szCs w:val="24"/>
                <w:highlight w:val="none"/>
                <w:lang w:val="en-US" w:eastAsia="zh-CN"/>
              </w:rPr>
              <w:t>现场踏勘</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0"/>
                <w:sz w:val="24"/>
                <w:szCs w:val="24"/>
                <w:highlight w:val="none"/>
              </w:rPr>
              <w:t>项目所在区域由于受人类频繁活动和交通的影响，已无大型动物，仅有些小型常见动物，如常见鸟类、鼠类、蛇等与人伴居的物种，</w:t>
            </w:r>
            <w:r>
              <w:rPr>
                <w:rFonts w:hint="default" w:ascii="Times New Roman" w:hAnsi="Times New Roman" w:eastAsia="宋体" w:cs="Times New Roman"/>
                <w:color w:val="auto"/>
                <w:sz w:val="24"/>
                <w:szCs w:val="24"/>
                <w:highlight w:val="none"/>
              </w:rPr>
              <w:t>项目周边无自然保护区、风景名胜区、森林公园、历史文化遗迹等需要特殊保护的生态敏感目标分布，也没有国家和省级重点保护的动植物物种及区域特有物种分布。</w:t>
            </w:r>
            <w:r>
              <w:rPr>
                <w:rFonts w:hint="default" w:ascii="Times New Roman" w:hAnsi="Times New Roman" w:eastAsia="宋体" w:cs="Times New Roman"/>
                <w:bCs/>
                <w:color w:val="auto"/>
                <w:sz w:val="24"/>
                <w:szCs w:val="24"/>
                <w:highlight w:val="none"/>
              </w:rPr>
              <w:t>物种多样性一般，生态环境质量现状一般。</w:t>
            </w:r>
            <w:r>
              <w:rPr>
                <w:rFonts w:hint="default" w:ascii="Times New Roman" w:hAnsi="Times New Roman" w:eastAsia="宋体" w:cs="Times New Roman"/>
                <w:color w:val="auto"/>
                <w:kern w:val="0"/>
                <w:sz w:val="24"/>
                <w:szCs w:val="24"/>
                <w:highlight w:val="none"/>
              </w:rPr>
              <w:t>项目</w:t>
            </w:r>
            <w:r>
              <w:rPr>
                <w:rFonts w:hint="default" w:ascii="Times New Roman" w:hAnsi="Times New Roman" w:eastAsia="宋体" w:cs="Times New Roman"/>
                <w:color w:val="auto"/>
                <w:kern w:val="0"/>
                <w:sz w:val="24"/>
                <w:szCs w:val="24"/>
                <w:highlight w:val="none"/>
                <w:lang w:val="en-US" w:eastAsia="zh-CN"/>
              </w:rPr>
              <w:t>区域</w:t>
            </w:r>
            <w:r>
              <w:rPr>
                <w:rFonts w:hint="default" w:ascii="Times New Roman" w:hAnsi="Times New Roman" w:eastAsia="宋体" w:cs="Times New Roman"/>
                <w:color w:val="auto"/>
                <w:kern w:val="0"/>
                <w:sz w:val="24"/>
                <w:szCs w:val="24"/>
                <w:highlight w:val="none"/>
              </w:rPr>
              <w:t>内无生态环境保护目标。</w:t>
            </w:r>
          </w:p>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bCs/>
                <w:color w:val="auto"/>
                <w:kern w:val="0"/>
                <w:sz w:val="24"/>
                <w:szCs w:val="24"/>
                <w:highlight w:val="none"/>
              </w:rPr>
              <w:t>5、地下水、土壤</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bidi="ar"/>
              </w:rPr>
              <w:t>项目在原址</w:t>
            </w:r>
            <w:r>
              <w:rPr>
                <w:rFonts w:hint="default" w:ascii="Times New Roman" w:hAnsi="Times New Roman" w:eastAsia="宋体" w:cs="Times New Roman"/>
                <w:color w:val="auto"/>
                <w:kern w:val="0"/>
                <w:sz w:val="24"/>
                <w:szCs w:val="24"/>
                <w:highlight w:val="none"/>
                <w:lang w:eastAsia="zh-CN" w:bidi="ar"/>
              </w:rPr>
              <w:t>改扩建</w:t>
            </w:r>
            <w:r>
              <w:rPr>
                <w:rFonts w:hint="default" w:ascii="Times New Roman" w:hAnsi="Times New Roman" w:eastAsia="宋体" w:cs="Times New Roman"/>
                <w:color w:val="auto"/>
                <w:kern w:val="0"/>
                <w:sz w:val="24"/>
                <w:szCs w:val="24"/>
                <w:highlight w:val="none"/>
                <w:lang w:bidi="ar"/>
              </w:rPr>
              <w:t>，</w:t>
            </w:r>
            <w:r>
              <w:rPr>
                <w:rFonts w:hint="default" w:ascii="Times New Roman" w:hAnsi="Times New Roman" w:eastAsia="宋体" w:cs="Times New Roman"/>
                <w:color w:val="auto"/>
                <w:kern w:val="0"/>
                <w:sz w:val="24"/>
                <w:szCs w:val="24"/>
                <w:highlight w:val="none"/>
              </w:rPr>
              <w:t>不新增用地</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项目</w:t>
            </w:r>
            <w:r>
              <w:rPr>
                <w:rFonts w:hint="default" w:ascii="Times New Roman" w:hAnsi="Times New Roman" w:eastAsia="宋体" w:cs="Times New Roman"/>
                <w:color w:val="auto"/>
                <w:kern w:val="0"/>
                <w:sz w:val="24"/>
                <w:szCs w:val="24"/>
                <w:highlight w:val="none"/>
                <w:lang w:val="en-US" w:eastAsia="zh-CN"/>
              </w:rPr>
              <w:t>地面</w:t>
            </w:r>
            <w:r>
              <w:rPr>
                <w:rFonts w:hint="default" w:ascii="Times New Roman" w:hAnsi="Times New Roman" w:eastAsia="宋体" w:cs="Times New Roman"/>
                <w:color w:val="auto"/>
                <w:kern w:val="0"/>
                <w:sz w:val="24"/>
                <w:szCs w:val="24"/>
                <w:highlight w:val="none"/>
              </w:rPr>
              <w:t>硬化，</w:t>
            </w:r>
            <w:r>
              <w:rPr>
                <w:rFonts w:hint="default" w:ascii="Times New Roman" w:hAnsi="Times New Roman" w:eastAsia="宋体" w:cs="Times New Roman"/>
                <w:color w:val="auto"/>
                <w:kern w:val="0"/>
                <w:sz w:val="24"/>
                <w:szCs w:val="24"/>
                <w:highlight w:val="none"/>
                <w:lang w:val="en-US" w:eastAsia="zh-CN"/>
              </w:rPr>
              <w:t>生活污水进入收集池后回用于生产，</w:t>
            </w:r>
            <w:r>
              <w:rPr>
                <w:rFonts w:hint="default" w:ascii="Times New Roman" w:hAnsi="Times New Roman" w:eastAsia="宋体" w:cs="Times New Roman"/>
                <w:color w:val="auto"/>
                <w:kern w:val="0"/>
                <w:sz w:val="24"/>
                <w:szCs w:val="24"/>
                <w:highlight w:val="none"/>
              </w:rPr>
              <w:t>项目废水不直接外排</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项目</w:t>
            </w:r>
            <w:r>
              <w:rPr>
                <w:rFonts w:hint="default" w:ascii="Times New Roman" w:hAnsi="Times New Roman" w:eastAsia="宋体" w:cs="Times New Roman"/>
                <w:color w:val="auto"/>
                <w:kern w:val="0"/>
                <w:sz w:val="24"/>
                <w:szCs w:val="24"/>
                <w:highlight w:val="none"/>
              </w:rPr>
              <w:t>不存在污染周边集中式饮用水水源和热水、矿泉水、温泉等特殊地下水资源的途径</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危废贮存场所</w:t>
            </w:r>
            <w:r>
              <w:rPr>
                <w:rFonts w:hint="default" w:ascii="Times New Roman" w:hAnsi="Times New Roman" w:eastAsia="宋体" w:cs="Times New Roman"/>
                <w:color w:val="auto"/>
                <w:kern w:val="0"/>
                <w:sz w:val="24"/>
                <w:szCs w:val="24"/>
                <w:highlight w:val="none"/>
              </w:rPr>
              <w:t>防渗</w:t>
            </w:r>
            <w:r>
              <w:rPr>
                <w:rFonts w:hint="default" w:ascii="Times New Roman" w:hAnsi="Times New Roman" w:eastAsia="宋体" w:cs="Times New Roman"/>
                <w:color w:val="auto"/>
                <w:kern w:val="0"/>
                <w:sz w:val="24"/>
                <w:szCs w:val="24"/>
                <w:highlight w:val="none"/>
                <w:lang w:val="en-US" w:eastAsia="zh-CN"/>
              </w:rPr>
              <w:t>根据</w:t>
            </w:r>
            <w:r>
              <w:rPr>
                <w:rFonts w:hint="default" w:ascii="Times New Roman" w:hAnsi="Times New Roman" w:eastAsia="宋体" w:cs="Times New Roman"/>
                <w:color w:val="auto"/>
                <w:kern w:val="0"/>
                <w:sz w:val="24"/>
                <w:szCs w:val="24"/>
                <w:highlight w:val="none"/>
              </w:rPr>
              <w:t>《危险废物贮存污染控制标准》（GB18597-2023）中的相关要求</w:t>
            </w:r>
            <w:r>
              <w:rPr>
                <w:rFonts w:hint="default" w:ascii="Times New Roman" w:hAnsi="Times New Roman" w:eastAsia="宋体" w:cs="Times New Roman"/>
                <w:color w:val="auto"/>
                <w:kern w:val="0"/>
                <w:sz w:val="24"/>
                <w:szCs w:val="24"/>
                <w:highlight w:val="none"/>
                <w:lang w:val="en-US" w:eastAsia="zh-CN"/>
              </w:rPr>
              <w:t>建设，项目也不存在污染土壤的途径。同时</w:t>
            </w:r>
            <w:r>
              <w:rPr>
                <w:rFonts w:hint="default" w:ascii="Times New Roman" w:hAnsi="Times New Roman" w:eastAsia="宋体" w:cs="Times New Roman"/>
                <w:color w:val="auto"/>
                <w:kern w:val="0"/>
                <w:sz w:val="24"/>
                <w:szCs w:val="24"/>
                <w:highlight w:val="none"/>
              </w:rPr>
              <w:t>根据《建设项目环境影响报告表编制技术指南（污染影响类）》（试行），项目</w:t>
            </w:r>
            <w:r>
              <w:rPr>
                <w:rFonts w:hint="default" w:ascii="Times New Roman" w:hAnsi="Times New Roman" w:eastAsia="宋体" w:cs="Times New Roman"/>
                <w:color w:val="auto"/>
                <w:kern w:val="0"/>
                <w:sz w:val="24"/>
                <w:szCs w:val="24"/>
                <w:highlight w:val="none"/>
                <w:lang w:val="en-US" w:eastAsia="zh-CN"/>
              </w:rPr>
              <w:t>不需要</w:t>
            </w:r>
            <w:r>
              <w:rPr>
                <w:rFonts w:hint="default" w:ascii="Times New Roman" w:hAnsi="Times New Roman" w:eastAsia="宋体" w:cs="Times New Roman"/>
                <w:color w:val="auto"/>
                <w:kern w:val="0"/>
                <w:sz w:val="24"/>
                <w:szCs w:val="24"/>
                <w:highlight w:val="none"/>
              </w:rPr>
              <w:t>开展地下水和土壤环境质量现状调查。</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由于项目涉及到氟化物，</w:t>
            </w:r>
            <w:r>
              <w:rPr>
                <w:rFonts w:hint="default" w:ascii="Times New Roman" w:hAnsi="Times New Roman" w:eastAsia="宋体" w:cs="Times New Roman"/>
                <w:color w:val="auto"/>
                <w:kern w:val="0"/>
                <w:sz w:val="24"/>
                <w:szCs w:val="24"/>
                <w:highlight w:val="none"/>
              </w:rPr>
              <w:t>土壤</w:t>
            </w:r>
            <w:r>
              <w:rPr>
                <w:rFonts w:hint="default" w:ascii="Times New Roman" w:hAnsi="Times New Roman" w:eastAsia="宋体" w:cs="Times New Roman"/>
                <w:color w:val="auto"/>
                <w:kern w:val="0"/>
                <w:sz w:val="24"/>
                <w:szCs w:val="24"/>
                <w:highlight w:val="none"/>
                <w:lang w:val="en-US" w:eastAsia="zh-CN"/>
              </w:rPr>
              <w:t>背景参考</w:t>
            </w:r>
            <w:r>
              <w:rPr>
                <w:rFonts w:hint="default" w:ascii="Times New Roman" w:hAnsi="Times New Roman" w:eastAsia="宋体" w:cs="Times New Roman"/>
                <w:b w:val="0"/>
                <w:bCs/>
                <w:i w:val="0"/>
                <w:iCs w:val="0"/>
                <w:color w:val="auto"/>
                <w:kern w:val="0"/>
                <w:sz w:val="24"/>
                <w:szCs w:val="24"/>
                <w:highlight w:val="none"/>
              </w:rPr>
              <w:t>《云南省宜良前所月牙</w:t>
            </w:r>
            <w:r>
              <w:rPr>
                <w:rFonts w:hint="default" w:ascii="Times New Roman" w:hAnsi="Times New Roman" w:eastAsia="宋体" w:cs="Times New Roman"/>
                <w:i w:val="0"/>
                <w:iCs w:val="0"/>
                <w:color w:val="auto"/>
                <w:kern w:val="0"/>
                <w:sz w:val="24"/>
                <w:szCs w:val="24"/>
                <w:highlight w:val="none"/>
              </w:rPr>
              <w:t>塘砖厂砖瓦用页岩矿项目环境影响报告表》</w:t>
            </w:r>
            <w:r>
              <w:rPr>
                <w:rFonts w:hint="default" w:ascii="Times New Roman" w:hAnsi="Times New Roman" w:eastAsia="宋体" w:cs="Times New Roman"/>
                <w:i w:val="0"/>
                <w:iCs w:val="0"/>
                <w:color w:val="auto"/>
                <w:kern w:val="0"/>
                <w:sz w:val="24"/>
                <w:szCs w:val="24"/>
                <w:highlight w:val="none"/>
                <w:lang w:val="en-US" w:eastAsia="zh-CN"/>
              </w:rPr>
              <w:t>中对矿区</w:t>
            </w:r>
            <w:r>
              <w:rPr>
                <w:rFonts w:hint="default" w:ascii="Times New Roman" w:hAnsi="Times New Roman" w:eastAsia="宋体" w:cs="Times New Roman"/>
                <w:bCs/>
                <w:color w:val="auto"/>
                <w:sz w:val="24"/>
                <w:highlight w:val="none"/>
                <w:lang w:val="en-US" w:eastAsia="zh-CN"/>
              </w:rPr>
              <w:t>的土壤监测。</w:t>
            </w:r>
          </w:p>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kern w:val="2"/>
                <w:sz w:val="24"/>
                <w:szCs w:val="24"/>
                <w:highlight w:val="none"/>
                <w:lang w:val="en-US" w:eastAsia="zh-CN" w:bidi="ar-SA"/>
              </w:rPr>
              <w:t>（1）</w:t>
            </w:r>
            <w:r>
              <w:rPr>
                <w:rFonts w:hint="default" w:ascii="Times New Roman" w:hAnsi="Times New Roman" w:eastAsia="宋体" w:cs="Times New Roman"/>
                <w:bCs/>
                <w:color w:val="auto"/>
                <w:sz w:val="24"/>
                <w:highlight w:val="none"/>
              </w:rPr>
              <w:t>监测情况</w:t>
            </w:r>
          </w:p>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监测布点：土壤环境质量现状监测共布设3个监测点，</w:t>
            </w:r>
            <w:r>
              <w:rPr>
                <w:rFonts w:hint="default" w:ascii="Times New Roman" w:hAnsi="Times New Roman" w:eastAsia="宋体" w:cs="Times New Roman"/>
                <w:i w:val="0"/>
                <w:iCs w:val="0"/>
                <w:color w:val="auto"/>
                <w:kern w:val="0"/>
                <w:sz w:val="24"/>
                <w:szCs w:val="24"/>
                <w:highlight w:val="none"/>
                <w:lang w:val="en-US" w:eastAsia="zh-CN"/>
              </w:rPr>
              <w:t>矿区</w:t>
            </w:r>
            <w:r>
              <w:rPr>
                <w:rFonts w:hint="default" w:ascii="Times New Roman" w:hAnsi="Times New Roman" w:eastAsia="宋体" w:cs="Times New Roman"/>
                <w:bCs/>
                <w:color w:val="auto"/>
                <w:sz w:val="24"/>
                <w:highlight w:val="none"/>
              </w:rPr>
              <w:t>中部、工业场地南侧矿区、</w:t>
            </w:r>
            <w:r>
              <w:rPr>
                <w:rFonts w:hint="default" w:ascii="Times New Roman" w:hAnsi="Times New Roman" w:eastAsia="宋体" w:cs="Times New Roman"/>
                <w:bCs/>
                <w:color w:val="auto"/>
                <w:sz w:val="24"/>
                <w:highlight w:val="none"/>
                <w:lang w:val="en-US" w:eastAsia="zh-CN"/>
              </w:rPr>
              <w:t>北</w:t>
            </w:r>
            <w:r>
              <w:rPr>
                <w:rFonts w:hint="default" w:ascii="Times New Roman" w:hAnsi="Times New Roman" w:eastAsia="宋体" w:cs="Times New Roman"/>
                <w:bCs/>
                <w:color w:val="auto"/>
                <w:sz w:val="24"/>
                <w:highlight w:val="none"/>
              </w:rPr>
              <w:t>侧</w:t>
            </w:r>
            <w:r>
              <w:rPr>
                <w:rFonts w:hint="default" w:ascii="Times New Roman" w:hAnsi="Times New Roman" w:eastAsia="宋体" w:cs="Times New Roman"/>
                <w:bCs/>
                <w:color w:val="auto"/>
                <w:sz w:val="24"/>
                <w:highlight w:val="none"/>
                <w:lang w:val="en-US" w:eastAsia="zh-CN"/>
              </w:rPr>
              <w:t>矿区</w:t>
            </w:r>
            <w:r>
              <w:rPr>
                <w:rFonts w:hint="default" w:ascii="Times New Roman" w:hAnsi="Times New Roman" w:eastAsia="宋体" w:cs="Times New Roman"/>
                <w:bCs/>
                <w:color w:val="auto"/>
                <w:sz w:val="24"/>
                <w:highlight w:val="none"/>
              </w:rPr>
              <w:t>。</w:t>
            </w:r>
          </w:p>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监测因子：工业场地</w:t>
            </w:r>
            <w:r>
              <w:rPr>
                <w:rFonts w:hint="default" w:ascii="Times New Roman" w:hAnsi="Times New Roman" w:eastAsia="宋体" w:cs="Times New Roman"/>
                <w:bCs/>
                <w:color w:val="auto"/>
                <w:sz w:val="24"/>
                <w:highlight w:val="none"/>
                <w:lang w:val="en-US" w:eastAsia="zh-CN"/>
              </w:rPr>
              <w:t>北</w:t>
            </w:r>
            <w:r>
              <w:rPr>
                <w:rFonts w:hint="default" w:ascii="Times New Roman" w:hAnsi="Times New Roman" w:eastAsia="宋体" w:cs="Times New Roman"/>
                <w:bCs/>
                <w:color w:val="auto"/>
                <w:sz w:val="24"/>
                <w:highlight w:val="none"/>
              </w:rPr>
              <w:t>侧</w:t>
            </w:r>
            <w:r>
              <w:rPr>
                <w:rFonts w:hint="default" w:ascii="Times New Roman" w:hAnsi="Times New Roman" w:eastAsia="宋体" w:cs="Times New Roman"/>
                <w:bCs/>
                <w:color w:val="auto"/>
                <w:sz w:val="24"/>
                <w:highlight w:val="none"/>
                <w:lang w:val="en-US" w:eastAsia="zh-CN"/>
              </w:rPr>
              <w:t>矿区</w:t>
            </w:r>
            <w:r>
              <w:rPr>
                <w:rFonts w:hint="default" w:ascii="Times New Roman" w:hAnsi="Times New Roman" w:eastAsia="宋体" w:cs="Times New Roman"/>
                <w:bCs/>
                <w:color w:val="auto"/>
                <w:sz w:val="24"/>
                <w:highlight w:val="none"/>
              </w:rPr>
              <w:t>检测《土壤环境质量  建设用地土壤污染风险管控标准（试行）》（GB36600-2018）中规定的45项基本项目，工业场地中部，工业场地南侧矿区检测《土壤环境质量  建设用地土壤污染风险管控标准（试行）》（GB36600-2018）中规定的pH值、砷、镉、六价铬、铜、铅、汞、镍。</w:t>
            </w:r>
          </w:p>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（2）监测结果</w:t>
            </w:r>
          </w:p>
          <w:p>
            <w:pPr>
              <w:keepNext w:val="0"/>
              <w:keepLines w:val="0"/>
              <w:suppressLineNumbers w:val="0"/>
              <w:spacing w:before="0" w:beforeAutospacing="0" w:after="0" w:afterAutospacing="0" w:line="440" w:lineRule="exact"/>
              <w:ind w:left="0" w:right="0"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①评价区土壤理化性质调查结果见</w:t>
            </w:r>
            <w:r>
              <w:rPr>
                <w:rFonts w:hint="default" w:ascii="Times New Roman" w:hAnsi="Times New Roman" w:eastAsia="宋体" w:cs="Times New Roman"/>
                <w:color w:val="auto"/>
                <w:sz w:val="24"/>
                <w:highlight w:val="none"/>
                <w:lang w:val="en-US" w:eastAsia="zh-CN"/>
              </w:rPr>
              <w:t>下</w:t>
            </w:r>
            <w:r>
              <w:rPr>
                <w:rFonts w:hint="default" w:ascii="Times New Roman" w:hAnsi="Times New Roman" w:eastAsia="宋体" w:cs="Times New Roman"/>
                <w:color w:val="auto"/>
                <w:sz w:val="24"/>
                <w:highlight w:val="none"/>
              </w:rPr>
              <w:t>表。</w:t>
            </w:r>
          </w:p>
          <w:p>
            <w:pPr>
              <w:keepNext w:val="0"/>
              <w:keepLines w:val="0"/>
              <w:suppressLineNumbers w:val="0"/>
              <w:spacing w:before="0" w:beforeAutospacing="0" w:after="0" w:afterAutospacing="0" w:line="440" w:lineRule="exact"/>
              <w:ind w:left="99" w:leftChars="47" w:right="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表3.</w:t>
            </w:r>
            <w:r>
              <w:rPr>
                <w:rFonts w:hint="default" w:ascii="Times New Roman" w:hAnsi="Times New Roman" w:eastAsia="宋体" w:cs="Times New Roman"/>
                <w:b/>
                <w:bCs/>
                <w:color w:val="auto"/>
                <w:kern w:val="0"/>
                <w:szCs w:val="21"/>
                <w:highlight w:val="none"/>
                <w:lang w:val="en-US" w:eastAsia="zh-CN"/>
              </w:rPr>
              <w:t>5-1</w:t>
            </w:r>
            <w:r>
              <w:rPr>
                <w:rFonts w:hint="default" w:ascii="Times New Roman" w:hAnsi="Times New Roman" w:eastAsia="宋体" w:cs="Times New Roman"/>
                <w:b/>
                <w:bCs/>
                <w:color w:val="auto"/>
                <w:kern w:val="0"/>
                <w:szCs w:val="21"/>
                <w:highlight w:val="none"/>
              </w:rPr>
              <w:t xml:space="preserve">  土壤理化性质调查表</w:t>
            </w:r>
          </w:p>
          <w:tbl>
            <w:tblPr>
              <w:tblStyle w:val="23"/>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549"/>
              <w:gridCol w:w="2036"/>
              <w:gridCol w:w="2181"/>
              <w:gridCol w:w="218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74"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val="0"/>
                      <w:color w:val="auto"/>
                      <w:kern w:val="0"/>
                      <w:szCs w:val="21"/>
                      <w:highlight w:val="none"/>
                    </w:rPr>
                  </w:pPr>
                  <w:r>
                    <w:rPr>
                      <w:rFonts w:hint="default" w:ascii="Times New Roman" w:hAnsi="Times New Roman" w:eastAsia="宋体" w:cs="Times New Roman"/>
                      <w:b/>
                      <w:bCs w:val="0"/>
                      <w:color w:val="auto"/>
                      <w:kern w:val="0"/>
                      <w:szCs w:val="21"/>
                      <w:highlight w:val="none"/>
                    </w:rPr>
                    <w:t>点位</w:t>
                  </w:r>
                </w:p>
              </w:tc>
              <w:tc>
                <w:tcPr>
                  <w:tcW w:w="1280"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val="0"/>
                      <w:color w:val="auto"/>
                      <w:kern w:val="0"/>
                      <w:szCs w:val="21"/>
                      <w:highlight w:val="none"/>
                    </w:rPr>
                  </w:pPr>
                  <w:r>
                    <w:rPr>
                      <w:rFonts w:hint="default" w:ascii="Times New Roman" w:hAnsi="Times New Roman" w:eastAsia="宋体" w:cs="Times New Roman"/>
                      <w:b/>
                      <w:bCs w:val="0"/>
                      <w:color w:val="auto"/>
                      <w:sz w:val="21"/>
                      <w:szCs w:val="21"/>
                      <w:highlight w:val="none"/>
                      <w:lang w:val="en-US" w:eastAsia="zh-CN"/>
                    </w:rPr>
                    <w:t>北</w:t>
                  </w:r>
                  <w:r>
                    <w:rPr>
                      <w:rFonts w:hint="default" w:ascii="Times New Roman" w:hAnsi="Times New Roman" w:eastAsia="宋体" w:cs="Times New Roman"/>
                      <w:b/>
                      <w:bCs w:val="0"/>
                      <w:color w:val="auto"/>
                      <w:sz w:val="21"/>
                      <w:szCs w:val="21"/>
                      <w:highlight w:val="none"/>
                    </w:rPr>
                    <w:t>侧</w:t>
                  </w:r>
                  <w:r>
                    <w:rPr>
                      <w:rFonts w:hint="default" w:ascii="Times New Roman" w:hAnsi="Times New Roman" w:eastAsia="宋体" w:cs="Times New Roman"/>
                      <w:b/>
                      <w:bCs w:val="0"/>
                      <w:color w:val="auto"/>
                      <w:sz w:val="21"/>
                      <w:szCs w:val="21"/>
                      <w:highlight w:val="none"/>
                      <w:lang w:val="en-US" w:eastAsia="zh-CN"/>
                    </w:rPr>
                    <w:t>矿区</w:t>
                  </w:r>
                </w:p>
              </w:tc>
              <w:tc>
                <w:tcPr>
                  <w:tcW w:w="1371"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val="0"/>
                      <w:color w:val="auto"/>
                      <w:kern w:val="0"/>
                      <w:szCs w:val="21"/>
                      <w:highlight w:val="none"/>
                    </w:rPr>
                  </w:pPr>
                  <w:r>
                    <w:rPr>
                      <w:rFonts w:hint="default" w:ascii="Times New Roman" w:hAnsi="Times New Roman" w:eastAsia="宋体" w:cs="Times New Roman"/>
                      <w:b/>
                      <w:bCs w:val="0"/>
                      <w:color w:val="auto"/>
                      <w:sz w:val="21"/>
                      <w:szCs w:val="21"/>
                      <w:highlight w:val="none"/>
                    </w:rPr>
                    <w:t>工业场地中部</w:t>
                  </w:r>
                </w:p>
              </w:tc>
              <w:tc>
                <w:tcPr>
                  <w:tcW w:w="1373"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val="0"/>
                      <w:color w:val="auto"/>
                      <w:kern w:val="0"/>
                      <w:szCs w:val="21"/>
                      <w:highlight w:val="none"/>
                    </w:rPr>
                  </w:pPr>
                  <w:r>
                    <w:rPr>
                      <w:rFonts w:hint="default" w:ascii="Times New Roman" w:hAnsi="Times New Roman" w:eastAsia="宋体" w:cs="Times New Roman"/>
                      <w:b/>
                      <w:bCs w:val="0"/>
                      <w:color w:val="auto"/>
                      <w:sz w:val="21"/>
                      <w:szCs w:val="21"/>
                      <w:highlight w:val="none"/>
                    </w:rPr>
                    <w:t>南侧矿区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74"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经度</w:t>
                  </w:r>
                </w:p>
              </w:tc>
              <w:tc>
                <w:tcPr>
                  <w:tcW w:w="1280"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E103°13′12.64″</w:t>
                  </w:r>
                </w:p>
              </w:tc>
              <w:tc>
                <w:tcPr>
                  <w:tcW w:w="1371"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E103°13′11.79″</w:t>
                  </w:r>
                </w:p>
              </w:tc>
              <w:tc>
                <w:tcPr>
                  <w:tcW w:w="1373"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E103°13′10.68″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74"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纬度</w:t>
                  </w:r>
                </w:p>
              </w:tc>
              <w:tc>
                <w:tcPr>
                  <w:tcW w:w="1280"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N24°58′35.39″</w:t>
                  </w:r>
                </w:p>
              </w:tc>
              <w:tc>
                <w:tcPr>
                  <w:tcW w:w="1371"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N24°58′30.18″</w:t>
                  </w:r>
                </w:p>
              </w:tc>
              <w:tc>
                <w:tcPr>
                  <w:tcW w:w="1373"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N24°58′26.15″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74"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层次</w:t>
                  </w:r>
                </w:p>
              </w:tc>
              <w:tc>
                <w:tcPr>
                  <w:tcW w:w="1280"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表层（0-20cm）</w:t>
                  </w:r>
                </w:p>
              </w:tc>
              <w:tc>
                <w:tcPr>
                  <w:tcW w:w="1371"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表层（0-20cm）</w:t>
                  </w:r>
                </w:p>
              </w:tc>
              <w:tc>
                <w:tcPr>
                  <w:tcW w:w="1373"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表层（0-20cm）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74"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颜色</w:t>
                  </w:r>
                </w:p>
              </w:tc>
              <w:tc>
                <w:tcPr>
                  <w:tcW w:w="1280"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砖红色</w:t>
                  </w:r>
                </w:p>
              </w:tc>
              <w:tc>
                <w:tcPr>
                  <w:tcW w:w="1371"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砖红色</w:t>
                  </w:r>
                </w:p>
              </w:tc>
              <w:tc>
                <w:tcPr>
                  <w:tcW w:w="1373"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砖红色</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74"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结构</w:t>
                  </w:r>
                </w:p>
              </w:tc>
              <w:tc>
                <w:tcPr>
                  <w:tcW w:w="1280"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粒状</w:t>
                  </w:r>
                </w:p>
              </w:tc>
              <w:tc>
                <w:tcPr>
                  <w:tcW w:w="1371"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粒状</w:t>
                  </w:r>
                </w:p>
              </w:tc>
              <w:tc>
                <w:tcPr>
                  <w:tcW w:w="1373"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粒状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74"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质地</w:t>
                  </w:r>
                </w:p>
              </w:tc>
              <w:tc>
                <w:tcPr>
                  <w:tcW w:w="1280"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壤土</w:t>
                  </w:r>
                </w:p>
              </w:tc>
              <w:tc>
                <w:tcPr>
                  <w:tcW w:w="1371"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壤土</w:t>
                  </w:r>
                </w:p>
              </w:tc>
              <w:tc>
                <w:tcPr>
                  <w:tcW w:w="1373"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壤土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74"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砂砾含量</w:t>
                  </w:r>
                </w:p>
              </w:tc>
              <w:tc>
                <w:tcPr>
                  <w:tcW w:w="1280"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少量</w:t>
                  </w:r>
                </w:p>
              </w:tc>
              <w:tc>
                <w:tcPr>
                  <w:tcW w:w="1371"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少量</w:t>
                  </w:r>
                </w:p>
              </w:tc>
              <w:tc>
                <w:tcPr>
                  <w:tcW w:w="1373"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少量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74"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其他异物</w:t>
                  </w:r>
                </w:p>
              </w:tc>
              <w:tc>
                <w:tcPr>
                  <w:tcW w:w="1280"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少量</w:t>
                  </w:r>
                </w:p>
              </w:tc>
              <w:tc>
                <w:tcPr>
                  <w:tcW w:w="1371"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少量</w:t>
                  </w:r>
                </w:p>
              </w:tc>
              <w:tc>
                <w:tcPr>
                  <w:tcW w:w="1373"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少量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74"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pH值（无量纲）</w:t>
                  </w:r>
                </w:p>
              </w:tc>
              <w:tc>
                <w:tcPr>
                  <w:tcW w:w="1280"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6.22</w:t>
                  </w:r>
                </w:p>
              </w:tc>
              <w:tc>
                <w:tcPr>
                  <w:tcW w:w="1371"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6.30</w:t>
                  </w:r>
                </w:p>
              </w:tc>
              <w:tc>
                <w:tcPr>
                  <w:tcW w:w="1373"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6.34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74"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阳离子交换量（cmol/kg）</w:t>
                  </w:r>
                </w:p>
              </w:tc>
              <w:tc>
                <w:tcPr>
                  <w:tcW w:w="1280"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4.6</w:t>
                  </w:r>
                </w:p>
              </w:tc>
              <w:tc>
                <w:tcPr>
                  <w:tcW w:w="1371"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3.9</w:t>
                  </w:r>
                </w:p>
              </w:tc>
              <w:tc>
                <w:tcPr>
                  <w:tcW w:w="1373"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3.6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74"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氧化还原电位（mV）</w:t>
                  </w:r>
                </w:p>
              </w:tc>
              <w:tc>
                <w:tcPr>
                  <w:tcW w:w="1280"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456</w:t>
                  </w:r>
                </w:p>
              </w:tc>
              <w:tc>
                <w:tcPr>
                  <w:tcW w:w="1371"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378</w:t>
                  </w:r>
                </w:p>
              </w:tc>
              <w:tc>
                <w:tcPr>
                  <w:tcW w:w="1373"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412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74"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饱和导水率（mm/min）</w:t>
                  </w:r>
                </w:p>
              </w:tc>
              <w:tc>
                <w:tcPr>
                  <w:tcW w:w="1280"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w:t>
                  </w:r>
                </w:p>
              </w:tc>
              <w:tc>
                <w:tcPr>
                  <w:tcW w:w="1371"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w:t>
                  </w:r>
                </w:p>
              </w:tc>
              <w:tc>
                <w:tcPr>
                  <w:tcW w:w="1373"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74"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土壤容重(kg/cm</w:t>
                  </w:r>
                  <w:r>
                    <w:rPr>
                      <w:rFonts w:hint="default" w:ascii="Times New Roman" w:hAnsi="Times New Roman" w:eastAsia="宋体" w:cs="Times New Roman"/>
                      <w:bCs/>
                      <w:color w:val="auto"/>
                      <w:kern w:val="0"/>
                      <w:szCs w:val="21"/>
                      <w:highlight w:val="none"/>
                      <w:vertAlign w:val="superscript"/>
                    </w:rPr>
                    <w:t>3</w:t>
                  </w:r>
                  <w:r>
                    <w:rPr>
                      <w:rFonts w:hint="default" w:ascii="Times New Roman" w:hAnsi="Times New Roman" w:eastAsia="宋体" w:cs="Times New Roman"/>
                      <w:bCs/>
                      <w:color w:val="auto"/>
                      <w:kern w:val="0"/>
                      <w:szCs w:val="21"/>
                      <w:highlight w:val="none"/>
                    </w:rPr>
                    <w:t>)</w:t>
                  </w:r>
                </w:p>
              </w:tc>
              <w:tc>
                <w:tcPr>
                  <w:tcW w:w="1280"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0.94</w:t>
                  </w:r>
                </w:p>
              </w:tc>
              <w:tc>
                <w:tcPr>
                  <w:tcW w:w="1371"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0.95</w:t>
                  </w:r>
                </w:p>
              </w:tc>
              <w:tc>
                <w:tcPr>
                  <w:tcW w:w="1373"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1.09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974"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孔隙度（%）</w:t>
                  </w:r>
                </w:p>
              </w:tc>
              <w:tc>
                <w:tcPr>
                  <w:tcW w:w="1280"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68.4</w:t>
                  </w:r>
                </w:p>
              </w:tc>
              <w:tc>
                <w:tcPr>
                  <w:tcW w:w="1371"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68.1</w:t>
                  </w:r>
                </w:p>
              </w:tc>
              <w:tc>
                <w:tcPr>
                  <w:tcW w:w="1373"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64.4</w:t>
                  </w:r>
                </w:p>
              </w:tc>
            </w:tr>
          </w:tbl>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②监测结果及评价</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监测结果见</w:t>
            </w:r>
            <w:r>
              <w:rPr>
                <w:rFonts w:hint="default" w:ascii="Times New Roman" w:hAnsi="Times New Roman" w:eastAsia="宋体" w:cs="Times New Roman"/>
                <w:color w:val="auto"/>
                <w:sz w:val="24"/>
                <w:highlight w:val="none"/>
                <w:lang w:val="en-US" w:eastAsia="zh-CN"/>
              </w:rPr>
              <w:t>下</w:t>
            </w:r>
            <w:r>
              <w:rPr>
                <w:rFonts w:hint="default" w:ascii="Times New Roman" w:hAnsi="Times New Roman" w:eastAsia="宋体" w:cs="Times New Roman"/>
                <w:color w:val="auto"/>
                <w:sz w:val="24"/>
                <w:highlight w:val="none"/>
              </w:rPr>
              <w:t>表。</w:t>
            </w:r>
          </w:p>
          <w:p>
            <w:pPr>
              <w:keepNext w:val="0"/>
              <w:keepLines w:val="0"/>
              <w:suppressLineNumbers w:val="0"/>
              <w:spacing w:before="0" w:beforeAutospacing="0" w:after="0" w:afterAutospacing="0" w:line="440" w:lineRule="exact"/>
              <w:ind w:left="99" w:leftChars="47" w:right="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表3.</w:t>
            </w:r>
            <w:r>
              <w:rPr>
                <w:rFonts w:hint="default" w:ascii="Times New Roman" w:hAnsi="Times New Roman" w:eastAsia="宋体" w:cs="Times New Roman"/>
                <w:b/>
                <w:bCs/>
                <w:color w:val="auto"/>
                <w:kern w:val="0"/>
                <w:szCs w:val="21"/>
                <w:highlight w:val="none"/>
                <w:lang w:val="en-US" w:eastAsia="zh-CN"/>
              </w:rPr>
              <w:t>5-2</w:t>
            </w:r>
            <w:r>
              <w:rPr>
                <w:rFonts w:hint="default" w:ascii="Times New Roman" w:hAnsi="Times New Roman" w:eastAsia="宋体" w:cs="Times New Roman"/>
                <w:b/>
                <w:bCs/>
                <w:color w:val="auto"/>
                <w:kern w:val="0"/>
                <w:szCs w:val="21"/>
                <w:highlight w:val="none"/>
              </w:rPr>
              <w:t xml:space="preserve">  土壤检测结果一览表</w:t>
            </w:r>
          </w:p>
          <w:tbl>
            <w:tblPr>
              <w:tblStyle w:val="23"/>
              <w:tblW w:w="4998"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522"/>
              <w:gridCol w:w="1237"/>
              <w:gridCol w:w="1181"/>
              <w:gridCol w:w="1111"/>
              <w:gridCol w:w="1143"/>
              <w:gridCol w:w="75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检测项目</w:t>
                  </w:r>
                </w:p>
              </w:tc>
              <w:tc>
                <w:tcPr>
                  <w:tcW w:w="777" w:type="pct"/>
                  <w:tcBorders>
                    <w:tl2br w:val="nil"/>
                    <w:tr2bl w:val="nil"/>
                  </w:tcBorders>
                  <w:noWrap/>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 w:val="21"/>
                      <w:szCs w:val="21"/>
                      <w:highlight w:val="none"/>
                      <w:lang w:val="en-US" w:eastAsia="zh-CN"/>
                    </w:rPr>
                    <w:t>北</w:t>
                  </w:r>
                  <w:r>
                    <w:rPr>
                      <w:rFonts w:hint="default" w:ascii="Times New Roman" w:hAnsi="Times New Roman" w:eastAsia="宋体" w:cs="Times New Roman"/>
                      <w:b/>
                      <w:bCs/>
                      <w:color w:val="auto"/>
                      <w:sz w:val="21"/>
                      <w:szCs w:val="21"/>
                      <w:highlight w:val="none"/>
                    </w:rPr>
                    <w:t>侧</w:t>
                  </w:r>
                  <w:r>
                    <w:rPr>
                      <w:rFonts w:hint="default" w:ascii="Times New Roman" w:hAnsi="Times New Roman" w:eastAsia="宋体" w:cs="Times New Roman"/>
                      <w:b/>
                      <w:bCs/>
                      <w:color w:val="auto"/>
                      <w:sz w:val="21"/>
                      <w:szCs w:val="21"/>
                      <w:highlight w:val="none"/>
                      <w:lang w:val="en-US" w:eastAsia="zh-CN"/>
                    </w:rPr>
                    <w:t>矿区</w:t>
                  </w:r>
                </w:p>
              </w:tc>
              <w:tc>
                <w:tcPr>
                  <w:tcW w:w="742"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 w:val="21"/>
                      <w:szCs w:val="21"/>
                      <w:highlight w:val="none"/>
                    </w:rPr>
                    <w:t>工业场地中部</w:t>
                  </w:r>
                </w:p>
              </w:tc>
              <w:tc>
                <w:tcPr>
                  <w:tcW w:w="698" w:type="pct"/>
                  <w:tcBorders>
                    <w:tl2br w:val="nil"/>
                    <w:tr2bl w:val="nil"/>
                  </w:tcBorders>
                  <w:noWrap w:val="0"/>
                  <w:vAlign w:val="center"/>
                </w:tcPr>
                <w:p>
                  <w:pPr>
                    <w:keepNext w:val="0"/>
                    <w:keepLines w:val="0"/>
                    <w:pageBreakBefore w:val="0"/>
                    <w:widowControl w:val="0"/>
                    <w:suppressLineNumbers w:val="0"/>
                    <w:tabs>
                      <w:tab w:val="left" w:pos="540"/>
                      <w:tab w:val="left" w:pos="851"/>
                      <w:tab w:val="left" w:pos="994"/>
                      <w:tab w:val="left" w:pos="1260"/>
                      <w:tab w:val="left" w:pos="3108"/>
                      <w:tab w:val="left" w:pos="3150"/>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 w:val="21"/>
                      <w:szCs w:val="21"/>
                      <w:highlight w:val="none"/>
                    </w:rPr>
                    <w:t>南侧矿区</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标准限值（第二类用地筛选值）</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达标情况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砷（mg/kg）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8.14</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29.4</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20.3</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60</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镉（mg/kg）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0.88</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0.19</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0.26</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65</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六价铬（mg/kg）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0.5L</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0.5L</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0.5L</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5.7</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铜（mg/kg）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45</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38</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50</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1800</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铅（mg/kg）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8.2</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19.9</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22.5</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800</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汞（mg/kg）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0.118</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0.0114</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0.0335</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38</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镍（mg/kg）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38</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26</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34</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600</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氯甲烷（µg/kg）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1.0L</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37</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氯乙烯（µg/kg）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1.0L</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0.43</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1,1-二氯乙烯（µg/kg）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1.0L</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66</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二氯甲烷（µg/kg）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1.5L</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616</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反式-1,2-二氯乙烯（µg/kg）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1.4L</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54</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1,1-二氯乙烷（µg/kg）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1.2L</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顺式-1,2-二氯乙烯（µg/kg）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1.3L</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596</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氯仿（µg/kg）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1.1L</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0.9</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1,1,1-三氯乙烷（µg/kg）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1.3L</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840</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四氯化碳（µg/kg）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1.3L</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2.8</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苯（µg/kg）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1.9L</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1,2-二氯乙烷（µg/kg）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1.3L</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三氯乙烯（µg/kg）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1.2L</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2.8</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1,2-二氯丙烷（µg/kg）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1.1L</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甲苯（µg/kg）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3.2</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1200</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1,1,2-三氯乙烷（µg/kg）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1.2L</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2.8</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四氯乙烯（µg/kg）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5.0</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53</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氯苯（µg/kg）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1.2L</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270</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1,1,1,2-四氯乙烷（µg/kg）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1.2L</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乙苯（µg/kg）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1.2L</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28</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间二甲苯+对二甲苯（µg/kg）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1.2L</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570</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邻-二甲苯（µg/kg）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1.2L</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640</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苯乙烯（µg/kg）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1.1L</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1209</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1,1,2,2-四氯乙烷（µg/kg）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1.2L</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6.8</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1,2,3-三氯丙烷（µg/kg）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1.2L</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0.5</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1,4-二氯苯（µg/kg）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1.6</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1,2-二氯苯（µg/kg）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3.8</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560</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苯胺（mg/kg）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0.017L</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260</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2-氯苯酚（mg/kg）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0.06L</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2256</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硝基苯（mg/kg）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0.09L</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76</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萘（mg/kg）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0.09L</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70</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苯并[a]蒽（mg/kg）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0.1L</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15</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䓛（mg/kg）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0.1L</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1293</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苯并[b]荧蒽（mg/kg）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0.2L</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15</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苯并[k]荧蒽（mg/kg）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0.1L</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151</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苯并[a]芘（mg/kg）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0.1L</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1.5</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茚并[1,2,3-cd]芘（mg/kg）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0.1L</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15</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8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二苯并[a,h]蒽（mg/kg）</w:t>
                  </w:r>
                </w:p>
              </w:tc>
              <w:tc>
                <w:tcPr>
                  <w:tcW w:w="777" w:type="pc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0.1L</w:t>
                  </w:r>
                </w:p>
              </w:tc>
              <w:tc>
                <w:tcPr>
                  <w:tcW w:w="74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6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1.5</w:t>
                  </w:r>
                </w:p>
              </w:tc>
              <w:tc>
                <w:tcPr>
                  <w:tcW w:w="47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000" w:type="pct"/>
                  <w:gridSpan w:val="6"/>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备注：1.“检出限+L”表示检测结果低于分析方法检出限。</w:t>
                  </w:r>
                </w:p>
              </w:tc>
            </w:tr>
          </w:tbl>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根据检测结果，</w:t>
            </w:r>
            <w:r>
              <w:rPr>
                <w:rFonts w:hint="default" w:ascii="Times New Roman" w:hAnsi="Times New Roman" w:eastAsia="宋体" w:cs="Times New Roman"/>
                <w:color w:val="auto"/>
                <w:kern w:val="0"/>
                <w:sz w:val="24"/>
                <w:szCs w:val="24"/>
                <w:highlight w:val="none"/>
                <w:lang w:val="en-US" w:eastAsia="zh-CN"/>
              </w:rPr>
              <w:t>项目区域</w:t>
            </w:r>
            <w:r>
              <w:rPr>
                <w:rFonts w:hint="default" w:ascii="Times New Roman" w:hAnsi="Times New Roman" w:eastAsia="宋体" w:cs="Times New Roman"/>
                <w:color w:val="auto"/>
                <w:kern w:val="0"/>
                <w:sz w:val="24"/>
                <w:szCs w:val="24"/>
                <w:highlight w:val="none"/>
              </w:rPr>
              <w:t>3个采样点各项检测指标均低于《土壤环境质量 建设用地土壤污染风险管控标准（试行）》（GB36600-2018）第二类用地风险筛选值。</w:t>
            </w: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highlight w:val="none"/>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highlight w:val="none"/>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highlight w:val="none"/>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highlight w:val="none"/>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highlight w:val="none"/>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highlight w:val="none"/>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highlight w:val="none"/>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highlight w:val="none"/>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highlight w:val="none"/>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highlight w:val="none"/>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highlight w:val="none"/>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环境</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保护</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目标</w:t>
            </w:r>
          </w:p>
        </w:tc>
        <w:tc>
          <w:tcPr>
            <w:tcW w:w="8190" w:type="dxa"/>
            <w:noWrap w:val="0"/>
            <w:vAlign w:val="center"/>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rPr>
              <w:t>6、保护目标</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①建设项目500m范围内的大气环境保护目标为</w:t>
            </w:r>
            <w:r>
              <w:rPr>
                <w:rFonts w:hint="default" w:ascii="Times New Roman" w:hAnsi="Times New Roman" w:eastAsia="宋体" w:cs="Times New Roman"/>
                <w:color w:val="auto"/>
                <w:kern w:val="0"/>
                <w:sz w:val="24"/>
                <w:szCs w:val="24"/>
                <w:highlight w:val="none"/>
                <w:lang w:val="en-US" w:eastAsia="zh-CN"/>
              </w:rPr>
              <w:t>西南侧250米处的上前所、西侧340米处的下前所、东南侧380米处的陆冲</w:t>
            </w:r>
            <w:r>
              <w:rPr>
                <w:rFonts w:hint="default" w:ascii="Times New Roman" w:hAnsi="Times New Roman" w:eastAsia="宋体" w:cs="Times New Roman"/>
                <w:color w:val="auto"/>
                <w:kern w:val="0"/>
                <w:sz w:val="24"/>
                <w:szCs w:val="24"/>
                <w:highlight w:val="none"/>
              </w:rPr>
              <w:t>。</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②建设项目厂界外50m范围无声环境保护目标。</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③建设项目厂界外500m范围内无地下水集中式饮用水水源和热水、矿泉水、温泉等特殊地下水资源；</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④项目在原址</w:t>
            </w:r>
            <w:r>
              <w:rPr>
                <w:rFonts w:hint="default" w:ascii="Times New Roman" w:hAnsi="Times New Roman" w:eastAsia="宋体" w:cs="Times New Roman"/>
                <w:color w:val="auto"/>
                <w:kern w:val="0"/>
                <w:sz w:val="24"/>
                <w:szCs w:val="24"/>
                <w:highlight w:val="none"/>
                <w:lang w:eastAsia="zh-CN"/>
              </w:rPr>
              <w:t>改扩建</w:t>
            </w:r>
            <w:r>
              <w:rPr>
                <w:rFonts w:hint="default" w:ascii="Times New Roman" w:hAnsi="Times New Roman" w:eastAsia="宋体" w:cs="Times New Roman"/>
                <w:color w:val="auto"/>
                <w:kern w:val="0"/>
                <w:sz w:val="24"/>
                <w:szCs w:val="24"/>
                <w:highlight w:val="none"/>
              </w:rPr>
              <w:t>，不新增用地，项目区内无生态环境保护目标。</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⑤项目地表水为项目</w:t>
            </w:r>
            <w:r>
              <w:rPr>
                <w:rFonts w:hint="default" w:ascii="Times New Roman" w:hAnsi="Times New Roman" w:eastAsia="宋体" w:cs="Times New Roman"/>
                <w:color w:val="auto"/>
                <w:kern w:val="0"/>
                <w:sz w:val="24"/>
                <w:szCs w:val="24"/>
                <w:highlight w:val="none"/>
                <w:lang w:val="en-US" w:eastAsia="zh-CN"/>
              </w:rPr>
              <w:t>东北侧11</w:t>
            </w:r>
            <w:r>
              <w:rPr>
                <w:rFonts w:hint="default" w:ascii="Times New Roman" w:hAnsi="Times New Roman" w:eastAsia="宋体" w:cs="Times New Roman"/>
                <w:color w:val="auto"/>
                <w:kern w:val="0"/>
                <w:sz w:val="24"/>
                <w:szCs w:val="24"/>
                <w:highlight w:val="none"/>
              </w:rPr>
              <w:t>00m处的</w:t>
            </w:r>
            <w:r>
              <w:rPr>
                <w:rFonts w:hint="default" w:ascii="Times New Roman" w:hAnsi="Times New Roman" w:eastAsia="宋体" w:cs="Times New Roman"/>
                <w:color w:val="auto"/>
                <w:kern w:val="0"/>
                <w:sz w:val="24"/>
                <w:szCs w:val="24"/>
                <w:highlight w:val="none"/>
                <w:lang w:val="en-US" w:eastAsia="zh-CN"/>
              </w:rPr>
              <w:t>南盘江</w:t>
            </w:r>
            <w:r>
              <w:rPr>
                <w:rFonts w:hint="default" w:ascii="Times New Roman" w:hAnsi="Times New Roman" w:eastAsia="宋体" w:cs="Times New Roman"/>
                <w:color w:val="auto"/>
                <w:kern w:val="0"/>
                <w:sz w:val="24"/>
                <w:szCs w:val="24"/>
                <w:highlight w:val="none"/>
              </w:rPr>
              <w:t>。</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rPr>
              <w:t>项目主要保护目标如下</w:t>
            </w:r>
            <w:r>
              <w:rPr>
                <w:rFonts w:hint="default" w:ascii="Times New Roman" w:hAnsi="Times New Roman" w:eastAsia="宋体" w:cs="Times New Roman"/>
                <w:color w:val="auto"/>
                <w:kern w:val="0"/>
                <w:sz w:val="24"/>
                <w:szCs w:val="24"/>
                <w:highlight w:val="none"/>
                <w:lang w:eastAsia="zh-CN"/>
              </w:rPr>
              <w:t>：</w:t>
            </w:r>
          </w:p>
          <w:p>
            <w:pPr>
              <w:pStyle w:val="70"/>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表3.6-1   环境保护目标</w:t>
            </w:r>
          </w:p>
          <w:tbl>
            <w:tblPr>
              <w:tblStyle w:val="23"/>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457"/>
              <w:gridCol w:w="1459"/>
              <w:gridCol w:w="1367"/>
              <w:gridCol w:w="426"/>
              <w:gridCol w:w="804"/>
              <w:gridCol w:w="1839"/>
              <w:gridCol w:w="428"/>
              <w:gridCol w:w="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54" w:type="pct"/>
                  <w:gridSpan w:val="2"/>
                  <w:vMerge w:val="restart"/>
                  <w:tcBorders>
                    <w:top w:val="single" w:color="auto" w:sz="4" w:space="0"/>
                    <w:left w:val="single" w:color="auto" w:sz="4" w:space="0"/>
                    <w:right w:val="single" w:color="auto" w:sz="4" w:space="0"/>
                  </w:tcBorders>
                  <w:noWrap w:val="0"/>
                  <w:vAlign w:val="center"/>
                </w:tcPr>
                <w:p>
                  <w:pPr>
                    <w:pStyle w:val="70"/>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名称</w:t>
                  </w:r>
                </w:p>
              </w:tc>
              <w:tc>
                <w:tcPr>
                  <w:tcW w:w="1776" w:type="pct"/>
                  <w:gridSpan w:val="2"/>
                  <w:tcBorders>
                    <w:top w:val="single" w:color="auto" w:sz="4" w:space="0"/>
                    <w:left w:val="single" w:color="auto" w:sz="4" w:space="0"/>
                    <w:bottom w:val="single" w:color="auto" w:sz="4" w:space="0"/>
                    <w:right w:val="single" w:color="auto" w:sz="4" w:space="0"/>
                  </w:tcBorders>
                  <w:noWrap w:val="0"/>
                  <w:vAlign w:val="center"/>
                </w:tcPr>
                <w:p>
                  <w:pPr>
                    <w:pStyle w:val="70"/>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坐标</w:t>
                  </w:r>
                </w:p>
              </w:tc>
              <w:tc>
                <w:tcPr>
                  <w:tcW w:w="268" w:type="pct"/>
                  <w:vMerge w:val="restart"/>
                  <w:tcBorders>
                    <w:top w:val="single" w:color="auto" w:sz="4" w:space="0"/>
                    <w:left w:val="single" w:color="auto" w:sz="4" w:space="0"/>
                    <w:right w:val="single" w:color="auto" w:sz="4" w:space="0"/>
                  </w:tcBorders>
                  <w:noWrap w:val="0"/>
                  <w:vAlign w:val="center"/>
                </w:tcPr>
                <w:p>
                  <w:pPr>
                    <w:pStyle w:val="70"/>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保护对象</w:t>
                  </w:r>
                </w:p>
              </w:tc>
              <w:tc>
                <w:tcPr>
                  <w:tcW w:w="505" w:type="pct"/>
                  <w:vMerge w:val="restart"/>
                  <w:tcBorders>
                    <w:top w:val="single" w:color="auto" w:sz="4" w:space="0"/>
                    <w:left w:val="single" w:color="auto" w:sz="4" w:space="0"/>
                    <w:right w:val="single" w:color="auto" w:sz="4" w:space="0"/>
                  </w:tcBorders>
                  <w:noWrap w:val="0"/>
                  <w:vAlign w:val="center"/>
                </w:tcPr>
                <w:p>
                  <w:pPr>
                    <w:pStyle w:val="70"/>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保护内容</w:t>
                  </w:r>
                </w:p>
              </w:tc>
              <w:tc>
                <w:tcPr>
                  <w:tcW w:w="1156" w:type="pct"/>
                  <w:vMerge w:val="restart"/>
                  <w:tcBorders>
                    <w:top w:val="single" w:color="auto" w:sz="4" w:space="0"/>
                    <w:left w:val="single" w:color="auto" w:sz="4" w:space="0"/>
                    <w:right w:val="single" w:color="auto" w:sz="4" w:space="0"/>
                  </w:tcBorders>
                  <w:noWrap w:val="0"/>
                  <w:vAlign w:val="center"/>
                </w:tcPr>
                <w:p>
                  <w:pPr>
                    <w:pStyle w:val="70"/>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环境功能区</w:t>
                  </w:r>
                </w:p>
              </w:tc>
              <w:tc>
                <w:tcPr>
                  <w:tcW w:w="269" w:type="pct"/>
                  <w:vMerge w:val="restart"/>
                  <w:tcBorders>
                    <w:top w:val="single" w:color="auto" w:sz="4" w:space="0"/>
                    <w:left w:val="single" w:color="auto" w:sz="4" w:space="0"/>
                    <w:right w:val="single" w:color="auto" w:sz="4" w:space="0"/>
                  </w:tcBorders>
                  <w:noWrap w:val="0"/>
                  <w:vAlign w:val="center"/>
                </w:tcPr>
                <w:p>
                  <w:pPr>
                    <w:pStyle w:val="70"/>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相对厂址方位</w:t>
                  </w:r>
                </w:p>
              </w:tc>
              <w:tc>
                <w:tcPr>
                  <w:tcW w:w="470" w:type="pct"/>
                  <w:vMerge w:val="restart"/>
                  <w:tcBorders>
                    <w:top w:val="single" w:color="auto" w:sz="4" w:space="0"/>
                    <w:left w:val="single" w:color="auto" w:sz="4" w:space="0"/>
                    <w:right w:val="single" w:color="auto" w:sz="4" w:space="0"/>
                  </w:tcBorders>
                  <w:noWrap w:val="0"/>
                  <w:vAlign w:val="center"/>
                </w:tcPr>
                <w:p>
                  <w:pPr>
                    <w:pStyle w:val="70"/>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相对厂界距离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554" w:type="pct"/>
                  <w:gridSpan w:val="2"/>
                  <w:vMerge w:val="continue"/>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p>
              </w:tc>
              <w:tc>
                <w:tcPr>
                  <w:tcW w:w="9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东经</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北纬</w:t>
                  </w:r>
                </w:p>
              </w:tc>
              <w:tc>
                <w:tcPr>
                  <w:tcW w:w="268" w:type="pct"/>
                  <w:vMerge w:val="continue"/>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05" w:type="pct"/>
                  <w:vMerge w:val="continue"/>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56" w:type="pct"/>
                  <w:vMerge w:val="continue"/>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69" w:type="pct"/>
                  <w:vMerge w:val="continue"/>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70" w:type="pct"/>
                  <w:vMerge w:val="continue"/>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267" w:type="pct"/>
                  <w:vMerge w:val="restart"/>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大气环境保护目标</w:t>
                  </w:r>
                </w:p>
              </w:tc>
              <w:tc>
                <w:tcPr>
                  <w:tcW w:w="28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上前所</w:t>
                  </w:r>
                </w:p>
              </w:tc>
              <w:tc>
                <w:tcPr>
                  <w:tcW w:w="9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103.21776880</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24.97241150</w:t>
                  </w:r>
                </w:p>
              </w:tc>
              <w:tc>
                <w:tcPr>
                  <w:tcW w:w="2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居民</w:t>
                  </w:r>
                </w:p>
              </w:tc>
              <w:tc>
                <w:tcPr>
                  <w:tcW w:w="5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540</w:t>
                  </w:r>
                  <w:r>
                    <w:rPr>
                      <w:rFonts w:hint="default" w:ascii="Times New Roman" w:hAnsi="Times New Roman" w:eastAsia="宋体" w:cs="Times New Roman"/>
                      <w:bCs/>
                      <w:color w:val="auto"/>
                      <w:sz w:val="21"/>
                      <w:szCs w:val="21"/>
                      <w:highlight w:val="none"/>
                    </w:rPr>
                    <w:t>人</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180</w:t>
                  </w:r>
                  <w:r>
                    <w:rPr>
                      <w:rFonts w:hint="default" w:ascii="Times New Roman" w:hAnsi="Times New Roman" w:eastAsia="宋体" w:cs="Times New Roman"/>
                      <w:color w:val="auto"/>
                      <w:sz w:val="21"/>
                      <w:szCs w:val="21"/>
                      <w:highlight w:val="none"/>
                    </w:rPr>
                    <w:t>户）</w:t>
                  </w:r>
                </w:p>
              </w:tc>
              <w:tc>
                <w:tcPr>
                  <w:tcW w:w="1156" w:type="pct"/>
                  <w:vMerge w:val="restart"/>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《环境空气质量标准》（GB3095-2026）二级标准</w:t>
                  </w:r>
                </w:p>
              </w:tc>
              <w:tc>
                <w:tcPr>
                  <w:tcW w:w="2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西南侧</w:t>
                  </w:r>
                </w:p>
              </w:tc>
              <w:tc>
                <w:tcPr>
                  <w:tcW w:w="4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lang w:val="en-US" w:eastAsia="zh-CN"/>
                    </w:rPr>
                    <w:t>250</w:t>
                  </w:r>
                  <w:r>
                    <w:rPr>
                      <w:rFonts w:hint="default" w:ascii="Times New Roman" w:hAnsi="Times New Roman" w:eastAsia="宋体" w:cs="Times New Roman"/>
                      <w:color w:val="auto"/>
                      <w:sz w:val="21"/>
                      <w:szCs w:val="21"/>
                      <w:highlight w:val="non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267" w:type="pct"/>
                  <w:vMerge w:val="continue"/>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p>
              </w:tc>
              <w:tc>
                <w:tcPr>
                  <w:tcW w:w="28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下前所</w:t>
                  </w:r>
                </w:p>
              </w:tc>
              <w:tc>
                <w:tcPr>
                  <w:tcW w:w="9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103.21726495</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24.97509668</w:t>
                  </w:r>
                </w:p>
              </w:tc>
              <w:tc>
                <w:tcPr>
                  <w:tcW w:w="2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居民</w:t>
                  </w:r>
                </w:p>
              </w:tc>
              <w:tc>
                <w:tcPr>
                  <w:tcW w:w="5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690</w:t>
                  </w:r>
                  <w:r>
                    <w:rPr>
                      <w:rFonts w:hint="default" w:ascii="Times New Roman" w:hAnsi="Times New Roman" w:eastAsia="宋体" w:cs="Times New Roman"/>
                      <w:bCs/>
                      <w:color w:val="auto"/>
                      <w:sz w:val="21"/>
                      <w:szCs w:val="21"/>
                      <w:highlight w:val="none"/>
                    </w:rPr>
                    <w:t>人</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230</w:t>
                  </w:r>
                  <w:r>
                    <w:rPr>
                      <w:rFonts w:hint="default" w:ascii="Times New Roman" w:hAnsi="Times New Roman" w:eastAsia="宋体" w:cs="Times New Roman"/>
                      <w:color w:val="auto"/>
                      <w:sz w:val="21"/>
                      <w:szCs w:val="21"/>
                      <w:highlight w:val="none"/>
                    </w:rPr>
                    <w:t>户）</w:t>
                  </w:r>
                </w:p>
              </w:tc>
              <w:tc>
                <w:tcPr>
                  <w:tcW w:w="1156" w:type="pct"/>
                  <w:vMerge w:val="continue"/>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p>
              </w:tc>
              <w:tc>
                <w:tcPr>
                  <w:tcW w:w="2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西侧</w:t>
                  </w:r>
                </w:p>
              </w:tc>
              <w:tc>
                <w:tcPr>
                  <w:tcW w:w="4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lang w:val="en-US" w:eastAsia="zh-CN"/>
                    </w:rPr>
                    <w:t>340</w:t>
                  </w:r>
                  <w:r>
                    <w:rPr>
                      <w:rFonts w:hint="default" w:ascii="Times New Roman" w:hAnsi="Times New Roman" w:eastAsia="宋体" w:cs="Times New Roman"/>
                      <w:color w:val="auto"/>
                      <w:sz w:val="21"/>
                      <w:szCs w:val="21"/>
                      <w:highlight w:val="non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267" w:type="pct"/>
                  <w:vMerge w:val="continue"/>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p>
              </w:tc>
              <w:tc>
                <w:tcPr>
                  <w:tcW w:w="28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陆冲</w:t>
                  </w:r>
                </w:p>
              </w:tc>
              <w:tc>
                <w:tcPr>
                  <w:tcW w:w="9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103.22550026</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24.97051621</w:t>
                  </w:r>
                </w:p>
              </w:tc>
              <w:tc>
                <w:tcPr>
                  <w:tcW w:w="2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居民</w:t>
                  </w:r>
                </w:p>
              </w:tc>
              <w:tc>
                <w:tcPr>
                  <w:tcW w:w="5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180</w:t>
                  </w:r>
                  <w:r>
                    <w:rPr>
                      <w:rFonts w:hint="default" w:ascii="Times New Roman" w:hAnsi="Times New Roman" w:eastAsia="宋体" w:cs="Times New Roman"/>
                      <w:bCs/>
                      <w:color w:val="auto"/>
                      <w:sz w:val="21"/>
                      <w:szCs w:val="21"/>
                      <w:highlight w:val="none"/>
                    </w:rPr>
                    <w:t>人</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60</w:t>
                  </w:r>
                  <w:r>
                    <w:rPr>
                      <w:rFonts w:hint="default" w:ascii="Times New Roman" w:hAnsi="Times New Roman" w:eastAsia="宋体" w:cs="Times New Roman"/>
                      <w:color w:val="auto"/>
                      <w:sz w:val="21"/>
                      <w:szCs w:val="21"/>
                      <w:highlight w:val="none"/>
                    </w:rPr>
                    <w:t>户）</w:t>
                  </w:r>
                </w:p>
              </w:tc>
              <w:tc>
                <w:tcPr>
                  <w:tcW w:w="1156" w:type="pct"/>
                  <w:vMerge w:val="continue"/>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p>
              </w:tc>
              <w:tc>
                <w:tcPr>
                  <w:tcW w:w="2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东南侧</w:t>
                  </w:r>
                </w:p>
              </w:tc>
              <w:tc>
                <w:tcPr>
                  <w:tcW w:w="4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380</w:t>
                  </w:r>
                  <w:r>
                    <w:rPr>
                      <w:rFonts w:hint="default" w:ascii="Times New Roman" w:hAnsi="Times New Roman" w:eastAsia="宋体" w:cs="Times New Roman"/>
                      <w:color w:val="auto"/>
                      <w:sz w:val="21"/>
                      <w:szCs w:val="21"/>
                      <w:highlight w:val="non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2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地表水保护目标</w:t>
                  </w:r>
                </w:p>
              </w:tc>
              <w:tc>
                <w:tcPr>
                  <w:tcW w:w="28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南盘江</w:t>
                  </w:r>
                </w:p>
              </w:tc>
              <w:tc>
                <w:tcPr>
                  <w:tcW w:w="9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103.22893288</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24.98502494</w:t>
                  </w:r>
                </w:p>
              </w:tc>
              <w:tc>
                <w:tcPr>
                  <w:tcW w:w="2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地表水</w:t>
                  </w:r>
                </w:p>
              </w:tc>
              <w:tc>
                <w:tcPr>
                  <w:tcW w:w="5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1156" w:type="pct"/>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《地表水环境质量标准》（GB3838-2002）中Ⅲ类标准</w:t>
                  </w:r>
                </w:p>
              </w:tc>
              <w:tc>
                <w:tcPr>
                  <w:tcW w:w="2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东北</w:t>
                  </w:r>
                  <w:r>
                    <w:rPr>
                      <w:rFonts w:hint="default" w:ascii="Times New Roman" w:hAnsi="Times New Roman" w:eastAsia="宋体" w:cs="Times New Roman"/>
                      <w:bCs/>
                      <w:color w:val="auto"/>
                      <w:sz w:val="21"/>
                      <w:szCs w:val="21"/>
                      <w:highlight w:val="none"/>
                    </w:rPr>
                    <w:t>侧</w:t>
                  </w:r>
                </w:p>
              </w:tc>
              <w:tc>
                <w:tcPr>
                  <w:tcW w:w="4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w:t>
                  </w: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eastAsia="宋体" w:cs="Times New Roman"/>
                      <w:bCs/>
                      <w:color w:val="auto"/>
                      <w:sz w:val="21"/>
                      <w:szCs w:val="21"/>
                      <w:highlight w:val="none"/>
                    </w:rPr>
                    <w:t>km</w:t>
                  </w:r>
                </w:p>
              </w:tc>
            </w:tr>
          </w:tbl>
          <w:p>
            <w:pPr>
              <w:pStyle w:val="16"/>
              <w:keepNext w:val="0"/>
              <w:keepLines w:val="0"/>
              <w:suppressLineNumbers w:val="0"/>
              <w:spacing w:before="0" w:beforeAutospacing="0" w:after="0" w:afterAutospacing="0"/>
              <w:ind w:left="0" w:right="0" w:firstLine="0"/>
              <w:rPr>
                <w:rFonts w:hint="default" w:ascii="Times New Roman" w:hAnsi="Times New Roman" w:eastAsia="宋体" w:cs="Times New Roman"/>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72" w:hRule="atLeast"/>
          <w:jc w:val="center"/>
        </w:trPr>
        <w:tc>
          <w:tcPr>
            <w:tcW w:w="800" w:type="dxa"/>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污染</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物排</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放控</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制标</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准</w:t>
            </w:r>
          </w:p>
        </w:tc>
        <w:tc>
          <w:tcPr>
            <w:tcW w:w="8190" w:type="dxa"/>
            <w:noWrap w:val="0"/>
            <w:vAlign w:val="center"/>
          </w:tcPr>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7、废气</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7.1施工期</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sz w:val="24"/>
                <w:szCs w:val="24"/>
                <w:highlight w:val="none"/>
              </w:rPr>
              <w:t>施工期扬尘执行《大气污染物综合排放标准》（GB16297-1996）表2中二级标准，标准值见下表。</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表3</w:t>
            </w:r>
            <w:r>
              <w:rPr>
                <w:rFonts w:hint="default" w:ascii="Times New Roman" w:hAnsi="Times New Roman" w:eastAsia="宋体" w:cs="Times New Roman"/>
                <w:b/>
                <w:bCs/>
                <w:color w:val="auto"/>
                <w:szCs w:val="21"/>
                <w:highlight w:val="none"/>
                <w:lang w:val="en-US" w:eastAsia="zh-CN"/>
              </w:rPr>
              <w:t>.7-1</w:t>
            </w:r>
            <w:r>
              <w:rPr>
                <w:rFonts w:hint="default" w:ascii="Times New Roman" w:hAnsi="Times New Roman" w:eastAsia="宋体" w:cs="Times New Roman"/>
                <w:b/>
                <w:bCs/>
                <w:color w:val="auto"/>
                <w:szCs w:val="21"/>
                <w:highlight w:val="none"/>
              </w:rPr>
              <w:t xml:space="preserve">  施工期大气污染物排放限值</w:t>
            </w:r>
          </w:p>
          <w:tbl>
            <w:tblPr>
              <w:tblStyle w:val="23"/>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00"/>
              <w:gridCol w:w="3912"/>
              <w:gridCol w:w="25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23" w:hRule="atLeast"/>
                <w:jc w:val="center"/>
              </w:trPr>
              <w:tc>
                <w:tcPr>
                  <w:tcW w:w="150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6459" w:type="dxa"/>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无组织排放监控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6" w:hRule="atLeast"/>
                <w:jc w:val="center"/>
              </w:trPr>
              <w:tc>
                <w:tcPr>
                  <w:tcW w:w="1500"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391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监控点</w:t>
                  </w:r>
                </w:p>
              </w:tc>
              <w:tc>
                <w:tcPr>
                  <w:tcW w:w="254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浓度（mg/m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7" w:hRule="atLeast"/>
                <w:jc w:val="center"/>
              </w:trPr>
              <w:tc>
                <w:tcPr>
                  <w:tcW w:w="1500" w:type="dxa"/>
                  <w:vMerge w:val="continue"/>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p>
              </w:tc>
              <w:tc>
                <w:tcPr>
                  <w:tcW w:w="391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周界外浓度最高点</w:t>
                  </w:r>
                </w:p>
              </w:tc>
              <w:tc>
                <w:tcPr>
                  <w:tcW w:w="254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r>
          </w:tbl>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7.2</w:t>
            </w:r>
            <w:r>
              <w:rPr>
                <w:rFonts w:hint="default" w:ascii="Times New Roman" w:hAnsi="Times New Roman" w:eastAsia="宋体" w:cs="Times New Roman"/>
                <w:b/>
                <w:bCs/>
                <w:color w:val="auto"/>
                <w:sz w:val="24"/>
                <w:szCs w:val="24"/>
                <w:highlight w:val="none"/>
              </w:rPr>
              <w:t>运营期</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7.2.1</w:t>
            </w:r>
            <w:r>
              <w:rPr>
                <w:rFonts w:hint="default" w:ascii="Times New Roman" w:hAnsi="Times New Roman" w:eastAsia="宋体" w:cs="Times New Roman"/>
                <w:b/>
                <w:bCs/>
                <w:color w:val="auto"/>
                <w:sz w:val="24"/>
                <w:szCs w:val="24"/>
                <w:highlight w:val="none"/>
              </w:rPr>
              <w:t>隧道焙烧窑焙烧废气</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Cs/>
                <w:snapToGrid w:val="0"/>
                <w:color w:val="auto"/>
                <w:sz w:val="24"/>
                <w:szCs w:val="24"/>
                <w:highlight w:val="none"/>
              </w:rPr>
              <w:t>项目运营</w:t>
            </w:r>
            <w:r>
              <w:rPr>
                <w:rFonts w:hint="default" w:ascii="Times New Roman" w:hAnsi="Times New Roman" w:eastAsia="宋体" w:cs="Times New Roman"/>
                <w:color w:val="auto"/>
                <w:sz w:val="24"/>
                <w:szCs w:val="24"/>
                <w:highlight w:val="none"/>
                <w:lang w:val="en-US" w:eastAsia="zh-CN"/>
              </w:rPr>
              <w:t>期隧道焙烧窑废气颗粒物、二氧化硫、氮氧化物、氟化物及破碎筛分粉尘执行《砖瓦工业大气污</w:t>
            </w:r>
            <w:r>
              <w:rPr>
                <w:rFonts w:hint="default" w:ascii="Times New Roman" w:hAnsi="Times New Roman" w:eastAsia="宋体" w:cs="Times New Roman"/>
                <w:color w:val="auto"/>
                <w:sz w:val="24"/>
                <w:szCs w:val="24"/>
                <w:highlight w:val="none"/>
              </w:rPr>
              <w:t>染物排放标准》（GB29620-2013）中新建企业大气污染物排放限值</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厂界无组织</w:t>
            </w:r>
            <w:r>
              <w:rPr>
                <w:rFonts w:hint="default" w:ascii="Times New Roman" w:hAnsi="Times New Roman" w:eastAsia="宋体" w:cs="Times New Roman"/>
                <w:color w:val="auto"/>
                <w:sz w:val="24"/>
                <w:szCs w:val="24"/>
                <w:highlight w:val="none"/>
                <w:lang w:val="en-US" w:eastAsia="zh-CN"/>
              </w:rPr>
              <w:t>颗粒物、二氧化硫、氟化物</w:t>
            </w:r>
            <w:r>
              <w:rPr>
                <w:rFonts w:hint="default" w:ascii="Times New Roman" w:hAnsi="Times New Roman" w:eastAsia="宋体" w:cs="Times New Roman"/>
                <w:color w:val="auto"/>
                <w:sz w:val="24"/>
                <w:szCs w:val="24"/>
                <w:highlight w:val="none"/>
              </w:rPr>
              <w:t>执行《砖瓦工业大气污染物排放标准》（GB29620-2013）中企业边界大气污染物浓度限值</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厂界</w:t>
            </w:r>
            <w:r>
              <w:rPr>
                <w:rFonts w:hint="default" w:ascii="Times New Roman" w:hAnsi="Times New Roman" w:eastAsia="宋体" w:cs="Times New Roman"/>
                <w:color w:val="auto"/>
                <w:sz w:val="24"/>
                <w:szCs w:val="24"/>
                <w:highlight w:val="none"/>
              </w:rPr>
              <w:t>无组织</w:t>
            </w:r>
            <w:r>
              <w:rPr>
                <w:rFonts w:hint="default" w:ascii="Times New Roman" w:hAnsi="Times New Roman" w:eastAsia="宋体" w:cs="Times New Roman"/>
                <w:bCs/>
                <w:color w:val="auto"/>
                <w:sz w:val="24"/>
                <w:szCs w:val="24"/>
                <w:highlight w:val="none"/>
              </w:rPr>
              <w:t>恶臭</w:t>
            </w:r>
            <w:r>
              <w:rPr>
                <w:rFonts w:hint="default" w:ascii="Times New Roman" w:hAnsi="Times New Roman" w:eastAsia="宋体" w:cs="Times New Roman"/>
                <w:color w:val="auto"/>
                <w:sz w:val="24"/>
                <w:szCs w:val="24"/>
                <w:highlight w:val="none"/>
              </w:rPr>
              <w:t>执行《恶臭污染物排放标准》（GB14554-93）中表1恶臭污染物厂界标准限值。项目周边200m范围内最高建筑为</w:t>
            </w:r>
            <w:r>
              <w:rPr>
                <w:rFonts w:hint="default" w:ascii="Times New Roman" w:hAnsi="Times New Roman" w:eastAsia="宋体" w:cs="Times New Roman"/>
                <w:color w:val="auto"/>
                <w:sz w:val="24"/>
                <w:szCs w:val="24"/>
                <w:highlight w:val="none"/>
                <w:lang w:val="en-US" w:eastAsia="zh-CN"/>
              </w:rPr>
              <w:t>项目生产厂房，</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设置的</w:t>
            </w:r>
            <w:r>
              <w:rPr>
                <w:rFonts w:hint="default" w:ascii="Times New Roman" w:hAnsi="Times New Roman" w:eastAsia="宋体" w:cs="Times New Roman"/>
                <w:color w:val="auto"/>
                <w:sz w:val="24"/>
                <w:szCs w:val="24"/>
                <w:highlight w:val="none"/>
              </w:rPr>
              <w:t>排气筒高度为</w:t>
            </w:r>
            <w:r>
              <w:rPr>
                <w:rFonts w:hint="default"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rPr>
              <w:t>m，排气筒符合要求。标准如下</w:t>
            </w:r>
            <w:r>
              <w:rPr>
                <w:rFonts w:hint="default" w:ascii="Times New Roman" w:hAnsi="Times New Roman" w:eastAsia="宋体" w:cs="Times New Roman"/>
                <w:color w:val="auto"/>
                <w:sz w:val="24"/>
                <w:szCs w:val="24"/>
                <w:highlight w:val="none"/>
                <w:lang w:eastAsia="zh-CN"/>
              </w:rPr>
              <w:t>：</w:t>
            </w:r>
          </w:p>
          <w:p>
            <w:pPr>
              <w:pStyle w:val="70"/>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表3.7-</w:t>
            </w:r>
            <w:r>
              <w:rPr>
                <w:rFonts w:hint="default" w:ascii="Times New Roman" w:hAnsi="Times New Roman" w:eastAsia="宋体" w:cs="Times New Roman"/>
                <w:color w:val="auto"/>
                <w:sz w:val="21"/>
                <w:highlight w:val="none"/>
                <w:lang w:val="en-US" w:eastAsia="zh-CN"/>
              </w:rPr>
              <w:t>2</w:t>
            </w:r>
            <w:r>
              <w:rPr>
                <w:rFonts w:hint="default" w:ascii="Times New Roman" w:hAnsi="Times New Roman" w:eastAsia="宋体" w:cs="Times New Roman"/>
                <w:color w:val="auto"/>
                <w:sz w:val="21"/>
                <w:highlight w:val="none"/>
              </w:rPr>
              <w:t xml:space="preserve">   砖瓦工业大气污染物排放标准限值</w:t>
            </w:r>
          </w:p>
          <w:tbl>
            <w:tblPr>
              <w:tblStyle w:val="23"/>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396"/>
              <w:gridCol w:w="932"/>
              <w:gridCol w:w="961"/>
              <w:gridCol w:w="1962"/>
              <w:gridCol w:w="1469"/>
              <w:gridCol w:w="124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8" w:hRule="atLeast"/>
                <w:jc w:val="center"/>
              </w:trPr>
              <w:tc>
                <w:tcPr>
                  <w:tcW w:w="876" w:type="pct"/>
                  <w:vMerge w:val="restart"/>
                  <w:noWrap w:val="0"/>
                  <w:vAlign w:val="center"/>
                </w:tcPr>
                <w:p>
                  <w:pPr>
                    <w:pStyle w:val="64"/>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生产过程</w:t>
                  </w:r>
                </w:p>
              </w:tc>
              <w:tc>
                <w:tcPr>
                  <w:tcW w:w="3341" w:type="pct"/>
                  <w:gridSpan w:val="4"/>
                  <w:noWrap w:val="0"/>
                  <w:vAlign w:val="center"/>
                </w:tcPr>
                <w:p>
                  <w:pPr>
                    <w:pStyle w:val="64"/>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最高允许排放浓度</w:t>
                  </w:r>
                  <w:r>
                    <w:rPr>
                      <w:rFonts w:hint="default" w:ascii="Times New Roman" w:hAnsi="Times New Roman" w:eastAsia="宋体" w:cs="Times New Roman"/>
                      <w:b/>
                      <w:bCs/>
                      <w:snapToGrid w:val="0"/>
                      <w:color w:val="auto"/>
                      <w:sz w:val="21"/>
                      <w:szCs w:val="21"/>
                      <w:highlight w:val="none"/>
                    </w:rPr>
                    <w:t>（mg/m</w:t>
                  </w:r>
                  <w:r>
                    <w:rPr>
                      <w:rFonts w:hint="default" w:ascii="Times New Roman" w:hAnsi="Times New Roman" w:eastAsia="宋体" w:cs="Times New Roman"/>
                      <w:b/>
                      <w:bCs/>
                      <w:snapToGrid w:val="0"/>
                      <w:color w:val="auto"/>
                      <w:sz w:val="21"/>
                      <w:szCs w:val="21"/>
                      <w:highlight w:val="none"/>
                      <w:vertAlign w:val="superscript"/>
                    </w:rPr>
                    <w:t>3</w:t>
                  </w:r>
                  <w:r>
                    <w:rPr>
                      <w:rFonts w:hint="default" w:ascii="Times New Roman" w:hAnsi="Times New Roman" w:eastAsia="宋体" w:cs="Times New Roman"/>
                      <w:b/>
                      <w:bCs/>
                      <w:snapToGrid w:val="0"/>
                      <w:color w:val="auto"/>
                      <w:sz w:val="21"/>
                      <w:szCs w:val="21"/>
                      <w:highlight w:val="none"/>
                    </w:rPr>
                    <w:t>）</w:t>
                  </w:r>
                </w:p>
              </w:tc>
              <w:tc>
                <w:tcPr>
                  <w:tcW w:w="783" w:type="pct"/>
                  <w:vMerge w:val="restart"/>
                  <w:noWrap w:val="0"/>
                  <w:vAlign w:val="center"/>
                </w:tcPr>
                <w:p>
                  <w:pPr>
                    <w:pStyle w:val="64"/>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污染物排放监控位置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76" w:type="pct"/>
                  <w:vMerge w:val="continue"/>
                  <w:noWrap w:val="0"/>
                  <w:vAlign w:val="center"/>
                </w:tcPr>
                <w:p>
                  <w:pPr>
                    <w:pStyle w:val="64"/>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highlight w:val="none"/>
                    </w:rPr>
                  </w:pPr>
                </w:p>
              </w:tc>
              <w:tc>
                <w:tcPr>
                  <w:tcW w:w="585" w:type="pct"/>
                  <w:noWrap w:val="0"/>
                  <w:vAlign w:val="center"/>
                </w:tcPr>
                <w:p>
                  <w:pPr>
                    <w:pStyle w:val="64"/>
                    <w:keepNext w:val="0"/>
                    <w:keepLines w:val="0"/>
                    <w:suppressLineNumbers w:val="0"/>
                    <w:spacing w:before="0" w:beforeAutospacing="0" w:after="0" w:afterAutospacing="0"/>
                    <w:ind w:left="-105" w:leftChars="-50" w:right="-105" w:rightChars="-5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颗粒物</w:t>
                  </w:r>
                </w:p>
              </w:tc>
              <w:tc>
                <w:tcPr>
                  <w:tcW w:w="603" w:type="pct"/>
                  <w:noWrap w:val="0"/>
                  <w:vAlign w:val="center"/>
                </w:tcPr>
                <w:p>
                  <w:pPr>
                    <w:pStyle w:val="64"/>
                    <w:keepNext w:val="0"/>
                    <w:keepLines w:val="0"/>
                    <w:suppressLineNumbers w:val="0"/>
                    <w:spacing w:before="0" w:beforeAutospacing="0" w:after="0" w:afterAutospacing="0"/>
                    <w:ind w:left="-105" w:leftChars="-50" w:right="-105" w:rightChars="-5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二氧化硫</w:t>
                  </w:r>
                </w:p>
              </w:tc>
              <w:tc>
                <w:tcPr>
                  <w:tcW w:w="1231" w:type="pct"/>
                  <w:noWrap w:val="0"/>
                  <w:vAlign w:val="center"/>
                </w:tcPr>
                <w:p>
                  <w:pPr>
                    <w:pStyle w:val="64"/>
                    <w:keepNext w:val="0"/>
                    <w:keepLines w:val="0"/>
                    <w:suppressLineNumbers w:val="0"/>
                    <w:spacing w:before="0" w:beforeAutospacing="0" w:after="0" w:afterAutospacing="0"/>
                    <w:ind w:left="-105" w:leftChars="-50" w:right="-105" w:rightChars="-5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氮氧化物（以NO</w:t>
                  </w:r>
                  <w:r>
                    <w:rPr>
                      <w:rFonts w:hint="default" w:ascii="Times New Roman" w:hAnsi="Times New Roman" w:eastAsia="宋体" w:cs="Times New Roman"/>
                      <w:b/>
                      <w:bCs/>
                      <w:color w:val="auto"/>
                      <w:sz w:val="21"/>
                      <w:szCs w:val="21"/>
                      <w:highlight w:val="none"/>
                      <w:vertAlign w:val="subscript"/>
                    </w:rPr>
                    <w:t>2</w:t>
                  </w:r>
                  <w:r>
                    <w:rPr>
                      <w:rFonts w:hint="default" w:ascii="Times New Roman" w:hAnsi="Times New Roman" w:eastAsia="宋体" w:cs="Times New Roman"/>
                      <w:b/>
                      <w:bCs/>
                      <w:color w:val="auto"/>
                      <w:sz w:val="21"/>
                      <w:szCs w:val="21"/>
                      <w:highlight w:val="none"/>
                    </w:rPr>
                    <w:t>计）</w:t>
                  </w:r>
                </w:p>
              </w:tc>
              <w:tc>
                <w:tcPr>
                  <w:tcW w:w="921" w:type="pct"/>
                  <w:noWrap w:val="0"/>
                  <w:vAlign w:val="top"/>
                </w:tcPr>
                <w:p>
                  <w:pPr>
                    <w:pStyle w:val="64"/>
                    <w:keepNext w:val="0"/>
                    <w:keepLines w:val="0"/>
                    <w:suppressLineNumbers w:val="0"/>
                    <w:spacing w:before="0" w:beforeAutospacing="0" w:after="0" w:afterAutospacing="0"/>
                    <w:ind w:left="-105" w:leftChars="-50" w:right="-105" w:rightChars="-5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氟化物（以F计）</w:t>
                  </w:r>
                </w:p>
              </w:tc>
              <w:tc>
                <w:tcPr>
                  <w:tcW w:w="783" w:type="pct"/>
                  <w:vMerge w:val="continue"/>
                  <w:noWrap w:val="0"/>
                  <w:vAlign w:val="center"/>
                </w:tcPr>
                <w:p>
                  <w:pPr>
                    <w:pStyle w:val="64"/>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76" w:type="pct"/>
                  <w:noWrap w:val="0"/>
                  <w:vAlign w:val="center"/>
                </w:tcPr>
                <w:p>
                  <w:pPr>
                    <w:pStyle w:val="64"/>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原料破碎及制备成型</w:t>
                  </w:r>
                </w:p>
              </w:tc>
              <w:tc>
                <w:tcPr>
                  <w:tcW w:w="585" w:type="pct"/>
                  <w:noWrap w:val="0"/>
                  <w:vAlign w:val="center"/>
                </w:tcPr>
                <w:p>
                  <w:pPr>
                    <w:pStyle w:val="64"/>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w:t>
                  </w:r>
                </w:p>
              </w:tc>
              <w:tc>
                <w:tcPr>
                  <w:tcW w:w="603" w:type="pct"/>
                  <w:noWrap w:val="0"/>
                  <w:vAlign w:val="center"/>
                </w:tcPr>
                <w:p>
                  <w:pPr>
                    <w:pStyle w:val="64"/>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231" w:type="pct"/>
                  <w:noWrap w:val="0"/>
                  <w:vAlign w:val="center"/>
                </w:tcPr>
                <w:p>
                  <w:pPr>
                    <w:pStyle w:val="64"/>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921" w:type="pct"/>
                  <w:noWrap w:val="0"/>
                  <w:vAlign w:val="center"/>
                </w:tcPr>
                <w:p>
                  <w:pPr>
                    <w:pStyle w:val="64"/>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83" w:type="pct"/>
                  <w:vMerge w:val="restart"/>
                  <w:noWrap w:val="0"/>
                  <w:vAlign w:val="center"/>
                </w:tcPr>
                <w:p>
                  <w:pPr>
                    <w:pStyle w:val="64"/>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车间或生产设施排气筒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9" w:hRule="atLeast"/>
                <w:jc w:val="center"/>
              </w:trPr>
              <w:tc>
                <w:tcPr>
                  <w:tcW w:w="876" w:type="pct"/>
                  <w:noWrap w:val="0"/>
                  <w:vAlign w:val="center"/>
                </w:tcPr>
                <w:p>
                  <w:pPr>
                    <w:pStyle w:val="64"/>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干燥及焙烧</w:t>
                  </w:r>
                </w:p>
              </w:tc>
              <w:tc>
                <w:tcPr>
                  <w:tcW w:w="585" w:type="pct"/>
                  <w:noWrap w:val="0"/>
                  <w:vAlign w:val="center"/>
                </w:tcPr>
                <w:p>
                  <w:pPr>
                    <w:pStyle w:val="64"/>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w:t>
                  </w:r>
                </w:p>
              </w:tc>
              <w:tc>
                <w:tcPr>
                  <w:tcW w:w="603" w:type="pct"/>
                  <w:noWrap w:val="0"/>
                  <w:vAlign w:val="center"/>
                </w:tcPr>
                <w:p>
                  <w:pPr>
                    <w:pStyle w:val="64"/>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w:t>
                  </w:r>
                </w:p>
              </w:tc>
              <w:tc>
                <w:tcPr>
                  <w:tcW w:w="1231" w:type="pct"/>
                  <w:noWrap w:val="0"/>
                  <w:vAlign w:val="center"/>
                </w:tcPr>
                <w:p>
                  <w:pPr>
                    <w:pStyle w:val="64"/>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w:t>
                  </w:r>
                </w:p>
              </w:tc>
              <w:tc>
                <w:tcPr>
                  <w:tcW w:w="921" w:type="pct"/>
                  <w:noWrap w:val="0"/>
                  <w:vAlign w:val="center"/>
                </w:tcPr>
                <w:p>
                  <w:pPr>
                    <w:pStyle w:val="64"/>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783" w:type="pct"/>
                  <w:vMerge w:val="continue"/>
                  <w:noWrap w:val="0"/>
                  <w:vAlign w:val="center"/>
                </w:tcPr>
                <w:p>
                  <w:pPr>
                    <w:pStyle w:val="64"/>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r>
          </w:tbl>
          <w:p>
            <w:pPr>
              <w:pStyle w:val="6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p>
            <w:pPr>
              <w:pStyle w:val="6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表3.7-</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 xml:space="preserve">   砖瓦工业厂界大气污染物浓度限制</w:t>
            </w:r>
          </w:p>
          <w:tbl>
            <w:tblPr>
              <w:tblStyle w:val="23"/>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482"/>
              <w:gridCol w:w="2926"/>
              <w:gridCol w:w="256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4" w:hRule="atLeast"/>
                <w:jc w:val="center"/>
              </w:trPr>
              <w:tc>
                <w:tcPr>
                  <w:tcW w:w="1557" w:type="pct"/>
                  <w:noWrap w:val="0"/>
                  <w:vAlign w:val="center"/>
                </w:tcPr>
                <w:p>
                  <w:pPr>
                    <w:pStyle w:val="64"/>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污染物项目</w:t>
                  </w:r>
                </w:p>
              </w:tc>
              <w:tc>
                <w:tcPr>
                  <w:tcW w:w="1836" w:type="pct"/>
                  <w:noWrap w:val="0"/>
                  <w:vAlign w:val="center"/>
                </w:tcPr>
                <w:p>
                  <w:pPr>
                    <w:pStyle w:val="64"/>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无组织浓度限值</w:t>
                  </w:r>
                  <w:r>
                    <w:rPr>
                      <w:rFonts w:hint="default" w:ascii="Times New Roman" w:hAnsi="Times New Roman" w:eastAsia="宋体" w:cs="Times New Roman"/>
                      <w:b/>
                      <w:bCs/>
                      <w:snapToGrid w:val="0"/>
                      <w:color w:val="auto"/>
                      <w:sz w:val="21"/>
                      <w:szCs w:val="21"/>
                      <w:highlight w:val="none"/>
                    </w:rPr>
                    <w:t>（mg/m</w:t>
                  </w:r>
                  <w:r>
                    <w:rPr>
                      <w:rFonts w:hint="default" w:ascii="Times New Roman" w:hAnsi="Times New Roman" w:eastAsia="宋体" w:cs="Times New Roman"/>
                      <w:b/>
                      <w:bCs/>
                      <w:snapToGrid w:val="0"/>
                      <w:color w:val="auto"/>
                      <w:sz w:val="21"/>
                      <w:szCs w:val="21"/>
                      <w:highlight w:val="none"/>
                      <w:vertAlign w:val="superscript"/>
                    </w:rPr>
                    <w:t>3</w:t>
                  </w:r>
                  <w:r>
                    <w:rPr>
                      <w:rFonts w:hint="default" w:ascii="Times New Roman" w:hAnsi="Times New Roman" w:eastAsia="宋体" w:cs="Times New Roman"/>
                      <w:b/>
                      <w:bCs/>
                      <w:snapToGrid w:val="0"/>
                      <w:color w:val="auto"/>
                      <w:sz w:val="21"/>
                      <w:szCs w:val="21"/>
                      <w:highlight w:val="none"/>
                    </w:rPr>
                    <w:t>）</w:t>
                  </w:r>
                </w:p>
              </w:tc>
              <w:tc>
                <w:tcPr>
                  <w:tcW w:w="1607" w:type="pct"/>
                  <w:noWrap w:val="0"/>
                  <w:vAlign w:val="center"/>
                </w:tcPr>
                <w:p>
                  <w:pPr>
                    <w:pStyle w:val="64"/>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污染物排放监控位置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6" w:hRule="atLeast"/>
                <w:jc w:val="center"/>
              </w:trPr>
              <w:tc>
                <w:tcPr>
                  <w:tcW w:w="1557" w:type="pct"/>
                  <w:noWrap w:val="0"/>
                  <w:vAlign w:val="center"/>
                </w:tcPr>
                <w:p>
                  <w:pPr>
                    <w:pStyle w:val="64"/>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总悬浮颗粒物</w:t>
                  </w:r>
                </w:p>
              </w:tc>
              <w:tc>
                <w:tcPr>
                  <w:tcW w:w="1836" w:type="pct"/>
                  <w:noWrap w:val="0"/>
                  <w:vAlign w:val="center"/>
                </w:tcPr>
                <w:p>
                  <w:pPr>
                    <w:pStyle w:val="64"/>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1607" w:type="pct"/>
                  <w:vMerge w:val="restart"/>
                  <w:noWrap w:val="0"/>
                  <w:vAlign w:val="center"/>
                </w:tcPr>
                <w:p>
                  <w:pPr>
                    <w:pStyle w:val="64"/>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企业厂界</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5" w:hRule="atLeast"/>
                <w:jc w:val="center"/>
              </w:trPr>
              <w:tc>
                <w:tcPr>
                  <w:tcW w:w="1557" w:type="pct"/>
                  <w:noWrap w:val="0"/>
                  <w:vAlign w:val="center"/>
                </w:tcPr>
                <w:p>
                  <w:pPr>
                    <w:pStyle w:val="64"/>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二氧化硫</w:t>
                  </w:r>
                </w:p>
              </w:tc>
              <w:tc>
                <w:tcPr>
                  <w:tcW w:w="1836" w:type="pct"/>
                  <w:noWrap w:val="0"/>
                  <w:vAlign w:val="center"/>
                </w:tcPr>
                <w:p>
                  <w:pPr>
                    <w:pStyle w:val="64"/>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1607" w:type="pct"/>
                  <w:vMerge w:val="continue"/>
                  <w:noWrap w:val="0"/>
                  <w:vAlign w:val="center"/>
                </w:tcPr>
                <w:p>
                  <w:pPr>
                    <w:pStyle w:val="64"/>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9" w:hRule="atLeast"/>
                <w:jc w:val="center"/>
              </w:trPr>
              <w:tc>
                <w:tcPr>
                  <w:tcW w:w="1557" w:type="pct"/>
                  <w:noWrap w:val="0"/>
                  <w:vAlign w:val="center"/>
                </w:tcPr>
                <w:p>
                  <w:pPr>
                    <w:pStyle w:val="64"/>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氟化物</w:t>
                  </w:r>
                </w:p>
              </w:tc>
              <w:tc>
                <w:tcPr>
                  <w:tcW w:w="1836" w:type="pct"/>
                  <w:noWrap w:val="0"/>
                  <w:vAlign w:val="center"/>
                </w:tcPr>
                <w:p>
                  <w:pPr>
                    <w:pStyle w:val="64"/>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w:t>
                  </w:r>
                </w:p>
              </w:tc>
              <w:tc>
                <w:tcPr>
                  <w:tcW w:w="1607" w:type="pct"/>
                  <w:vMerge w:val="continue"/>
                  <w:noWrap w:val="0"/>
                  <w:vAlign w:val="center"/>
                </w:tcPr>
                <w:p>
                  <w:pPr>
                    <w:pStyle w:val="64"/>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r>
          </w:tbl>
          <w:p>
            <w:pPr>
              <w:keepNext w:val="0"/>
              <w:keepLines w:val="0"/>
              <w:widowControl/>
              <w:suppressLineNumbers w:val="0"/>
              <w:autoSpaceDE w:val="0"/>
              <w:spacing w:before="0" w:beforeAutospacing="0" w:after="0" w:afterAutospacing="0" w:line="440" w:lineRule="exact"/>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表3.7-</w:t>
            </w:r>
            <w:r>
              <w:rPr>
                <w:rFonts w:hint="default" w:ascii="Times New Roman" w:hAnsi="Times New Roman" w:eastAsia="宋体" w:cs="Times New Roman"/>
                <w:b/>
                <w:color w:val="auto"/>
                <w:szCs w:val="21"/>
                <w:highlight w:val="none"/>
                <w:lang w:val="en-US" w:eastAsia="zh-CN"/>
              </w:rPr>
              <w:t>4</w:t>
            </w:r>
            <w:r>
              <w:rPr>
                <w:rFonts w:hint="default" w:ascii="Times New Roman" w:hAnsi="Times New Roman" w:eastAsia="宋体" w:cs="Times New Roman"/>
                <w:b/>
                <w:color w:val="auto"/>
                <w:szCs w:val="21"/>
                <w:highlight w:val="none"/>
              </w:rPr>
              <w:t xml:space="preserve">   无组织</w:t>
            </w:r>
            <w:r>
              <w:rPr>
                <w:rFonts w:hint="default" w:ascii="Times New Roman" w:hAnsi="Times New Roman" w:eastAsia="宋体" w:cs="Times New Roman"/>
                <w:b/>
                <w:color w:val="auto"/>
                <w:kern w:val="0"/>
                <w:szCs w:val="21"/>
                <w:highlight w:val="none"/>
                <w:lang w:val="en-US" w:eastAsia="zh-CN"/>
              </w:rPr>
              <w:t>恶臭</w:t>
            </w:r>
            <w:r>
              <w:rPr>
                <w:rFonts w:hint="default" w:ascii="Times New Roman" w:hAnsi="Times New Roman" w:eastAsia="宋体" w:cs="Times New Roman"/>
                <w:b/>
                <w:color w:val="auto"/>
                <w:kern w:val="0"/>
                <w:szCs w:val="21"/>
                <w:highlight w:val="none"/>
              </w:rPr>
              <w:t>排放标准   单位：mg/m</w:t>
            </w:r>
            <w:r>
              <w:rPr>
                <w:rFonts w:hint="default" w:ascii="Times New Roman" w:hAnsi="Times New Roman" w:eastAsia="宋体" w:cs="Times New Roman"/>
                <w:b/>
                <w:color w:val="auto"/>
                <w:kern w:val="0"/>
                <w:szCs w:val="21"/>
                <w:highlight w:val="none"/>
                <w:vertAlign w:val="superscript"/>
              </w:rPr>
              <w:t>3</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8"/>
              <w:gridCol w:w="2956"/>
              <w:gridCol w:w="3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185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iCs/>
                      <w:color w:val="auto"/>
                      <w:kern w:val="0"/>
                      <w:sz w:val="21"/>
                      <w:szCs w:val="21"/>
                      <w:highlight w:val="none"/>
                    </w:rPr>
                    <w:t>排放监控浓度限值</w:t>
                  </w:r>
                  <w:r>
                    <w:rPr>
                      <w:rFonts w:hint="default" w:ascii="Times New Roman" w:hAnsi="Times New Roman" w:eastAsia="宋体" w:cs="Times New Roman"/>
                      <w:b/>
                      <w:bCs/>
                      <w:color w:val="auto"/>
                      <w:kern w:val="0"/>
                      <w:sz w:val="21"/>
                      <w:szCs w:val="21"/>
                      <w:highlight w:val="none"/>
                    </w:rPr>
                    <w:t>（mg/m</w:t>
                  </w:r>
                  <w:r>
                    <w:rPr>
                      <w:rFonts w:hint="default" w:ascii="Times New Roman" w:hAnsi="Times New Roman" w:eastAsia="宋体" w:cs="Times New Roman"/>
                      <w:b/>
                      <w:bCs/>
                      <w:color w:val="auto"/>
                      <w:kern w:val="0"/>
                      <w:sz w:val="21"/>
                      <w:szCs w:val="21"/>
                      <w:highlight w:val="none"/>
                      <w:vertAlign w:val="superscript"/>
                    </w:rPr>
                    <w:t>3</w:t>
                  </w:r>
                  <w:r>
                    <w:rPr>
                      <w:rFonts w:hint="default" w:ascii="Times New Roman" w:hAnsi="Times New Roman" w:eastAsia="宋体" w:cs="Times New Roman"/>
                      <w:b/>
                      <w:bCs/>
                      <w:color w:val="auto"/>
                      <w:kern w:val="0"/>
                      <w:sz w:val="21"/>
                      <w:szCs w:val="21"/>
                      <w:highlight w:val="none"/>
                    </w:rPr>
                    <w:t>）</w:t>
                  </w:r>
                </w:p>
              </w:tc>
              <w:tc>
                <w:tcPr>
                  <w:tcW w:w="23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氨</w:t>
                  </w:r>
                </w:p>
              </w:tc>
              <w:tc>
                <w:tcPr>
                  <w:tcW w:w="1856"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1.5</w:t>
                  </w:r>
                </w:p>
              </w:tc>
              <w:tc>
                <w:tcPr>
                  <w:tcW w:w="2384"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硫化氢</w:t>
                  </w:r>
                </w:p>
              </w:tc>
              <w:tc>
                <w:tcPr>
                  <w:tcW w:w="1856"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0.06</w:t>
                  </w:r>
                </w:p>
              </w:tc>
              <w:tc>
                <w:tcPr>
                  <w:tcW w:w="2384" w:type="pct"/>
                  <w:vMerge w:val="continue"/>
                  <w:noWrap w:val="0"/>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臭气浓度</w:t>
                  </w:r>
                </w:p>
              </w:tc>
              <w:tc>
                <w:tcPr>
                  <w:tcW w:w="1856"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20（无量纲）</w:t>
                  </w:r>
                </w:p>
              </w:tc>
              <w:tc>
                <w:tcPr>
                  <w:tcW w:w="2384" w:type="pct"/>
                  <w:vMerge w:val="continue"/>
                  <w:noWrap w:val="0"/>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color w:val="auto"/>
                      <w:sz w:val="21"/>
                      <w:szCs w:val="21"/>
                      <w:highlight w:val="none"/>
                    </w:rPr>
                  </w:pPr>
                </w:p>
              </w:tc>
            </w:tr>
          </w:tbl>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7.2</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油烟废气</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项目厨房设置有1个标准灶台，运营期餐饮废气执行《饮食业油烟排放标准》（试行）（GB18483-2001）标准中的小型标准，其最高允许排放浓度和油烟净化设施最低去除效率如下。</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表3.7-</w:t>
            </w:r>
            <w:r>
              <w:rPr>
                <w:rFonts w:hint="default" w:ascii="Times New Roman" w:hAnsi="Times New Roman" w:eastAsia="宋体" w:cs="Times New Roman"/>
                <w:b/>
                <w:bCs/>
                <w:color w:val="auto"/>
                <w:szCs w:val="21"/>
                <w:highlight w:val="none"/>
                <w:lang w:val="en-US" w:eastAsia="zh-CN"/>
              </w:rPr>
              <w:t>5</w:t>
            </w:r>
            <w:r>
              <w:rPr>
                <w:rFonts w:hint="default" w:ascii="Times New Roman" w:hAnsi="Times New Roman" w:eastAsia="宋体" w:cs="Times New Roman"/>
                <w:b/>
                <w:bCs/>
                <w:color w:val="auto"/>
                <w:szCs w:val="21"/>
                <w:highlight w:val="none"/>
              </w:rPr>
              <w:t xml:space="preserve">   饮食业单位的油烟最高允许排放浓度和油烟净化设施最低去除效率</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1"/>
              <w:gridCol w:w="2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324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规模</w:t>
                  </w:r>
                </w:p>
              </w:tc>
              <w:tc>
                <w:tcPr>
                  <w:tcW w:w="1760" w:type="pct"/>
                  <w:noWrap w:val="0"/>
                  <w:vAlign w:val="center"/>
                </w:tcPr>
                <w:p>
                  <w:pPr>
                    <w:pStyle w:val="61"/>
                    <w:keepNext w:val="0"/>
                    <w:keepLines w:val="0"/>
                    <w:suppressLineNumbers w:val="0"/>
                    <w:tabs>
                      <w:tab w:val="left" w:pos="1389"/>
                    </w:tabs>
                    <w:spacing w:before="24" w:beforeAutospacing="0" w:after="24" w:afterAutospacing="0" w:line="240" w:lineRule="auto"/>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小型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4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基准灶头数</w:t>
                  </w:r>
                </w:p>
              </w:tc>
              <w:tc>
                <w:tcPr>
                  <w:tcW w:w="176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324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对应灶头总功率10</w:t>
                  </w:r>
                  <w:r>
                    <w:rPr>
                      <w:rFonts w:hint="default" w:ascii="Times New Roman" w:hAnsi="Times New Roman" w:eastAsia="宋体" w:cs="Times New Roman"/>
                      <w:color w:val="auto"/>
                      <w:sz w:val="21"/>
                      <w:szCs w:val="21"/>
                      <w:highlight w:val="none"/>
                      <w:vertAlign w:val="superscript"/>
                    </w:rPr>
                    <w:t>8</w:t>
                  </w:r>
                  <w:r>
                    <w:rPr>
                      <w:rFonts w:hint="default" w:ascii="Times New Roman" w:hAnsi="Times New Roman" w:eastAsia="宋体" w:cs="Times New Roman"/>
                      <w:color w:val="auto"/>
                      <w:sz w:val="21"/>
                      <w:szCs w:val="21"/>
                      <w:highlight w:val="none"/>
                    </w:rPr>
                    <w:t>J/h</w:t>
                  </w:r>
                </w:p>
              </w:tc>
              <w:tc>
                <w:tcPr>
                  <w:tcW w:w="176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324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对应排气罩灶面总投影面积(㎡)</w:t>
                  </w:r>
                </w:p>
              </w:tc>
              <w:tc>
                <w:tcPr>
                  <w:tcW w:w="176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324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最高允许排放浓度(mg/m³)</w:t>
                  </w:r>
                </w:p>
              </w:tc>
              <w:tc>
                <w:tcPr>
                  <w:tcW w:w="1760" w:type="pct"/>
                  <w:noWrap w:val="0"/>
                  <w:vAlign w:val="center"/>
                </w:tcPr>
                <w:p>
                  <w:pPr>
                    <w:pStyle w:val="61"/>
                    <w:keepNext w:val="0"/>
                    <w:keepLines w:val="0"/>
                    <w:suppressLineNumbers w:val="0"/>
                    <w:tabs>
                      <w:tab w:val="left" w:pos="1389"/>
                    </w:tabs>
                    <w:spacing w:before="24" w:beforeAutospacing="0" w:after="24"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324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净化设施最低去除率(％)</w:t>
                  </w:r>
                </w:p>
              </w:tc>
              <w:tc>
                <w:tcPr>
                  <w:tcW w:w="1760" w:type="pct"/>
                  <w:noWrap w:val="0"/>
                  <w:vAlign w:val="center"/>
                </w:tcPr>
                <w:p>
                  <w:pPr>
                    <w:pStyle w:val="61"/>
                    <w:keepNext w:val="0"/>
                    <w:keepLines w:val="0"/>
                    <w:suppressLineNumbers w:val="0"/>
                    <w:tabs>
                      <w:tab w:val="left" w:pos="1389"/>
                    </w:tabs>
                    <w:spacing w:before="24" w:beforeAutospacing="0" w:after="24"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5000" w:type="pct"/>
                  <w:gridSpan w:val="2"/>
                  <w:noWrap w:val="0"/>
                  <w:vAlign w:val="center"/>
                </w:tcPr>
                <w:p>
                  <w:pPr>
                    <w:pStyle w:val="61"/>
                    <w:keepNext w:val="0"/>
                    <w:keepLines w:val="0"/>
                    <w:suppressLineNumbers w:val="0"/>
                    <w:tabs>
                      <w:tab w:val="left" w:pos="1389"/>
                    </w:tabs>
                    <w:spacing w:before="24" w:beforeAutospacing="0" w:after="24"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依据：《饮食业油烟排放标准（试行）》（GB18483-2001）小型标准</w:t>
                  </w:r>
                </w:p>
              </w:tc>
            </w:tr>
          </w:tbl>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8、废水</w:t>
            </w:r>
          </w:p>
          <w:p>
            <w:pPr>
              <w:pStyle w:val="7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rPr>
              <w:t>项目生产过程中废水主要是</w:t>
            </w:r>
            <w:r>
              <w:rPr>
                <w:rFonts w:hint="default" w:ascii="Times New Roman" w:hAnsi="Times New Roman" w:eastAsia="宋体" w:cs="Times New Roman"/>
                <w:color w:val="auto"/>
                <w:sz w:val="24"/>
                <w:szCs w:val="24"/>
                <w:highlight w:val="none"/>
                <w:lang w:val="en-US" w:eastAsia="zh-CN"/>
              </w:rPr>
              <w:t>吸收液</w:t>
            </w:r>
            <w:r>
              <w:rPr>
                <w:rFonts w:hint="default" w:ascii="Times New Roman" w:hAnsi="Times New Roman" w:eastAsia="宋体" w:cs="Times New Roman"/>
                <w:color w:val="auto"/>
                <w:kern w:val="2"/>
                <w:sz w:val="24"/>
                <w:szCs w:val="24"/>
                <w:highlight w:val="none"/>
              </w:rPr>
              <w:t>、生活污水；</w:t>
            </w:r>
            <w:r>
              <w:rPr>
                <w:rFonts w:hint="default" w:ascii="Times New Roman" w:hAnsi="Times New Roman" w:eastAsia="宋体" w:cs="Times New Roman"/>
                <w:color w:val="auto"/>
                <w:sz w:val="24"/>
                <w:szCs w:val="24"/>
                <w:highlight w:val="none"/>
                <w:lang w:val="en-US" w:eastAsia="zh-CN"/>
              </w:rPr>
              <w:t>吸收液</w:t>
            </w:r>
            <w:r>
              <w:rPr>
                <w:rFonts w:hint="default" w:ascii="Times New Roman" w:hAnsi="Times New Roman" w:eastAsia="宋体" w:cs="Times New Roman"/>
                <w:color w:val="auto"/>
                <w:kern w:val="2"/>
                <w:sz w:val="24"/>
                <w:szCs w:val="24"/>
                <w:highlight w:val="none"/>
              </w:rPr>
              <w:t>经过循环池循环使用，不外排；</w:t>
            </w:r>
            <w:r>
              <w:rPr>
                <w:rFonts w:hint="default" w:ascii="Times New Roman" w:hAnsi="Times New Roman" w:eastAsia="宋体" w:cs="Times New Roman"/>
                <w:color w:val="auto"/>
                <w:kern w:val="2"/>
                <w:sz w:val="24"/>
                <w:szCs w:val="24"/>
                <w:highlight w:val="none"/>
                <w:lang w:val="en-US" w:eastAsia="zh-CN"/>
              </w:rPr>
              <w:t>食堂污水通过油水分离器处理后与其他生活污水共同进入化粪池处理，再排入集水池回用于生产，项目废水均不外排，因此不设置排放标准。</w:t>
            </w:r>
          </w:p>
          <w:p>
            <w:pPr>
              <w:pStyle w:val="73"/>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color w:val="auto"/>
                <w:kern w:val="2"/>
                <w:sz w:val="24"/>
                <w:szCs w:val="24"/>
                <w:highlight w:val="none"/>
              </w:rPr>
              <w:t>9、噪声</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9.1施工期</w:t>
            </w:r>
          </w:p>
          <w:p>
            <w:pPr>
              <w:pStyle w:val="7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2"/>
                <w:sz w:val="24"/>
                <w:szCs w:val="24"/>
                <w:highlight w:val="none"/>
              </w:rPr>
            </w:pPr>
            <w:bookmarkStart w:id="5" w:name="_Hlk131068421"/>
            <w:r>
              <w:rPr>
                <w:rFonts w:hint="default" w:ascii="Times New Roman" w:hAnsi="Times New Roman" w:eastAsia="宋体" w:cs="Times New Roman"/>
                <w:color w:val="auto"/>
                <w:kern w:val="2"/>
                <w:sz w:val="24"/>
                <w:szCs w:val="24"/>
                <w:highlight w:val="none"/>
              </w:rPr>
              <w:t>施工期噪声执行《建筑施工噪声排放标准》（GB12523-20</w:t>
            </w:r>
            <w:r>
              <w:rPr>
                <w:rFonts w:hint="default" w:ascii="Times New Roman" w:hAnsi="Times New Roman" w:eastAsia="宋体" w:cs="Times New Roman"/>
                <w:color w:val="auto"/>
                <w:kern w:val="2"/>
                <w:sz w:val="24"/>
                <w:szCs w:val="24"/>
                <w:highlight w:val="none"/>
                <w:lang w:val="en-US" w:eastAsia="zh-CN"/>
              </w:rPr>
              <w:t>25</w:t>
            </w:r>
            <w:r>
              <w:rPr>
                <w:rFonts w:hint="default" w:ascii="Times New Roman" w:hAnsi="Times New Roman" w:eastAsia="宋体" w:cs="Times New Roman"/>
                <w:color w:val="auto"/>
                <w:kern w:val="2"/>
                <w:sz w:val="24"/>
                <w:szCs w:val="24"/>
                <w:highlight w:val="none"/>
              </w:rPr>
              <w:t>）</w:t>
            </w:r>
            <w:bookmarkEnd w:id="5"/>
            <w:r>
              <w:rPr>
                <w:rFonts w:hint="default" w:ascii="Times New Roman" w:hAnsi="Times New Roman" w:eastAsia="宋体" w:cs="Times New Roman"/>
                <w:color w:val="auto"/>
                <w:kern w:val="2"/>
                <w:sz w:val="24"/>
                <w:szCs w:val="24"/>
                <w:highlight w:val="none"/>
              </w:rPr>
              <w:t>，标准值如下。</w:t>
            </w:r>
          </w:p>
          <w:p>
            <w:pPr>
              <w:keepNext w:val="0"/>
              <w:keepLines w:val="0"/>
              <w:suppressLineNumbers w:val="0"/>
              <w:adjustRightInd w:val="0"/>
              <w:snapToGrid w:val="0"/>
              <w:spacing w:before="0" w:beforeAutospacing="0" w:after="0" w:afterAutospacing="0"/>
              <w:ind w:left="0" w:right="0" w:firstLine="422" w:firstLineChars="20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表3.9-1  建筑施工场界环境噪声排放标准</w:t>
            </w:r>
          </w:p>
          <w:tbl>
            <w:tblPr>
              <w:tblStyle w:val="23"/>
              <w:tblW w:w="5000" w:type="pct"/>
              <w:tblInd w:w="5"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Layout w:type="fixed"/>
              <w:tblCellMar>
                <w:top w:w="0" w:type="dxa"/>
                <w:left w:w="108" w:type="dxa"/>
                <w:bottom w:w="0" w:type="dxa"/>
                <w:right w:w="108" w:type="dxa"/>
              </w:tblCellMar>
            </w:tblPr>
            <w:tblGrid>
              <w:gridCol w:w="2650"/>
              <w:gridCol w:w="2651"/>
              <w:gridCol w:w="265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0" w:type="dxa"/>
                  <w:left w:w="108" w:type="dxa"/>
                  <w:bottom w:w="0" w:type="dxa"/>
                  <w:right w:w="108" w:type="dxa"/>
                </w:tblCellMar>
              </w:tblPrEx>
              <w:trPr>
                <w:trHeight w:val="405" w:hRule="atLeast"/>
              </w:trPr>
              <w:tc>
                <w:tcPr>
                  <w:tcW w:w="1666" w:type="pct"/>
                  <w:shd w:val="clear" w:color="auto" w:fill="FFFFFF"/>
                  <w:noWrap w:val="0"/>
                  <w:vAlign w:val="center"/>
                </w:tcPr>
                <w:p>
                  <w:pPr>
                    <w:keepNext w:val="0"/>
                    <w:keepLines w:val="0"/>
                    <w:suppressLineNumbers w:val="0"/>
                    <w:tabs>
                      <w:tab w:val="left" w:pos="217"/>
                    </w:tabs>
                    <w:autoSpaceDE w:val="0"/>
                    <w:autoSpaceDN w:val="0"/>
                    <w:adjustRightIn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lang w:val="zh-CN"/>
                    </w:rPr>
                  </w:pPr>
                  <w:r>
                    <w:rPr>
                      <w:rFonts w:hint="default" w:ascii="Times New Roman" w:hAnsi="Times New Roman" w:eastAsia="宋体" w:cs="Times New Roman"/>
                      <w:b/>
                      <w:bCs/>
                      <w:color w:val="auto"/>
                      <w:kern w:val="0"/>
                      <w:sz w:val="21"/>
                      <w:szCs w:val="21"/>
                      <w:highlight w:val="none"/>
                      <w:lang w:val="zh-CN"/>
                    </w:rPr>
                    <w:t>时段</w:t>
                  </w:r>
                </w:p>
              </w:tc>
              <w:tc>
                <w:tcPr>
                  <w:tcW w:w="1666" w:type="pct"/>
                  <w:shd w:val="clear" w:color="auto" w:fill="FFFFFF"/>
                  <w:noWrap w:val="0"/>
                  <w:vAlign w:val="center"/>
                </w:tcPr>
                <w:p>
                  <w:pPr>
                    <w:keepNext w:val="0"/>
                    <w:keepLines w:val="0"/>
                    <w:suppressLineNumbers w:val="0"/>
                    <w:tabs>
                      <w:tab w:val="left" w:pos="217"/>
                    </w:tabs>
                    <w:autoSpaceDE w:val="0"/>
                    <w:autoSpaceDN w:val="0"/>
                    <w:adjustRightIn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lang w:val="zh-CN"/>
                    </w:rPr>
                  </w:pPr>
                  <w:r>
                    <w:rPr>
                      <w:rFonts w:hint="default" w:ascii="Times New Roman" w:hAnsi="Times New Roman" w:eastAsia="宋体" w:cs="Times New Roman"/>
                      <w:b/>
                      <w:bCs/>
                      <w:color w:val="auto"/>
                      <w:kern w:val="0"/>
                      <w:sz w:val="21"/>
                      <w:szCs w:val="21"/>
                      <w:highlight w:val="none"/>
                      <w:lang w:val="zh-CN"/>
                    </w:rPr>
                    <w:t>昼间</w:t>
                  </w:r>
                </w:p>
              </w:tc>
              <w:tc>
                <w:tcPr>
                  <w:tcW w:w="1667" w:type="pct"/>
                  <w:shd w:val="clear" w:color="auto" w:fill="FFFFFF"/>
                  <w:noWrap w:val="0"/>
                  <w:vAlign w:val="center"/>
                </w:tcPr>
                <w:p>
                  <w:pPr>
                    <w:keepNext w:val="0"/>
                    <w:keepLines w:val="0"/>
                    <w:suppressLineNumbers w:val="0"/>
                    <w:tabs>
                      <w:tab w:val="left" w:pos="217"/>
                    </w:tabs>
                    <w:autoSpaceDE w:val="0"/>
                    <w:autoSpaceDN w:val="0"/>
                    <w:adjustRightIn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lang w:val="zh-CN"/>
                    </w:rPr>
                  </w:pPr>
                  <w:r>
                    <w:rPr>
                      <w:rFonts w:hint="default" w:ascii="Times New Roman" w:hAnsi="Times New Roman" w:eastAsia="宋体" w:cs="Times New Roman"/>
                      <w:b/>
                      <w:bCs/>
                      <w:color w:val="auto"/>
                      <w:kern w:val="0"/>
                      <w:sz w:val="21"/>
                      <w:szCs w:val="21"/>
                      <w:highlight w:val="none"/>
                      <w:lang w:val="zh-CN"/>
                    </w:rPr>
                    <w:t>夜间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4" w:hRule="atLeast"/>
              </w:trPr>
              <w:tc>
                <w:tcPr>
                  <w:tcW w:w="1666" w:type="pct"/>
                  <w:shd w:val="clear" w:color="auto" w:fill="FFFFFF"/>
                  <w:noWrap w:val="0"/>
                  <w:vAlign w:val="center"/>
                </w:tcPr>
                <w:p>
                  <w:pPr>
                    <w:keepNext w:val="0"/>
                    <w:keepLines w:val="0"/>
                    <w:suppressLineNumbers w:val="0"/>
                    <w:tabs>
                      <w:tab w:val="left" w:pos="217"/>
                    </w:tabs>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噪声限值（</w:t>
                  </w:r>
                  <w:r>
                    <w:rPr>
                      <w:rFonts w:hint="default" w:ascii="Times New Roman" w:hAnsi="Times New Roman" w:eastAsia="宋体" w:cs="Times New Roman"/>
                      <w:color w:val="auto"/>
                      <w:sz w:val="21"/>
                      <w:szCs w:val="21"/>
                      <w:highlight w:val="none"/>
                    </w:rPr>
                    <w:t>dB(A)）</w:t>
                  </w:r>
                </w:p>
              </w:tc>
              <w:tc>
                <w:tcPr>
                  <w:tcW w:w="1666" w:type="pct"/>
                  <w:shd w:val="clear" w:color="auto" w:fill="FFFFFF"/>
                  <w:noWrap w:val="0"/>
                  <w:vAlign w:val="center"/>
                </w:tcPr>
                <w:p>
                  <w:pPr>
                    <w:keepNext w:val="0"/>
                    <w:keepLines w:val="0"/>
                    <w:suppressLineNumbers w:val="0"/>
                    <w:tabs>
                      <w:tab w:val="left" w:pos="217"/>
                    </w:tabs>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zh-CN"/>
                    </w:rPr>
                  </w:pPr>
                  <w:r>
                    <w:rPr>
                      <w:rFonts w:hint="default" w:ascii="Times New Roman" w:hAnsi="Times New Roman" w:eastAsia="宋体" w:cs="Times New Roman"/>
                      <w:color w:val="auto"/>
                      <w:kern w:val="0"/>
                      <w:sz w:val="21"/>
                      <w:szCs w:val="21"/>
                      <w:highlight w:val="none"/>
                    </w:rPr>
                    <w:t>70</w:t>
                  </w:r>
                </w:p>
              </w:tc>
              <w:tc>
                <w:tcPr>
                  <w:tcW w:w="1667" w:type="pct"/>
                  <w:shd w:val="clear" w:color="auto" w:fill="FFFFFF"/>
                  <w:noWrap w:val="0"/>
                  <w:vAlign w:val="center"/>
                </w:tcPr>
                <w:p>
                  <w:pPr>
                    <w:keepNext w:val="0"/>
                    <w:keepLines w:val="0"/>
                    <w:suppressLineNumbers w:val="0"/>
                    <w:tabs>
                      <w:tab w:val="left" w:pos="217"/>
                    </w:tabs>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zh-CN"/>
                    </w:rPr>
                  </w:pPr>
                  <w:r>
                    <w:rPr>
                      <w:rFonts w:hint="default" w:ascii="Times New Roman" w:hAnsi="Times New Roman" w:eastAsia="宋体" w:cs="Times New Roman"/>
                      <w:color w:val="auto"/>
                      <w:kern w:val="0"/>
                      <w:sz w:val="21"/>
                      <w:szCs w:val="21"/>
                      <w:highlight w:val="none"/>
                    </w:rPr>
                    <w:t>55</w:t>
                  </w:r>
                </w:p>
              </w:tc>
            </w:tr>
          </w:tbl>
          <w:p>
            <w:pPr>
              <w:keepNext w:val="0"/>
              <w:keepLines w:val="0"/>
              <w:suppressLineNumbers w:val="0"/>
              <w:spacing w:before="120" w:beforeLines="50" w:beforeAutospacing="0" w:after="0" w:afterAutospacing="0" w:line="360" w:lineRule="auto"/>
              <w:ind w:left="0" w:right="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9.2运营期</w:t>
            </w:r>
          </w:p>
          <w:p>
            <w:pPr>
              <w:pStyle w:val="7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项目厂界运营期噪声排放标准执行《工业企业厂界噪声排放标准》（GB12348-2008）2类标准。</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表3.9-</w:t>
            </w:r>
            <w:r>
              <w:rPr>
                <w:rFonts w:hint="default" w:ascii="Times New Roman" w:hAnsi="Times New Roman" w:eastAsia="宋体" w:cs="Times New Roman"/>
                <w:b/>
                <w:bCs/>
                <w:color w:val="auto"/>
                <w:szCs w:val="21"/>
                <w:highlight w:val="none"/>
                <w:lang w:val="en-US" w:eastAsia="zh-CN"/>
              </w:rPr>
              <w:t>2</w:t>
            </w:r>
            <w:r>
              <w:rPr>
                <w:rFonts w:hint="default" w:ascii="Times New Roman" w:hAnsi="Times New Roman" w:eastAsia="宋体" w:cs="Times New Roman"/>
                <w:b/>
                <w:bCs/>
                <w:color w:val="auto"/>
                <w:szCs w:val="21"/>
                <w:highlight w:val="none"/>
              </w:rPr>
              <w:t xml:space="preserve">   工业企业厂界噪声排放标准限值   单位：dB(A)</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2682"/>
              <w:gridCol w:w="2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2"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类别</w:t>
                  </w:r>
                </w:p>
              </w:tc>
              <w:tc>
                <w:tcPr>
                  <w:tcW w:w="3398" w:type="pct"/>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等效声级Leq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2"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p>
              </w:tc>
              <w:tc>
                <w:tcPr>
                  <w:tcW w:w="16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昼间</w:t>
                  </w:r>
                </w:p>
              </w:tc>
              <w:tc>
                <w:tcPr>
                  <w:tcW w:w="171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2类</w:t>
                  </w:r>
                </w:p>
              </w:tc>
              <w:tc>
                <w:tcPr>
                  <w:tcW w:w="16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1714" w:type="pct"/>
                  <w:noWrap w:val="0"/>
                  <w:vAlign w:val="center"/>
                </w:tcPr>
                <w:p>
                  <w:pPr>
                    <w:keepNext w:val="0"/>
                    <w:keepLines w:val="0"/>
                    <w:suppressLineNumbers w:val="0"/>
                    <w:spacing w:before="0" w:beforeAutospacing="0" w:after="0" w:afterAutospacing="0"/>
                    <w:ind w:left="13"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r>
          </w:tbl>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highlight w:val="none"/>
              </w:rPr>
            </w:pP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10、固废</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一般固体废物执行《一般工业固体废物贮存和填埋污染控制标准》(GB18599-2020)</w:t>
            </w:r>
            <w:r>
              <w:rPr>
                <w:rFonts w:hint="default" w:ascii="Times New Roman" w:hAnsi="Times New Roman" w:eastAsia="宋体" w:cs="Times New Roman"/>
                <w:color w:val="auto"/>
                <w:sz w:val="24"/>
                <w:szCs w:val="24"/>
                <w:highlight w:val="none"/>
                <w:lang w:eastAsia="zh-CN"/>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highlight w:val="none"/>
              </w:rPr>
              <w:t>危险废物贮存执行《危险废物贮存污染控制标准》(GB18597-2023)标准。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总量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控制</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指标</w:t>
            </w:r>
          </w:p>
        </w:tc>
        <w:tc>
          <w:tcPr>
            <w:tcW w:w="8190" w:type="dxa"/>
            <w:noWrap w:val="0"/>
            <w:vAlign w:val="center"/>
          </w:tcPr>
          <w:p>
            <w:pPr>
              <w:pStyle w:val="73"/>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11、根据本项目的排污特征，结合国家污染物排放总量控制原则，列出本项目建议执行的总量控制指标：</w:t>
            </w:r>
          </w:p>
          <w:p>
            <w:pPr>
              <w:pStyle w:val="73"/>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11.1废气</w:t>
            </w:r>
          </w:p>
          <w:p>
            <w:pPr>
              <w:pStyle w:val="7"/>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项目隧道窑废气排放量为</w:t>
            </w:r>
            <w:r>
              <w:rPr>
                <w:rFonts w:hint="default" w:ascii="Times New Roman" w:hAnsi="Times New Roman" w:eastAsia="宋体" w:cs="Times New Roman"/>
                <w:color w:val="auto"/>
                <w:sz w:val="24"/>
                <w:szCs w:val="24"/>
                <w:highlight w:val="none"/>
                <w:lang w:val="en-US" w:eastAsia="zh-CN"/>
              </w:rPr>
              <w:t>4320</w:t>
            </w:r>
            <w:r>
              <w:rPr>
                <w:rFonts w:hint="default" w:ascii="Times New Roman" w:hAnsi="Times New Roman" w:eastAsia="宋体" w:cs="Times New Roman"/>
                <w:color w:val="auto"/>
                <w:sz w:val="24"/>
                <w:szCs w:val="24"/>
                <w:highlight w:val="none"/>
              </w:rPr>
              <w:t>0万m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/a，烟尘</w:t>
            </w:r>
            <w:r>
              <w:rPr>
                <w:rFonts w:hint="default" w:ascii="Times New Roman" w:hAnsi="Times New Roman" w:eastAsia="宋体" w:cs="Times New Roman"/>
                <w:bCs/>
                <w:color w:val="auto"/>
                <w:sz w:val="24"/>
                <w:szCs w:val="24"/>
                <w:highlight w:val="none"/>
                <w:lang w:val="en-US" w:eastAsia="zh-CN"/>
              </w:rPr>
              <w:t>5.6544</w:t>
            </w:r>
            <w:r>
              <w:rPr>
                <w:rFonts w:hint="default" w:ascii="Times New Roman" w:hAnsi="Times New Roman" w:eastAsia="宋体" w:cs="Times New Roman"/>
                <w:color w:val="auto"/>
                <w:sz w:val="24"/>
                <w:szCs w:val="24"/>
                <w:highlight w:val="none"/>
              </w:rPr>
              <w:t>t/a，SO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bCs/>
                <w:color w:val="auto"/>
                <w:sz w:val="24"/>
                <w:szCs w:val="24"/>
                <w:highlight w:val="none"/>
                <w:lang w:val="en-US" w:eastAsia="zh-CN"/>
              </w:rPr>
              <w:t>10.416</w:t>
            </w:r>
            <w:r>
              <w:rPr>
                <w:rFonts w:hint="default" w:ascii="Times New Roman" w:hAnsi="Times New Roman" w:eastAsia="宋体" w:cs="Times New Roman"/>
                <w:color w:val="auto"/>
                <w:sz w:val="24"/>
                <w:szCs w:val="24"/>
                <w:highlight w:val="none"/>
              </w:rPr>
              <w:t>t/a，NO</w:t>
            </w:r>
            <w:r>
              <w:rPr>
                <w:rFonts w:hint="default" w:ascii="Times New Roman" w:hAnsi="Times New Roman" w:eastAsia="宋体" w:cs="Times New Roman"/>
                <w:color w:val="auto"/>
                <w:sz w:val="24"/>
                <w:szCs w:val="24"/>
                <w:highlight w:val="none"/>
                <w:vertAlign w:val="subscript"/>
              </w:rPr>
              <w:t>X</w:t>
            </w:r>
            <w:r>
              <w:rPr>
                <w:rFonts w:hint="default" w:ascii="Times New Roman" w:hAnsi="Times New Roman" w:eastAsia="宋体" w:cs="Times New Roman"/>
                <w:bCs/>
                <w:color w:val="auto"/>
                <w:sz w:val="24"/>
                <w:szCs w:val="24"/>
                <w:highlight w:val="none"/>
                <w:lang w:val="en-US" w:eastAsia="zh-CN"/>
              </w:rPr>
              <w:t>20.212</w:t>
            </w:r>
            <w:r>
              <w:rPr>
                <w:rFonts w:hint="default" w:ascii="Times New Roman" w:hAnsi="Times New Roman" w:eastAsia="宋体" w:cs="Times New Roman"/>
                <w:color w:val="auto"/>
                <w:sz w:val="24"/>
                <w:szCs w:val="24"/>
                <w:highlight w:val="none"/>
              </w:rPr>
              <w:t>t/a，氟化物</w:t>
            </w:r>
            <w:r>
              <w:rPr>
                <w:rFonts w:hint="default" w:ascii="Times New Roman" w:hAnsi="Times New Roman" w:eastAsia="宋体" w:cs="Times New Roman"/>
                <w:bCs/>
                <w:color w:val="auto"/>
                <w:sz w:val="24"/>
                <w:szCs w:val="24"/>
                <w:highlight w:val="none"/>
                <w:lang w:val="en-US" w:eastAsia="zh-CN"/>
              </w:rPr>
              <w:t>0.9688</w:t>
            </w:r>
            <w:r>
              <w:rPr>
                <w:rFonts w:hint="default" w:ascii="Times New Roman" w:hAnsi="Times New Roman" w:eastAsia="宋体" w:cs="Times New Roman"/>
                <w:color w:val="auto"/>
                <w:sz w:val="24"/>
                <w:szCs w:val="24"/>
                <w:highlight w:val="none"/>
                <w:lang w:bidi="ar"/>
              </w:rPr>
              <w:t>t/a。</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破碎、筛分工段废气排气量：31</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万m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/a，粉尘排放量为</w:t>
            </w:r>
            <w:r>
              <w:rPr>
                <w:rFonts w:hint="default" w:ascii="Times New Roman" w:hAnsi="Times New Roman" w:eastAsia="宋体" w:cs="Times New Roman"/>
                <w:color w:val="auto"/>
                <w:sz w:val="24"/>
                <w:szCs w:val="24"/>
                <w:highlight w:val="none"/>
                <w:lang w:val="en-US" w:eastAsia="zh-CN"/>
              </w:rPr>
              <w:t>0.1373</w:t>
            </w:r>
            <w:r>
              <w:rPr>
                <w:rFonts w:hint="default" w:ascii="Times New Roman" w:hAnsi="Times New Roman" w:eastAsia="宋体" w:cs="Times New Roman"/>
                <w:color w:val="auto"/>
                <w:sz w:val="24"/>
                <w:szCs w:val="24"/>
                <w:highlight w:val="none"/>
              </w:rPr>
              <w:t>t/a。</w:t>
            </w:r>
          </w:p>
          <w:p>
            <w:pPr>
              <w:pStyle w:val="73"/>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11.2废水</w:t>
            </w:r>
          </w:p>
          <w:p>
            <w:pPr>
              <w:pStyle w:val="7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rPr>
              <w:t>项目生产过程中废水主要是</w:t>
            </w:r>
            <w:r>
              <w:rPr>
                <w:rFonts w:hint="default" w:ascii="Times New Roman" w:hAnsi="Times New Roman" w:eastAsia="宋体" w:cs="Times New Roman"/>
                <w:color w:val="auto"/>
                <w:kern w:val="2"/>
                <w:sz w:val="24"/>
                <w:szCs w:val="24"/>
                <w:highlight w:val="none"/>
                <w:lang w:val="en-US" w:eastAsia="zh-CN" w:bidi="ar-SA"/>
              </w:rPr>
              <w:t>污泥渗滤液、</w:t>
            </w:r>
            <w:r>
              <w:rPr>
                <w:rFonts w:hint="default" w:ascii="Times New Roman" w:hAnsi="Times New Roman" w:eastAsia="宋体" w:cs="Times New Roman"/>
                <w:color w:val="auto"/>
                <w:sz w:val="24"/>
                <w:szCs w:val="24"/>
                <w:highlight w:val="none"/>
                <w:lang w:val="en-US" w:eastAsia="zh-CN"/>
              </w:rPr>
              <w:t>吸收液</w:t>
            </w:r>
            <w:r>
              <w:rPr>
                <w:rFonts w:hint="default" w:ascii="Times New Roman" w:hAnsi="Times New Roman" w:eastAsia="宋体" w:cs="Times New Roman"/>
                <w:color w:val="auto"/>
                <w:kern w:val="2"/>
                <w:sz w:val="24"/>
                <w:szCs w:val="24"/>
                <w:highlight w:val="none"/>
              </w:rPr>
              <w:t>、生活污水；</w:t>
            </w:r>
            <w:r>
              <w:rPr>
                <w:rFonts w:hint="default" w:ascii="Times New Roman" w:hAnsi="Times New Roman" w:eastAsia="宋体" w:cs="Times New Roman"/>
                <w:color w:val="auto"/>
                <w:kern w:val="2"/>
                <w:sz w:val="24"/>
                <w:szCs w:val="24"/>
                <w:highlight w:val="none"/>
                <w:lang w:val="en-US" w:eastAsia="zh-CN" w:bidi="ar-SA"/>
              </w:rPr>
              <w:t>污泥渗滤液通过管道收集后回用于制砖过程，不外排；</w:t>
            </w:r>
            <w:r>
              <w:rPr>
                <w:rFonts w:hint="default" w:ascii="Times New Roman" w:hAnsi="Times New Roman" w:eastAsia="宋体" w:cs="Times New Roman"/>
                <w:color w:val="auto"/>
                <w:kern w:val="2"/>
                <w:sz w:val="24"/>
                <w:szCs w:val="24"/>
                <w:highlight w:val="none"/>
                <w:lang w:eastAsia="zh-CN"/>
              </w:rPr>
              <w:t>吸收液</w:t>
            </w:r>
            <w:r>
              <w:rPr>
                <w:rFonts w:hint="default" w:ascii="Times New Roman" w:hAnsi="Times New Roman" w:eastAsia="宋体" w:cs="Times New Roman"/>
                <w:color w:val="auto"/>
                <w:kern w:val="2"/>
                <w:sz w:val="24"/>
                <w:szCs w:val="24"/>
                <w:highlight w:val="none"/>
              </w:rPr>
              <w:t>经过循环池循环使用，不外排；</w:t>
            </w:r>
            <w:r>
              <w:rPr>
                <w:rFonts w:hint="default" w:ascii="Times New Roman" w:hAnsi="Times New Roman" w:eastAsia="宋体" w:cs="Times New Roman"/>
                <w:color w:val="auto"/>
                <w:kern w:val="2"/>
                <w:sz w:val="24"/>
                <w:szCs w:val="24"/>
                <w:highlight w:val="none"/>
                <w:lang w:val="en-US" w:eastAsia="zh-CN"/>
              </w:rPr>
              <w:t>食堂污水通过油水分离器处理后与其他生活污水共同进入化粪池处理，再排入集水池回用于生产，项目废水均不外排，因此不设置排放标准。</w:t>
            </w:r>
          </w:p>
          <w:p>
            <w:pPr>
              <w:pStyle w:val="73"/>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11.3固废</w:t>
            </w:r>
          </w:p>
          <w:p>
            <w:pPr>
              <w:keepNext w:val="0"/>
              <w:keepLines w:val="0"/>
              <w:suppressLineNumbers w:val="0"/>
              <w:spacing w:before="0" w:beforeAutospacing="0" w:after="0" w:afterAutospacing="0" w:line="360" w:lineRule="auto"/>
              <w:ind w:left="0" w:right="0" w:firstLine="480" w:firstLineChars="200"/>
              <w:jc w:val="left"/>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固体废弃物处置率达100%。</w:t>
            </w: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kern w:val="0"/>
                <w:szCs w:val="21"/>
                <w:highlight w:val="none"/>
              </w:rPr>
            </w:pPr>
          </w:p>
        </w:tc>
      </w:tr>
    </w:tbl>
    <w:p>
      <w:pPr>
        <w:pStyle w:val="19"/>
        <w:jc w:val="center"/>
        <w:outlineLvl w:val="0"/>
        <w:rPr>
          <w:rFonts w:hint="default" w:ascii="Times New Roman" w:hAnsi="Times New Roman" w:eastAsia="宋体" w:cs="Times New Roman"/>
          <w:b/>
          <w:bCs/>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br w:type="page"/>
      </w:r>
      <w:bookmarkStart w:id="6" w:name="_Toc69726040"/>
      <w:r>
        <w:rPr>
          <w:rFonts w:hint="default" w:ascii="Times New Roman" w:hAnsi="Times New Roman" w:eastAsia="宋体" w:cs="Times New Roman"/>
          <w:b/>
          <w:bCs/>
          <w:snapToGrid w:val="0"/>
          <w:color w:val="auto"/>
          <w:sz w:val="21"/>
          <w:szCs w:val="21"/>
          <w:highlight w:val="none"/>
        </w:rPr>
        <w:t>四、主要环境影响和保护措施</w:t>
      </w:r>
      <w:bookmarkEnd w:id="6"/>
    </w:p>
    <w:tbl>
      <w:tblPr>
        <w:tblStyle w:val="2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9"/>
        <w:gridCol w:w="83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81" w:hRule="atLeast"/>
          <w:jc w:val="center"/>
        </w:trPr>
        <w:tc>
          <w:tcPr>
            <w:tcW w:w="356" w:type="pct"/>
            <w:noWrap w:val="0"/>
            <w:tcMar>
              <w:left w:w="28" w:type="dxa"/>
              <w:right w:w="28" w:type="dxa"/>
            </w:tcMar>
            <w:vAlign w:val="center"/>
          </w:tcPr>
          <w:p>
            <w:pPr>
              <w:pStyle w:val="1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施工</w:t>
            </w:r>
          </w:p>
          <w:p>
            <w:pPr>
              <w:pStyle w:val="1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期环</w:t>
            </w:r>
          </w:p>
          <w:p>
            <w:pPr>
              <w:pStyle w:val="1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境保</w:t>
            </w:r>
          </w:p>
          <w:p>
            <w:pPr>
              <w:pStyle w:val="1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护措</w:t>
            </w:r>
          </w:p>
          <w:p>
            <w:pPr>
              <w:pStyle w:val="1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rPr>
            </w:pPr>
            <w:r>
              <w:rPr>
                <w:rFonts w:hint="default" w:ascii="Times New Roman" w:hAnsi="Times New Roman" w:eastAsia="宋体" w:cs="Times New Roman"/>
                <w:color w:val="auto"/>
                <w:kern w:val="2"/>
                <w:sz w:val="21"/>
                <w:szCs w:val="21"/>
                <w:highlight w:val="none"/>
              </w:rPr>
              <w:t>施</w:t>
            </w:r>
          </w:p>
        </w:tc>
        <w:tc>
          <w:tcPr>
            <w:tcW w:w="4644" w:type="pct"/>
            <w:noWrap w:val="0"/>
            <w:vAlign w:val="center"/>
          </w:tcPr>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一、施工期环境保护措施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val="en-US" w:eastAsia="zh-CN"/>
              </w:rPr>
              <w:t>项目在原址改扩建，不新增占地；本次改扩建是将污泥替代部分页岩制砖，</w:t>
            </w:r>
            <w:r>
              <w:rPr>
                <w:rFonts w:hint="default" w:ascii="Times New Roman" w:hAnsi="Times New Roman" w:eastAsia="宋体" w:cs="Times New Roman"/>
                <w:bCs/>
                <w:color w:val="auto"/>
                <w:kern w:val="0"/>
                <w:sz w:val="24"/>
                <w:szCs w:val="24"/>
                <w:highlight w:val="none"/>
                <w:lang w:val="en-US" w:eastAsia="zh-CN"/>
              </w:rPr>
              <w:t>本次改扩建后产能增加1200万块，改扩建后产能为6200万块页岩砖。同时在原料堆场增加一个污泥堆放池，</w:t>
            </w:r>
            <w:r>
              <w:rPr>
                <w:rFonts w:hint="default" w:ascii="Times New Roman" w:hAnsi="Times New Roman" w:eastAsia="宋体" w:cs="Times New Roman"/>
                <w:color w:val="auto"/>
                <w:sz w:val="24"/>
                <w:szCs w:val="24"/>
                <w:highlight w:val="none"/>
                <w:lang w:val="en-US" w:eastAsia="zh-CN"/>
              </w:rPr>
              <w:t>将原有强力搅拌机改为螺旋搅拌机，其余建设均为依托原有项目。因此项目施工期产生的污染物极少。</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1.1、废水环境保护措施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施工期的生活污水主要来自于建筑施工人员。施工人员为附近村民，均不在厂区食宿，生活污水主要为施工人员洗手废水，施工人员生活污水</w:t>
            </w:r>
            <w:r>
              <w:rPr>
                <w:rFonts w:hint="default" w:ascii="Times New Roman" w:hAnsi="Times New Roman" w:eastAsia="宋体" w:cs="Times New Roman"/>
                <w:color w:val="auto"/>
                <w:sz w:val="24"/>
                <w:szCs w:val="24"/>
                <w:highlight w:val="none"/>
                <w:lang w:val="en-US" w:eastAsia="zh-CN"/>
              </w:rPr>
              <w:t>通过化粪池处理后进入集水池回用于生产，废水</w:t>
            </w:r>
            <w:r>
              <w:rPr>
                <w:rFonts w:hint="default" w:ascii="Times New Roman" w:hAnsi="Times New Roman" w:eastAsia="宋体" w:cs="Times New Roman"/>
                <w:color w:val="auto"/>
                <w:sz w:val="24"/>
                <w:szCs w:val="24"/>
                <w:highlight w:val="none"/>
              </w:rPr>
              <w:t>不外排</w:t>
            </w:r>
            <w:r>
              <w:rPr>
                <w:rFonts w:hint="default" w:ascii="Times New Roman" w:hAnsi="Times New Roman" w:eastAsia="宋体" w:cs="Times New Roman"/>
                <w:color w:val="auto"/>
                <w:sz w:val="24"/>
                <w:szCs w:val="24"/>
                <w:highlight w:val="none"/>
                <w:lang w:eastAsia="zh-CN"/>
              </w:rPr>
              <w:t>。</w:t>
            </w:r>
          </w:p>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1.2、废气</w:t>
            </w:r>
            <w:r>
              <w:rPr>
                <w:rFonts w:hint="default" w:ascii="Times New Roman" w:hAnsi="Times New Roman" w:eastAsia="宋体" w:cs="Times New Roman"/>
                <w:b/>
                <w:color w:val="auto"/>
                <w:sz w:val="24"/>
                <w:szCs w:val="24"/>
                <w:highlight w:val="none"/>
              </w:rPr>
              <w:t>环境保护措施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①项目在</w:t>
            </w:r>
            <w:r>
              <w:rPr>
                <w:rFonts w:hint="default" w:ascii="Times New Roman" w:hAnsi="Times New Roman" w:eastAsia="宋体" w:cs="Times New Roman"/>
                <w:bCs/>
                <w:color w:val="auto"/>
                <w:sz w:val="24"/>
                <w:szCs w:val="24"/>
                <w:highlight w:val="none"/>
                <w:lang w:val="en-US" w:eastAsia="zh-CN"/>
              </w:rPr>
              <w:t>设备更换</w:t>
            </w:r>
            <w:r>
              <w:rPr>
                <w:rFonts w:hint="default" w:ascii="Times New Roman" w:hAnsi="Times New Roman" w:eastAsia="宋体" w:cs="Times New Roman"/>
                <w:bCs/>
                <w:color w:val="auto"/>
                <w:sz w:val="24"/>
                <w:szCs w:val="24"/>
                <w:highlight w:val="none"/>
              </w:rPr>
              <w:t>过程中产生少量粉尘，施工期粉尘采用厂房阻隔、大气稀释后，对环境影响较小；</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sz w:val="24"/>
                <w:szCs w:val="24"/>
                <w:highlight w:val="none"/>
              </w:rPr>
              <w:t>②</w:t>
            </w:r>
            <w:r>
              <w:rPr>
                <w:rFonts w:hint="default" w:ascii="Times New Roman" w:hAnsi="Times New Roman" w:eastAsia="宋体" w:cs="Times New Roman"/>
                <w:bCs/>
                <w:color w:val="auto"/>
                <w:sz w:val="24"/>
                <w:szCs w:val="24"/>
                <w:highlight w:val="none"/>
                <w:lang w:val="en-US" w:eastAsia="zh-CN"/>
              </w:rPr>
              <w:t>施工期</w:t>
            </w:r>
            <w:r>
              <w:rPr>
                <w:rFonts w:hint="default" w:ascii="Times New Roman" w:hAnsi="Times New Roman" w:eastAsia="宋体" w:cs="Times New Roman"/>
                <w:bCs/>
                <w:color w:val="auto"/>
                <w:sz w:val="24"/>
                <w:szCs w:val="24"/>
                <w:highlight w:val="none"/>
              </w:rPr>
              <w:t>运输车辆废气</w:t>
            </w:r>
            <w:r>
              <w:rPr>
                <w:rFonts w:hint="default" w:ascii="Times New Roman" w:hAnsi="Times New Roman" w:eastAsia="宋体" w:cs="Times New Roman"/>
                <w:color w:val="auto"/>
                <w:sz w:val="24"/>
                <w:szCs w:val="24"/>
                <w:highlight w:val="none"/>
              </w:rPr>
              <w:t>主要成份是</w:t>
            </w:r>
            <w:r>
              <w:rPr>
                <w:rFonts w:hint="default" w:ascii="Times New Roman" w:hAnsi="Times New Roman" w:eastAsia="宋体" w:cs="Times New Roman"/>
                <w:bCs/>
                <w:color w:val="auto"/>
                <w:sz w:val="24"/>
                <w:szCs w:val="24"/>
                <w:highlight w:val="none"/>
              </w:rPr>
              <w:t>碳氢化合物、</w:t>
            </w:r>
            <w:r>
              <w:rPr>
                <w:rFonts w:hint="default" w:ascii="Times New Roman" w:hAnsi="Times New Roman" w:eastAsia="宋体" w:cs="Times New Roman"/>
                <w:color w:val="auto"/>
                <w:sz w:val="24"/>
                <w:szCs w:val="24"/>
                <w:highlight w:val="none"/>
              </w:rPr>
              <w:t>CO、NO</w:t>
            </w:r>
            <w:r>
              <w:rPr>
                <w:rFonts w:hint="default" w:ascii="Times New Roman" w:hAnsi="Times New Roman" w:eastAsia="宋体" w:cs="Times New Roman"/>
                <w:color w:val="auto"/>
                <w:sz w:val="24"/>
                <w:szCs w:val="24"/>
                <w:highlight w:val="none"/>
                <w:vertAlign w:val="subscript"/>
              </w:rPr>
              <w:t>X</w:t>
            </w:r>
            <w:r>
              <w:rPr>
                <w:rFonts w:hint="default" w:ascii="Times New Roman" w:hAnsi="Times New Roman" w:eastAsia="宋体" w:cs="Times New Roman"/>
                <w:color w:val="auto"/>
                <w:sz w:val="24"/>
                <w:szCs w:val="24"/>
                <w:highlight w:val="none"/>
              </w:rPr>
              <w:t>，采用限速限载等措施减少</w:t>
            </w:r>
            <w:r>
              <w:rPr>
                <w:rFonts w:hint="default" w:ascii="Times New Roman" w:hAnsi="Times New Roman" w:eastAsia="宋体" w:cs="Times New Roman"/>
                <w:bCs/>
                <w:color w:val="auto"/>
                <w:sz w:val="24"/>
                <w:szCs w:val="24"/>
                <w:highlight w:val="none"/>
                <w:lang w:val="en-US" w:eastAsia="zh-CN"/>
              </w:rPr>
              <w:t>施工期</w:t>
            </w:r>
            <w:r>
              <w:rPr>
                <w:rFonts w:hint="default" w:ascii="Times New Roman" w:hAnsi="Times New Roman" w:eastAsia="宋体" w:cs="Times New Roman"/>
                <w:color w:val="auto"/>
                <w:sz w:val="24"/>
                <w:szCs w:val="24"/>
                <w:highlight w:val="none"/>
              </w:rPr>
              <w:t>运输废气；</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1.3、噪声</w:t>
            </w:r>
            <w:r>
              <w:rPr>
                <w:rFonts w:hint="default" w:ascii="Times New Roman" w:hAnsi="Times New Roman" w:eastAsia="宋体" w:cs="Times New Roman"/>
                <w:b/>
                <w:color w:val="auto"/>
                <w:sz w:val="24"/>
                <w:szCs w:val="24"/>
                <w:highlight w:val="none"/>
              </w:rPr>
              <w:t>环境保护措施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rPr>
              <w:t>项目在施工期噪声来源于</w:t>
            </w:r>
            <w:r>
              <w:rPr>
                <w:rFonts w:hint="default" w:ascii="Times New Roman" w:hAnsi="Times New Roman" w:eastAsia="宋体" w:cs="Times New Roman"/>
                <w:bCs/>
                <w:color w:val="auto"/>
                <w:sz w:val="24"/>
                <w:szCs w:val="24"/>
                <w:highlight w:val="none"/>
                <w:lang w:val="en-US" w:eastAsia="zh-CN"/>
              </w:rPr>
              <w:t>设备更换时的安装噪声，声源在70-80</w:t>
            </w:r>
            <w:r>
              <w:rPr>
                <w:rFonts w:hint="default" w:ascii="Times New Roman" w:hAnsi="Times New Roman" w:eastAsia="宋体" w:cs="Times New Roman"/>
                <w:bCs/>
                <w:color w:val="auto"/>
                <w:sz w:val="24"/>
                <w:szCs w:val="24"/>
                <w:highlight w:val="none"/>
              </w:rPr>
              <w:t>dB（A）</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项目设备在厂房内安装，通过</w:t>
            </w:r>
            <w:r>
              <w:rPr>
                <w:rFonts w:hint="default" w:ascii="Times New Roman" w:hAnsi="Times New Roman" w:eastAsia="宋体" w:cs="Times New Roman"/>
                <w:bCs/>
                <w:color w:val="auto"/>
                <w:sz w:val="24"/>
                <w:szCs w:val="24"/>
                <w:highlight w:val="none"/>
              </w:rPr>
              <w:t>厂房隔音、距离衰减</w:t>
            </w:r>
            <w:r>
              <w:rPr>
                <w:rFonts w:hint="default" w:ascii="Times New Roman" w:hAnsi="Times New Roman" w:eastAsia="宋体" w:cs="Times New Roman"/>
                <w:bCs/>
                <w:color w:val="auto"/>
                <w:sz w:val="24"/>
                <w:szCs w:val="24"/>
                <w:highlight w:val="none"/>
                <w:lang w:val="en-US" w:eastAsia="zh-CN"/>
              </w:rPr>
              <w:t>后施工期噪声对环境影响较小。</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1.4、固体废物</w:t>
            </w:r>
            <w:r>
              <w:rPr>
                <w:rFonts w:hint="default" w:ascii="Times New Roman" w:hAnsi="Times New Roman" w:eastAsia="宋体" w:cs="Times New Roman"/>
                <w:b/>
                <w:color w:val="auto"/>
                <w:sz w:val="24"/>
                <w:szCs w:val="24"/>
                <w:highlight w:val="none"/>
              </w:rPr>
              <w:t>环境保护措施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施工期固废为设备包装材料和生活垃圾，废包装材料</w:t>
            </w:r>
            <w:r>
              <w:rPr>
                <w:rFonts w:hint="default" w:ascii="Times New Roman" w:hAnsi="Times New Roman" w:eastAsia="宋体" w:cs="Times New Roman"/>
                <w:bCs/>
                <w:color w:val="auto"/>
                <w:sz w:val="24"/>
                <w:szCs w:val="24"/>
                <w:highlight w:val="none"/>
              </w:rPr>
              <w:t>可回收部分外售废品收购站进行回收利用，不可回收部分交由环卫部门清运处理</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生活垃圾</w:t>
            </w:r>
            <w:r>
              <w:rPr>
                <w:rFonts w:hint="default" w:ascii="Times New Roman" w:hAnsi="Times New Roman" w:eastAsia="宋体" w:cs="Times New Roman"/>
                <w:bCs/>
                <w:color w:val="auto"/>
                <w:sz w:val="24"/>
                <w:szCs w:val="24"/>
                <w:highlight w:val="none"/>
              </w:rPr>
              <w:t>统一收集后，委托当地环卫部门清运处理</w:t>
            </w:r>
            <w:r>
              <w:rPr>
                <w:rFonts w:hint="default" w:ascii="Times New Roman" w:hAnsi="Times New Roman" w:eastAsia="宋体" w:cs="Times New Roman"/>
                <w:bCs/>
                <w:color w:val="auto"/>
                <w:sz w:val="24"/>
                <w:szCs w:val="24"/>
                <w:highlight w:val="none"/>
                <w:lang w:eastAsia="zh-CN"/>
              </w:rPr>
              <w:t>。</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bCs/>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97" w:hRule="atLeast"/>
          <w:jc w:val="center"/>
        </w:trPr>
        <w:tc>
          <w:tcPr>
            <w:tcW w:w="356" w:type="pct"/>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运营</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期环</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境影</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响和</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保护</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措施</w:t>
            </w:r>
          </w:p>
        </w:tc>
        <w:tc>
          <w:tcPr>
            <w:tcW w:w="4644" w:type="pct"/>
            <w:noWrap w:val="0"/>
            <w:vAlign w:val="center"/>
          </w:tcPr>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highlight w:val="none"/>
              </w:rPr>
              <w:t>二</w:t>
            </w:r>
            <w:r>
              <w:rPr>
                <w:rFonts w:hint="default" w:ascii="Times New Roman" w:hAnsi="Times New Roman" w:eastAsia="宋体" w:cs="Times New Roman"/>
                <w:b/>
                <w:bCs/>
                <w:color w:val="auto"/>
                <w:sz w:val="24"/>
                <w:szCs w:val="24"/>
                <w:highlight w:val="none"/>
              </w:rPr>
              <w:t>、废气产排情况</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项目运营过程废气主要为隧道焙烧窑焙烧烟气、破碎、筛分产生的粉尘</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堆场粉尘、</w:t>
            </w:r>
            <w:r>
              <w:rPr>
                <w:rFonts w:hint="default" w:ascii="Times New Roman" w:hAnsi="Times New Roman" w:eastAsia="宋体" w:cs="Times New Roman"/>
                <w:color w:val="auto"/>
                <w:kern w:val="0"/>
                <w:sz w:val="24"/>
                <w:szCs w:val="24"/>
                <w:highlight w:val="none"/>
              </w:rPr>
              <w:t>搅拌粉尘、车辆运输扬尘及食堂油烟。</w:t>
            </w:r>
          </w:p>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2.</w:t>
            </w:r>
            <w:r>
              <w:rPr>
                <w:rFonts w:hint="default" w:ascii="Times New Roman" w:hAnsi="Times New Roman" w:eastAsia="宋体" w:cs="Times New Roman"/>
                <w:b/>
                <w:bCs/>
                <w:color w:val="auto"/>
                <w:kern w:val="0"/>
                <w:sz w:val="24"/>
                <w:szCs w:val="24"/>
                <w:highlight w:val="none"/>
                <w:lang w:val="en-US" w:eastAsia="zh-CN"/>
              </w:rPr>
              <w:t>1</w:t>
            </w:r>
            <w:r>
              <w:rPr>
                <w:rFonts w:hint="default" w:ascii="Times New Roman" w:hAnsi="Times New Roman" w:eastAsia="宋体" w:cs="Times New Roman"/>
                <w:b/>
                <w:bCs/>
                <w:color w:val="auto"/>
                <w:kern w:val="0"/>
                <w:sz w:val="24"/>
                <w:szCs w:val="24"/>
                <w:highlight w:val="none"/>
              </w:rPr>
              <w:t>隧道焙烧窑焙烧烟气</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项目为</w:t>
            </w:r>
            <w:r>
              <w:rPr>
                <w:rFonts w:hint="default" w:ascii="Times New Roman" w:hAnsi="Times New Roman" w:eastAsia="宋体" w:cs="Times New Roman"/>
                <w:color w:val="auto"/>
                <w:kern w:val="0"/>
                <w:sz w:val="24"/>
                <w:szCs w:val="24"/>
                <w:highlight w:val="none"/>
                <w:lang w:eastAsia="zh-CN"/>
              </w:rPr>
              <w:t>改扩建</w:t>
            </w:r>
            <w:r>
              <w:rPr>
                <w:rFonts w:hint="default" w:ascii="Times New Roman" w:hAnsi="Times New Roman" w:eastAsia="宋体" w:cs="Times New Roman"/>
                <w:color w:val="auto"/>
                <w:kern w:val="0"/>
                <w:sz w:val="24"/>
                <w:szCs w:val="24"/>
                <w:highlight w:val="none"/>
              </w:rPr>
              <w:t>项目，是年产</w:t>
            </w:r>
            <w:r>
              <w:rPr>
                <w:rFonts w:hint="default" w:ascii="Times New Roman" w:hAnsi="Times New Roman" w:eastAsia="宋体" w:cs="Times New Roman"/>
                <w:color w:val="auto"/>
                <w:kern w:val="0"/>
                <w:sz w:val="24"/>
                <w:szCs w:val="24"/>
                <w:highlight w:val="none"/>
                <w:lang w:val="en-US" w:eastAsia="zh-CN"/>
              </w:rPr>
              <w:t>62</w:t>
            </w:r>
            <w:r>
              <w:rPr>
                <w:rFonts w:hint="default" w:ascii="Times New Roman" w:hAnsi="Times New Roman" w:eastAsia="宋体" w:cs="Times New Roman"/>
                <w:color w:val="auto"/>
                <w:kern w:val="0"/>
                <w:sz w:val="24"/>
                <w:szCs w:val="24"/>
                <w:highlight w:val="none"/>
              </w:rPr>
              <w:t>00万块页岩砖，项目生产工艺采用隧道焙烧窑余热利用系统，将隧道焙烧窑预热段烟气用送热风机送至隧道烘干窑作为干燥的热介质。</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项目点火引燃时用褐煤，点火以后主要依靠砖坯内的褐煤自身燃烧产生的热量进行烧结制砖，项目使用的褐煤既是燃料又是原料，褐煤本身含有一定量的硫，页岩中含有一定氟，燃烧产生烟气主要污染物是烟尘、SO</w:t>
            </w:r>
            <w:r>
              <w:rPr>
                <w:rFonts w:hint="default" w:ascii="Times New Roman" w:hAnsi="Times New Roman" w:eastAsia="宋体" w:cs="Times New Roman"/>
                <w:color w:val="auto"/>
                <w:kern w:val="0"/>
                <w:sz w:val="24"/>
                <w:szCs w:val="24"/>
                <w:highlight w:val="none"/>
                <w:vertAlign w:val="subscript"/>
              </w:rPr>
              <w:t>2</w:t>
            </w:r>
            <w:r>
              <w:rPr>
                <w:rFonts w:hint="default" w:ascii="Times New Roman" w:hAnsi="Times New Roman" w:eastAsia="宋体" w:cs="Times New Roman"/>
                <w:color w:val="auto"/>
                <w:kern w:val="0"/>
                <w:sz w:val="24"/>
                <w:szCs w:val="24"/>
                <w:highlight w:val="none"/>
              </w:rPr>
              <w:t>、氮氧化物和氟化物。</w:t>
            </w:r>
            <w:r>
              <w:rPr>
                <w:rFonts w:hint="default" w:ascii="Times New Roman" w:hAnsi="Times New Roman" w:eastAsia="宋体" w:cs="Times New Roman"/>
                <w:color w:val="auto"/>
                <w:sz w:val="24"/>
                <w:szCs w:val="24"/>
                <w:highlight w:val="none"/>
                <w:u w:val="none" w:color="auto"/>
              </w:rPr>
              <w:t>由于本项目将污水处理厂的污泥作为原材料添加到制砖工序中，既可以解决污泥难处理的问题，又可以利用污泥的热值，减少</w:t>
            </w:r>
            <w:r>
              <w:rPr>
                <w:rFonts w:hint="default" w:ascii="Times New Roman" w:hAnsi="Times New Roman" w:eastAsia="宋体" w:cs="Times New Roman"/>
                <w:color w:val="auto"/>
                <w:sz w:val="24"/>
                <w:szCs w:val="24"/>
                <w:highlight w:val="none"/>
                <w:u w:val="none" w:color="auto"/>
                <w:lang w:eastAsia="zh-CN"/>
              </w:rPr>
              <w:t>页岩</w:t>
            </w:r>
            <w:r>
              <w:rPr>
                <w:rFonts w:hint="default" w:ascii="Times New Roman" w:hAnsi="Times New Roman" w:eastAsia="宋体" w:cs="Times New Roman"/>
                <w:color w:val="auto"/>
                <w:sz w:val="24"/>
                <w:szCs w:val="24"/>
                <w:highlight w:val="none"/>
                <w:u w:val="none" w:color="auto"/>
              </w:rPr>
              <w:t>的用量。</w:t>
            </w:r>
            <w:r>
              <w:rPr>
                <w:rFonts w:hint="default" w:ascii="Times New Roman" w:hAnsi="Times New Roman" w:eastAsia="宋体" w:cs="Times New Roman"/>
                <w:color w:val="auto"/>
                <w:sz w:val="24"/>
                <w:szCs w:val="24"/>
                <w:highlight w:val="none"/>
                <w:u w:val="none" w:color="auto"/>
                <w:lang w:val="en-US" w:eastAsia="zh-CN"/>
              </w:rPr>
              <w:t>项目为改扩建项目，产能有原来的5000万块/年增加到6200万块/年。</w:t>
            </w:r>
            <w:r>
              <w:rPr>
                <w:rFonts w:hint="default" w:ascii="Times New Roman" w:hAnsi="Times New Roman" w:eastAsia="宋体" w:cs="Times New Roman"/>
                <w:color w:val="auto"/>
                <w:sz w:val="24"/>
                <w:szCs w:val="24"/>
                <w:highlight w:val="none"/>
                <w:u w:val="none" w:color="auto"/>
              </w:rPr>
              <w:t>通过核算，添加污泥后，污泥用量</w:t>
            </w:r>
            <w:r>
              <w:rPr>
                <w:rFonts w:hint="default" w:ascii="Times New Roman" w:hAnsi="Times New Roman" w:eastAsia="宋体" w:cs="Times New Roman"/>
                <w:color w:val="auto"/>
                <w:sz w:val="24"/>
                <w:szCs w:val="24"/>
                <w:highlight w:val="none"/>
                <w:u w:val="none" w:color="auto"/>
                <w:lang w:val="en-US" w:eastAsia="zh-CN"/>
              </w:rPr>
              <w:t>为2.5834</w:t>
            </w:r>
            <w:r>
              <w:rPr>
                <w:rFonts w:hint="default" w:ascii="Times New Roman" w:hAnsi="Times New Roman" w:eastAsia="宋体" w:cs="Times New Roman"/>
                <w:color w:val="auto"/>
                <w:sz w:val="24"/>
                <w:szCs w:val="24"/>
                <w:highlight w:val="none"/>
                <w:u w:val="none" w:color="auto"/>
              </w:rPr>
              <w:t>万t/a</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砖厂</w:t>
            </w:r>
            <w:r>
              <w:rPr>
                <w:rFonts w:hint="default" w:ascii="Times New Roman" w:hAnsi="Times New Roman" w:eastAsia="宋体" w:cs="Times New Roman"/>
                <w:color w:val="auto"/>
                <w:sz w:val="24"/>
                <w:szCs w:val="24"/>
                <w:highlight w:val="none"/>
                <w:u w:val="none" w:color="auto"/>
                <w:lang w:eastAsia="zh-CN"/>
              </w:rPr>
              <w:t>页岩</w:t>
            </w:r>
            <w:r>
              <w:rPr>
                <w:rFonts w:hint="default" w:ascii="Times New Roman" w:hAnsi="Times New Roman" w:eastAsia="宋体" w:cs="Times New Roman"/>
                <w:color w:val="auto"/>
                <w:sz w:val="24"/>
                <w:szCs w:val="24"/>
                <w:highlight w:val="none"/>
                <w:u w:val="none" w:color="auto"/>
              </w:rPr>
              <w:t>用量由</w:t>
            </w:r>
            <w:r>
              <w:rPr>
                <w:rFonts w:hint="default" w:ascii="Times New Roman" w:hAnsi="Times New Roman" w:eastAsia="宋体" w:cs="Times New Roman"/>
                <w:color w:val="auto"/>
                <w:sz w:val="24"/>
                <w:szCs w:val="24"/>
                <w:highlight w:val="none"/>
                <w:u w:val="none" w:color="auto"/>
                <w:lang w:val="en-US" w:eastAsia="zh-CN"/>
              </w:rPr>
              <w:t>12.5</w:t>
            </w:r>
            <w:r>
              <w:rPr>
                <w:rFonts w:hint="default" w:ascii="Times New Roman" w:hAnsi="Times New Roman" w:eastAsia="宋体" w:cs="Times New Roman"/>
                <w:color w:val="auto"/>
                <w:sz w:val="24"/>
                <w:szCs w:val="24"/>
                <w:highlight w:val="none"/>
                <w:u w:val="none" w:color="auto"/>
              </w:rPr>
              <w:t>万t/a</w:t>
            </w:r>
            <w:r>
              <w:rPr>
                <w:rFonts w:hint="default" w:ascii="Times New Roman" w:hAnsi="Times New Roman" w:eastAsia="宋体" w:cs="Times New Roman"/>
                <w:color w:val="auto"/>
                <w:sz w:val="24"/>
                <w:szCs w:val="24"/>
                <w:highlight w:val="none"/>
                <w:u w:val="none" w:color="auto"/>
                <w:lang w:val="en-US" w:eastAsia="zh-CN"/>
              </w:rPr>
              <w:t>增加</w:t>
            </w:r>
            <w:r>
              <w:rPr>
                <w:rFonts w:hint="default" w:ascii="Times New Roman" w:hAnsi="Times New Roman" w:eastAsia="宋体" w:cs="Times New Roman"/>
                <w:color w:val="auto"/>
                <w:sz w:val="24"/>
                <w:szCs w:val="24"/>
                <w:highlight w:val="none"/>
                <w:u w:val="none" w:color="auto"/>
              </w:rPr>
              <w:t>到</w:t>
            </w:r>
            <w:r>
              <w:rPr>
                <w:rFonts w:hint="default" w:ascii="Times New Roman" w:hAnsi="Times New Roman" w:eastAsia="宋体" w:cs="Times New Roman"/>
                <w:color w:val="auto"/>
                <w:sz w:val="24"/>
                <w:szCs w:val="24"/>
                <w:highlight w:val="none"/>
                <w:u w:val="none" w:color="auto"/>
                <w:lang w:val="en-US" w:eastAsia="zh-CN"/>
              </w:rPr>
              <w:t>12.9167</w:t>
            </w:r>
            <w:r>
              <w:rPr>
                <w:rFonts w:hint="default" w:ascii="Times New Roman" w:hAnsi="Times New Roman" w:eastAsia="宋体" w:cs="Times New Roman"/>
                <w:color w:val="auto"/>
                <w:sz w:val="24"/>
                <w:szCs w:val="24"/>
                <w:highlight w:val="none"/>
                <w:u w:val="none" w:color="auto"/>
              </w:rPr>
              <w:t>万t/a，</w:t>
            </w:r>
            <w:r>
              <w:rPr>
                <w:rFonts w:hint="default" w:ascii="Times New Roman" w:hAnsi="Times New Roman" w:eastAsia="宋体" w:cs="Times New Roman"/>
                <w:color w:val="auto"/>
                <w:sz w:val="24"/>
                <w:szCs w:val="24"/>
                <w:highlight w:val="none"/>
                <w:u w:val="none" w:color="auto"/>
                <w:lang w:val="en-US" w:eastAsia="zh-CN"/>
              </w:rPr>
              <w:t>褐煤</w:t>
            </w:r>
            <w:r>
              <w:rPr>
                <w:rFonts w:hint="default" w:ascii="Times New Roman" w:hAnsi="Times New Roman" w:eastAsia="宋体" w:cs="Times New Roman"/>
                <w:color w:val="auto"/>
                <w:sz w:val="24"/>
                <w:szCs w:val="24"/>
                <w:highlight w:val="none"/>
                <w:u w:val="none" w:color="auto"/>
              </w:rPr>
              <w:t>用量由</w:t>
            </w:r>
            <w:r>
              <w:rPr>
                <w:rFonts w:hint="default" w:ascii="Times New Roman" w:hAnsi="Times New Roman" w:eastAsia="宋体" w:cs="Times New Roman"/>
                <w:color w:val="auto"/>
                <w:sz w:val="24"/>
                <w:szCs w:val="24"/>
                <w:highlight w:val="none"/>
                <w:u w:val="none" w:color="auto"/>
                <w:lang w:val="en-US" w:eastAsia="zh-CN"/>
              </w:rPr>
              <w:t>2</w:t>
            </w:r>
            <w:r>
              <w:rPr>
                <w:rFonts w:hint="default" w:ascii="Times New Roman" w:hAnsi="Times New Roman" w:eastAsia="宋体" w:cs="Times New Roman"/>
                <w:color w:val="auto"/>
                <w:sz w:val="24"/>
                <w:szCs w:val="24"/>
                <w:highlight w:val="none"/>
                <w:u w:val="none" w:color="auto"/>
              </w:rPr>
              <w:t>万t/a</w:t>
            </w:r>
            <w:r>
              <w:rPr>
                <w:rFonts w:hint="default" w:ascii="Times New Roman" w:hAnsi="Times New Roman" w:eastAsia="宋体" w:cs="Times New Roman"/>
                <w:color w:val="auto"/>
                <w:sz w:val="24"/>
                <w:szCs w:val="24"/>
                <w:highlight w:val="none"/>
                <w:u w:val="none" w:color="auto"/>
                <w:lang w:val="en-US" w:eastAsia="zh-CN"/>
              </w:rPr>
              <w:t>增加</w:t>
            </w:r>
            <w:r>
              <w:rPr>
                <w:rFonts w:hint="default" w:ascii="Times New Roman" w:hAnsi="Times New Roman" w:eastAsia="宋体" w:cs="Times New Roman"/>
                <w:color w:val="auto"/>
                <w:sz w:val="24"/>
                <w:szCs w:val="24"/>
                <w:highlight w:val="none"/>
                <w:u w:val="none" w:color="auto"/>
              </w:rPr>
              <w:t>到</w:t>
            </w:r>
            <w:r>
              <w:rPr>
                <w:rFonts w:hint="default" w:ascii="Times New Roman" w:hAnsi="Times New Roman" w:eastAsia="宋体" w:cs="Times New Roman"/>
                <w:color w:val="auto"/>
                <w:sz w:val="24"/>
                <w:szCs w:val="24"/>
                <w:highlight w:val="none"/>
                <w:u w:val="none" w:color="auto"/>
                <w:lang w:val="en-US" w:eastAsia="zh-CN"/>
              </w:rPr>
              <w:t>2.48</w:t>
            </w:r>
            <w:r>
              <w:rPr>
                <w:rFonts w:hint="default" w:ascii="Times New Roman" w:hAnsi="Times New Roman" w:eastAsia="宋体" w:cs="Times New Roman"/>
                <w:color w:val="auto"/>
                <w:sz w:val="24"/>
                <w:szCs w:val="24"/>
                <w:highlight w:val="none"/>
                <w:u w:val="none" w:color="auto"/>
              </w:rPr>
              <w:t>万t/a，</w:t>
            </w:r>
            <w:r>
              <w:rPr>
                <w:rFonts w:hint="default" w:ascii="Times New Roman" w:hAnsi="Times New Roman" w:eastAsia="宋体" w:cs="Times New Roman"/>
                <w:color w:val="auto"/>
                <w:sz w:val="24"/>
                <w:szCs w:val="24"/>
                <w:highlight w:val="none"/>
                <w:u w:val="none" w:color="auto"/>
                <w:lang w:val="en-US" w:eastAsia="zh-CN"/>
              </w:rPr>
              <w:t>炉渣</w:t>
            </w:r>
            <w:r>
              <w:rPr>
                <w:rFonts w:hint="default" w:ascii="Times New Roman" w:hAnsi="Times New Roman" w:eastAsia="宋体" w:cs="Times New Roman"/>
                <w:color w:val="auto"/>
                <w:sz w:val="24"/>
                <w:szCs w:val="24"/>
                <w:highlight w:val="none"/>
                <w:u w:val="none" w:color="auto"/>
              </w:rPr>
              <w:t>用量由</w:t>
            </w:r>
            <w:r>
              <w:rPr>
                <w:rFonts w:hint="default" w:ascii="Times New Roman" w:hAnsi="Times New Roman" w:eastAsia="宋体" w:cs="Times New Roman"/>
                <w:color w:val="auto"/>
                <w:sz w:val="24"/>
                <w:szCs w:val="24"/>
                <w:highlight w:val="none"/>
                <w:u w:val="none" w:color="auto"/>
                <w:lang w:val="en-US" w:eastAsia="zh-CN"/>
              </w:rPr>
              <w:t>0.3</w:t>
            </w:r>
            <w:r>
              <w:rPr>
                <w:rFonts w:hint="default" w:ascii="Times New Roman" w:hAnsi="Times New Roman" w:eastAsia="宋体" w:cs="Times New Roman"/>
                <w:color w:val="auto"/>
                <w:sz w:val="24"/>
                <w:szCs w:val="24"/>
                <w:highlight w:val="none"/>
                <w:u w:val="none" w:color="auto"/>
              </w:rPr>
              <w:t>万t/a</w:t>
            </w:r>
            <w:r>
              <w:rPr>
                <w:rFonts w:hint="default" w:ascii="Times New Roman" w:hAnsi="Times New Roman" w:eastAsia="宋体" w:cs="Times New Roman"/>
                <w:color w:val="auto"/>
                <w:sz w:val="24"/>
                <w:szCs w:val="24"/>
                <w:highlight w:val="none"/>
                <w:u w:val="none" w:color="auto"/>
                <w:lang w:val="en-US" w:eastAsia="zh-CN"/>
              </w:rPr>
              <w:t>增加</w:t>
            </w:r>
            <w:r>
              <w:rPr>
                <w:rFonts w:hint="default" w:ascii="Times New Roman" w:hAnsi="Times New Roman" w:eastAsia="宋体" w:cs="Times New Roman"/>
                <w:color w:val="auto"/>
                <w:sz w:val="24"/>
                <w:szCs w:val="24"/>
                <w:highlight w:val="none"/>
                <w:u w:val="none" w:color="auto"/>
              </w:rPr>
              <w:t>到</w:t>
            </w:r>
            <w:r>
              <w:rPr>
                <w:rFonts w:hint="default" w:ascii="Times New Roman" w:hAnsi="Times New Roman" w:eastAsia="宋体" w:cs="Times New Roman"/>
                <w:color w:val="auto"/>
                <w:sz w:val="24"/>
                <w:szCs w:val="24"/>
                <w:highlight w:val="none"/>
                <w:u w:val="none" w:color="auto"/>
                <w:lang w:val="en-US" w:eastAsia="zh-CN"/>
              </w:rPr>
              <w:t>0.372</w:t>
            </w:r>
            <w:r>
              <w:rPr>
                <w:rFonts w:hint="default" w:ascii="Times New Roman" w:hAnsi="Times New Roman" w:eastAsia="宋体" w:cs="Times New Roman"/>
                <w:color w:val="auto"/>
                <w:sz w:val="24"/>
                <w:szCs w:val="24"/>
                <w:highlight w:val="none"/>
                <w:u w:val="none" w:color="auto"/>
              </w:rPr>
              <w:t>万t/a，</w:t>
            </w:r>
            <w:r>
              <w:rPr>
                <w:rFonts w:hint="default" w:ascii="Times New Roman" w:hAnsi="Times New Roman" w:eastAsia="宋体" w:cs="Times New Roman"/>
                <w:color w:val="auto"/>
                <w:sz w:val="24"/>
                <w:szCs w:val="24"/>
                <w:highlight w:val="none"/>
                <w:u w:val="none" w:color="auto"/>
                <w:lang w:val="en-US" w:eastAsia="zh-CN"/>
              </w:rPr>
              <w:t>煤</w:t>
            </w:r>
            <w:r>
              <w:rPr>
                <w:rFonts w:hint="default" w:ascii="Times New Roman" w:hAnsi="Times New Roman" w:eastAsia="宋体" w:cs="Times New Roman"/>
                <w:color w:val="auto"/>
                <w:sz w:val="24"/>
                <w:szCs w:val="24"/>
                <w:highlight w:val="none"/>
                <w:u w:val="none" w:color="auto"/>
              </w:rPr>
              <w:t>用量</w:t>
            </w:r>
            <w:r>
              <w:rPr>
                <w:rFonts w:hint="default" w:ascii="Times New Roman" w:hAnsi="Times New Roman" w:eastAsia="宋体" w:cs="Times New Roman"/>
                <w:color w:val="auto"/>
                <w:sz w:val="24"/>
                <w:szCs w:val="24"/>
                <w:highlight w:val="none"/>
                <w:u w:val="none" w:color="auto"/>
                <w:lang w:val="en-US" w:eastAsia="zh-CN"/>
              </w:rPr>
              <w:t>增加</w:t>
            </w: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color w:val="auto"/>
                <w:sz w:val="24"/>
                <w:szCs w:val="24"/>
                <w:highlight w:val="none"/>
                <w:u w:val="none" w:color="auto"/>
                <w:lang w:val="en-US" w:eastAsia="zh-CN"/>
              </w:rPr>
              <w:t>但</w:t>
            </w:r>
            <w:r>
              <w:rPr>
                <w:rFonts w:hint="default" w:ascii="Times New Roman" w:hAnsi="Times New Roman" w:eastAsia="宋体" w:cs="Times New Roman"/>
                <w:color w:val="auto"/>
                <w:sz w:val="24"/>
                <w:szCs w:val="24"/>
                <w:highlight w:val="none"/>
                <w:u w:val="none" w:color="auto"/>
              </w:rPr>
              <w:t>项目所需热值保持不变</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lang w:val="en-US" w:eastAsia="zh-CN"/>
              </w:rPr>
              <w:t>项目使用的</w:t>
            </w:r>
            <w:r>
              <w:rPr>
                <w:rFonts w:hint="default" w:ascii="Times New Roman" w:hAnsi="Times New Roman" w:eastAsia="宋体" w:cs="Times New Roman"/>
                <w:color w:val="auto"/>
                <w:sz w:val="24"/>
                <w:szCs w:val="24"/>
                <w:highlight w:val="none"/>
                <w:u w:val="none" w:color="auto"/>
              </w:rPr>
              <w:t>污泥</w:t>
            </w:r>
            <w:r>
              <w:rPr>
                <w:rFonts w:hint="default" w:ascii="Times New Roman" w:hAnsi="Times New Roman" w:eastAsia="宋体" w:cs="Times New Roman"/>
                <w:color w:val="auto"/>
                <w:sz w:val="24"/>
                <w:szCs w:val="24"/>
                <w:highlight w:val="none"/>
                <w:u w:val="none" w:color="auto"/>
                <w:lang w:val="en-US" w:eastAsia="zh-CN"/>
              </w:rPr>
              <w:t>为一般固废，与其他原料混合烧制后不会产生其他污染物。</w:t>
            </w:r>
            <w:r>
              <w:rPr>
                <w:rFonts w:hint="default" w:ascii="Times New Roman" w:hAnsi="Times New Roman" w:eastAsia="宋体" w:cs="Times New Roman"/>
                <w:color w:val="auto"/>
                <w:kern w:val="0"/>
                <w:sz w:val="24"/>
                <w:szCs w:val="24"/>
                <w:highlight w:val="none"/>
              </w:rPr>
              <w:t>隧道焙烧窑的焙烧烟气经双碱法脱硫除尘装置+15m高烟囱排放</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根据《</w:t>
            </w:r>
            <w:r>
              <w:rPr>
                <w:rFonts w:hint="default" w:ascii="Times New Roman" w:hAnsi="Times New Roman" w:eastAsia="宋体" w:cs="Times New Roman"/>
                <w:color w:val="auto"/>
                <w:sz w:val="24"/>
                <w:szCs w:val="24"/>
                <w:highlight w:val="none"/>
              </w:rPr>
              <w:t>排放源统计调查产排污核算方法和系数手册</w:t>
            </w:r>
            <w:r>
              <w:rPr>
                <w:rFonts w:hint="default" w:ascii="Times New Roman" w:hAnsi="Times New Roman" w:eastAsia="宋体" w:cs="Times New Roman"/>
                <w:color w:val="auto"/>
                <w:kern w:val="0"/>
                <w:sz w:val="24"/>
                <w:szCs w:val="24"/>
                <w:highlight w:val="none"/>
              </w:rPr>
              <w:t>》中“303 砖瓦</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石材等建筑材料制造行业系数手册”中双碱法脱硫除尘装置除尘效率为85%，脱硫效率为90%；</w:t>
            </w:r>
            <w:r>
              <w:rPr>
                <w:rFonts w:hint="default" w:ascii="Times New Roman" w:hAnsi="Times New Roman" w:eastAsia="宋体" w:cs="Times New Roman"/>
                <w:color w:val="auto"/>
                <w:kern w:val="0"/>
                <w:sz w:val="24"/>
                <w:szCs w:val="24"/>
                <w:highlight w:val="none"/>
                <w:lang w:val="en-US" w:eastAsia="zh-CN"/>
              </w:rPr>
              <w:t>项目风量根据项目实际设置进行核算，</w:t>
            </w:r>
            <w:r>
              <w:rPr>
                <w:rFonts w:hint="default" w:ascii="Times New Roman" w:hAnsi="Times New Roman" w:eastAsia="宋体" w:cs="Times New Roman"/>
                <w:color w:val="auto"/>
                <w:kern w:val="0"/>
                <w:sz w:val="24"/>
                <w:szCs w:val="24"/>
                <w:highlight w:val="none"/>
              </w:rPr>
              <w:t>项目风机风量为</w:t>
            </w:r>
            <w:r>
              <w:rPr>
                <w:rFonts w:hint="default" w:ascii="Times New Roman" w:hAnsi="Times New Roman" w:eastAsia="宋体" w:cs="Times New Roman"/>
                <w:color w:val="auto"/>
                <w:kern w:val="0"/>
                <w:sz w:val="24"/>
                <w:szCs w:val="24"/>
                <w:highlight w:val="none"/>
                <w:lang w:val="en-US" w:eastAsia="zh-CN"/>
              </w:rPr>
              <w:t>60000</w:t>
            </w:r>
            <w:r>
              <w:rPr>
                <w:rFonts w:hint="default" w:ascii="Times New Roman" w:hAnsi="Times New Roman" w:eastAsia="宋体" w:cs="Times New Roman"/>
                <w:color w:val="auto"/>
                <w:kern w:val="0"/>
                <w:sz w:val="24"/>
                <w:szCs w:val="24"/>
                <w:highlight w:val="none"/>
              </w:rPr>
              <w:t>m³/h。</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项目污染物根据《</w:t>
            </w:r>
            <w:r>
              <w:rPr>
                <w:rFonts w:hint="default" w:ascii="Times New Roman" w:hAnsi="Times New Roman" w:eastAsia="宋体" w:cs="Times New Roman"/>
                <w:color w:val="auto"/>
                <w:sz w:val="24"/>
                <w:szCs w:val="24"/>
                <w:highlight w:val="none"/>
              </w:rPr>
              <w:t>排放源统计调查产排污核算方法和系数手册</w:t>
            </w:r>
            <w:r>
              <w:rPr>
                <w:rFonts w:hint="default" w:ascii="Times New Roman" w:hAnsi="Times New Roman" w:eastAsia="宋体" w:cs="Times New Roman"/>
                <w:color w:val="auto"/>
                <w:kern w:val="0"/>
                <w:sz w:val="24"/>
                <w:szCs w:val="24"/>
                <w:highlight w:val="none"/>
              </w:rPr>
              <w:t>》中“303 砖瓦</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石材等建筑材料制造行业系数手册”</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3031 粘土砖瓦及建筑砌块制造系数表</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进行核算，</w:t>
            </w:r>
            <w:r>
              <w:rPr>
                <w:rFonts w:hint="default" w:ascii="Times New Roman" w:hAnsi="Times New Roman" w:eastAsia="宋体" w:cs="Times New Roman"/>
                <w:color w:val="auto"/>
                <w:kern w:val="0"/>
                <w:sz w:val="24"/>
                <w:szCs w:val="24"/>
                <w:highlight w:val="none"/>
              </w:rPr>
              <w:t>产排污系数见下表：</w:t>
            </w:r>
          </w:p>
          <w:p>
            <w:pPr>
              <w:pStyle w:val="73"/>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highlight w:val="none"/>
              </w:rPr>
            </w:pPr>
          </w:p>
          <w:p>
            <w:pPr>
              <w:pStyle w:val="73"/>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highlight w:val="none"/>
              </w:rPr>
            </w:pPr>
          </w:p>
          <w:p>
            <w:pPr>
              <w:pStyle w:val="73"/>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highlight w:val="none"/>
              </w:rPr>
            </w:pPr>
          </w:p>
          <w:p>
            <w:pPr>
              <w:pStyle w:val="73"/>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highlight w:val="none"/>
              </w:rPr>
            </w:pPr>
          </w:p>
          <w:p>
            <w:pPr>
              <w:pStyle w:val="73"/>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highlight w:val="none"/>
              </w:rPr>
            </w:pPr>
          </w:p>
          <w:p>
            <w:pPr>
              <w:pStyle w:val="73"/>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highlight w:val="none"/>
              </w:rPr>
            </w:pPr>
          </w:p>
          <w:p>
            <w:pPr>
              <w:pStyle w:val="73"/>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highlight w:val="none"/>
              </w:rPr>
            </w:pPr>
          </w:p>
          <w:p>
            <w:pPr>
              <w:pStyle w:val="73"/>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color w:val="auto"/>
                <w:highlight w:val="none"/>
              </w:rPr>
              <w:t>表4.2-</w:t>
            </w:r>
            <w:r>
              <w:rPr>
                <w:rFonts w:hint="default" w:ascii="Times New Roman" w:hAnsi="Times New Roman" w:eastAsia="宋体" w:cs="Times New Roman"/>
                <w:b/>
                <w:color w:val="auto"/>
                <w:highlight w:val="none"/>
                <w:lang w:val="en-US" w:eastAsia="zh-CN"/>
              </w:rPr>
              <w:t>1</w:t>
            </w:r>
            <w:r>
              <w:rPr>
                <w:rFonts w:hint="default" w:ascii="Times New Roman" w:hAnsi="Times New Roman" w:eastAsia="宋体" w:cs="Times New Roman"/>
                <w:b/>
                <w:color w:val="auto"/>
                <w:highlight w:val="none"/>
              </w:rPr>
              <w:t xml:space="preserve">   粘土砖瓦及建筑砌块制造系数表</w:t>
            </w:r>
          </w:p>
          <w:tbl>
            <w:tblPr>
              <w:tblStyle w:val="23"/>
              <w:tblW w:w="8126" w:type="dxa"/>
              <w:jc w:val="center"/>
              <w:tblBorders>
                <w:top w:val="none" w:color="auto" w:sz="0" w:space="0"/>
                <w:left w:val="none" w:color="auto" w:sz="0" w:space="0"/>
                <w:bottom w:val="single" w:color="000000"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56"/>
              <w:gridCol w:w="664"/>
              <w:gridCol w:w="686"/>
              <w:gridCol w:w="694"/>
              <w:gridCol w:w="1250"/>
              <w:gridCol w:w="972"/>
              <w:gridCol w:w="904"/>
              <w:gridCol w:w="1338"/>
              <w:gridCol w:w="962"/>
            </w:tblGrid>
            <w:tr>
              <w:tblPrEx>
                <w:tblBorders>
                  <w:top w:val="none" w:color="auto" w:sz="0"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481" w:hRule="atLeast"/>
                <w:jc w:val="center"/>
              </w:trPr>
              <w:tc>
                <w:tcPr>
                  <w:tcW w:w="403" w:type="pct"/>
                  <w:tcBorders>
                    <w:top w:val="single" w:color="000000" w:sz="4" w:space="0"/>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产品</w:t>
                  </w:r>
                </w:p>
                <w:p>
                  <w:pPr>
                    <w:pStyle w:val="71"/>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原料</w:t>
                  </w:r>
                </w:p>
                <w:p>
                  <w:pPr>
                    <w:pStyle w:val="71"/>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工艺</w:t>
                  </w:r>
                </w:p>
                <w:p>
                  <w:pPr>
                    <w:pStyle w:val="71"/>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427" w:type="pct"/>
                  <w:tcBorders>
                    <w:top w:val="single" w:color="000000" w:sz="4" w:space="0"/>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规模</w:t>
                  </w:r>
                </w:p>
                <w:p>
                  <w:pPr>
                    <w:pStyle w:val="71"/>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等级</w:t>
                  </w:r>
                </w:p>
              </w:tc>
              <w:tc>
                <w:tcPr>
                  <w:tcW w:w="769" w:type="pct"/>
                  <w:tcBorders>
                    <w:top w:val="single" w:color="000000" w:sz="4" w:space="0"/>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污染物指标</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单位</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产污系数</w:t>
                  </w:r>
                </w:p>
              </w:tc>
              <w:tc>
                <w:tcPr>
                  <w:tcW w:w="823" w:type="pct"/>
                  <w:tcBorders>
                    <w:top w:val="single" w:color="000000" w:sz="4" w:space="0"/>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6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末端治理技术名称</w:t>
                  </w:r>
                </w:p>
              </w:tc>
              <w:tc>
                <w:tcPr>
                  <w:tcW w:w="591" w:type="pct"/>
                  <w:tcBorders>
                    <w:top w:val="single" w:color="000000" w:sz="4" w:space="0"/>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去除率%</w:t>
                  </w:r>
                </w:p>
              </w:tc>
            </w:tr>
            <w:tr>
              <w:tblPrEx>
                <w:tblBorders>
                  <w:top w:val="none" w:color="auto" w:sz="0"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464" w:hRule="atLeast"/>
                <w:jc w:val="center"/>
              </w:trPr>
              <w:tc>
                <w:tcPr>
                  <w:tcW w:w="40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烧结类砖瓦及建筑砌块</w:t>
                  </w:r>
                </w:p>
              </w:tc>
              <w:tc>
                <w:tcPr>
                  <w:tcW w:w="40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粘土、页岩、粉煤灰</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污泥等</w:t>
                  </w:r>
                </w:p>
              </w:tc>
              <w:tc>
                <w:tcPr>
                  <w:tcW w:w="42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砖瓦工业焙烧窑炉(单条)（燃煤等）</w:t>
                  </w:r>
                </w:p>
              </w:tc>
              <w:tc>
                <w:tcPr>
                  <w:tcW w:w="42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000万块标砖/年</w:t>
                  </w:r>
                </w:p>
              </w:tc>
              <w:tc>
                <w:tcPr>
                  <w:tcW w:w="769" w:type="pct"/>
                  <w:vMerge w:val="restart"/>
                  <w:tcBorders>
                    <w:top w:val="single" w:color="000000" w:sz="4" w:space="0"/>
                    <w:left w:val="single" w:color="000000" w:sz="4" w:space="0"/>
                    <w:right w:val="single" w:color="000000" w:sz="4" w:space="0"/>
                  </w:tcBorders>
                  <w:noWrap w:val="0"/>
                  <w:vAlign w:val="center"/>
                </w:tcPr>
                <w:p>
                  <w:pPr>
                    <w:pStyle w:val="71"/>
                    <w:keepNext w:val="0"/>
                    <w:keepLines w:val="0"/>
                    <w:widowControl w:val="0"/>
                    <w:suppressLineNumbers w:val="0"/>
                    <w:spacing w:before="61"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颗粒物（窑炉）（燃煤等） </w:t>
                  </w:r>
                </w:p>
              </w:tc>
              <w:tc>
                <w:tcPr>
                  <w:tcW w:w="598" w:type="pct"/>
                  <w:vMerge w:val="restart"/>
                  <w:tcBorders>
                    <w:top w:val="single" w:color="000000" w:sz="4" w:space="0"/>
                    <w:left w:val="single" w:color="000000" w:sz="4" w:space="0"/>
                    <w:right w:val="single" w:color="000000" w:sz="4" w:space="0"/>
                  </w:tcBorders>
                  <w:noWrap w:val="0"/>
                  <w:vAlign w:val="center"/>
                </w:tcPr>
                <w:p>
                  <w:pPr>
                    <w:pStyle w:val="71"/>
                    <w:keepNext w:val="0"/>
                    <w:keepLines w:val="0"/>
                    <w:widowControl w:val="0"/>
                    <w:suppressLineNumbers w:val="0"/>
                    <w:spacing w:before="61"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千克/万块标砖</w:t>
                  </w:r>
                </w:p>
              </w:tc>
              <w:tc>
                <w:tcPr>
                  <w:tcW w:w="556" w:type="pct"/>
                  <w:vMerge w:val="restart"/>
                  <w:tcBorders>
                    <w:top w:val="single" w:color="000000" w:sz="4" w:space="0"/>
                    <w:left w:val="single" w:color="000000" w:sz="4" w:space="0"/>
                    <w:right w:val="single" w:color="000000" w:sz="4" w:space="0"/>
                  </w:tcBorders>
                  <w:noWrap w:val="0"/>
                  <w:vAlign w:val="center"/>
                </w:tcPr>
                <w:p>
                  <w:pPr>
                    <w:pStyle w:val="71"/>
                    <w:keepNext w:val="0"/>
                    <w:keepLines w:val="0"/>
                    <w:widowControl w:val="0"/>
                    <w:suppressLineNumbers w:val="0"/>
                    <w:spacing w:before="172"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6.08</w:t>
                  </w:r>
                </w:p>
              </w:tc>
              <w:tc>
                <w:tcPr>
                  <w:tcW w:w="823" w:type="pct"/>
                  <w:tcBorders>
                    <w:top w:val="single" w:color="000000" w:sz="4" w:space="0"/>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156"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湿式除尘 </w:t>
                  </w:r>
                </w:p>
              </w:tc>
              <w:tc>
                <w:tcPr>
                  <w:tcW w:w="591" w:type="pct"/>
                  <w:tcBorders>
                    <w:top w:val="single" w:color="000000" w:sz="4" w:space="0"/>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172"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85</w:t>
                  </w:r>
                </w:p>
              </w:tc>
            </w:tr>
            <w:tr>
              <w:tblPrEx>
                <w:tblBorders>
                  <w:top w:val="none" w:color="auto" w:sz="0"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24" w:hRule="atLeast"/>
                <w:jc w:val="center"/>
              </w:trPr>
              <w:tc>
                <w:tcPr>
                  <w:tcW w:w="403" w:type="pct"/>
                  <w:vMerge w:val="continue"/>
                  <w:tcBorders>
                    <w:left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08" w:type="pct"/>
                  <w:vMerge w:val="continue"/>
                  <w:tcBorders>
                    <w:left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22" w:type="pct"/>
                  <w:vMerge w:val="continue"/>
                  <w:tcBorders>
                    <w:left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27" w:type="pct"/>
                  <w:vMerge w:val="continue"/>
                  <w:tcBorders>
                    <w:left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69" w:type="pct"/>
                  <w:vMerge w:val="continue"/>
                  <w:tcBorders>
                    <w:left w:val="single" w:color="000000" w:sz="4" w:space="0"/>
                    <w:right w:val="single" w:color="000000" w:sz="4" w:space="0"/>
                  </w:tcBorders>
                  <w:noWrap w:val="0"/>
                  <w:vAlign w:val="center"/>
                </w:tcPr>
                <w:p>
                  <w:pPr>
                    <w:pStyle w:val="71"/>
                    <w:keepNext w:val="0"/>
                    <w:keepLines w:val="0"/>
                    <w:widowControl w:val="0"/>
                    <w:suppressLineNumbers w:val="0"/>
                    <w:spacing w:before="61"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98" w:type="pct"/>
                  <w:vMerge w:val="continue"/>
                  <w:tcBorders>
                    <w:left w:val="single" w:color="000000" w:sz="4" w:space="0"/>
                    <w:right w:val="single" w:color="000000" w:sz="4" w:space="0"/>
                  </w:tcBorders>
                  <w:noWrap w:val="0"/>
                  <w:vAlign w:val="center"/>
                </w:tcPr>
                <w:p>
                  <w:pPr>
                    <w:pStyle w:val="71"/>
                    <w:keepNext w:val="0"/>
                    <w:keepLines w:val="0"/>
                    <w:widowControl w:val="0"/>
                    <w:suppressLineNumbers w:val="0"/>
                    <w:spacing w:before="61"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56" w:type="pct"/>
                  <w:vMerge w:val="continue"/>
                  <w:tcBorders>
                    <w:left w:val="single" w:color="000000" w:sz="4" w:space="0"/>
                    <w:right w:val="single" w:color="000000" w:sz="4" w:space="0"/>
                  </w:tcBorders>
                  <w:noWrap w:val="0"/>
                  <w:vAlign w:val="center"/>
                </w:tcPr>
                <w:p>
                  <w:pPr>
                    <w:pStyle w:val="71"/>
                    <w:keepNext w:val="0"/>
                    <w:keepLines w:val="0"/>
                    <w:widowControl w:val="0"/>
                    <w:suppressLineNumbers w:val="0"/>
                    <w:spacing w:before="172"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823" w:type="pct"/>
                  <w:tcBorders>
                    <w:top w:val="single" w:color="000000" w:sz="4" w:space="0"/>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156"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袋式除尘 </w:t>
                  </w:r>
                </w:p>
              </w:tc>
              <w:tc>
                <w:tcPr>
                  <w:tcW w:w="591" w:type="pct"/>
                  <w:tcBorders>
                    <w:top w:val="single" w:color="000000" w:sz="4" w:space="0"/>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172"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98</w:t>
                  </w:r>
                </w:p>
              </w:tc>
            </w:tr>
            <w:tr>
              <w:tblPrEx>
                <w:tblBorders>
                  <w:top w:val="none" w:color="auto" w:sz="0"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459" w:hRule="atLeast"/>
                <w:jc w:val="center"/>
              </w:trPr>
              <w:tc>
                <w:tcPr>
                  <w:tcW w:w="403" w:type="pct"/>
                  <w:vMerge w:val="continue"/>
                  <w:tcBorders>
                    <w:left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08" w:type="pct"/>
                  <w:vMerge w:val="continue"/>
                  <w:tcBorders>
                    <w:left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22" w:type="pct"/>
                  <w:vMerge w:val="continue"/>
                  <w:tcBorders>
                    <w:left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27" w:type="pct"/>
                  <w:vMerge w:val="continue"/>
                  <w:tcBorders>
                    <w:left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69" w:type="pct"/>
                  <w:vMerge w:val="continue"/>
                  <w:tcBorders>
                    <w:left w:val="single" w:color="000000" w:sz="4" w:space="0"/>
                    <w:right w:val="single" w:color="000000" w:sz="4" w:space="0"/>
                  </w:tcBorders>
                  <w:noWrap w:val="0"/>
                  <w:vAlign w:val="center"/>
                </w:tcPr>
                <w:p>
                  <w:pPr>
                    <w:pStyle w:val="71"/>
                    <w:keepNext w:val="0"/>
                    <w:keepLines w:val="0"/>
                    <w:widowControl w:val="0"/>
                    <w:suppressLineNumbers w:val="0"/>
                    <w:spacing w:before="61"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98" w:type="pct"/>
                  <w:vMerge w:val="continue"/>
                  <w:tcBorders>
                    <w:left w:val="single" w:color="000000" w:sz="4" w:space="0"/>
                    <w:right w:val="single" w:color="000000" w:sz="4" w:space="0"/>
                  </w:tcBorders>
                  <w:noWrap w:val="0"/>
                  <w:vAlign w:val="center"/>
                </w:tcPr>
                <w:p>
                  <w:pPr>
                    <w:pStyle w:val="71"/>
                    <w:keepNext w:val="0"/>
                    <w:keepLines w:val="0"/>
                    <w:widowControl w:val="0"/>
                    <w:suppressLineNumbers w:val="0"/>
                    <w:spacing w:before="61"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56" w:type="pct"/>
                  <w:vMerge w:val="continue"/>
                  <w:tcBorders>
                    <w:left w:val="single" w:color="000000" w:sz="4" w:space="0"/>
                    <w:right w:val="single" w:color="000000" w:sz="4" w:space="0"/>
                  </w:tcBorders>
                  <w:noWrap w:val="0"/>
                  <w:vAlign w:val="center"/>
                </w:tcPr>
                <w:p>
                  <w:pPr>
                    <w:pStyle w:val="71"/>
                    <w:keepNext w:val="0"/>
                    <w:keepLines w:val="0"/>
                    <w:widowControl w:val="0"/>
                    <w:suppressLineNumbers w:val="0"/>
                    <w:spacing w:before="172"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823" w:type="pct"/>
                  <w:tcBorders>
                    <w:top w:val="single" w:color="000000" w:sz="4" w:space="0"/>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156"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静电除尘（干式电除尘、湿式电除尘）</w:t>
                  </w:r>
                </w:p>
              </w:tc>
              <w:tc>
                <w:tcPr>
                  <w:tcW w:w="591" w:type="pct"/>
                  <w:tcBorders>
                    <w:top w:val="single" w:color="000000" w:sz="4" w:space="0"/>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172"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92</w:t>
                  </w:r>
                </w:p>
              </w:tc>
            </w:tr>
            <w:tr>
              <w:tblPrEx>
                <w:tblBorders>
                  <w:top w:val="none" w:color="auto" w:sz="0"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439" w:hRule="atLeast"/>
                <w:jc w:val="center"/>
              </w:trPr>
              <w:tc>
                <w:tcPr>
                  <w:tcW w:w="403" w:type="pct"/>
                  <w:vMerge w:val="continue"/>
                  <w:tcBorders>
                    <w:left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08" w:type="pct"/>
                  <w:vMerge w:val="continue"/>
                  <w:tcBorders>
                    <w:left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22" w:type="pct"/>
                  <w:vMerge w:val="continue"/>
                  <w:tcBorders>
                    <w:left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27" w:type="pct"/>
                  <w:vMerge w:val="continue"/>
                  <w:tcBorders>
                    <w:left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69" w:type="pct"/>
                  <w:vMerge w:val="continue"/>
                  <w:tcBorders>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61"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98" w:type="pct"/>
                  <w:vMerge w:val="continue"/>
                  <w:tcBorders>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61"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56" w:type="pct"/>
                  <w:vMerge w:val="continue"/>
                  <w:tcBorders>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172"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823" w:type="pct"/>
                  <w:tcBorders>
                    <w:top w:val="single" w:color="000000" w:sz="4" w:space="0"/>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156"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其他</w:t>
                  </w:r>
                  <w:r>
                    <w:rPr>
                      <w:rFonts w:hint="default" w:ascii="Times New Roman" w:hAnsi="Times New Roman" w:eastAsia="宋体" w:cs="Times New Roman"/>
                      <w:color w:val="auto"/>
                      <w:sz w:val="21"/>
                      <w:szCs w:val="21"/>
                      <w:highlight w:val="none"/>
                      <w:vertAlign w:val="superscript"/>
                      <w:lang w:val="en-US" w:eastAsia="zh-CN"/>
                    </w:rPr>
                    <w:t>①</w:t>
                  </w:r>
                </w:p>
              </w:tc>
              <w:tc>
                <w:tcPr>
                  <w:tcW w:w="591" w:type="pct"/>
                  <w:tcBorders>
                    <w:top w:val="single" w:color="000000" w:sz="4" w:space="0"/>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172"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w:t>
                  </w:r>
                </w:p>
              </w:tc>
            </w:tr>
            <w:tr>
              <w:tblPrEx>
                <w:tblBorders>
                  <w:top w:val="none" w:color="auto" w:sz="0"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411" w:hRule="atLeast"/>
                <w:jc w:val="center"/>
              </w:trPr>
              <w:tc>
                <w:tcPr>
                  <w:tcW w:w="40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0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2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2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69" w:type="pct"/>
                  <w:vMerge w:val="restart"/>
                  <w:tcBorders>
                    <w:top w:val="single" w:color="000000" w:sz="4" w:space="0"/>
                    <w:left w:val="single" w:color="000000" w:sz="4" w:space="0"/>
                    <w:right w:val="single" w:color="000000" w:sz="4" w:space="0"/>
                  </w:tcBorders>
                  <w:noWrap w:val="0"/>
                  <w:vAlign w:val="center"/>
                </w:tcPr>
                <w:p>
                  <w:pPr>
                    <w:pStyle w:val="71"/>
                    <w:keepNext w:val="0"/>
                    <w:keepLines w:val="0"/>
                    <w:widowControl w:val="0"/>
                    <w:suppressLineNumbers w:val="0"/>
                    <w:spacing w:before="81"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二氧化硫（窑炉）（燃煤等）</w:t>
                  </w:r>
                </w:p>
              </w:tc>
              <w:tc>
                <w:tcPr>
                  <w:tcW w:w="598" w:type="pct"/>
                  <w:vMerge w:val="restart"/>
                  <w:tcBorders>
                    <w:top w:val="single" w:color="000000" w:sz="4" w:space="0"/>
                    <w:left w:val="single" w:color="000000" w:sz="4" w:space="0"/>
                    <w:right w:val="single" w:color="000000" w:sz="4" w:space="0"/>
                  </w:tcBorders>
                  <w:noWrap w:val="0"/>
                  <w:vAlign w:val="center"/>
                </w:tcPr>
                <w:p>
                  <w:pPr>
                    <w:pStyle w:val="71"/>
                    <w:keepNext w:val="0"/>
                    <w:keepLines w:val="0"/>
                    <w:widowControl w:val="0"/>
                    <w:suppressLineNumbers w:val="0"/>
                    <w:spacing w:before="81"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千克/万块标砖</w:t>
                  </w:r>
                </w:p>
              </w:tc>
              <w:tc>
                <w:tcPr>
                  <w:tcW w:w="556" w:type="pct"/>
                  <w:vMerge w:val="restart"/>
                  <w:tcBorders>
                    <w:top w:val="single" w:color="000000" w:sz="4" w:space="0"/>
                    <w:left w:val="single" w:color="000000" w:sz="4" w:space="0"/>
                    <w:right w:val="single" w:color="000000" w:sz="4" w:space="0"/>
                  </w:tcBorders>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16.8</w:t>
                  </w:r>
                </w:p>
              </w:tc>
              <w:tc>
                <w:tcPr>
                  <w:tcW w:w="823" w:type="pct"/>
                  <w:tcBorders>
                    <w:top w:val="single" w:color="000000" w:sz="4" w:space="0"/>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6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石灰石/石灰-石膏湿法</w:t>
                  </w:r>
                </w:p>
              </w:tc>
              <w:tc>
                <w:tcPr>
                  <w:tcW w:w="591" w:type="pct"/>
                  <w:tcBorders>
                    <w:top w:val="single" w:color="000000" w:sz="4" w:space="0"/>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95</w:t>
                  </w:r>
                </w:p>
              </w:tc>
            </w:tr>
            <w:tr>
              <w:tblPrEx>
                <w:tblBorders>
                  <w:top w:val="none" w:color="auto" w:sz="0"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411" w:hRule="atLeast"/>
                <w:jc w:val="center"/>
              </w:trPr>
              <w:tc>
                <w:tcPr>
                  <w:tcW w:w="40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0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2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2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69" w:type="pct"/>
                  <w:vMerge w:val="continue"/>
                  <w:tcBorders>
                    <w:left w:val="single" w:color="000000" w:sz="4" w:space="0"/>
                    <w:right w:val="single" w:color="000000" w:sz="4" w:space="0"/>
                  </w:tcBorders>
                  <w:noWrap w:val="0"/>
                  <w:vAlign w:val="center"/>
                </w:tcPr>
                <w:p>
                  <w:pPr>
                    <w:pStyle w:val="71"/>
                    <w:keepNext w:val="0"/>
                    <w:keepLines w:val="0"/>
                    <w:widowControl w:val="0"/>
                    <w:suppressLineNumbers w:val="0"/>
                    <w:spacing w:before="81"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98" w:type="pct"/>
                  <w:vMerge w:val="continue"/>
                  <w:tcBorders>
                    <w:left w:val="single" w:color="000000" w:sz="4" w:space="0"/>
                    <w:right w:val="single" w:color="000000" w:sz="4" w:space="0"/>
                  </w:tcBorders>
                  <w:noWrap w:val="0"/>
                  <w:vAlign w:val="center"/>
                </w:tcPr>
                <w:p>
                  <w:pPr>
                    <w:pStyle w:val="71"/>
                    <w:keepNext w:val="0"/>
                    <w:keepLines w:val="0"/>
                    <w:widowControl w:val="0"/>
                    <w:suppressLineNumbers w:val="0"/>
                    <w:spacing w:before="81"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56" w:type="pct"/>
                  <w:vMerge w:val="continue"/>
                  <w:tcBorders>
                    <w:left w:val="single" w:color="000000" w:sz="4" w:space="0"/>
                    <w:right w:val="single" w:color="000000" w:sz="4" w:space="0"/>
                  </w:tcBorders>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823" w:type="pct"/>
                  <w:tcBorders>
                    <w:top w:val="single" w:color="000000" w:sz="4" w:space="0"/>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6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双碱法</w:t>
                  </w:r>
                </w:p>
              </w:tc>
              <w:tc>
                <w:tcPr>
                  <w:tcW w:w="591" w:type="pct"/>
                  <w:tcBorders>
                    <w:top w:val="single" w:color="000000" w:sz="4" w:space="0"/>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w:t>
                  </w:r>
                </w:p>
              </w:tc>
            </w:tr>
            <w:tr>
              <w:tblPrEx>
                <w:tblBorders>
                  <w:top w:val="none" w:color="auto" w:sz="0"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411" w:hRule="atLeast"/>
                <w:jc w:val="center"/>
              </w:trPr>
              <w:tc>
                <w:tcPr>
                  <w:tcW w:w="40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0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2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2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69" w:type="pct"/>
                  <w:vMerge w:val="continue"/>
                  <w:tcBorders>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81"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98" w:type="pct"/>
                  <w:vMerge w:val="continue"/>
                  <w:tcBorders>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81"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56" w:type="pct"/>
                  <w:vMerge w:val="continue"/>
                  <w:tcBorders>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823" w:type="pct"/>
                  <w:tcBorders>
                    <w:top w:val="single" w:color="000000" w:sz="4" w:space="0"/>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6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其他</w:t>
                  </w:r>
                  <w:r>
                    <w:rPr>
                      <w:rFonts w:hint="default" w:ascii="Times New Roman" w:hAnsi="Times New Roman" w:eastAsia="宋体" w:cs="Times New Roman"/>
                      <w:color w:val="auto"/>
                      <w:sz w:val="21"/>
                      <w:szCs w:val="21"/>
                      <w:highlight w:val="none"/>
                      <w:vertAlign w:val="superscript"/>
                      <w:lang w:val="en-US" w:eastAsia="zh-CN"/>
                    </w:rPr>
                    <w:t>②</w:t>
                  </w:r>
                </w:p>
              </w:tc>
              <w:tc>
                <w:tcPr>
                  <w:tcW w:w="591" w:type="pct"/>
                  <w:tcBorders>
                    <w:top w:val="single" w:color="000000" w:sz="4" w:space="0"/>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85</w:t>
                  </w:r>
                </w:p>
              </w:tc>
            </w:tr>
            <w:tr>
              <w:tblPrEx>
                <w:tblBorders>
                  <w:top w:val="none" w:color="auto" w:sz="0"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411" w:hRule="atLeast"/>
                <w:jc w:val="center"/>
              </w:trPr>
              <w:tc>
                <w:tcPr>
                  <w:tcW w:w="40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0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2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2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69" w:type="pct"/>
                  <w:vMerge w:val="restart"/>
                  <w:tcBorders>
                    <w:left w:val="single" w:color="000000" w:sz="4" w:space="0"/>
                    <w:right w:val="single" w:color="000000" w:sz="4" w:space="0"/>
                  </w:tcBorders>
                  <w:noWrap w:val="0"/>
                  <w:vAlign w:val="center"/>
                </w:tcPr>
                <w:p>
                  <w:pPr>
                    <w:pStyle w:val="71"/>
                    <w:keepNext w:val="0"/>
                    <w:keepLines w:val="0"/>
                    <w:widowControl w:val="0"/>
                    <w:suppressLineNumbers w:val="0"/>
                    <w:spacing w:before="81"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氮氧化物（窑炉）（燃煤等） </w:t>
                  </w:r>
                </w:p>
              </w:tc>
              <w:tc>
                <w:tcPr>
                  <w:tcW w:w="598" w:type="pct"/>
                  <w:vMerge w:val="restart"/>
                  <w:tcBorders>
                    <w:left w:val="single" w:color="000000" w:sz="4" w:space="0"/>
                    <w:right w:val="single" w:color="000000" w:sz="4" w:space="0"/>
                  </w:tcBorders>
                  <w:noWrap w:val="0"/>
                  <w:vAlign w:val="center"/>
                </w:tcPr>
                <w:p>
                  <w:pPr>
                    <w:pStyle w:val="71"/>
                    <w:keepNext w:val="0"/>
                    <w:keepLines w:val="0"/>
                    <w:widowControl w:val="0"/>
                    <w:suppressLineNumbers w:val="0"/>
                    <w:spacing w:before="81"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千克/万块标砖</w:t>
                  </w:r>
                </w:p>
              </w:tc>
              <w:tc>
                <w:tcPr>
                  <w:tcW w:w="556" w:type="pct"/>
                  <w:vMerge w:val="restart"/>
                  <w:tcBorders>
                    <w:left w:val="single" w:color="000000" w:sz="4" w:space="0"/>
                    <w:right w:val="single" w:color="000000" w:sz="4" w:space="0"/>
                  </w:tcBorders>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3.26</w:t>
                  </w:r>
                </w:p>
              </w:tc>
              <w:tc>
                <w:tcPr>
                  <w:tcW w:w="823" w:type="pct"/>
                  <w:tcBorders>
                    <w:top w:val="single" w:color="000000" w:sz="4" w:space="0"/>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6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选择性非催化还原</w:t>
                  </w:r>
                </w:p>
              </w:tc>
              <w:tc>
                <w:tcPr>
                  <w:tcW w:w="591" w:type="pct"/>
                  <w:tcBorders>
                    <w:top w:val="single" w:color="000000" w:sz="4" w:space="0"/>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p>
              </w:tc>
            </w:tr>
            <w:tr>
              <w:tblPrEx>
                <w:tblBorders>
                  <w:top w:val="none" w:color="auto" w:sz="0" w:space="0"/>
                  <w:left w:val="none" w:color="auto" w:sz="0" w:space="0"/>
                  <w:bottom w:val="single" w:color="000000" w:sz="4" w:space="0"/>
                  <w:right w:val="none" w:color="auto" w:sz="0" w:space="0"/>
                  <w:insideH w:val="none" w:color="auto" w:sz="0" w:space="0"/>
                  <w:insideV w:val="none" w:color="auto" w:sz="0" w:space="0"/>
                </w:tblBorders>
              </w:tblPrEx>
              <w:trPr>
                <w:trHeight w:val="411" w:hRule="atLeast"/>
                <w:jc w:val="center"/>
              </w:trPr>
              <w:tc>
                <w:tcPr>
                  <w:tcW w:w="40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0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2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2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69" w:type="pct"/>
                  <w:vMerge w:val="continue"/>
                  <w:tcBorders>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81"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98" w:type="pct"/>
                  <w:vMerge w:val="continue"/>
                  <w:tcBorders>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81"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56" w:type="pct"/>
                  <w:vMerge w:val="continue"/>
                  <w:tcBorders>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823" w:type="pct"/>
                  <w:tcBorders>
                    <w:top w:val="single" w:color="000000" w:sz="4" w:space="0"/>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61"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氧化吸收</w:t>
                  </w:r>
                </w:p>
              </w:tc>
              <w:tc>
                <w:tcPr>
                  <w:tcW w:w="591" w:type="pct"/>
                  <w:tcBorders>
                    <w:top w:val="single" w:color="000000" w:sz="4" w:space="0"/>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w:t>
                  </w:r>
                </w:p>
              </w:tc>
            </w:tr>
            <w:tr>
              <w:tblPrEx>
                <w:tblBorders>
                  <w:top w:val="none" w:color="auto" w:sz="0"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721" w:hRule="atLeast"/>
                <w:jc w:val="center"/>
              </w:trPr>
              <w:tc>
                <w:tcPr>
                  <w:tcW w:w="5000" w:type="pct"/>
                  <w:gridSpan w:val="9"/>
                  <w:tcBorders>
                    <w:top w:val="single" w:color="000000" w:sz="4" w:space="0"/>
                    <w:left w:val="single" w:color="000000" w:sz="4" w:space="0"/>
                    <w:right w:val="single" w:color="000000" w:sz="4" w:space="0"/>
                  </w:tcBorders>
                  <w:noWrap w:val="0"/>
                  <w:vAlign w:val="center"/>
                </w:tcPr>
                <w:p>
                  <w:pPr>
                    <w:pStyle w:val="71"/>
                    <w:keepNext w:val="0"/>
                    <w:keepLines w:val="0"/>
                    <w:widowControl w:val="0"/>
                    <w:suppressLineNumbers w:val="0"/>
                    <w:spacing w:before="81" w:beforeAutospacing="0" w:after="0" w:afterAutospacing="0"/>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rPr>
                    <w:t>其他包括机械除尘、喷雾降尘等。</w:t>
                  </w:r>
                </w:p>
                <w:p>
                  <w:pPr>
                    <w:pStyle w:val="71"/>
                    <w:keepNext w:val="0"/>
                    <w:keepLines w:val="0"/>
                    <w:widowControl w:val="0"/>
                    <w:suppressLineNumbers w:val="0"/>
                    <w:spacing w:before="81" w:beforeAutospacing="0" w:after="0" w:afterAutospacing="0"/>
                    <w:ind w:left="0" w:right="0"/>
                    <w:jc w:val="both"/>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rPr>
                    <w:t>其他包括干法、半干法、氨法、氢氧化钠法等。</w:t>
                  </w:r>
                </w:p>
              </w:tc>
            </w:tr>
          </w:tbl>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2.1.1烟尘、二氧化硫、氮氧化物</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根据上表，项目烟尘、二氧化硫、氮氧化物的产排情况如下：</w:t>
            </w:r>
          </w:p>
          <w:p>
            <w:pPr>
              <w:pStyle w:val="73"/>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eastAsia="宋体" w:cs="Times New Roman"/>
                <w:b/>
                <w:color w:val="auto"/>
                <w:highlight w:val="none"/>
              </w:rPr>
              <w:t>表4.2-</w:t>
            </w:r>
            <w:r>
              <w:rPr>
                <w:rFonts w:hint="default" w:ascii="Times New Roman" w:hAnsi="Times New Roman" w:eastAsia="宋体" w:cs="Times New Roman"/>
                <w:b/>
                <w:color w:val="auto"/>
                <w:highlight w:val="none"/>
                <w:lang w:val="en-US" w:eastAsia="zh-CN"/>
              </w:rPr>
              <w:t>2</w:t>
            </w:r>
            <w:r>
              <w:rPr>
                <w:rFonts w:hint="default" w:ascii="Times New Roman" w:hAnsi="Times New Roman" w:eastAsia="宋体" w:cs="Times New Roman"/>
                <w:b/>
                <w:color w:val="auto"/>
                <w:highlight w:val="none"/>
              </w:rPr>
              <w:t xml:space="preserve">   </w:t>
            </w:r>
            <w:r>
              <w:rPr>
                <w:rFonts w:hint="default" w:ascii="Times New Roman" w:hAnsi="Times New Roman" w:eastAsia="宋体" w:cs="Times New Roman"/>
                <w:b/>
                <w:color w:val="auto"/>
                <w:highlight w:val="none"/>
                <w:lang w:val="en-US" w:eastAsia="zh-CN"/>
              </w:rPr>
              <w:t>污染物产排情况表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892"/>
              <w:gridCol w:w="1054"/>
              <w:gridCol w:w="1175"/>
              <w:gridCol w:w="1501"/>
              <w:gridCol w:w="808"/>
              <w:gridCol w:w="895"/>
              <w:gridCol w:w="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8" w:type="pct"/>
                  <w:noWrap w:val="0"/>
                  <w:vAlign w:val="center"/>
                </w:tcPr>
                <w:p>
                  <w:pPr>
                    <w:pStyle w:val="73"/>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污染因子</w:t>
                  </w:r>
                </w:p>
              </w:tc>
              <w:tc>
                <w:tcPr>
                  <w:tcW w:w="549" w:type="pct"/>
                  <w:noWrap w:val="0"/>
                  <w:vAlign w:val="center"/>
                </w:tcPr>
                <w:p>
                  <w:pPr>
                    <w:pStyle w:val="73"/>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产生量t/a</w:t>
                  </w:r>
                </w:p>
              </w:tc>
              <w:tc>
                <w:tcPr>
                  <w:tcW w:w="649" w:type="pct"/>
                  <w:noWrap w:val="0"/>
                  <w:vAlign w:val="center"/>
                </w:tcPr>
                <w:p>
                  <w:pPr>
                    <w:pStyle w:val="73"/>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rPr>
                  </w:pPr>
                  <w:r>
                    <w:rPr>
                      <w:rFonts w:hint="default" w:ascii="Times New Roman" w:hAnsi="Times New Roman" w:eastAsia="宋体" w:cs="Times New Roman"/>
                      <w:b/>
                      <w:bCs/>
                      <w:color w:val="auto"/>
                      <w:sz w:val="21"/>
                      <w:szCs w:val="21"/>
                      <w:highlight w:val="none"/>
                      <w:vertAlign w:val="baseline"/>
                      <w:lang w:val="en-US" w:eastAsia="zh-CN"/>
                    </w:rPr>
                    <w:t>产生速率kg/h</w:t>
                  </w:r>
                </w:p>
              </w:tc>
              <w:tc>
                <w:tcPr>
                  <w:tcW w:w="723" w:type="pct"/>
                  <w:noWrap w:val="0"/>
                  <w:vAlign w:val="center"/>
                </w:tcPr>
                <w:p>
                  <w:pPr>
                    <w:pStyle w:val="73"/>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产生浓度</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p>
              </w:tc>
              <w:tc>
                <w:tcPr>
                  <w:tcW w:w="924" w:type="pct"/>
                  <w:noWrap w:val="0"/>
                  <w:vAlign w:val="center"/>
                </w:tcPr>
                <w:p>
                  <w:pPr>
                    <w:pStyle w:val="73"/>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污染治理设施</w:t>
                  </w:r>
                </w:p>
              </w:tc>
              <w:tc>
                <w:tcPr>
                  <w:tcW w:w="497" w:type="pct"/>
                  <w:noWrap w:val="0"/>
                  <w:vAlign w:val="center"/>
                </w:tcPr>
                <w:p>
                  <w:pPr>
                    <w:pStyle w:val="73"/>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vertAlign w:val="baseline"/>
                      <w:lang w:val="en-US" w:eastAsia="zh-CN"/>
                    </w:rPr>
                    <w:t>排放量t/a</w:t>
                  </w:r>
                </w:p>
              </w:tc>
              <w:tc>
                <w:tcPr>
                  <w:tcW w:w="551" w:type="pct"/>
                  <w:noWrap w:val="0"/>
                  <w:vAlign w:val="center"/>
                </w:tcPr>
                <w:p>
                  <w:pPr>
                    <w:pStyle w:val="73"/>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vertAlign w:val="baseline"/>
                      <w:lang w:val="en-US" w:eastAsia="zh-CN"/>
                    </w:rPr>
                    <w:t>排放速率kg/h</w:t>
                  </w:r>
                </w:p>
              </w:tc>
              <w:tc>
                <w:tcPr>
                  <w:tcW w:w="555" w:type="pct"/>
                  <w:noWrap w:val="0"/>
                  <w:vAlign w:val="center"/>
                </w:tcPr>
                <w:p>
                  <w:pPr>
                    <w:pStyle w:val="73"/>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vertAlign w:val="baseline"/>
                      <w:lang w:val="en-US" w:eastAsia="zh-CN"/>
                    </w:rPr>
                    <w:t>排放浓度</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548" w:type="pct"/>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549" w:type="pct"/>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37.696</w:t>
                  </w:r>
                </w:p>
              </w:tc>
              <w:tc>
                <w:tcPr>
                  <w:tcW w:w="649" w:type="pct"/>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5.2356</w:t>
                  </w:r>
                </w:p>
              </w:tc>
              <w:tc>
                <w:tcPr>
                  <w:tcW w:w="723" w:type="pct"/>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87.2593</w:t>
                  </w:r>
                </w:p>
              </w:tc>
              <w:tc>
                <w:tcPr>
                  <w:tcW w:w="924" w:type="pct"/>
                  <w:vMerge w:val="restart"/>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双碱法脱硫除尘装置除尘效率为85%，脱硫效率为90%</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风机风量为</w:t>
                  </w:r>
                  <w:r>
                    <w:rPr>
                      <w:rFonts w:hint="default" w:ascii="Times New Roman" w:hAnsi="Times New Roman" w:eastAsia="宋体" w:cs="Times New Roman"/>
                      <w:color w:val="auto"/>
                      <w:sz w:val="21"/>
                      <w:szCs w:val="21"/>
                      <w:highlight w:val="none"/>
                      <w:lang w:val="en-US" w:eastAsia="zh-CN"/>
                    </w:rPr>
                    <w:t>60000</w:t>
                  </w:r>
                  <w:r>
                    <w:rPr>
                      <w:rFonts w:hint="default" w:ascii="Times New Roman" w:hAnsi="Times New Roman" w:eastAsia="宋体" w:cs="Times New Roman"/>
                      <w:color w:val="auto"/>
                      <w:sz w:val="21"/>
                      <w:szCs w:val="21"/>
                      <w:highlight w:val="none"/>
                    </w:rPr>
                    <w:t>m³/h</w:t>
                  </w:r>
                </w:p>
              </w:tc>
              <w:tc>
                <w:tcPr>
                  <w:tcW w:w="497" w:type="pct"/>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5.6544</w:t>
                  </w:r>
                </w:p>
              </w:tc>
              <w:tc>
                <w:tcPr>
                  <w:tcW w:w="551" w:type="pct"/>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0.7853</w:t>
                  </w:r>
                </w:p>
              </w:tc>
              <w:tc>
                <w:tcPr>
                  <w:tcW w:w="555" w:type="pct"/>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13.0889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8" w:type="pct"/>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二氧化硫</w:t>
                  </w:r>
                </w:p>
              </w:tc>
              <w:tc>
                <w:tcPr>
                  <w:tcW w:w="549" w:type="pct"/>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104.16</w:t>
                  </w:r>
                </w:p>
              </w:tc>
              <w:tc>
                <w:tcPr>
                  <w:tcW w:w="649" w:type="pct"/>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14.4667</w:t>
                  </w:r>
                </w:p>
              </w:tc>
              <w:tc>
                <w:tcPr>
                  <w:tcW w:w="723" w:type="pct"/>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241.1111</w:t>
                  </w:r>
                </w:p>
              </w:tc>
              <w:tc>
                <w:tcPr>
                  <w:tcW w:w="924" w:type="pct"/>
                  <w:vMerge w:val="continue"/>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97" w:type="pct"/>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10.416</w:t>
                  </w:r>
                </w:p>
              </w:tc>
              <w:tc>
                <w:tcPr>
                  <w:tcW w:w="551" w:type="pct"/>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1.4467</w:t>
                  </w:r>
                </w:p>
              </w:tc>
              <w:tc>
                <w:tcPr>
                  <w:tcW w:w="555" w:type="pct"/>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548" w:type="pct"/>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氮氧化物</w:t>
                  </w:r>
                </w:p>
              </w:tc>
              <w:tc>
                <w:tcPr>
                  <w:tcW w:w="549" w:type="pct"/>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20.212</w:t>
                  </w:r>
                </w:p>
              </w:tc>
              <w:tc>
                <w:tcPr>
                  <w:tcW w:w="649" w:type="pct"/>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2.8072</w:t>
                  </w:r>
                </w:p>
              </w:tc>
              <w:tc>
                <w:tcPr>
                  <w:tcW w:w="723" w:type="pct"/>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46.7870</w:t>
                  </w:r>
                </w:p>
              </w:tc>
              <w:tc>
                <w:tcPr>
                  <w:tcW w:w="924" w:type="pct"/>
                  <w:vMerge w:val="continue"/>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97" w:type="pct"/>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20.212</w:t>
                  </w:r>
                </w:p>
              </w:tc>
              <w:tc>
                <w:tcPr>
                  <w:tcW w:w="551" w:type="pct"/>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2.8072</w:t>
                  </w:r>
                </w:p>
              </w:tc>
              <w:tc>
                <w:tcPr>
                  <w:tcW w:w="555" w:type="pct"/>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46.7870</w:t>
                  </w:r>
                </w:p>
              </w:tc>
            </w:tr>
          </w:tbl>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2.1.2</w:t>
            </w:r>
            <w:r>
              <w:rPr>
                <w:rFonts w:hint="default" w:ascii="Times New Roman" w:hAnsi="Times New Roman" w:eastAsia="宋体" w:cs="Times New Roman"/>
                <w:b/>
                <w:bCs/>
                <w:color w:val="auto"/>
                <w:sz w:val="24"/>
                <w:szCs w:val="24"/>
                <w:highlight w:val="none"/>
              </w:rPr>
              <w:t>氟化物</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spacing w:val="0"/>
                <w:position w:val="0"/>
                <w:sz w:val="24"/>
                <w:szCs w:val="24"/>
                <w:highlight w:val="none"/>
              </w:rPr>
              <w:t>项目以</w:t>
            </w:r>
            <w:r>
              <w:rPr>
                <w:rFonts w:hint="default" w:ascii="Times New Roman" w:hAnsi="Times New Roman" w:eastAsia="宋体" w:cs="Times New Roman"/>
                <w:color w:val="auto"/>
                <w:spacing w:val="0"/>
                <w:position w:val="0"/>
                <w:sz w:val="24"/>
                <w:szCs w:val="24"/>
                <w:highlight w:val="none"/>
                <w:lang w:val="en-US" w:eastAsia="zh-CN"/>
              </w:rPr>
              <w:t>页岩、</w:t>
            </w:r>
            <w:r>
              <w:rPr>
                <w:rFonts w:hint="default" w:ascii="Times New Roman" w:hAnsi="Times New Roman" w:eastAsia="宋体" w:cs="Times New Roman"/>
                <w:color w:val="auto"/>
                <w:spacing w:val="0"/>
                <w:position w:val="0"/>
                <w:sz w:val="24"/>
                <w:szCs w:val="24"/>
                <w:highlight w:val="none"/>
              </w:rPr>
              <w:t>污泥、炉渣</w:t>
            </w:r>
            <w:r>
              <w:rPr>
                <w:rFonts w:hint="default" w:ascii="Times New Roman" w:hAnsi="Times New Roman" w:eastAsia="宋体" w:cs="Times New Roman"/>
                <w:color w:val="auto"/>
                <w:spacing w:val="0"/>
                <w:position w:val="0"/>
                <w:sz w:val="24"/>
                <w:szCs w:val="24"/>
                <w:highlight w:val="none"/>
                <w:lang w:eastAsia="zh-CN"/>
              </w:rPr>
              <w:t>、</w:t>
            </w:r>
            <w:r>
              <w:rPr>
                <w:rFonts w:hint="default" w:ascii="Times New Roman" w:hAnsi="Times New Roman" w:eastAsia="宋体" w:cs="Times New Roman"/>
                <w:color w:val="auto"/>
                <w:spacing w:val="0"/>
                <w:position w:val="0"/>
                <w:sz w:val="24"/>
                <w:szCs w:val="24"/>
                <w:highlight w:val="none"/>
                <w:lang w:val="en-US" w:eastAsia="zh-CN"/>
              </w:rPr>
              <w:t>褐煤</w:t>
            </w:r>
            <w:r>
              <w:rPr>
                <w:rFonts w:hint="default" w:ascii="Times New Roman" w:hAnsi="Times New Roman" w:eastAsia="宋体" w:cs="Times New Roman"/>
                <w:color w:val="auto"/>
                <w:spacing w:val="0"/>
                <w:position w:val="0"/>
                <w:sz w:val="24"/>
                <w:szCs w:val="24"/>
                <w:highlight w:val="none"/>
              </w:rPr>
              <w:t>作为原料，</w:t>
            </w:r>
            <w:r>
              <w:rPr>
                <w:rFonts w:hint="default" w:ascii="Times New Roman" w:hAnsi="Times New Roman" w:eastAsia="宋体" w:cs="Times New Roman"/>
                <w:color w:val="auto"/>
                <w:spacing w:val="0"/>
                <w:position w:val="0"/>
                <w:sz w:val="24"/>
                <w:szCs w:val="24"/>
                <w:highlight w:val="none"/>
                <w:lang w:val="en-US" w:eastAsia="zh-CN"/>
              </w:rPr>
              <w:t>褐煤既是燃料又是原料</w:t>
            </w:r>
            <w:r>
              <w:rPr>
                <w:rFonts w:hint="default" w:ascii="Times New Roman" w:hAnsi="Times New Roman" w:eastAsia="宋体" w:cs="Times New Roman"/>
                <w:color w:val="auto"/>
                <w:spacing w:val="0"/>
                <w:position w:val="0"/>
                <w:sz w:val="24"/>
                <w:szCs w:val="24"/>
                <w:highlight w:val="none"/>
              </w:rPr>
              <w:t>，氟主要来源于</w:t>
            </w:r>
            <w:r>
              <w:rPr>
                <w:rFonts w:hint="default" w:ascii="Times New Roman" w:hAnsi="Times New Roman" w:eastAsia="宋体" w:cs="Times New Roman"/>
                <w:color w:val="auto"/>
                <w:spacing w:val="0"/>
                <w:position w:val="0"/>
                <w:sz w:val="24"/>
                <w:szCs w:val="24"/>
                <w:highlight w:val="none"/>
                <w:lang w:val="en-US" w:eastAsia="zh-CN"/>
              </w:rPr>
              <w:t>页岩</w:t>
            </w:r>
            <w:r>
              <w:rPr>
                <w:rFonts w:hint="default" w:ascii="Times New Roman" w:hAnsi="Times New Roman" w:eastAsia="宋体" w:cs="Times New Roman"/>
                <w:color w:val="auto"/>
                <w:spacing w:val="0"/>
                <w:position w:val="0"/>
                <w:sz w:val="24"/>
                <w:szCs w:val="24"/>
                <w:highlight w:val="none"/>
              </w:rPr>
              <w:t>中。</w:t>
            </w:r>
            <w:r>
              <w:rPr>
                <w:rFonts w:hint="default" w:ascii="Times New Roman" w:hAnsi="Times New Roman" w:eastAsia="宋体" w:cs="Times New Roman"/>
                <w:color w:val="auto"/>
                <w:sz w:val="24"/>
                <w:szCs w:val="24"/>
                <w:highlight w:val="none"/>
                <w:lang w:val="en-US" w:eastAsia="zh-CN"/>
              </w:rPr>
              <w:t>原料</w:t>
            </w:r>
            <w:r>
              <w:rPr>
                <w:rFonts w:hint="default" w:ascii="Times New Roman" w:hAnsi="Times New Roman" w:eastAsia="宋体" w:cs="Times New Roman"/>
                <w:color w:val="auto"/>
                <w:sz w:val="24"/>
                <w:szCs w:val="24"/>
                <w:highlight w:val="none"/>
              </w:rPr>
              <w:t>中的氟元素在高温烧结的情况下易转化为气态氟化物，</w:t>
            </w:r>
            <w:r>
              <w:rPr>
                <w:rFonts w:hint="default" w:ascii="Times New Roman" w:hAnsi="Times New Roman" w:eastAsia="宋体" w:cs="Times New Roman"/>
                <w:color w:val="auto"/>
                <w:kern w:val="0"/>
                <w:sz w:val="24"/>
                <w:szCs w:val="24"/>
                <w:highlight w:val="none"/>
                <w:lang w:bidi="ar"/>
              </w:rPr>
              <w:t>主要以HF气体为主。</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rPr>
              <w:t>根据《砖瓦厂氟化物排放研究》（浙江农业大学；刘超、傅柳松、吴方正）</w:t>
            </w:r>
            <w:r>
              <w:rPr>
                <w:rFonts w:hint="default" w:ascii="Times New Roman" w:hAnsi="Times New Roman" w:eastAsia="宋体" w:cs="Times New Roman"/>
                <w:color w:val="auto"/>
                <w:spacing w:val="0"/>
                <w:position w:val="0"/>
                <w:sz w:val="24"/>
                <w:szCs w:val="24"/>
                <w:highlight w:val="none"/>
                <w:lang w:val="en-US" w:eastAsia="zh-CN"/>
              </w:rPr>
              <w:t>在高温状态下</w:t>
            </w:r>
            <w:r>
              <w:rPr>
                <w:rFonts w:hint="default" w:ascii="Times New Roman" w:hAnsi="Times New Roman" w:eastAsia="宋体" w:cs="Times New Roman"/>
                <w:color w:val="auto"/>
                <w:spacing w:val="0"/>
                <w:position w:val="0"/>
                <w:sz w:val="24"/>
                <w:szCs w:val="24"/>
                <w:highlight w:val="none"/>
              </w:rPr>
              <w:t>“加热温度在900℃时，氟释放率为50.3%”。</w:t>
            </w:r>
            <w:r>
              <w:rPr>
                <w:rFonts w:hint="default" w:ascii="Times New Roman" w:hAnsi="Times New Roman" w:eastAsia="宋体" w:cs="Times New Roman"/>
                <w:color w:val="auto"/>
                <w:spacing w:val="0"/>
                <w:position w:val="0"/>
                <w:sz w:val="24"/>
                <w:szCs w:val="24"/>
                <w:highlight w:val="none"/>
                <w:lang w:val="en-US" w:eastAsia="zh-CN"/>
              </w:rPr>
              <w:t>本项目按照50%计算。同时</w:t>
            </w:r>
            <w:r>
              <w:rPr>
                <w:rFonts w:hint="default" w:ascii="Times New Roman" w:hAnsi="Times New Roman" w:eastAsia="宋体" w:cs="Times New Roman"/>
                <w:color w:val="auto"/>
                <w:spacing w:val="0"/>
                <w:position w:val="0"/>
                <w:sz w:val="24"/>
                <w:szCs w:val="24"/>
                <w:highlight w:val="none"/>
              </w:rPr>
              <w:t>根据《含氟废气的治理及资源化利用研究进展》（昆明理工大学环境科学与工程学院；云南昆明650500；张慧芳、张冬冬、宁平、李鹏毅、李创、王思鼎）中“含氟废气中主要为HF 和SiF</w:t>
            </w:r>
            <w:r>
              <w:rPr>
                <w:rFonts w:hint="default" w:ascii="Times New Roman" w:hAnsi="Times New Roman" w:eastAsia="宋体" w:cs="Times New Roman"/>
                <w:color w:val="auto"/>
                <w:spacing w:val="0"/>
                <w:position w:val="0"/>
                <w:sz w:val="14"/>
                <w:szCs w:val="14"/>
                <w:highlight w:val="none"/>
              </w:rPr>
              <w:t>4</w:t>
            </w:r>
            <w:r>
              <w:rPr>
                <w:rFonts w:hint="default" w:ascii="Times New Roman" w:hAnsi="Times New Roman" w:eastAsia="宋体" w:cs="Times New Roman"/>
                <w:color w:val="auto"/>
                <w:spacing w:val="0"/>
                <w:position w:val="0"/>
                <w:sz w:val="24"/>
                <w:szCs w:val="24"/>
                <w:highlight w:val="none"/>
              </w:rPr>
              <w:t>，水吸收法一级吸收吸收效率为85%。采用NaOH、Ca(OH)</w:t>
            </w:r>
            <w:r>
              <w:rPr>
                <w:rFonts w:hint="default" w:ascii="Times New Roman" w:hAnsi="Times New Roman" w:eastAsia="宋体" w:cs="Times New Roman"/>
                <w:color w:val="auto"/>
                <w:spacing w:val="0"/>
                <w:position w:val="0"/>
                <w:sz w:val="14"/>
                <w:szCs w:val="14"/>
                <w:highlight w:val="none"/>
              </w:rPr>
              <w:t>2</w:t>
            </w:r>
            <w:r>
              <w:rPr>
                <w:rFonts w:hint="default" w:ascii="Times New Roman" w:hAnsi="Times New Roman" w:eastAsia="宋体" w:cs="Times New Roman"/>
                <w:color w:val="auto"/>
                <w:spacing w:val="0"/>
                <w:position w:val="0"/>
                <w:sz w:val="24"/>
                <w:szCs w:val="24"/>
                <w:highlight w:val="none"/>
              </w:rPr>
              <w:t>、Na</w:t>
            </w:r>
            <w:r>
              <w:rPr>
                <w:rFonts w:hint="default" w:ascii="Times New Roman" w:hAnsi="Times New Roman" w:eastAsia="宋体" w:cs="Times New Roman"/>
                <w:color w:val="auto"/>
                <w:spacing w:val="0"/>
                <w:position w:val="0"/>
                <w:sz w:val="14"/>
                <w:szCs w:val="14"/>
                <w:highlight w:val="none"/>
              </w:rPr>
              <w:t>2</w:t>
            </w:r>
            <w:r>
              <w:rPr>
                <w:rFonts w:hint="default" w:ascii="Times New Roman" w:hAnsi="Times New Roman" w:eastAsia="宋体" w:cs="Times New Roman"/>
                <w:color w:val="auto"/>
                <w:spacing w:val="0"/>
                <w:position w:val="0"/>
                <w:sz w:val="24"/>
                <w:szCs w:val="24"/>
                <w:highlight w:val="none"/>
              </w:rPr>
              <w:t>CO</w:t>
            </w:r>
            <w:r>
              <w:rPr>
                <w:rFonts w:hint="default" w:ascii="Times New Roman" w:hAnsi="Times New Roman" w:eastAsia="宋体" w:cs="Times New Roman"/>
                <w:color w:val="auto"/>
                <w:spacing w:val="0"/>
                <w:position w:val="0"/>
                <w:sz w:val="14"/>
                <w:szCs w:val="14"/>
                <w:highlight w:val="none"/>
              </w:rPr>
              <w:t>3</w:t>
            </w:r>
            <w:r>
              <w:rPr>
                <w:rFonts w:hint="default" w:ascii="Times New Roman" w:hAnsi="Times New Roman" w:eastAsia="宋体" w:cs="Times New Roman"/>
                <w:color w:val="auto"/>
                <w:spacing w:val="0"/>
                <w:position w:val="0"/>
                <w:sz w:val="24"/>
                <w:szCs w:val="24"/>
                <w:highlight w:val="none"/>
              </w:rPr>
              <w:t>、氨水和NH</w:t>
            </w:r>
            <w:r>
              <w:rPr>
                <w:rFonts w:hint="default" w:ascii="Times New Roman" w:hAnsi="Times New Roman" w:eastAsia="宋体" w:cs="Times New Roman"/>
                <w:color w:val="auto"/>
                <w:spacing w:val="0"/>
                <w:position w:val="0"/>
                <w:sz w:val="14"/>
                <w:szCs w:val="14"/>
                <w:highlight w:val="none"/>
              </w:rPr>
              <w:t>4</w:t>
            </w:r>
            <w:r>
              <w:rPr>
                <w:rFonts w:hint="default" w:ascii="Times New Roman" w:hAnsi="Times New Roman" w:eastAsia="宋体" w:cs="Times New Roman"/>
                <w:color w:val="auto"/>
                <w:spacing w:val="0"/>
                <w:position w:val="0"/>
                <w:sz w:val="24"/>
                <w:szCs w:val="24"/>
                <w:highlight w:val="none"/>
              </w:rPr>
              <w:t>F等，吸收效率为96%”。《稀土精矿酸法冶炼中含氟废气治理技术》（天津科技大学学报，第27 卷第4 期、2012 年8 月）中“碱法除氟是用碱性物质吸收尾气中氟、硫等酸性物质的方法，常用的碱性物质有氨水、氢氧化钠、Ca(OH)</w:t>
            </w:r>
            <w:r>
              <w:rPr>
                <w:rFonts w:hint="default" w:ascii="Times New Roman" w:hAnsi="Times New Roman" w:eastAsia="宋体" w:cs="Times New Roman"/>
                <w:color w:val="auto"/>
                <w:spacing w:val="0"/>
                <w:position w:val="0"/>
                <w:sz w:val="31"/>
                <w:szCs w:val="31"/>
                <w:highlight w:val="none"/>
                <w:vertAlign w:val="subscript"/>
              </w:rPr>
              <w:t>2</w:t>
            </w:r>
            <w:r>
              <w:rPr>
                <w:rFonts w:hint="default" w:ascii="Times New Roman" w:hAnsi="Times New Roman" w:eastAsia="宋体" w:cs="Times New Roman"/>
                <w:color w:val="auto"/>
                <w:spacing w:val="0"/>
                <w:position w:val="0"/>
                <w:sz w:val="24"/>
                <w:szCs w:val="24"/>
                <w:highlight w:val="none"/>
              </w:rPr>
              <w:t>等，氟的去除率可达到99%以上”</w:t>
            </w:r>
            <w:r>
              <w:rPr>
                <w:rFonts w:hint="default" w:ascii="Times New Roman" w:hAnsi="Times New Roman" w:eastAsia="宋体" w:cs="Times New Roman"/>
                <w:color w:val="auto"/>
                <w:spacing w:val="0"/>
                <w:position w:val="0"/>
                <w:sz w:val="24"/>
                <w:szCs w:val="24"/>
                <w:highlight w:val="none"/>
                <w:lang w:val="en-US" w:eastAsia="zh-CN"/>
              </w:rPr>
              <w:t>的相关参考，本项目双碱法脱硫除尘装置对</w:t>
            </w:r>
            <w:r>
              <w:rPr>
                <w:rFonts w:hint="default" w:ascii="Times New Roman" w:hAnsi="Times New Roman" w:eastAsia="宋体" w:cs="Times New Roman"/>
                <w:color w:val="auto"/>
                <w:spacing w:val="0"/>
                <w:position w:val="0"/>
                <w:sz w:val="24"/>
                <w:szCs w:val="24"/>
                <w:highlight w:val="none"/>
              </w:rPr>
              <w:t>氟的去除率</w:t>
            </w:r>
            <w:r>
              <w:rPr>
                <w:rFonts w:hint="default" w:ascii="Times New Roman" w:hAnsi="Times New Roman" w:eastAsia="宋体" w:cs="Times New Roman"/>
                <w:color w:val="auto"/>
                <w:spacing w:val="0"/>
                <w:position w:val="0"/>
                <w:sz w:val="24"/>
                <w:szCs w:val="24"/>
                <w:highlight w:val="none"/>
                <w:lang w:val="en-US" w:eastAsia="zh-CN"/>
              </w:rPr>
              <w:t>按照95%计算。</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0"/>
                <w:position w:val="0"/>
                <w:sz w:val="24"/>
                <w:szCs w:val="24"/>
                <w:highlight w:val="none"/>
                <w:lang w:val="en-US" w:eastAsia="zh-CN"/>
              </w:rPr>
              <w:t>综上，本次环评氟化物根据原有项目氟化物排放浓度倒推，通过原有项目监测中可知氟化物排放浓度为1.27mg/m</w:t>
            </w:r>
            <w:r>
              <w:rPr>
                <w:rFonts w:hint="default" w:ascii="Times New Roman" w:hAnsi="Times New Roman" w:eastAsia="宋体" w:cs="Times New Roman"/>
                <w:color w:val="auto"/>
                <w:spacing w:val="0"/>
                <w:position w:val="0"/>
                <w:sz w:val="24"/>
                <w:szCs w:val="24"/>
                <w:highlight w:val="none"/>
                <w:vertAlign w:val="superscript"/>
                <w:lang w:val="en-US" w:eastAsia="zh-CN"/>
              </w:rPr>
              <w:t>3</w:t>
            </w:r>
            <w:r>
              <w:rPr>
                <w:rFonts w:hint="default" w:ascii="Times New Roman" w:hAnsi="Times New Roman" w:eastAsia="宋体" w:cs="Times New Roman"/>
                <w:color w:val="auto"/>
                <w:spacing w:val="0"/>
                <w:position w:val="0"/>
                <w:sz w:val="24"/>
                <w:szCs w:val="24"/>
                <w:highlight w:val="none"/>
                <w:lang w:val="en-US" w:eastAsia="zh-CN"/>
              </w:rPr>
              <w:t>；</w:t>
            </w:r>
            <w:r>
              <w:rPr>
                <w:rFonts w:hint="default" w:ascii="Times New Roman" w:hAnsi="Times New Roman" w:eastAsia="宋体" w:cs="Times New Roman"/>
                <w:color w:val="auto"/>
                <w:spacing w:val="0"/>
                <w:position w:val="0"/>
                <w:sz w:val="24"/>
                <w:szCs w:val="24"/>
                <w:highlight w:val="none"/>
              </w:rPr>
              <w:t>氟释放率</w:t>
            </w:r>
            <w:r>
              <w:rPr>
                <w:rFonts w:hint="default" w:ascii="Times New Roman" w:hAnsi="Times New Roman" w:eastAsia="宋体" w:cs="Times New Roman"/>
                <w:color w:val="auto"/>
                <w:spacing w:val="0"/>
                <w:position w:val="0"/>
                <w:sz w:val="24"/>
                <w:szCs w:val="24"/>
                <w:highlight w:val="none"/>
                <w:lang w:val="en-US" w:eastAsia="zh-CN"/>
              </w:rPr>
              <w:t>按照50%计算，</w:t>
            </w:r>
            <w:r>
              <w:rPr>
                <w:rFonts w:hint="default" w:ascii="Times New Roman" w:hAnsi="Times New Roman" w:eastAsia="宋体" w:cs="Times New Roman"/>
                <w:color w:val="auto"/>
                <w:spacing w:val="0"/>
                <w:position w:val="0"/>
                <w:sz w:val="24"/>
                <w:szCs w:val="24"/>
                <w:highlight w:val="none"/>
              </w:rPr>
              <w:t>去除率</w:t>
            </w:r>
            <w:r>
              <w:rPr>
                <w:rFonts w:hint="default" w:ascii="Times New Roman" w:hAnsi="Times New Roman" w:eastAsia="宋体" w:cs="Times New Roman"/>
                <w:color w:val="auto"/>
                <w:spacing w:val="0"/>
                <w:position w:val="0"/>
                <w:sz w:val="24"/>
                <w:szCs w:val="24"/>
                <w:highlight w:val="none"/>
                <w:lang w:val="en-US" w:eastAsia="zh-CN"/>
              </w:rPr>
              <w:t>按照95%计算，</w:t>
            </w:r>
            <w:r>
              <w:rPr>
                <w:rFonts w:hint="default" w:ascii="Times New Roman" w:hAnsi="Times New Roman" w:eastAsia="宋体" w:cs="Times New Roman"/>
                <w:color w:val="auto"/>
                <w:kern w:val="0"/>
                <w:sz w:val="24"/>
                <w:szCs w:val="24"/>
                <w:highlight w:val="none"/>
                <w:lang w:bidi="ar"/>
              </w:rPr>
              <w:t>项目页岩用量为</w:t>
            </w:r>
            <w:r>
              <w:rPr>
                <w:rFonts w:hint="default" w:ascii="Times New Roman" w:hAnsi="Times New Roman" w:eastAsia="宋体" w:cs="Times New Roman"/>
                <w:color w:val="auto"/>
                <w:kern w:val="0"/>
                <w:sz w:val="24"/>
                <w:szCs w:val="24"/>
                <w:highlight w:val="none"/>
                <w:lang w:val="en-US" w:eastAsia="zh-CN" w:bidi="ar"/>
              </w:rPr>
              <w:t>129167</w:t>
            </w:r>
            <w:r>
              <w:rPr>
                <w:rFonts w:hint="default" w:ascii="Times New Roman" w:hAnsi="Times New Roman" w:eastAsia="宋体" w:cs="Times New Roman"/>
                <w:color w:val="auto"/>
                <w:kern w:val="0"/>
                <w:sz w:val="24"/>
                <w:szCs w:val="24"/>
                <w:highlight w:val="none"/>
                <w:lang w:bidi="ar"/>
              </w:rPr>
              <w:t>t/a，</w:t>
            </w:r>
            <w:r>
              <w:rPr>
                <w:rFonts w:hint="default" w:ascii="Times New Roman" w:hAnsi="Times New Roman" w:eastAsia="宋体" w:cs="Times New Roman"/>
                <w:color w:val="auto"/>
                <w:kern w:val="0"/>
                <w:sz w:val="24"/>
                <w:szCs w:val="24"/>
                <w:highlight w:val="none"/>
                <w:lang w:val="en-US" w:eastAsia="zh-CN" w:bidi="ar"/>
              </w:rPr>
              <w:t>则计算出页岩中含氟量约为169.9mg/kg，由于是理论数据，同时参考</w:t>
            </w:r>
            <w:r>
              <w:rPr>
                <w:rFonts w:hint="default" w:ascii="Times New Roman" w:hAnsi="Times New Roman" w:eastAsia="宋体" w:cs="Times New Roman"/>
                <w:color w:val="auto"/>
                <w:spacing w:val="0"/>
                <w:position w:val="0"/>
                <w:sz w:val="24"/>
                <w:szCs w:val="24"/>
                <w:highlight w:val="none"/>
              </w:rPr>
              <w:t>《砖瓦厂氟化物排放研究》（浙江农业大学；刘超、傅柳松、吴方正）“我国土壤氟背景浓度为191~1012mg/kg”</w:t>
            </w:r>
            <w:r>
              <w:rPr>
                <w:rFonts w:hint="default" w:ascii="Times New Roman" w:hAnsi="Times New Roman" w:eastAsia="宋体" w:cs="Times New Roman"/>
                <w:color w:val="auto"/>
                <w:spacing w:val="0"/>
                <w:position w:val="0"/>
                <w:sz w:val="24"/>
                <w:szCs w:val="24"/>
                <w:highlight w:val="none"/>
                <w:lang w:val="en-US" w:eastAsia="zh-CN"/>
              </w:rPr>
              <w:t>的相关文献，本次环评按照300</w:t>
            </w:r>
            <w:r>
              <w:rPr>
                <w:rFonts w:hint="default" w:ascii="Times New Roman" w:hAnsi="Times New Roman" w:eastAsia="宋体" w:cs="Times New Roman"/>
                <w:color w:val="auto"/>
                <w:spacing w:val="0"/>
                <w:position w:val="0"/>
                <w:sz w:val="24"/>
                <w:szCs w:val="24"/>
                <w:highlight w:val="none"/>
              </w:rPr>
              <w:t>mg/kg进行计算，</w:t>
            </w:r>
            <w:r>
              <w:rPr>
                <w:rFonts w:hint="default" w:ascii="Times New Roman" w:hAnsi="Times New Roman" w:eastAsia="宋体" w:cs="Times New Roman"/>
                <w:color w:val="auto"/>
                <w:kern w:val="0"/>
                <w:sz w:val="24"/>
                <w:szCs w:val="24"/>
                <w:highlight w:val="none"/>
                <w:lang w:bidi="ar"/>
              </w:rPr>
              <w:t>则项目氟化产生量</w:t>
            </w:r>
            <w:r>
              <w:rPr>
                <w:rFonts w:hint="default" w:ascii="Times New Roman" w:hAnsi="Times New Roman" w:eastAsia="宋体" w:cs="Times New Roman"/>
                <w:color w:val="auto"/>
                <w:kern w:val="0"/>
                <w:sz w:val="24"/>
                <w:szCs w:val="24"/>
                <w:highlight w:val="none"/>
                <w:lang w:val="en-US" w:eastAsia="zh-CN" w:bidi="ar"/>
              </w:rPr>
              <w:t>为19.3751</w:t>
            </w:r>
            <w:r>
              <w:rPr>
                <w:rFonts w:hint="default" w:ascii="Times New Roman" w:hAnsi="Times New Roman" w:eastAsia="宋体" w:cs="Times New Roman"/>
                <w:color w:val="auto"/>
                <w:kern w:val="0"/>
                <w:sz w:val="24"/>
                <w:szCs w:val="24"/>
                <w:highlight w:val="none"/>
                <w:lang w:bidi="ar"/>
              </w:rPr>
              <w:t>t/a</w:t>
            </w:r>
            <w:r>
              <w:rPr>
                <w:rFonts w:hint="default" w:ascii="Times New Roman" w:hAnsi="Times New Roman" w:eastAsia="宋体" w:cs="Times New Roman"/>
                <w:color w:val="auto"/>
                <w:kern w:val="0"/>
                <w:sz w:val="24"/>
                <w:szCs w:val="24"/>
                <w:highlight w:val="none"/>
                <w:lang w:eastAsia="zh-CN" w:bidi="ar"/>
              </w:rPr>
              <w:t>（</w:t>
            </w:r>
            <w:r>
              <w:rPr>
                <w:rFonts w:hint="default" w:ascii="Times New Roman" w:hAnsi="Times New Roman" w:eastAsia="宋体" w:cs="Times New Roman"/>
                <w:color w:val="auto"/>
                <w:kern w:val="0"/>
                <w:sz w:val="24"/>
                <w:szCs w:val="24"/>
                <w:highlight w:val="none"/>
                <w:lang w:val="en-US" w:eastAsia="zh-CN" w:bidi="ar"/>
              </w:rPr>
              <w:t>2.691</w:t>
            </w:r>
            <w:r>
              <w:rPr>
                <w:rFonts w:hint="default" w:ascii="Times New Roman" w:hAnsi="Times New Roman" w:eastAsia="宋体" w:cs="Times New Roman"/>
                <w:color w:val="auto"/>
                <w:sz w:val="24"/>
                <w:szCs w:val="24"/>
                <w:highlight w:val="none"/>
              </w:rPr>
              <w:t>kg/h</w:t>
            </w:r>
            <w:r>
              <w:rPr>
                <w:rFonts w:hint="default" w:ascii="Times New Roman" w:hAnsi="Times New Roman" w:eastAsia="宋体" w:cs="Times New Roman"/>
                <w:color w:val="auto"/>
                <w:kern w:val="0"/>
                <w:sz w:val="24"/>
                <w:szCs w:val="24"/>
                <w:highlight w:val="none"/>
                <w:lang w:eastAsia="zh-CN" w:bidi="ar"/>
              </w:rPr>
              <w:t>），</w:t>
            </w:r>
            <w:r>
              <w:rPr>
                <w:rFonts w:hint="default" w:ascii="Times New Roman" w:hAnsi="Times New Roman" w:eastAsia="宋体" w:cs="Times New Roman"/>
                <w:color w:val="auto"/>
                <w:kern w:val="0"/>
                <w:sz w:val="24"/>
                <w:szCs w:val="24"/>
                <w:highlight w:val="none"/>
                <w:lang w:val="en-US" w:eastAsia="zh-CN" w:bidi="ar"/>
              </w:rPr>
              <w:t>排放量为0.9687</w:t>
            </w:r>
            <w:r>
              <w:rPr>
                <w:rFonts w:hint="default" w:ascii="Times New Roman" w:hAnsi="Times New Roman" w:eastAsia="宋体" w:cs="Times New Roman"/>
                <w:color w:val="auto"/>
                <w:kern w:val="0"/>
                <w:sz w:val="24"/>
                <w:szCs w:val="24"/>
                <w:highlight w:val="none"/>
                <w:lang w:bidi="ar"/>
              </w:rPr>
              <w:t>t/a</w:t>
            </w:r>
            <w:r>
              <w:rPr>
                <w:rFonts w:hint="default" w:ascii="Times New Roman" w:hAnsi="Times New Roman" w:eastAsia="宋体" w:cs="Times New Roman"/>
                <w:color w:val="auto"/>
                <w:kern w:val="0"/>
                <w:sz w:val="24"/>
                <w:szCs w:val="24"/>
                <w:highlight w:val="none"/>
                <w:lang w:eastAsia="zh-CN" w:bidi="ar"/>
              </w:rPr>
              <w:t>（</w:t>
            </w:r>
            <w:r>
              <w:rPr>
                <w:rFonts w:hint="default" w:ascii="Times New Roman" w:hAnsi="Times New Roman" w:eastAsia="宋体" w:cs="Times New Roman"/>
                <w:color w:val="auto"/>
                <w:kern w:val="0"/>
                <w:sz w:val="24"/>
                <w:szCs w:val="24"/>
                <w:highlight w:val="none"/>
                <w:lang w:val="en-US" w:eastAsia="zh-CN" w:bidi="ar"/>
              </w:rPr>
              <w:t>0.1345</w:t>
            </w:r>
            <w:r>
              <w:rPr>
                <w:rFonts w:hint="default" w:ascii="Times New Roman" w:hAnsi="Times New Roman" w:eastAsia="宋体" w:cs="Times New Roman"/>
                <w:color w:val="auto"/>
                <w:sz w:val="24"/>
                <w:szCs w:val="24"/>
                <w:highlight w:val="none"/>
              </w:rPr>
              <w:t>kg/h</w:t>
            </w:r>
            <w:r>
              <w:rPr>
                <w:rFonts w:hint="default" w:ascii="Times New Roman" w:hAnsi="Times New Roman" w:eastAsia="宋体" w:cs="Times New Roman"/>
                <w:color w:val="auto"/>
                <w:kern w:val="0"/>
                <w:sz w:val="24"/>
                <w:szCs w:val="24"/>
                <w:highlight w:val="none"/>
                <w:lang w:eastAsia="zh-CN" w:bidi="ar"/>
              </w:rPr>
              <w:t>），</w:t>
            </w:r>
            <w:r>
              <w:rPr>
                <w:rFonts w:hint="default" w:ascii="Times New Roman" w:hAnsi="Times New Roman" w:eastAsia="宋体" w:cs="Times New Roman"/>
                <w:color w:val="auto"/>
                <w:sz w:val="24"/>
                <w:szCs w:val="24"/>
                <w:highlight w:val="none"/>
              </w:rPr>
              <w:t>排放浓度为</w:t>
            </w:r>
            <w:r>
              <w:rPr>
                <w:rFonts w:hint="default" w:ascii="Times New Roman" w:hAnsi="Times New Roman" w:eastAsia="宋体" w:cs="Times New Roman"/>
                <w:color w:val="auto"/>
                <w:sz w:val="24"/>
                <w:szCs w:val="24"/>
                <w:highlight w:val="none"/>
                <w:lang w:val="en-US" w:eastAsia="zh-CN"/>
              </w:rPr>
              <w:t>2.2425</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2.2</w:t>
            </w:r>
            <w:r>
              <w:rPr>
                <w:rFonts w:hint="default" w:ascii="Times New Roman" w:hAnsi="Times New Roman" w:eastAsia="宋体" w:cs="Times New Roman"/>
                <w:b/>
                <w:bCs/>
                <w:color w:val="auto"/>
                <w:sz w:val="24"/>
                <w:szCs w:val="24"/>
                <w:highlight w:val="none"/>
              </w:rPr>
              <w:t>原料堆场粉尘</w:t>
            </w:r>
          </w:p>
          <w:p>
            <w:pPr>
              <w:pStyle w:val="83"/>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项目设有一个原料堆场，</w:t>
            </w:r>
            <w:r>
              <w:rPr>
                <w:rFonts w:hint="default" w:ascii="Times New Roman" w:hAnsi="Times New Roman" w:eastAsia="宋体" w:cs="Times New Roman"/>
                <w:color w:val="auto"/>
                <w:sz w:val="24"/>
                <w:szCs w:val="24"/>
                <w:highlight w:val="none"/>
                <w:lang w:val="en-US" w:eastAsia="zh-CN"/>
              </w:rPr>
              <w:t>环评要求项目原料堆场</w:t>
            </w:r>
            <w:r>
              <w:rPr>
                <w:rFonts w:hint="default" w:ascii="Times New Roman" w:hAnsi="Times New Roman" w:eastAsia="宋体" w:cs="Times New Roman"/>
                <w:bCs/>
                <w:color w:val="auto"/>
                <w:sz w:val="24"/>
                <w:szCs w:val="24"/>
                <w:highlight w:val="none"/>
              </w:rPr>
              <w:t>采用彩钢瓦顶棚，三面围挡、地面硬化</w:t>
            </w:r>
            <w:r>
              <w:rPr>
                <w:rFonts w:hint="default" w:ascii="Times New Roman" w:hAnsi="Times New Roman" w:eastAsia="宋体" w:cs="Times New Roman"/>
                <w:color w:val="auto"/>
                <w:sz w:val="24"/>
                <w:szCs w:val="24"/>
                <w:highlight w:val="none"/>
              </w:rPr>
              <w:t>的措施</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color w:val="auto"/>
                <w:sz w:val="24"/>
                <w:szCs w:val="24"/>
                <w:highlight w:val="none"/>
              </w:rPr>
              <w:t>原料堆场</w:t>
            </w:r>
            <w:r>
              <w:rPr>
                <w:rFonts w:hint="default" w:ascii="Times New Roman" w:hAnsi="Times New Roman" w:eastAsia="宋体" w:cs="Times New Roman"/>
                <w:color w:val="auto"/>
                <w:sz w:val="24"/>
                <w:szCs w:val="24"/>
                <w:highlight w:val="none"/>
                <w:lang w:val="en-US" w:eastAsia="zh-CN"/>
              </w:rPr>
              <w:t>需要</w:t>
            </w:r>
            <w:r>
              <w:rPr>
                <w:rFonts w:hint="default" w:ascii="Times New Roman" w:hAnsi="Times New Roman" w:eastAsia="宋体" w:cs="Times New Roman"/>
                <w:color w:val="auto"/>
                <w:sz w:val="24"/>
                <w:szCs w:val="24"/>
                <w:highlight w:val="none"/>
              </w:rPr>
              <w:t>满足“三防要求”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项目堆放的原料均含有不同水份，</w:t>
            </w:r>
            <w:r>
              <w:rPr>
                <w:rFonts w:hint="default" w:ascii="Times New Roman" w:hAnsi="Times New Roman" w:eastAsia="宋体" w:cs="Times New Roman"/>
                <w:color w:val="auto"/>
                <w:sz w:val="24"/>
                <w:szCs w:val="24"/>
                <w:highlight w:val="none"/>
              </w:rPr>
              <w:t>在风力作用下不易产生扬尘。粉尘主要为原料卸料过程中因振动产生的粉尘。粉尘参考《逸散性工业粉尘控制技术》中卡车卸料时排放粉尘的产生量为0.02kg/t卸料。</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rPr>
              <w:t>年耗</w:t>
            </w:r>
            <w:r>
              <w:rPr>
                <w:rFonts w:hint="default" w:ascii="Times New Roman" w:hAnsi="Times New Roman" w:eastAsia="宋体" w:cs="Times New Roman"/>
                <w:color w:val="auto"/>
                <w:sz w:val="24"/>
                <w:szCs w:val="24"/>
                <w:highlight w:val="none"/>
                <w:lang w:val="en-US" w:eastAsia="zh-CN"/>
              </w:rPr>
              <w:t>物料量为183521</w:t>
            </w:r>
            <w:r>
              <w:rPr>
                <w:rFonts w:hint="default" w:ascii="Times New Roman" w:hAnsi="Times New Roman" w:eastAsia="宋体" w:cs="Times New Roman"/>
                <w:color w:val="auto"/>
                <w:sz w:val="24"/>
                <w:szCs w:val="24"/>
                <w:highlight w:val="none"/>
              </w:rPr>
              <w:t>吨。则粉尘产生量为</w:t>
            </w:r>
            <w:r>
              <w:rPr>
                <w:rFonts w:hint="default" w:ascii="Times New Roman" w:hAnsi="Times New Roman" w:eastAsia="宋体" w:cs="Times New Roman"/>
                <w:color w:val="auto"/>
                <w:sz w:val="24"/>
                <w:szCs w:val="24"/>
                <w:highlight w:val="none"/>
                <w:lang w:val="en-US" w:eastAsia="zh-CN"/>
              </w:rPr>
              <w:t>3.6704</w:t>
            </w:r>
            <w:r>
              <w:rPr>
                <w:rFonts w:hint="default" w:ascii="Times New Roman" w:hAnsi="Times New Roman" w:eastAsia="宋体" w:cs="Times New Roman"/>
                <w:color w:val="auto"/>
                <w:sz w:val="24"/>
                <w:szCs w:val="24"/>
                <w:highlight w:val="none"/>
              </w:rPr>
              <w:t>t/a。粉尘通过洒水降尘处理效率为70%，则原料堆场粉尘排放量为</w:t>
            </w:r>
            <w:r>
              <w:rPr>
                <w:rFonts w:hint="default" w:ascii="Times New Roman" w:hAnsi="Times New Roman" w:eastAsia="宋体" w:cs="Times New Roman"/>
                <w:color w:val="auto"/>
                <w:sz w:val="24"/>
                <w:szCs w:val="24"/>
                <w:highlight w:val="none"/>
                <w:lang w:val="en-US" w:eastAsia="zh-CN"/>
              </w:rPr>
              <w:t>1.1011</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0.4588</w:t>
            </w:r>
            <w:r>
              <w:rPr>
                <w:rFonts w:hint="default" w:ascii="Times New Roman" w:hAnsi="Times New Roman" w:eastAsia="宋体" w:cs="Times New Roman"/>
                <w:color w:val="auto"/>
                <w:sz w:val="24"/>
                <w:szCs w:val="24"/>
                <w:highlight w:val="none"/>
              </w:rPr>
              <w:t>kg/h</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pPr>
              <w:pStyle w:val="73"/>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2.3原料制备粉尘</w:t>
            </w:r>
          </w:p>
          <w:p>
            <w:pPr>
              <w:pStyle w:val="68"/>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2.3.1</w:t>
            </w:r>
            <w:r>
              <w:rPr>
                <w:rFonts w:hint="default" w:ascii="Times New Roman" w:hAnsi="Times New Roman" w:eastAsia="宋体" w:cs="Times New Roman"/>
                <w:b/>
                <w:bCs/>
                <w:color w:val="auto"/>
                <w:sz w:val="24"/>
                <w:szCs w:val="24"/>
                <w:highlight w:val="none"/>
              </w:rPr>
              <w:t>破碎、筛分</w:t>
            </w:r>
            <w:r>
              <w:rPr>
                <w:rFonts w:hint="default" w:ascii="Times New Roman" w:hAnsi="Times New Roman" w:eastAsia="宋体" w:cs="Times New Roman"/>
                <w:b/>
                <w:bCs/>
                <w:color w:val="auto"/>
                <w:sz w:val="24"/>
                <w:szCs w:val="24"/>
                <w:highlight w:val="none"/>
                <w:lang w:val="en-US" w:eastAsia="zh-CN"/>
              </w:rPr>
              <w:t>粉尘</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根据《</w:t>
            </w:r>
            <w:r>
              <w:rPr>
                <w:rFonts w:hint="default" w:ascii="Times New Roman" w:hAnsi="Times New Roman" w:eastAsia="宋体" w:cs="Times New Roman"/>
                <w:color w:val="auto"/>
                <w:sz w:val="24"/>
                <w:szCs w:val="24"/>
                <w:highlight w:val="none"/>
              </w:rPr>
              <w:t>排放源统计调查产排污核算方法和系数手册</w:t>
            </w:r>
            <w:r>
              <w:rPr>
                <w:rFonts w:hint="default" w:ascii="Times New Roman" w:hAnsi="Times New Roman" w:eastAsia="宋体" w:cs="Times New Roman"/>
                <w:color w:val="auto"/>
                <w:kern w:val="0"/>
                <w:sz w:val="24"/>
                <w:szCs w:val="24"/>
                <w:highlight w:val="none"/>
              </w:rPr>
              <w:t>》中“303 砖瓦</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石材等建筑材料制造行业系数手册”</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3031 粘土砖瓦及建筑砌块制造系数表</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进行核算，</w:t>
            </w:r>
            <w:r>
              <w:rPr>
                <w:rFonts w:hint="default" w:ascii="Times New Roman" w:hAnsi="Times New Roman" w:eastAsia="宋体" w:cs="Times New Roman"/>
                <w:color w:val="auto"/>
                <w:kern w:val="0"/>
                <w:sz w:val="24"/>
                <w:szCs w:val="24"/>
                <w:highlight w:val="none"/>
              </w:rPr>
              <w:t>产排污系数见下表：</w:t>
            </w:r>
          </w:p>
          <w:p>
            <w:pPr>
              <w:pStyle w:val="73"/>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color w:val="auto"/>
                <w:sz w:val="21"/>
                <w:szCs w:val="21"/>
                <w:highlight w:val="none"/>
              </w:rPr>
              <w:t>表4.2-3   粘土砖瓦及建筑砌块制造系数表</w:t>
            </w:r>
          </w:p>
          <w:tbl>
            <w:tblPr>
              <w:tblStyle w:val="23"/>
              <w:tblW w:w="5000" w:type="pct"/>
              <w:jc w:val="center"/>
              <w:tblBorders>
                <w:top w:val="none" w:color="auto" w:sz="0" w:space="0"/>
                <w:left w:val="none" w:color="auto" w:sz="0" w:space="0"/>
                <w:bottom w:val="single" w:color="000000"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52"/>
              <w:gridCol w:w="661"/>
              <w:gridCol w:w="686"/>
              <w:gridCol w:w="694"/>
              <w:gridCol w:w="1250"/>
              <w:gridCol w:w="972"/>
              <w:gridCol w:w="904"/>
              <w:gridCol w:w="1338"/>
              <w:gridCol w:w="969"/>
            </w:tblGrid>
            <w:tr>
              <w:tblPrEx>
                <w:tblBorders>
                  <w:top w:val="none" w:color="auto" w:sz="0"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481" w:hRule="atLeast"/>
                <w:jc w:val="center"/>
              </w:trPr>
              <w:tc>
                <w:tcPr>
                  <w:tcW w:w="402" w:type="pct"/>
                  <w:tcBorders>
                    <w:top w:val="single" w:color="000000" w:sz="4" w:space="0"/>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产品名称</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原料名称</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工艺名称</w:t>
                  </w:r>
                </w:p>
              </w:tc>
              <w:tc>
                <w:tcPr>
                  <w:tcW w:w="427" w:type="pct"/>
                  <w:tcBorders>
                    <w:top w:val="single" w:color="000000" w:sz="4" w:space="0"/>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规模等级</w:t>
                  </w:r>
                </w:p>
              </w:tc>
              <w:tc>
                <w:tcPr>
                  <w:tcW w:w="769" w:type="pct"/>
                  <w:tcBorders>
                    <w:top w:val="single" w:color="000000" w:sz="4" w:space="0"/>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污染物指标</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单位</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产污系数</w:t>
                  </w:r>
                </w:p>
              </w:tc>
              <w:tc>
                <w:tcPr>
                  <w:tcW w:w="823" w:type="pct"/>
                  <w:tcBorders>
                    <w:top w:val="single" w:color="000000" w:sz="4" w:space="0"/>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6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末端治理技术名称</w:t>
                  </w:r>
                </w:p>
              </w:tc>
              <w:tc>
                <w:tcPr>
                  <w:tcW w:w="593" w:type="pct"/>
                  <w:tcBorders>
                    <w:top w:val="single" w:color="000000" w:sz="4" w:space="0"/>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去除率%</w:t>
                  </w:r>
                </w:p>
              </w:tc>
            </w:tr>
            <w:tr>
              <w:tblPrEx>
                <w:tblBorders>
                  <w:top w:val="none" w:color="auto" w:sz="0"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944" w:hRule="atLeast"/>
                <w:jc w:val="center"/>
              </w:trPr>
              <w:tc>
                <w:tcPr>
                  <w:tcW w:w="40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烧结类砖瓦及建筑砌块、煤矸石砖、蒸养砖等</w:t>
                  </w:r>
                </w:p>
              </w:tc>
              <w:tc>
                <w:tcPr>
                  <w:tcW w:w="40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粘土、页岩、粉煤灰、煤矸石等</w:t>
                  </w:r>
                </w:p>
              </w:tc>
              <w:tc>
                <w:tcPr>
                  <w:tcW w:w="42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破碎、筛分、成型干燥等</w:t>
                  </w:r>
                </w:p>
              </w:tc>
              <w:tc>
                <w:tcPr>
                  <w:tcW w:w="42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所有规模</w:t>
                  </w:r>
                </w:p>
              </w:tc>
              <w:tc>
                <w:tcPr>
                  <w:tcW w:w="769" w:type="pct"/>
                  <w:vMerge w:val="restart"/>
                  <w:tcBorders>
                    <w:top w:val="single" w:color="000000" w:sz="4" w:space="0"/>
                    <w:left w:val="single" w:color="000000" w:sz="4" w:space="0"/>
                    <w:right w:val="single" w:color="000000" w:sz="4" w:space="0"/>
                  </w:tcBorders>
                  <w:noWrap w:val="0"/>
                  <w:vAlign w:val="center"/>
                </w:tcPr>
                <w:p>
                  <w:pPr>
                    <w:pStyle w:val="71"/>
                    <w:keepNext w:val="0"/>
                    <w:keepLines w:val="0"/>
                    <w:widowControl w:val="0"/>
                    <w:suppressLineNumbers w:val="0"/>
                    <w:spacing w:before="61"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颗粒物（除窑炉外工艺废气）</w:t>
                  </w:r>
                </w:p>
              </w:tc>
              <w:tc>
                <w:tcPr>
                  <w:tcW w:w="598" w:type="pct"/>
                  <w:vMerge w:val="restart"/>
                  <w:tcBorders>
                    <w:top w:val="single" w:color="000000" w:sz="4" w:space="0"/>
                    <w:left w:val="single" w:color="000000" w:sz="4" w:space="0"/>
                    <w:right w:val="single" w:color="000000" w:sz="4" w:space="0"/>
                  </w:tcBorders>
                  <w:noWrap w:val="0"/>
                  <w:vAlign w:val="center"/>
                </w:tcPr>
                <w:p>
                  <w:pPr>
                    <w:pStyle w:val="71"/>
                    <w:keepNext w:val="0"/>
                    <w:keepLines w:val="0"/>
                    <w:widowControl w:val="0"/>
                    <w:suppressLineNumbers w:val="0"/>
                    <w:spacing w:before="61"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千克/万块标砖</w:t>
                  </w:r>
                </w:p>
              </w:tc>
              <w:tc>
                <w:tcPr>
                  <w:tcW w:w="556" w:type="pct"/>
                  <w:vMerge w:val="restart"/>
                  <w:tcBorders>
                    <w:top w:val="single" w:color="000000" w:sz="4" w:space="0"/>
                    <w:left w:val="single" w:color="000000" w:sz="4" w:space="0"/>
                    <w:right w:val="single" w:color="000000" w:sz="4" w:space="0"/>
                  </w:tcBorders>
                  <w:noWrap w:val="0"/>
                  <w:vAlign w:val="center"/>
                </w:tcPr>
                <w:p>
                  <w:pPr>
                    <w:pStyle w:val="71"/>
                    <w:keepNext w:val="0"/>
                    <w:keepLines w:val="0"/>
                    <w:widowControl w:val="0"/>
                    <w:suppressLineNumbers w:val="0"/>
                    <w:spacing w:before="172"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1.23</w:t>
                  </w:r>
                </w:p>
              </w:tc>
              <w:tc>
                <w:tcPr>
                  <w:tcW w:w="823" w:type="pct"/>
                  <w:tcBorders>
                    <w:top w:val="single" w:color="000000" w:sz="4" w:space="0"/>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156"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袋式除尘</w:t>
                  </w:r>
                </w:p>
              </w:tc>
              <w:tc>
                <w:tcPr>
                  <w:tcW w:w="593" w:type="pct"/>
                  <w:tcBorders>
                    <w:top w:val="single" w:color="000000" w:sz="4" w:space="0"/>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172"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98</w:t>
                  </w:r>
                </w:p>
              </w:tc>
            </w:tr>
            <w:tr>
              <w:tblPrEx>
                <w:tblBorders>
                  <w:top w:val="none" w:color="auto" w:sz="0"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24" w:hRule="atLeast"/>
                <w:jc w:val="center"/>
              </w:trPr>
              <w:tc>
                <w:tcPr>
                  <w:tcW w:w="402" w:type="pct"/>
                  <w:vMerge w:val="continue"/>
                  <w:tcBorders>
                    <w:left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07" w:type="pct"/>
                  <w:vMerge w:val="continue"/>
                  <w:tcBorders>
                    <w:left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22" w:type="pct"/>
                  <w:vMerge w:val="continue"/>
                  <w:tcBorders>
                    <w:left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27" w:type="pct"/>
                  <w:vMerge w:val="continue"/>
                  <w:tcBorders>
                    <w:left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69" w:type="pct"/>
                  <w:vMerge w:val="continue"/>
                  <w:tcBorders>
                    <w:left w:val="single" w:color="000000" w:sz="4" w:space="0"/>
                    <w:right w:val="single" w:color="000000" w:sz="4" w:space="0"/>
                  </w:tcBorders>
                  <w:noWrap w:val="0"/>
                  <w:vAlign w:val="center"/>
                </w:tcPr>
                <w:p>
                  <w:pPr>
                    <w:pStyle w:val="71"/>
                    <w:keepNext w:val="0"/>
                    <w:keepLines w:val="0"/>
                    <w:widowControl w:val="0"/>
                    <w:suppressLineNumbers w:val="0"/>
                    <w:spacing w:before="61"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98" w:type="pct"/>
                  <w:vMerge w:val="continue"/>
                  <w:tcBorders>
                    <w:left w:val="single" w:color="000000" w:sz="4" w:space="0"/>
                    <w:right w:val="single" w:color="000000" w:sz="4" w:space="0"/>
                  </w:tcBorders>
                  <w:noWrap w:val="0"/>
                  <w:vAlign w:val="center"/>
                </w:tcPr>
                <w:p>
                  <w:pPr>
                    <w:pStyle w:val="71"/>
                    <w:keepNext w:val="0"/>
                    <w:keepLines w:val="0"/>
                    <w:widowControl w:val="0"/>
                    <w:suppressLineNumbers w:val="0"/>
                    <w:spacing w:before="61"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56" w:type="pct"/>
                  <w:vMerge w:val="continue"/>
                  <w:tcBorders>
                    <w:left w:val="single" w:color="000000" w:sz="4" w:space="0"/>
                    <w:right w:val="single" w:color="000000" w:sz="4" w:space="0"/>
                  </w:tcBorders>
                  <w:noWrap w:val="0"/>
                  <w:vAlign w:val="center"/>
                </w:tcPr>
                <w:p>
                  <w:pPr>
                    <w:pStyle w:val="71"/>
                    <w:keepNext w:val="0"/>
                    <w:keepLines w:val="0"/>
                    <w:widowControl w:val="0"/>
                    <w:suppressLineNumbers w:val="0"/>
                    <w:spacing w:before="172"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823" w:type="pct"/>
                  <w:tcBorders>
                    <w:top w:val="single" w:color="000000" w:sz="4" w:space="0"/>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156"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其他</w:t>
                  </w:r>
                  <w:r>
                    <w:rPr>
                      <w:rFonts w:hint="default" w:ascii="Times New Roman" w:hAnsi="Times New Roman" w:eastAsia="宋体" w:cs="Times New Roman"/>
                      <w:color w:val="auto"/>
                      <w:sz w:val="21"/>
                      <w:szCs w:val="21"/>
                      <w:highlight w:val="none"/>
                      <w:vertAlign w:val="superscript"/>
                      <w:lang w:val="en-US" w:eastAsia="zh-CN"/>
                    </w:rPr>
                    <w:t>①</w:t>
                  </w:r>
                </w:p>
              </w:tc>
              <w:tc>
                <w:tcPr>
                  <w:tcW w:w="593" w:type="pct"/>
                  <w:tcBorders>
                    <w:top w:val="single" w:color="000000" w:sz="4" w:space="0"/>
                    <w:left w:val="single" w:color="000000" w:sz="4" w:space="0"/>
                    <w:bottom w:val="single" w:color="000000" w:sz="4" w:space="0"/>
                    <w:right w:val="single" w:color="000000" w:sz="4" w:space="0"/>
                  </w:tcBorders>
                  <w:noWrap w:val="0"/>
                  <w:vAlign w:val="center"/>
                </w:tcPr>
                <w:p>
                  <w:pPr>
                    <w:pStyle w:val="71"/>
                    <w:keepNext w:val="0"/>
                    <w:keepLines w:val="0"/>
                    <w:widowControl w:val="0"/>
                    <w:suppressLineNumbers w:val="0"/>
                    <w:spacing w:before="172"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60</w:t>
                  </w:r>
                </w:p>
              </w:tc>
            </w:tr>
            <w:tr>
              <w:tblPrEx>
                <w:tblBorders>
                  <w:top w:val="none" w:color="auto" w:sz="0"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556" w:hRule="atLeast"/>
                <w:jc w:val="center"/>
              </w:trPr>
              <w:tc>
                <w:tcPr>
                  <w:tcW w:w="5000" w:type="pct"/>
                  <w:gridSpan w:val="9"/>
                  <w:tcBorders>
                    <w:top w:val="single" w:color="000000" w:sz="4" w:space="0"/>
                    <w:left w:val="single" w:color="000000" w:sz="4" w:space="0"/>
                    <w:right w:val="single" w:color="000000" w:sz="4" w:space="0"/>
                  </w:tcBorders>
                  <w:noWrap w:val="0"/>
                  <w:vAlign w:val="center"/>
                </w:tcPr>
                <w:p>
                  <w:pPr>
                    <w:pStyle w:val="71"/>
                    <w:keepNext w:val="0"/>
                    <w:keepLines w:val="0"/>
                    <w:widowControl w:val="0"/>
                    <w:suppressLineNumbers w:val="0"/>
                    <w:spacing w:before="81" w:beforeAutospacing="0" w:after="0" w:afterAutospacing="0"/>
                    <w:ind w:left="0" w:right="0"/>
                    <w:jc w:val="both"/>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rPr>
                    <w:t>其他包括机械除尘、喷雾降尘等。</w:t>
                  </w:r>
                </w:p>
              </w:tc>
            </w:tr>
          </w:tbl>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项目年产标砖</w:t>
            </w:r>
            <w:r>
              <w:rPr>
                <w:rFonts w:hint="default" w:ascii="Times New Roman" w:hAnsi="Times New Roman" w:eastAsia="宋体" w:cs="Times New Roman"/>
                <w:color w:val="auto"/>
                <w:sz w:val="24"/>
                <w:szCs w:val="24"/>
                <w:highlight w:val="none"/>
                <w:lang w:val="en-US" w:eastAsia="zh-CN"/>
              </w:rPr>
              <w:t>62</w:t>
            </w:r>
            <w:r>
              <w:rPr>
                <w:rFonts w:hint="default" w:ascii="Times New Roman" w:hAnsi="Times New Roman" w:eastAsia="宋体" w:cs="Times New Roman"/>
                <w:color w:val="auto"/>
                <w:sz w:val="24"/>
                <w:szCs w:val="24"/>
                <w:highlight w:val="none"/>
              </w:rPr>
              <w:t>00万块，</w:t>
            </w:r>
            <w:r>
              <w:rPr>
                <w:rFonts w:hint="default" w:ascii="Times New Roman" w:hAnsi="Times New Roman" w:eastAsia="宋体" w:cs="Times New Roman"/>
                <w:color w:val="auto"/>
                <w:sz w:val="24"/>
                <w:szCs w:val="24"/>
                <w:highlight w:val="none"/>
                <w:lang w:val="en-US" w:eastAsia="zh-CN"/>
              </w:rPr>
              <w:t>根据系数</w:t>
            </w:r>
            <w:r>
              <w:rPr>
                <w:rFonts w:hint="default" w:ascii="Times New Roman" w:hAnsi="Times New Roman" w:eastAsia="宋体" w:cs="Times New Roman"/>
                <w:color w:val="auto"/>
                <w:sz w:val="24"/>
                <w:szCs w:val="24"/>
                <w:highlight w:val="none"/>
              </w:rPr>
              <w:t>则破碎、筛分过程中粉尘产生量</w:t>
            </w:r>
            <w:r>
              <w:rPr>
                <w:rFonts w:hint="default" w:ascii="Times New Roman" w:hAnsi="Times New Roman" w:eastAsia="宋体" w:cs="Times New Roman"/>
                <w:b w:val="0"/>
                <w:bCs w:val="0"/>
                <w:color w:val="auto"/>
                <w:sz w:val="24"/>
                <w:szCs w:val="24"/>
                <w:highlight w:val="none"/>
              </w:rPr>
              <w:t>为</w:t>
            </w:r>
            <w:r>
              <w:rPr>
                <w:rFonts w:hint="default" w:ascii="Times New Roman" w:hAnsi="Times New Roman" w:eastAsia="宋体" w:cs="Times New Roman"/>
                <w:b w:val="0"/>
                <w:bCs w:val="0"/>
                <w:color w:val="auto"/>
                <w:sz w:val="24"/>
                <w:szCs w:val="24"/>
                <w:highlight w:val="none"/>
                <w:lang w:val="en-US" w:eastAsia="zh-CN"/>
              </w:rPr>
              <w:t>7.626</w:t>
            </w:r>
            <w:r>
              <w:rPr>
                <w:rFonts w:hint="default" w:ascii="Times New Roman" w:hAnsi="Times New Roman" w:eastAsia="宋体" w:cs="Times New Roman"/>
                <w:b w:val="0"/>
                <w:bCs w:val="0"/>
                <w:color w:val="auto"/>
                <w:sz w:val="24"/>
                <w:szCs w:val="24"/>
                <w:highlight w:val="none"/>
              </w:rPr>
              <w:t>t/a</w:t>
            </w:r>
            <w:r>
              <w:rPr>
                <w:rFonts w:hint="default" w:ascii="Times New Roman" w:hAnsi="Times New Roman" w:eastAsia="宋体" w:cs="Times New Roman"/>
                <w:b w:val="0"/>
                <w:bCs w:val="0"/>
                <w:color w:val="auto"/>
                <w:kern w:val="0"/>
                <w:sz w:val="24"/>
                <w:szCs w:val="24"/>
                <w:highlight w:val="none"/>
                <w:lang w:eastAsia="zh-CN" w:bidi="ar"/>
              </w:rPr>
              <w:t>（</w:t>
            </w:r>
            <w:r>
              <w:rPr>
                <w:rFonts w:hint="default" w:ascii="Times New Roman" w:hAnsi="Times New Roman" w:eastAsia="宋体" w:cs="Times New Roman"/>
                <w:b w:val="0"/>
                <w:bCs w:val="0"/>
                <w:color w:val="auto"/>
                <w:sz w:val="24"/>
                <w:szCs w:val="24"/>
                <w:highlight w:val="none"/>
                <w:lang w:val="en-US" w:eastAsia="zh-CN"/>
              </w:rPr>
              <w:t>3.1775</w:t>
            </w:r>
            <w:r>
              <w:rPr>
                <w:rFonts w:hint="default" w:ascii="Times New Roman" w:hAnsi="Times New Roman" w:eastAsia="宋体" w:cs="Times New Roman"/>
                <w:b w:val="0"/>
                <w:bCs w:val="0"/>
                <w:color w:val="auto"/>
                <w:sz w:val="24"/>
                <w:szCs w:val="24"/>
                <w:highlight w:val="none"/>
              </w:rPr>
              <w:t>kg/h</w:t>
            </w:r>
            <w:r>
              <w:rPr>
                <w:rFonts w:hint="default" w:ascii="Times New Roman" w:hAnsi="Times New Roman" w:eastAsia="宋体" w:cs="Times New Roman"/>
                <w:b w:val="0"/>
                <w:bCs w:val="0"/>
                <w:color w:val="auto"/>
                <w:kern w:val="0"/>
                <w:sz w:val="24"/>
                <w:szCs w:val="24"/>
                <w:highlight w:val="none"/>
                <w:lang w:eastAsia="zh-CN" w:bidi="ar"/>
              </w:rPr>
              <w:t>）</w:t>
            </w:r>
            <w:r>
              <w:rPr>
                <w:rFonts w:hint="default" w:ascii="Times New Roman" w:hAnsi="Times New Roman" w:eastAsia="宋体" w:cs="Times New Roman"/>
                <w:b w:val="0"/>
                <w:bCs w:val="0"/>
                <w:color w:val="auto"/>
                <w:kern w:val="0"/>
                <w:sz w:val="24"/>
                <w:szCs w:val="24"/>
                <w:highlight w:val="none"/>
                <w:lang w:bidi="ar"/>
              </w:rPr>
              <w:t>，</w:t>
            </w:r>
            <w:r>
              <w:rPr>
                <w:rFonts w:hint="default" w:ascii="Times New Roman" w:hAnsi="Times New Roman" w:eastAsia="宋体" w:cs="Times New Roman"/>
                <w:b w:val="0"/>
                <w:bCs w:val="0"/>
                <w:color w:val="auto"/>
                <w:kern w:val="0"/>
                <w:sz w:val="24"/>
                <w:szCs w:val="24"/>
                <w:highlight w:val="none"/>
                <w:lang w:val="en-US" w:eastAsia="zh-CN" w:bidi="ar"/>
              </w:rPr>
              <w:t>产生</w:t>
            </w:r>
            <w:r>
              <w:rPr>
                <w:rFonts w:hint="default" w:ascii="Times New Roman" w:hAnsi="Times New Roman" w:eastAsia="宋体" w:cs="Times New Roman"/>
                <w:b w:val="0"/>
                <w:bCs w:val="0"/>
                <w:color w:val="auto"/>
                <w:sz w:val="24"/>
                <w:szCs w:val="24"/>
                <w:highlight w:val="none"/>
              </w:rPr>
              <w:t>浓度为</w:t>
            </w:r>
            <w:r>
              <w:rPr>
                <w:rFonts w:hint="default" w:ascii="Times New Roman" w:hAnsi="Times New Roman" w:eastAsia="宋体" w:cs="Times New Roman"/>
                <w:b w:val="0"/>
                <w:bCs w:val="0"/>
                <w:color w:val="auto"/>
                <w:sz w:val="24"/>
                <w:szCs w:val="24"/>
                <w:highlight w:val="none"/>
                <w:lang w:val="en-US" w:eastAsia="zh-CN"/>
              </w:rPr>
              <w:t>244.4231</w:t>
            </w:r>
            <w:r>
              <w:rPr>
                <w:rFonts w:hint="default" w:ascii="Times New Roman" w:hAnsi="Times New Roman" w:eastAsia="宋体" w:cs="Times New Roman"/>
                <w:b w:val="0"/>
                <w:bCs w:val="0"/>
                <w:color w:val="auto"/>
                <w:sz w:val="24"/>
                <w:szCs w:val="24"/>
                <w:highlight w:val="none"/>
              </w:rPr>
              <w:t>mg/m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项目</w:t>
            </w:r>
            <w:r>
              <w:rPr>
                <w:rFonts w:hint="default" w:ascii="Times New Roman" w:hAnsi="Times New Roman" w:eastAsia="宋体" w:cs="Times New Roman"/>
                <w:b w:val="0"/>
                <w:bCs w:val="0"/>
                <w:color w:val="auto"/>
                <w:sz w:val="24"/>
                <w:szCs w:val="24"/>
                <w:highlight w:val="none"/>
              </w:rPr>
              <w:t>破碎、筛分</w:t>
            </w:r>
            <w:r>
              <w:rPr>
                <w:rFonts w:hint="default" w:ascii="Times New Roman" w:hAnsi="Times New Roman" w:eastAsia="宋体" w:cs="Times New Roman"/>
                <w:b w:val="0"/>
                <w:bCs w:val="0"/>
                <w:color w:val="auto"/>
                <w:sz w:val="24"/>
                <w:szCs w:val="24"/>
                <w:highlight w:val="none"/>
                <w:lang w:val="en-US" w:eastAsia="zh-CN"/>
              </w:rPr>
              <w:t>区域安装集气罩+布袋除尘器+排气筒处理后排放，集气罩的收集效率为90%，布袋除尘器的处理效率为99%，但根据</w:t>
            </w:r>
            <w:r>
              <w:rPr>
                <w:rFonts w:hint="default" w:ascii="Times New Roman" w:hAnsi="Times New Roman" w:eastAsia="宋体" w:cs="Times New Roman"/>
                <w:color w:val="auto"/>
                <w:kern w:val="0"/>
                <w:sz w:val="24"/>
                <w:szCs w:val="24"/>
                <w:highlight w:val="none"/>
              </w:rPr>
              <w:t>“303 砖瓦</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石材等建筑材料制造行业系数手册”</w:t>
            </w:r>
            <w:r>
              <w:rPr>
                <w:rFonts w:hint="default" w:ascii="Times New Roman" w:hAnsi="Times New Roman" w:eastAsia="宋体" w:cs="Times New Roman"/>
                <w:color w:val="auto"/>
                <w:kern w:val="0"/>
                <w:sz w:val="24"/>
                <w:szCs w:val="24"/>
                <w:highlight w:val="none"/>
                <w:lang w:val="en-US" w:eastAsia="zh-CN"/>
              </w:rPr>
              <w:t>中</w:t>
            </w:r>
            <w:r>
              <w:rPr>
                <w:rFonts w:hint="default" w:ascii="Times New Roman" w:hAnsi="Times New Roman" w:eastAsia="宋体" w:cs="Times New Roman"/>
                <w:color w:val="auto"/>
                <w:sz w:val="24"/>
                <w:szCs w:val="24"/>
                <w:highlight w:val="none"/>
              </w:rPr>
              <w:t>袋式除尘</w:t>
            </w:r>
            <w:r>
              <w:rPr>
                <w:rFonts w:hint="default" w:ascii="Times New Roman" w:hAnsi="Times New Roman" w:eastAsia="宋体" w:cs="Times New Roman"/>
                <w:color w:val="auto"/>
                <w:sz w:val="24"/>
                <w:szCs w:val="24"/>
                <w:highlight w:val="none"/>
                <w:lang w:val="en-US" w:eastAsia="zh-CN"/>
              </w:rPr>
              <w:t>的除尘效率为98%，因此本项目按照98%核算。</w:t>
            </w:r>
            <w:r>
              <w:rPr>
                <w:rFonts w:hint="default" w:ascii="Times New Roman" w:hAnsi="Times New Roman" w:eastAsia="宋体" w:cs="Times New Roman"/>
                <w:color w:val="auto"/>
                <w:kern w:val="0"/>
                <w:sz w:val="24"/>
                <w:szCs w:val="24"/>
                <w:highlight w:val="none"/>
                <w:lang w:val="en-US" w:eastAsia="zh-CN"/>
              </w:rPr>
              <w:t>项目风量根据项目实际设置进行核算，</w:t>
            </w:r>
            <w:r>
              <w:rPr>
                <w:rFonts w:hint="default" w:ascii="Times New Roman" w:hAnsi="Times New Roman" w:eastAsia="宋体" w:cs="Times New Roman"/>
                <w:color w:val="auto"/>
                <w:kern w:val="0"/>
                <w:sz w:val="24"/>
                <w:szCs w:val="24"/>
                <w:highlight w:val="none"/>
              </w:rPr>
              <w:t>项目风机风量为</w:t>
            </w:r>
            <w:r>
              <w:rPr>
                <w:rFonts w:hint="default" w:ascii="Times New Roman" w:hAnsi="Times New Roman" w:eastAsia="宋体" w:cs="Times New Roman"/>
                <w:color w:val="auto"/>
                <w:kern w:val="0"/>
                <w:sz w:val="24"/>
                <w:szCs w:val="24"/>
                <w:highlight w:val="none"/>
                <w:lang w:val="en-US" w:eastAsia="zh-CN"/>
              </w:rPr>
              <w:t>13</w:t>
            </w:r>
            <w:r>
              <w:rPr>
                <w:rFonts w:hint="default" w:ascii="Times New Roman" w:hAnsi="Times New Roman" w:eastAsia="宋体" w:cs="Times New Roman"/>
                <w:color w:val="auto"/>
                <w:kern w:val="0"/>
                <w:sz w:val="24"/>
                <w:szCs w:val="24"/>
                <w:highlight w:val="none"/>
              </w:rPr>
              <w:t>000m³/h。</w:t>
            </w:r>
            <w:r>
              <w:rPr>
                <w:rFonts w:hint="default" w:ascii="Times New Roman" w:hAnsi="Times New Roman" w:eastAsia="宋体" w:cs="Times New Roman"/>
                <w:b w:val="0"/>
                <w:bCs w:val="0"/>
                <w:color w:val="auto"/>
                <w:sz w:val="24"/>
                <w:szCs w:val="24"/>
                <w:highlight w:val="none"/>
                <w:lang w:val="en-US" w:eastAsia="zh-CN"/>
              </w:rPr>
              <w:t>则项目</w:t>
            </w:r>
            <w:r>
              <w:rPr>
                <w:rFonts w:hint="default" w:ascii="Times New Roman" w:hAnsi="Times New Roman" w:eastAsia="宋体" w:cs="Times New Roman"/>
                <w:b w:val="0"/>
                <w:bCs w:val="0"/>
                <w:color w:val="auto"/>
                <w:sz w:val="24"/>
                <w:szCs w:val="24"/>
                <w:highlight w:val="none"/>
              </w:rPr>
              <w:t>破碎、筛分粉尘</w:t>
            </w:r>
            <w:r>
              <w:rPr>
                <w:rFonts w:hint="default" w:ascii="Times New Roman" w:hAnsi="Times New Roman" w:eastAsia="宋体" w:cs="Times New Roman"/>
                <w:b w:val="0"/>
                <w:bCs w:val="0"/>
                <w:color w:val="auto"/>
                <w:sz w:val="24"/>
                <w:szCs w:val="24"/>
                <w:highlight w:val="none"/>
                <w:lang w:val="en-US" w:eastAsia="zh-CN"/>
              </w:rPr>
              <w:t>有组织</w:t>
            </w:r>
            <w:r>
              <w:rPr>
                <w:rFonts w:hint="default" w:ascii="Times New Roman" w:hAnsi="Times New Roman" w:eastAsia="宋体" w:cs="Times New Roman"/>
                <w:b w:val="0"/>
                <w:bCs w:val="0"/>
                <w:color w:val="auto"/>
                <w:kern w:val="0"/>
                <w:sz w:val="24"/>
                <w:szCs w:val="24"/>
                <w:highlight w:val="none"/>
                <w:lang w:bidi="ar"/>
              </w:rPr>
              <w:t>排放量为</w:t>
            </w:r>
            <w:r>
              <w:rPr>
                <w:rFonts w:hint="default" w:ascii="Times New Roman" w:hAnsi="Times New Roman" w:eastAsia="宋体" w:cs="Times New Roman"/>
                <w:b w:val="0"/>
                <w:bCs w:val="0"/>
                <w:color w:val="auto"/>
                <w:kern w:val="0"/>
                <w:sz w:val="24"/>
                <w:szCs w:val="24"/>
                <w:highlight w:val="none"/>
                <w:lang w:val="en-US" w:eastAsia="zh-CN" w:bidi="ar"/>
              </w:rPr>
              <w:t>0.1373</w:t>
            </w:r>
            <w:r>
              <w:rPr>
                <w:rFonts w:hint="default" w:ascii="Times New Roman" w:hAnsi="Times New Roman" w:eastAsia="宋体" w:cs="Times New Roman"/>
                <w:b w:val="0"/>
                <w:bCs w:val="0"/>
                <w:color w:val="auto"/>
                <w:kern w:val="0"/>
                <w:sz w:val="24"/>
                <w:szCs w:val="24"/>
                <w:highlight w:val="none"/>
                <w:lang w:bidi="ar"/>
              </w:rPr>
              <w:t>t/a</w:t>
            </w:r>
            <w:r>
              <w:rPr>
                <w:rFonts w:hint="default" w:ascii="Times New Roman" w:hAnsi="Times New Roman" w:eastAsia="宋体" w:cs="Times New Roman"/>
                <w:b w:val="0"/>
                <w:bCs w:val="0"/>
                <w:color w:val="auto"/>
                <w:kern w:val="0"/>
                <w:sz w:val="24"/>
                <w:szCs w:val="24"/>
                <w:highlight w:val="none"/>
                <w:lang w:eastAsia="zh-CN" w:bidi="ar"/>
              </w:rPr>
              <w:t>（</w:t>
            </w:r>
            <w:r>
              <w:rPr>
                <w:rFonts w:hint="default" w:ascii="Times New Roman" w:hAnsi="Times New Roman" w:eastAsia="宋体" w:cs="Times New Roman"/>
                <w:b w:val="0"/>
                <w:bCs w:val="0"/>
                <w:color w:val="auto"/>
                <w:sz w:val="24"/>
                <w:szCs w:val="24"/>
                <w:highlight w:val="none"/>
                <w:lang w:val="en-US" w:eastAsia="zh-CN"/>
              </w:rPr>
              <w:t>0.0572</w:t>
            </w:r>
            <w:r>
              <w:rPr>
                <w:rFonts w:hint="default" w:ascii="Times New Roman" w:hAnsi="Times New Roman" w:eastAsia="宋体" w:cs="Times New Roman"/>
                <w:b w:val="0"/>
                <w:bCs w:val="0"/>
                <w:color w:val="auto"/>
                <w:sz w:val="24"/>
                <w:szCs w:val="24"/>
                <w:highlight w:val="none"/>
              </w:rPr>
              <w:t>kg/h</w:t>
            </w:r>
            <w:r>
              <w:rPr>
                <w:rFonts w:hint="default" w:ascii="Times New Roman" w:hAnsi="Times New Roman" w:eastAsia="宋体" w:cs="Times New Roman"/>
                <w:b w:val="0"/>
                <w:bCs w:val="0"/>
                <w:color w:val="auto"/>
                <w:kern w:val="0"/>
                <w:sz w:val="24"/>
                <w:szCs w:val="24"/>
                <w:highlight w:val="none"/>
                <w:lang w:eastAsia="zh-CN" w:bidi="ar"/>
              </w:rPr>
              <w:t>）</w:t>
            </w:r>
            <w:r>
              <w:rPr>
                <w:rFonts w:hint="default" w:ascii="Times New Roman" w:hAnsi="Times New Roman" w:eastAsia="宋体" w:cs="Times New Roman"/>
                <w:b w:val="0"/>
                <w:bCs w:val="0"/>
                <w:color w:val="auto"/>
                <w:kern w:val="0"/>
                <w:sz w:val="24"/>
                <w:szCs w:val="24"/>
                <w:highlight w:val="none"/>
                <w:lang w:bidi="ar"/>
              </w:rPr>
              <w:t>，</w:t>
            </w:r>
            <w:r>
              <w:rPr>
                <w:rFonts w:hint="default" w:ascii="Times New Roman" w:hAnsi="Times New Roman" w:eastAsia="宋体" w:cs="Times New Roman"/>
                <w:b w:val="0"/>
                <w:bCs w:val="0"/>
                <w:color w:val="auto"/>
                <w:sz w:val="24"/>
                <w:szCs w:val="24"/>
                <w:highlight w:val="none"/>
              </w:rPr>
              <w:t>排放浓度为</w:t>
            </w:r>
            <w:r>
              <w:rPr>
                <w:rFonts w:hint="default" w:ascii="Times New Roman" w:hAnsi="Times New Roman" w:eastAsia="宋体" w:cs="Times New Roman"/>
                <w:b w:val="0"/>
                <w:bCs w:val="0"/>
                <w:color w:val="auto"/>
                <w:sz w:val="24"/>
                <w:szCs w:val="24"/>
                <w:highlight w:val="none"/>
                <w:lang w:val="en-US" w:eastAsia="zh-CN"/>
              </w:rPr>
              <w:t>4.3996</w:t>
            </w:r>
            <w:r>
              <w:rPr>
                <w:rFonts w:hint="default" w:ascii="Times New Roman" w:hAnsi="Times New Roman" w:eastAsia="宋体" w:cs="Times New Roman"/>
                <w:b w:val="0"/>
                <w:bCs w:val="0"/>
                <w:color w:val="auto"/>
                <w:sz w:val="24"/>
                <w:szCs w:val="24"/>
                <w:highlight w:val="none"/>
              </w:rPr>
              <w:t>mg/m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color w:val="auto"/>
                <w:sz w:val="24"/>
                <w:szCs w:val="24"/>
                <w:highlight w:val="none"/>
              </w:rPr>
              <w:t>项目破碎、筛分过程有10%粉尘未被收集，</w:t>
            </w:r>
            <w:r>
              <w:rPr>
                <w:rFonts w:hint="default" w:ascii="Times New Roman" w:hAnsi="Times New Roman" w:eastAsia="宋体" w:cs="Times New Roman"/>
                <w:b w:val="0"/>
                <w:bCs w:val="0"/>
                <w:color w:val="auto"/>
                <w:sz w:val="24"/>
                <w:szCs w:val="24"/>
                <w:highlight w:val="none"/>
                <w:lang w:val="en-US" w:eastAsia="zh-CN"/>
              </w:rPr>
              <w:t>则项目</w:t>
            </w:r>
            <w:r>
              <w:rPr>
                <w:rFonts w:hint="default" w:ascii="Times New Roman" w:hAnsi="Times New Roman" w:eastAsia="宋体" w:cs="Times New Roman"/>
                <w:b w:val="0"/>
                <w:bCs w:val="0"/>
                <w:color w:val="auto"/>
                <w:sz w:val="24"/>
                <w:szCs w:val="24"/>
                <w:highlight w:val="none"/>
              </w:rPr>
              <w:t>破碎、筛分粉尘</w:t>
            </w:r>
            <w:r>
              <w:rPr>
                <w:rFonts w:hint="default" w:ascii="Times New Roman" w:hAnsi="Times New Roman" w:eastAsia="宋体" w:cs="Times New Roman"/>
                <w:b w:val="0"/>
                <w:bCs w:val="0"/>
                <w:color w:val="auto"/>
                <w:sz w:val="24"/>
                <w:szCs w:val="24"/>
                <w:highlight w:val="none"/>
                <w:lang w:val="en-US" w:eastAsia="zh-CN"/>
              </w:rPr>
              <w:t>无组织</w:t>
            </w:r>
            <w:r>
              <w:rPr>
                <w:rFonts w:hint="default" w:ascii="Times New Roman" w:hAnsi="Times New Roman" w:eastAsia="宋体" w:cs="Times New Roman"/>
                <w:b w:val="0"/>
                <w:bCs w:val="0"/>
                <w:color w:val="auto"/>
                <w:kern w:val="0"/>
                <w:sz w:val="24"/>
                <w:szCs w:val="24"/>
                <w:highlight w:val="none"/>
                <w:lang w:bidi="ar"/>
              </w:rPr>
              <w:t>排放量为</w:t>
            </w:r>
            <w:r>
              <w:rPr>
                <w:rFonts w:hint="default" w:ascii="Times New Roman" w:hAnsi="Times New Roman" w:eastAsia="宋体" w:cs="Times New Roman"/>
                <w:b w:val="0"/>
                <w:bCs w:val="0"/>
                <w:color w:val="auto"/>
                <w:kern w:val="0"/>
                <w:sz w:val="24"/>
                <w:szCs w:val="24"/>
                <w:highlight w:val="none"/>
                <w:lang w:val="en-US" w:eastAsia="zh-CN" w:bidi="ar"/>
              </w:rPr>
              <w:t>0.7626</w:t>
            </w:r>
            <w:r>
              <w:rPr>
                <w:rFonts w:hint="default" w:ascii="Times New Roman" w:hAnsi="Times New Roman" w:eastAsia="宋体" w:cs="Times New Roman"/>
                <w:b w:val="0"/>
                <w:bCs w:val="0"/>
                <w:color w:val="auto"/>
                <w:kern w:val="0"/>
                <w:sz w:val="24"/>
                <w:szCs w:val="24"/>
                <w:highlight w:val="none"/>
                <w:lang w:bidi="ar"/>
              </w:rPr>
              <w:t>t/a</w:t>
            </w:r>
            <w:r>
              <w:rPr>
                <w:rFonts w:hint="default" w:ascii="Times New Roman" w:hAnsi="Times New Roman" w:eastAsia="宋体" w:cs="Times New Roman"/>
                <w:b w:val="0"/>
                <w:bCs w:val="0"/>
                <w:color w:val="auto"/>
                <w:kern w:val="0"/>
                <w:sz w:val="24"/>
                <w:szCs w:val="24"/>
                <w:highlight w:val="none"/>
                <w:lang w:eastAsia="zh-CN" w:bidi="ar"/>
              </w:rPr>
              <w:t>（</w:t>
            </w:r>
            <w:r>
              <w:rPr>
                <w:rFonts w:hint="default" w:ascii="Times New Roman" w:hAnsi="Times New Roman" w:eastAsia="宋体" w:cs="Times New Roman"/>
                <w:b w:val="0"/>
                <w:bCs w:val="0"/>
                <w:color w:val="auto"/>
                <w:sz w:val="24"/>
                <w:szCs w:val="24"/>
                <w:highlight w:val="none"/>
                <w:lang w:val="en-US" w:eastAsia="zh-CN"/>
              </w:rPr>
              <w:t>0.3178</w:t>
            </w:r>
            <w:r>
              <w:rPr>
                <w:rFonts w:hint="default" w:ascii="Times New Roman" w:hAnsi="Times New Roman" w:eastAsia="宋体" w:cs="Times New Roman"/>
                <w:b w:val="0"/>
                <w:bCs w:val="0"/>
                <w:color w:val="auto"/>
                <w:sz w:val="24"/>
                <w:szCs w:val="24"/>
                <w:highlight w:val="none"/>
              </w:rPr>
              <w:t>kg/h</w:t>
            </w:r>
            <w:r>
              <w:rPr>
                <w:rFonts w:hint="default" w:ascii="Times New Roman" w:hAnsi="Times New Roman" w:eastAsia="宋体" w:cs="Times New Roman"/>
                <w:b w:val="0"/>
                <w:bCs w:val="0"/>
                <w:color w:val="auto"/>
                <w:kern w:val="0"/>
                <w:sz w:val="24"/>
                <w:szCs w:val="24"/>
                <w:highlight w:val="none"/>
                <w:lang w:eastAsia="zh-CN" w:bidi="ar"/>
              </w:rPr>
              <w:t>）。</w:t>
            </w:r>
          </w:p>
          <w:p>
            <w:pPr>
              <w:pStyle w:val="83"/>
              <w:keepNext w:val="0"/>
              <w:keepLines w:val="0"/>
              <w:suppressLineNumbers w:val="0"/>
              <w:spacing w:before="0" w:beforeAutospacing="0" w:after="0" w:afterAutospacing="0"/>
              <w:ind w:left="0" w:right="0" w:firstLine="482"/>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2.3.2</w:t>
            </w:r>
            <w:r>
              <w:rPr>
                <w:rFonts w:hint="default" w:ascii="Times New Roman" w:hAnsi="Times New Roman" w:eastAsia="宋体" w:cs="Times New Roman"/>
                <w:b/>
                <w:bCs/>
                <w:color w:val="auto"/>
                <w:sz w:val="24"/>
                <w:szCs w:val="24"/>
                <w:highlight w:val="none"/>
              </w:rPr>
              <w:t>搅拌粉尘</w:t>
            </w:r>
          </w:p>
          <w:p>
            <w:pPr>
              <w:pStyle w:val="83"/>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搅拌粉尘根据</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sz w:val="24"/>
                <w:szCs w:val="24"/>
                <w:highlight w:val="none"/>
              </w:rPr>
              <w:t>排放源统计调查产排污核算方法和系数手册</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val="en-US" w:eastAsia="zh-CN"/>
              </w:rPr>
              <w:t>中</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3031 粘土砖瓦及建筑砌块制造系数表</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颗粒物</w:t>
            </w:r>
            <w:r>
              <w:rPr>
                <w:rFonts w:hint="default" w:ascii="Times New Roman" w:hAnsi="Times New Roman" w:eastAsia="宋体" w:cs="Times New Roman"/>
                <w:color w:val="auto"/>
                <w:sz w:val="24"/>
                <w:szCs w:val="24"/>
                <w:highlight w:val="none"/>
              </w:rPr>
              <w:t>按1.23千克/万块标砖计算，项目年产</w:t>
            </w:r>
            <w:r>
              <w:rPr>
                <w:rFonts w:hint="default" w:ascii="Times New Roman" w:hAnsi="Times New Roman" w:eastAsia="宋体" w:cs="Times New Roman"/>
                <w:color w:val="auto"/>
                <w:sz w:val="24"/>
                <w:szCs w:val="24"/>
                <w:highlight w:val="none"/>
                <w:lang w:val="en-US" w:eastAsia="zh-CN"/>
              </w:rPr>
              <w:t>62</w:t>
            </w:r>
            <w:r>
              <w:rPr>
                <w:rFonts w:hint="default" w:ascii="Times New Roman" w:hAnsi="Times New Roman" w:eastAsia="宋体" w:cs="Times New Roman"/>
                <w:color w:val="auto"/>
                <w:sz w:val="24"/>
                <w:szCs w:val="24"/>
                <w:highlight w:val="none"/>
              </w:rPr>
              <w:t>00万块页岩砖，则粉尘产生量为</w:t>
            </w:r>
            <w:r>
              <w:rPr>
                <w:rFonts w:hint="default" w:ascii="Times New Roman" w:hAnsi="Times New Roman" w:eastAsia="宋体" w:cs="Times New Roman"/>
                <w:color w:val="auto"/>
                <w:sz w:val="24"/>
                <w:szCs w:val="24"/>
                <w:highlight w:val="none"/>
                <w:lang w:val="en-US" w:eastAsia="zh-CN"/>
              </w:rPr>
              <w:t>7.626</w:t>
            </w:r>
            <w:r>
              <w:rPr>
                <w:rFonts w:hint="default" w:ascii="Times New Roman" w:hAnsi="Times New Roman" w:eastAsia="宋体" w:cs="Times New Roman"/>
                <w:color w:val="auto"/>
                <w:sz w:val="24"/>
                <w:szCs w:val="24"/>
                <w:highlight w:val="none"/>
              </w:rPr>
              <w:t>t/a。搅拌原料时含水率为13%，</w:t>
            </w:r>
            <w:r>
              <w:rPr>
                <w:rFonts w:hint="default" w:ascii="Times New Roman" w:hAnsi="Times New Roman" w:eastAsia="宋体" w:cs="Times New Roman"/>
                <w:color w:val="auto"/>
                <w:sz w:val="24"/>
                <w:szCs w:val="24"/>
                <w:highlight w:val="none"/>
                <w:lang w:val="en-US" w:eastAsia="zh-CN"/>
              </w:rPr>
              <w:t>搅拌机为密闭，在原料加水和密闭的措施下约有15%的粉尘呈无组织在厂房内排放</w:t>
            </w:r>
            <w:r>
              <w:rPr>
                <w:rFonts w:hint="default" w:ascii="Times New Roman" w:hAnsi="Times New Roman" w:eastAsia="宋体" w:cs="Times New Roman"/>
                <w:color w:val="auto"/>
                <w:sz w:val="24"/>
                <w:szCs w:val="24"/>
                <w:highlight w:val="none"/>
              </w:rPr>
              <w:t>，则项目搅拌粉尘排放量为</w:t>
            </w:r>
            <w:r>
              <w:rPr>
                <w:rFonts w:hint="default" w:ascii="Times New Roman" w:hAnsi="Times New Roman" w:eastAsia="宋体" w:cs="Times New Roman"/>
                <w:color w:val="auto"/>
                <w:sz w:val="24"/>
                <w:szCs w:val="24"/>
                <w:highlight w:val="none"/>
                <w:lang w:val="en-US" w:eastAsia="zh-CN"/>
              </w:rPr>
              <w:t>1.1439</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b w:val="0"/>
                <w:bCs w:val="0"/>
                <w:color w:val="auto"/>
                <w:kern w:val="0"/>
                <w:sz w:val="24"/>
                <w:szCs w:val="24"/>
                <w:highlight w:val="none"/>
                <w:lang w:eastAsia="zh-CN" w:bidi="ar"/>
              </w:rPr>
              <w:t>（</w:t>
            </w:r>
            <w:r>
              <w:rPr>
                <w:rFonts w:hint="default" w:ascii="Times New Roman" w:hAnsi="Times New Roman" w:eastAsia="宋体" w:cs="Times New Roman"/>
                <w:b w:val="0"/>
                <w:bCs w:val="0"/>
                <w:color w:val="auto"/>
                <w:sz w:val="24"/>
                <w:szCs w:val="24"/>
                <w:highlight w:val="none"/>
                <w:lang w:val="en-US" w:eastAsia="zh-CN"/>
              </w:rPr>
              <w:t>0.4766</w:t>
            </w:r>
            <w:r>
              <w:rPr>
                <w:rFonts w:hint="default" w:ascii="Times New Roman" w:hAnsi="Times New Roman" w:eastAsia="宋体" w:cs="Times New Roman"/>
                <w:b w:val="0"/>
                <w:bCs w:val="0"/>
                <w:color w:val="auto"/>
                <w:sz w:val="24"/>
                <w:szCs w:val="24"/>
                <w:highlight w:val="none"/>
              </w:rPr>
              <w:t>kg/h</w:t>
            </w:r>
            <w:r>
              <w:rPr>
                <w:rFonts w:hint="default" w:ascii="Times New Roman" w:hAnsi="Times New Roman" w:eastAsia="宋体" w:cs="Times New Roman"/>
                <w:b w:val="0"/>
                <w:bCs w:val="0"/>
                <w:color w:val="auto"/>
                <w:kern w:val="0"/>
                <w:sz w:val="24"/>
                <w:szCs w:val="24"/>
                <w:highlight w:val="none"/>
                <w:lang w:eastAsia="zh-CN" w:bidi="ar"/>
              </w:rPr>
              <w:t>）</w:t>
            </w:r>
            <w:r>
              <w:rPr>
                <w:rFonts w:hint="default" w:ascii="Times New Roman" w:hAnsi="Times New Roman" w:eastAsia="宋体" w:cs="Times New Roman"/>
                <w:color w:val="auto"/>
                <w:sz w:val="24"/>
                <w:szCs w:val="24"/>
                <w:highlight w:val="none"/>
              </w:rPr>
              <w:t>。</w:t>
            </w:r>
          </w:p>
          <w:p>
            <w:pPr>
              <w:pStyle w:val="73"/>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w:t>
            </w: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运输扬尘</w:t>
            </w:r>
          </w:p>
          <w:p>
            <w:pPr>
              <w:pStyle w:val="7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主要运输为原料进厂、成品砖外运等，运输过程中可能存在原料洒落等产生的扬尘问题，场内道路短，均进行硬化，运输采取篷布加盖的方式运输，并适时对道路进行洒水降尘和清扫，降低大风干旱天气运输过程中扬尘的产生量，产生量极少。</w:t>
            </w:r>
          </w:p>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2.</w:t>
            </w:r>
            <w:r>
              <w:rPr>
                <w:rFonts w:hint="default" w:ascii="Times New Roman" w:hAnsi="Times New Roman" w:eastAsia="宋体" w:cs="Times New Roman"/>
                <w:b/>
                <w:bCs/>
                <w:color w:val="auto"/>
                <w:sz w:val="24"/>
                <w:szCs w:val="24"/>
                <w:highlight w:val="none"/>
                <w:lang w:val="en-US" w:eastAsia="zh-CN"/>
              </w:rPr>
              <w:t>5恶臭气体</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臭气来自原来堆场的污泥堆放区，由于污泥含水率约80%，所以污泥在污泥库内装卸、储存时基本不会有粉尘产生；污泥库臭味来源于污泥中腐烂有机质组分的发酵产生的异味组分，如硫化氢、氨等；恶臭组分、强度等与污水处理站的污泥浓缩池、污泥脱水间相类似。因此，类比污水处理厂的恶臭污染源相关数据进行估算污泥库恶臭具有可行性。</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4"/>
                <w:szCs w:val="24"/>
                <w:highlight w:val="none"/>
                <w:lang w:val="en-US" w:eastAsia="zh-CN"/>
              </w:rPr>
              <w:t>根据王建明《污水处理厂恶臭污染物控制技术的研究》、席劲瑛《城市污水处理厂主要恶臭源的排放规律研究》、李居哲《污水处理厂恶臭污染状况分析与评价》中通过对污水处理厂中恶臭污染物中成分及产生浓度进行测定，恶臭污染物中各成分浓度如下表。</w:t>
            </w:r>
          </w:p>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rPr>
              <w:t>表4</w:t>
            </w:r>
            <w:r>
              <w:rPr>
                <w:rFonts w:hint="default" w:ascii="Times New Roman" w:hAnsi="Times New Roman" w:eastAsia="宋体" w:cs="Times New Roman"/>
                <w:b/>
                <w:bCs/>
                <w:color w:val="auto"/>
                <w:sz w:val="21"/>
                <w:szCs w:val="21"/>
                <w:highlight w:val="none"/>
                <w:lang w:val="en-US" w:eastAsia="zh-CN"/>
              </w:rPr>
              <w:t>.2-4</w:t>
            </w:r>
            <w:r>
              <w:rPr>
                <w:rFonts w:hint="default" w:ascii="Times New Roman" w:hAnsi="Times New Roman" w:eastAsia="宋体" w:cs="Times New Roman"/>
                <w:b/>
                <w:bCs/>
                <w:color w:val="auto"/>
                <w:sz w:val="21"/>
                <w:szCs w:val="21"/>
                <w:highlight w:val="none"/>
              </w:rPr>
              <w:t xml:space="preserve"> 污泥池恶臭污染物的浓度</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2"/>
              <w:gridCol w:w="2707"/>
              <w:gridCol w:w="2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污染因子</w:t>
                  </w:r>
                </w:p>
              </w:tc>
              <w:tc>
                <w:tcPr>
                  <w:tcW w:w="1667"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平均值（</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vertAlign w:val="baseline"/>
                      <w:lang w:val="en-US" w:eastAsia="zh-CN"/>
                    </w:rPr>
                    <w:t>）</w:t>
                  </w:r>
                </w:p>
              </w:tc>
              <w:tc>
                <w:tcPr>
                  <w:tcW w:w="1667"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lang w:val="en-US" w:eastAsia="zh-CN"/>
                    </w:rPr>
                    <w:t>浓度范围</w:t>
                  </w:r>
                  <w:r>
                    <w:rPr>
                      <w:rFonts w:hint="default" w:ascii="Times New Roman" w:hAnsi="Times New Roman" w:eastAsia="宋体" w:cs="Times New Roman"/>
                      <w:b/>
                      <w:bCs/>
                      <w:color w:val="auto"/>
                      <w:sz w:val="21"/>
                      <w:szCs w:val="21"/>
                      <w:highlight w:val="none"/>
                      <w:vertAlign w:val="baseline"/>
                      <w:lang w:val="en-US" w:eastAsia="zh-CN"/>
                    </w:rPr>
                    <w:t>（</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noWrap w:val="0"/>
                  <w:vAlign w:val="center"/>
                </w:tcPr>
                <w:p>
                  <w:pPr>
                    <w:pStyle w:val="71"/>
                    <w:keepNext w:val="0"/>
                    <w:keepLines w:val="0"/>
                    <w:widowControl w:val="0"/>
                    <w:suppressLineNumbers w:val="0"/>
                    <w:spacing w:before="156"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硫化氢</w:t>
                  </w:r>
                </w:p>
              </w:tc>
              <w:tc>
                <w:tcPr>
                  <w:tcW w:w="1667" w:type="pct"/>
                  <w:noWrap w:val="0"/>
                  <w:vAlign w:val="center"/>
                </w:tcPr>
                <w:p>
                  <w:pPr>
                    <w:pStyle w:val="71"/>
                    <w:keepNext w:val="0"/>
                    <w:keepLines w:val="0"/>
                    <w:widowControl w:val="0"/>
                    <w:suppressLineNumbers w:val="0"/>
                    <w:spacing w:before="156"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0.005</w:t>
                  </w:r>
                </w:p>
              </w:tc>
              <w:tc>
                <w:tcPr>
                  <w:tcW w:w="1667" w:type="pct"/>
                  <w:noWrap w:val="0"/>
                  <w:vAlign w:val="center"/>
                </w:tcPr>
                <w:p>
                  <w:pPr>
                    <w:pStyle w:val="71"/>
                    <w:keepNext w:val="0"/>
                    <w:keepLines w:val="0"/>
                    <w:widowControl w:val="0"/>
                    <w:suppressLineNumbers w:val="0"/>
                    <w:spacing w:before="156"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noWrap w:val="0"/>
                  <w:vAlign w:val="center"/>
                </w:tcPr>
                <w:p>
                  <w:pPr>
                    <w:pStyle w:val="71"/>
                    <w:keepNext w:val="0"/>
                    <w:keepLines w:val="0"/>
                    <w:widowControl w:val="0"/>
                    <w:suppressLineNumbers w:val="0"/>
                    <w:spacing w:before="156"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w:t>
                  </w:r>
                </w:p>
              </w:tc>
              <w:tc>
                <w:tcPr>
                  <w:tcW w:w="1667" w:type="pct"/>
                  <w:noWrap w:val="0"/>
                  <w:vAlign w:val="center"/>
                </w:tcPr>
                <w:p>
                  <w:pPr>
                    <w:pStyle w:val="71"/>
                    <w:keepNext w:val="0"/>
                    <w:keepLines w:val="0"/>
                    <w:widowControl w:val="0"/>
                    <w:suppressLineNumbers w:val="0"/>
                    <w:spacing w:before="156"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0.072</w:t>
                  </w:r>
                </w:p>
              </w:tc>
              <w:tc>
                <w:tcPr>
                  <w:tcW w:w="1667" w:type="pct"/>
                  <w:noWrap w:val="0"/>
                  <w:vAlign w:val="center"/>
                </w:tcPr>
                <w:p>
                  <w:pPr>
                    <w:pStyle w:val="71"/>
                    <w:keepNext w:val="0"/>
                    <w:keepLines w:val="0"/>
                    <w:widowControl w:val="0"/>
                    <w:suppressLineNumbers w:val="0"/>
                    <w:spacing w:before="156"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0.04-0.12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noWrap w:val="0"/>
                  <w:vAlign w:val="center"/>
                </w:tcPr>
                <w:p>
                  <w:pPr>
                    <w:pStyle w:val="71"/>
                    <w:keepNext w:val="0"/>
                    <w:keepLines w:val="0"/>
                    <w:widowControl w:val="0"/>
                    <w:suppressLineNumbers w:val="0"/>
                    <w:spacing w:before="156"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臭气强度</w:t>
                  </w:r>
                </w:p>
              </w:tc>
              <w:tc>
                <w:tcPr>
                  <w:tcW w:w="1667" w:type="pct"/>
                  <w:noWrap w:val="0"/>
                  <w:vAlign w:val="center"/>
                </w:tcPr>
                <w:p>
                  <w:pPr>
                    <w:pStyle w:val="71"/>
                    <w:keepNext w:val="0"/>
                    <w:keepLines w:val="0"/>
                    <w:widowControl w:val="0"/>
                    <w:suppressLineNumbers w:val="0"/>
                    <w:spacing w:before="156"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2.5级</w:t>
                  </w:r>
                </w:p>
              </w:tc>
              <w:tc>
                <w:tcPr>
                  <w:tcW w:w="1667" w:type="pct"/>
                  <w:noWrap w:val="0"/>
                  <w:vAlign w:val="center"/>
                </w:tcPr>
                <w:p>
                  <w:pPr>
                    <w:pStyle w:val="71"/>
                    <w:keepNext w:val="0"/>
                    <w:keepLines w:val="0"/>
                    <w:widowControl w:val="0"/>
                    <w:suppressLineNumbers w:val="0"/>
                    <w:spacing w:before="156"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2.5级</w:t>
                  </w:r>
                </w:p>
              </w:tc>
            </w:tr>
          </w:tbl>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恶臭源污染物排放量可按下式估算（曾向东等《炼油厂恶臭污染物排放量的简易算法》)：</w:t>
            </w:r>
          </w:p>
          <w:p>
            <w:pPr>
              <w:pStyle w:val="19"/>
              <w:keepNext w:val="0"/>
              <w:keepLines w:val="0"/>
              <w:widowControl/>
              <w:suppressLineNumbers w:val="0"/>
              <w:spacing w:line="240" w:lineRule="auto"/>
              <w:ind w:left="0" w:right="0" w:firstLine="0"/>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pacing w:val="0"/>
                <w:position w:val="0"/>
                <w:sz w:val="24"/>
                <w:szCs w:val="24"/>
                <w:highlight w:val="none"/>
              </w:rPr>
              <w:t>G=C·U·Qr</w:t>
            </w:r>
          </w:p>
          <w:p>
            <w:pPr>
              <w:pStyle w:val="19"/>
              <w:keepNext w:val="0"/>
              <w:keepLines w:val="0"/>
              <w:widowControl/>
              <w:suppressLineNumbers w:val="0"/>
              <w:spacing w:line="240" w:lineRule="auto"/>
              <w:ind w:left="0" w:right="0" w:firstLine="0"/>
              <w:jc w:val="left"/>
              <w:textAlignment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0"/>
                <w:position w:val="0"/>
                <w:sz w:val="24"/>
                <w:szCs w:val="24"/>
                <w:highlight w:val="none"/>
              </w:rPr>
              <w:t>上式中，G---面源污染源恶臭物质排放量，kg/h；</w:t>
            </w:r>
          </w:p>
          <w:p>
            <w:pPr>
              <w:pStyle w:val="19"/>
              <w:keepNext w:val="0"/>
              <w:keepLines w:val="0"/>
              <w:widowControl/>
              <w:suppressLineNumbers w:val="0"/>
              <w:spacing w:line="240" w:lineRule="auto"/>
              <w:ind w:left="0" w:right="0" w:firstLine="0"/>
              <w:jc w:val="left"/>
              <w:textAlignment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0"/>
                <w:position w:val="0"/>
                <w:sz w:val="24"/>
                <w:szCs w:val="24"/>
                <w:highlight w:val="none"/>
              </w:rPr>
              <w:t>C---面源污染源恶臭物质实测浓度，mg/m</w:t>
            </w:r>
            <w:r>
              <w:rPr>
                <w:rFonts w:hint="default" w:ascii="Times New Roman" w:hAnsi="Times New Roman" w:eastAsia="宋体" w:cs="Times New Roman"/>
                <w:color w:val="auto"/>
                <w:spacing w:val="0"/>
                <w:position w:val="0"/>
                <w:sz w:val="24"/>
                <w:szCs w:val="24"/>
                <w:highlight w:val="none"/>
                <w:vertAlign w:val="superscript"/>
              </w:rPr>
              <w:t>3</w:t>
            </w:r>
            <w:r>
              <w:rPr>
                <w:rFonts w:hint="default" w:ascii="Times New Roman" w:hAnsi="Times New Roman" w:eastAsia="宋体" w:cs="Times New Roman"/>
                <w:color w:val="auto"/>
                <w:spacing w:val="0"/>
                <w:position w:val="0"/>
                <w:sz w:val="24"/>
                <w:szCs w:val="24"/>
                <w:highlight w:val="none"/>
              </w:rPr>
              <w:t>，(按上表平均值)；</w:t>
            </w:r>
          </w:p>
          <w:p>
            <w:pPr>
              <w:pStyle w:val="19"/>
              <w:keepNext w:val="0"/>
              <w:keepLines w:val="0"/>
              <w:widowControl/>
              <w:suppressLineNumbers w:val="0"/>
              <w:spacing w:line="240" w:lineRule="auto"/>
              <w:ind w:left="0" w:right="0" w:firstLine="0"/>
              <w:jc w:val="left"/>
              <w:textAlignment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0"/>
                <w:position w:val="0"/>
                <w:sz w:val="24"/>
                <w:szCs w:val="24"/>
                <w:highlight w:val="none"/>
              </w:rPr>
              <w:t>U---采样时当地平均风速，m/s，(</w:t>
            </w:r>
            <w:r>
              <w:rPr>
                <w:rFonts w:hint="default" w:ascii="Times New Roman" w:hAnsi="Times New Roman" w:eastAsia="宋体" w:cs="Times New Roman"/>
                <w:color w:val="auto"/>
                <w:spacing w:val="0"/>
                <w:position w:val="0"/>
                <w:sz w:val="24"/>
                <w:szCs w:val="24"/>
                <w:highlight w:val="none"/>
                <w:lang w:val="en-US" w:eastAsia="zh-CN"/>
              </w:rPr>
              <w:t>宜良</w:t>
            </w:r>
            <w:r>
              <w:rPr>
                <w:rFonts w:hint="default" w:ascii="Times New Roman" w:hAnsi="Times New Roman" w:eastAsia="宋体" w:cs="Times New Roman"/>
                <w:color w:val="auto"/>
                <w:spacing w:val="0"/>
                <w:position w:val="0"/>
                <w:sz w:val="24"/>
                <w:szCs w:val="24"/>
                <w:highlight w:val="none"/>
              </w:rPr>
              <w:t>区取</w:t>
            </w:r>
            <w:r>
              <w:rPr>
                <w:rFonts w:hint="default" w:ascii="Times New Roman" w:hAnsi="Times New Roman" w:eastAsia="宋体" w:cs="Times New Roman"/>
                <w:color w:val="auto"/>
                <w:spacing w:val="0"/>
                <w:position w:val="0"/>
                <w:sz w:val="24"/>
                <w:szCs w:val="24"/>
                <w:highlight w:val="none"/>
                <w:lang w:val="en-US" w:eastAsia="zh-CN"/>
              </w:rPr>
              <w:t>2.2</w:t>
            </w:r>
            <w:r>
              <w:rPr>
                <w:rFonts w:hint="default" w:ascii="Times New Roman" w:hAnsi="Times New Roman" w:eastAsia="宋体" w:cs="Times New Roman"/>
                <w:color w:val="auto"/>
                <w:spacing w:val="0"/>
                <w:position w:val="0"/>
                <w:sz w:val="24"/>
                <w:szCs w:val="24"/>
                <w:highlight w:val="none"/>
              </w:rPr>
              <w:t>m/s)；</w:t>
            </w:r>
          </w:p>
          <w:p>
            <w:pPr>
              <w:pStyle w:val="19"/>
              <w:keepNext w:val="0"/>
              <w:keepLines w:val="0"/>
              <w:widowControl/>
              <w:suppressLineNumbers w:val="0"/>
              <w:spacing w:line="240" w:lineRule="auto"/>
              <w:ind w:left="0" w:right="0" w:firstLine="0"/>
              <w:jc w:val="left"/>
              <w:textAlignment w:val="center"/>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position w:val="0"/>
                <w:sz w:val="24"/>
                <w:szCs w:val="24"/>
                <w:highlight w:val="none"/>
              </w:rPr>
              <w:t>Qr---面源污染源强计算参数，取值0.</w:t>
            </w:r>
            <w:r>
              <w:rPr>
                <w:rFonts w:hint="default" w:ascii="Times New Roman" w:hAnsi="Times New Roman" w:eastAsia="宋体" w:cs="Times New Roman"/>
                <w:color w:val="auto"/>
                <w:spacing w:val="0"/>
                <w:position w:val="0"/>
                <w:sz w:val="24"/>
                <w:szCs w:val="24"/>
                <w:highlight w:val="none"/>
                <w:lang w:val="en-US" w:eastAsia="zh-CN"/>
              </w:rPr>
              <w:t>5</w:t>
            </w:r>
            <w:r>
              <w:rPr>
                <w:rFonts w:hint="default" w:ascii="Times New Roman" w:hAnsi="Times New Roman" w:eastAsia="宋体" w:cs="Times New Roman"/>
                <w:color w:val="auto"/>
                <w:spacing w:val="0"/>
                <w:position w:val="0"/>
                <w:sz w:val="24"/>
                <w:szCs w:val="24"/>
                <w:highlight w:val="none"/>
              </w:rPr>
              <w:t>，取值方法如下：</w:t>
            </w:r>
          </w:p>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rPr>
              <w:t>表4</w:t>
            </w:r>
            <w:r>
              <w:rPr>
                <w:rFonts w:hint="default" w:ascii="Times New Roman" w:hAnsi="Times New Roman" w:eastAsia="宋体" w:cs="Times New Roman"/>
                <w:b/>
                <w:bCs/>
                <w:color w:val="auto"/>
                <w:sz w:val="21"/>
                <w:szCs w:val="21"/>
                <w:highlight w:val="none"/>
                <w:lang w:val="en-US" w:eastAsia="zh-CN"/>
              </w:rPr>
              <w:t>.2-5</w:t>
            </w:r>
            <w:r>
              <w:rPr>
                <w:rFonts w:hint="default" w:ascii="Times New Roman" w:hAnsi="Times New Roman" w:eastAsia="宋体" w:cs="Times New Roman"/>
                <w:b/>
                <w:bCs/>
                <w:color w:val="auto"/>
                <w:sz w:val="21"/>
                <w:szCs w:val="21"/>
                <w:highlight w:val="none"/>
              </w:rPr>
              <w:t xml:space="preserve"> 面源污染源强度计算参数取值办法表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15"/>
              <w:gridCol w:w="773"/>
              <w:gridCol w:w="773"/>
              <w:gridCol w:w="773"/>
              <w:gridCol w:w="812"/>
              <w:gridCol w:w="916"/>
              <w:gridCol w:w="916"/>
              <w:gridCol w:w="917"/>
              <w:gridCol w:w="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80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等效半径</w:t>
                  </w:r>
                </w:p>
              </w:tc>
              <w:tc>
                <w:tcPr>
                  <w:tcW w:w="71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≤20</w:t>
                  </w:r>
                </w:p>
              </w:tc>
              <w:tc>
                <w:tcPr>
                  <w:tcW w:w="77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20-40</w:t>
                  </w:r>
                </w:p>
              </w:tc>
              <w:tc>
                <w:tcPr>
                  <w:tcW w:w="77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41-60</w:t>
                  </w:r>
                </w:p>
              </w:tc>
              <w:tc>
                <w:tcPr>
                  <w:tcW w:w="77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61-80</w:t>
                  </w:r>
                </w:p>
              </w:tc>
              <w:tc>
                <w:tcPr>
                  <w:tcW w:w="81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81-100</w:t>
                  </w:r>
                </w:p>
              </w:tc>
              <w:tc>
                <w:tcPr>
                  <w:tcW w:w="91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101-120</w:t>
                  </w:r>
                </w:p>
              </w:tc>
              <w:tc>
                <w:tcPr>
                  <w:tcW w:w="91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121-150</w:t>
                  </w:r>
                </w:p>
              </w:tc>
              <w:tc>
                <w:tcPr>
                  <w:tcW w:w="91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151-180</w:t>
                  </w:r>
                </w:p>
              </w:tc>
              <w:tc>
                <w:tcPr>
                  <w:tcW w:w="71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pct"/>
                  <w:noWrap w:val="0"/>
                  <w:vAlign w:val="center"/>
                </w:tcPr>
                <w:p>
                  <w:pPr>
                    <w:pStyle w:val="71"/>
                    <w:keepNext w:val="0"/>
                    <w:keepLines w:val="0"/>
                    <w:widowControl w:val="0"/>
                    <w:suppressLineNumbers w:val="0"/>
                    <w:spacing w:before="156"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计算参数 Qr</w:t>
                  </w:r>
                </w:p>
              </w:tc>
              <w:tc>
                <w:tcPr>
                  <w:tcW w:w="440" w:type="pct"/>
                  <w:noWrap w:val="0"/>
                  <w:vAlign w:val="center"/>
                </w:tcPr>
                <w:p>
                  <w:pPr>
                    <w:pStyle w:val="71"/>
                    <w:keepNext w:val="0"/>
                    <w:keepLines w:val="0"/>
                    <w:widowControl w:val="0"/>
                    <w:suppressLineNumbers w:val="0"/>
                    <w:spacing w:before="156"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w:t>
                  </w:r>
                </w:p>
              </w:tc>
              <w:tc>
                <w:tcPr>
                  <w:tcW w:w="476" w:type="pct"/>
                  <w:noWrap w:val="0"/>
                  <w:vAlign w:val="center"/>
                </w:tcPr>
                <w:p>
                  <w:pPr>
                    <w:pStyle w:val="71"/>
                    <w:keepNext w:val="0"/>
                    <w:keepLines w:val="0"/>
                    <w:widowControl w:val="0"/>
                    <w:suppressLineNumbers w:val="0"/>
                    <w:spacing w:before="156"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c>
                <w:tcPr>
                  <w:tcW w:w="476" w:type="pct"/>
                  <w:noWrap w:val="0"/>
                  <w:vAlign w:val="center"/>
                </w:tcPr>
                <w:p>
                  <w:pPr>
                    <w:pStyle w:val="71"/>
                    <w:keepNext w:val="0"/>
                    <w:keepLines w:val="0"/>
                    <w:widowControl w:val="0"/>
                    <w:suppressLineNumbers w:val="0"/>
                    <w:spacing w:before="156"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76" w:type="pct"/>
                  <w:noWrap w:val="0"/>
                  <w:vAlign w:val="center"/>
                </w:tcPr>
                <w:p>
                  <w:pPr>
                    <w:pStyle w:val="71"/>
                    <w:keepNext w:val="0"/>
                    <w:keepLines w:val="0"/>
                    <w:widowControl w:val="0"/>
                    <w:suppressLineNumbers w:val="0"/>
                    <w:spacing w:before="156"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500" w:type="pct"/>
                  <w:noWrap w:val="0"/>
                  <w:vAlign w:val="center"/>
                </w:tcPr>
                <w:p>
                  <w:pPr>
                    <w:pStyle w:val="71"/>
                    <w:keepNext w:val="0"/>
                    <w:keepLines w:val="0"/>
                    <w:widowControl w:val="0"/>
                    <w:suppressLineNumbers w:val="0"/>
                    <w:spacing w:before="156"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564" w:type="pct"/>
                  <w:noWrap w:val="0"/>
                  <w:vAlign w:val="center"/>
                </w:tcPr>
                <w:p>
                  <w:pPr>
                    <w:pStyle w:val="71"/>
                    <w:keepNext w:val="0"/>
                    <w:keepLines w:val="0"/>
                    <w:widowControl w:val="0"/>
                    <w:suppressLineNumbers w:val="0"/>
                    <w:spacing w:before="156"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564" w:type="pct"/>
                  <w:noWrap w:val="0"/>
                  <w:vAlign w:val="center"/>
                </w:tcPr>
                <w:p>
                  <w:pPr>
                    <w:pStyle w:val="71"/>
                    <w:keepNext w:val="0"/>
                    <w:keepLines w:val="0"/>
                    <w:widowControl w:val="0"/>
                    <w:suppressLineNumbers w:val="0"/>
                    <w:spacing w:before="156"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564" w:type="pct"/>
                  <w:noWrap w:val="0"/>
                  <w:vAlign w:val="center"/>
                </w:tcPr>
                <w:p>
                  <w:pPr>
                    <w:pStyle w:val="71"/>
                    <w:keepNext w:val="0"/>
                    <w:keepLines w:val="0"/>
                    <w:widowControl w:val="0"/>
                    <w:suppressLineNumbers w:val="0"/>
                    <w:spacing w:before="156"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438" w:type="pct"/>
                  <w:noWrap w:val="0"/>
                  <w:vAlign w:val="center"/>
                </w:tcPr>
                <w:p>
                  <w:pPr>
                    <w:pStyle w:val="71"/>
                    <w:keepNext w:val="0"/>
                    <w:keepLines w:val="0"/>
                    <w:widowControl w:val="0"/>
                    <w:suppressLineNumbers w:val="0"/>
                    <w:spacing w:before="156"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r>
          </w:tbl>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面源等效半径Qr由下式确定：</w:t>
            </w:r>
          </w:p>
          <w:p>
            <w:pPr>
              <w:pStyle w:val="19"/>
              <w:keepNext w:val="0"/>
              <w:keepLines w:val="0"/>
              <w:widowControl/>
              <w:suppressLineNumbers w:val="0"/>
              <w:spacing w:line="360" w:lineRule="auto"/>
              <w:ind w:left="0" w:right="0" w:firstLine="6"/>
              <w:jc w:val="center"/>
              <w:textAlignment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0"/>
                <w:position w:val="0"/>
                <w:sz w:val="24"/>
                <w:szCs w:val="24"/>
                <w:highlight w:val="none"/>
              </w:rPr>
              <w:t>Ra=(S/π)0.5</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式中，S---面源面积，m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。项目的污泥堆放在原料堆场，划分出单独的污泥堆区，污泥堆区占地面积150m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。则Ra为23.8739m，Qr为0.5。</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根据以上公式，计算出该项目的污泥池恶臭污染物产生量，见下表。</w:t>
            </w:r>
          </w:p>
          <w:p>
            <w:pPr>
              <w:pStyle w:val="71"/>
              <w:keepNext w:val="0"/>
              <w:keepLines w:val="0"/>
              <w:widowControl w:val="0"/>
              <w:suppressLineNumbers w:val="0"/>
              <w:spacing w:before="156"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表4.2-6 面源污染源强度计算参数取值办法表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7"/>
              <w:gridCol w:w="2029"/>
              <w:gridCol w:w="2029"/>
              <w:gridCol w:w="2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7" w:type="dxa"/>
                  <w:noWrap w:val="0"/>
                  <w:vAlign w:val="top"/>
                </w:tcPr>
                <w:p>
                  <w:pPr>
                    <w:pStyle w:val="71"/>
                    <w:keepNext w:val="0"/>
                    <w:keepLines w:val="0"/>
                    <w:widowControl w:val="0"/>
                    <w:suppressLineNumbers w:val="0"/>
                    <w:spacing w:before="156"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污染因子</w:t>
                  </w:r>
                </w:p>
              </w:tc>
              <w:tc>
                <w:tcPr>
                  <w:tcW w:w="2029" w:type="dxa"/>
                  <w:noWrap w:val="0"/>
                  <w:vAlign w:val="top"/>
                </w:tcPr>
                <w:p>
                  <w:pPr>
                    <w:pStyle w:val="71"/>
                    <w:keepNext w:val="0"/>
                    <w:keepLines w:val="0"/>
                    <w:widowControl w:val="0"/>
                    <w:suppressLineNumbers w:val="0"/>
                    <w:spacing w:before="156"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产生速率g/h</w:t>
                  </w:r>
                </w:p>
              </w:tc>
              <w:tc>
                <w:tcPr>
                  <w:tcW w:w="2029" w:type="dxa"/>
                  <w:noWrap w:val="0"/>
                  <w:vAlign w:val="top"/>
                </w:tcPr>
                <w:p>
                  <w:pPr>
                    <w:pStyle w:val="71"/>
                    <w:keepNext w:val="0"/>
                    <w:keepLines w:val="0"/>
                    <w:widowControl w:val="0"/>
                    <w:suppressLineNumbers w:val="0"/>
                    <w:spacing w:before="156"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产生量t/a</w:t>
                  </w:r>
                </w:p>
              </w:tc>
              <w:tc>
                <w:tcPr>
                  <w:tcW w:w="2029" w:type="dxa"/>
                  <w:noWrap w:val="0"/>
                  <w:vAlign w:val="top"/>
                </w:tcPr>
                <w:p>
                  <w:pPr>
                    <w:pStyle w:val="71"/>
                    <w:keepNext w:val="0"/>
                    <w:keepLines w:val="0"/>
                    <w:widowControl w:val="0"/>
                    <w:suppressLineNumbers w:val="0"/>
                    <w:spacing w:before="156"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7" w:type="dxa"/>
                  <w:noWrap w:val="0"/>
                  <w:vAlign w:val="top"/>
                </w:tcPr>
                <w:p>
                  <w:pPr>
                    <w:pStyle w:val="71"/>
                    <w:keepNext w:val="0"/>
                    <w:keepLines w:val="0"/>
                    <w:widowControl w:val="0"/>
                    <w:suppressLineNumbers w:val="0"/>
                    <w:spacing w:before="156" w:beforeAutospacing="0" w:after="0" w:afterAutospacing="0" w:line="240"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硫化氢</w:t>
                  </w:r>
                </w:p>
              </w:tc>
              <w:tc>
                <w:tcPr>
                  <w:tcW w:w="2029" w:type="dxa"/>
                  <w:noWrap w:val="0"/>
                  <w:vAlign w:val="center"/>
                </w:tcPr>
                <w:p>
                  <w:pPr>
                    <w:pStyle w:val="71"/>
                    <w:keepNext w:val="0"/>
                    <w:keepLines w:val="0"/>
                    <w:widowControl w:val="0"/>
                    <w:suppressLineNumbers w:val="0"/>
                    <w:spacing w:before="156" w:beforeAutospacing="0" w:after="0" w:afterAutospacing="0" w:line="240"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0.0198</w:t>
                  </w:r>
                </w:p>
              </w:tc>
              <w:tc>
                <w:tcPr>
                  <w:tcW w:w="2029" w:type="dxa"/>
                  <w:noWrap w:val="0"/>
                  <w:vAlign w:val="center"/>
                </w:tcPr>
                <w:p>
                  <w:pPr>
                    <w:pStyle w:val="71"/>
                    <w:keepNext w:val="0"/>
                    <w:keepLines w:val="0"/>
                    <w:widowControl w:val="0"/>
                    <w:suppressLineNumbers w:val="0"/>
                    <w:spacing w:before="156" w:beforeAutospacing="0" w:after="0" w:afterAutospacing="0" w:line="240"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4.75*10</w:t>
                  </w:r>
                  <w:r>
                    <w:rPr>
                      <w:rFonts w:hint="default" w:ascii="Times New Roman" w:hAnsi="Times New Roman" w:eastAsia="宋体" w:cs="Times New Roman"/>
                      <w:b w:val="0"/>
                      <w:bCs w:val="0"/>
                      <w:color w:val="auto"/>
                      <w:sz w:val="21"/>
                      <w:szCs w:val="21"/>
                      <w:highlight w:val="none"/>
                      <w:vertAlign w:val="superscript"/>
                      <w:lang w:val="en-US" w:eastAsia="zh-CN"/>
                    </w:rPr>
                    <w:t>-5</w:t>
                  </w:r>
                </w:p>
              </w:tc>
              <w:tc>
                <w:tcPr>
                  <w:tcW w:w="2029" w:type="dxa"/>
                  <w:vMerge w:val="restart"/>
                  <w:noWrap w:val="0"/>
                  <w:vAlign w:val="center"/>
                </w:tcPr>
                <w:p>
                  <w:pPr>
                    <w:pStyle w:val="71"/>
                    <w:keepNext w:val="0"/>
                    <w:keepLines w:val="0"/>
                    <w:widowControl w:val="0"/>
                    <w:suppressLineNumbers w:val="0"/>
                    <w:spacing w:before="156" w:beforeAutospacing="0" w:after="0" w:afterAutospacing="0" w:line="240"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喷淋用水内增加除臭剂的措施处理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7" w:type="dxa"/>
                  <w:noWrap w:val="0"/>
                  <w:vAlign w:val="top"/>
                </w:tcPr>
                <w:p>
                  <w:pPr>
                    <w:pStyle w:val="71"/>
                    <w:keepNext w:val="0"/>
                    <w:keepLines w:val="0"/>
                    <w:widowControl w:val="0"/>
                    <w:suppressLineNumbers w:val="0"/>
                    <w:spacing w:before="156" w:beforeAutospacing="0" w:after="0" w:afterAutospacing="0" w:line="240"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氨</w:t>
                  </w:r>
                </w:p>
              </w:tc>
              <w:tc>
                <w:tcPr>
                  <w:tcW w:w="2029" w:type="dxa"/>
                  <w:noWrap w:val="0"/>
                  <w:vAlign w:val="center"/>
                </w:tcPr>
                <w:p>
                  <w:pPr>
                    <w:pStyle w:val="71"/>
                    <w:keepNext w:val="0"/>
                    <w:keepLines w:val="0"/>
                    <w:widowControl w:val="0"/>
                    <w:suppressLineNumbers w:val="0"/>
                    <w:spacing w:before="156" w:beforeAutospacing="0" w:after="0" w:afterAutospacing="0" w:line="240"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0.28512</w:t>
                  </w:r>
                </w:p>
              </w:tc>
              <w:tc>
                <w:tcPr>
                  <w:tcW w:w="2029" w:type="dxa"/>
                  <w:noWrap w:val="0"/>
                  <w:vAlign w:val="center"/>
                </w:tcPr>
                <w:p>
                  <w:pPr>
                    <w:pStyle w:val="71"/>
                    <w:keepNext w:val="0"/>
                    <w:keepLines w:val="0"/>
                    <w:widowControl w:val="0"/>
                    <w:suppressLineNumbers w:val="0"/>
                    <w:spacing w:before="156" w:beforeAutospacing="0" w:after="0" w:afterAutospacing="0" w:line="240"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6.8*10</w:t>
                  </w:r>
                  <w:r>
                    <w:rPr>
                      <w:rFonts w:hint="default" w:ascii="Times New Roman" w:hAnsi="Times New Roman" w:eastAsia="宋体" w:cs="Times New Roman"/>
                      <w:b w:val="0"/>
                      <w:bCs w:val="0"/>
                      <w:color w:val="auto"/>
                      <w:sz w:val="21"/>
                      <w:szCs w:val="21"/>
                      <w:highlight w:val="none"/>
                      <w:vertAlign w:val="superscript"/>
                      <w:lang w:val="en-US" w:eastAsia="zh-CN"/>
                    </w:rPr>
                    <w:t>-4</w:t>
                  </w:r>
                </w:p>
              </w:tc>
              <w:tc>
                <w:tcPr>
                  <w:tcW w:w="2029" w:type="dxa"/>
                  <w:vMerge w:val="continue"/>
                  <w:noWrap w:val="0"/>
                  <w:vAlign w:val="center"/>
                </w:tcPr>
                <w:p>
                  <w:pPr>
                    <w:pStyle w:val="71"/>
                    <w:keepNext w:val="0"/>
                    <w:keepLines w:val="0"/>
                    <w:widowControl w:val="0"/>
                    <w:suppressLineNumbers w:val="0"/>
                    <w:spacing w:before="156" w:beforeAutospacing="0" w:after="0" w:afterAutospacing="0" w:line="240" w:lineRule="auto"/>
                    <w:ind w:left="0" w:right="0"/>
                    <w:jc w:val="center"/>
                    <w:rPr>
                      <w:rFonts w:hint="default" w:ascii="Times New Roman" w:hAnsi="Times New Roman" w:eastAsia="宋体" w:cs="Times New Roman"/>
                      <w:b w:val="0"/>
                      <w:bCs w:val="0"/>
                      <w:color w:val="auto"/>
                      <w:sz w:val="21"/>
                      <w:szCs w:val="21"/>
                      <w:highlight w:val="none"/>
                      <w:lang w:val="en-US" w:eastAsia="zh-CN"/>
                    </w:rPr>
                  </w:pPr>
                </w:p>
              </w:tc>
            </w:tr>
          </w:tbl>
          <w:p>
            <w:pPr>
              <w:pStyle w:val="73"/>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w:t>
            </w: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食堂油烟</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 w:val="24"/>
                <w:szCs w:val="24"/>
                <w:highlight w:val="none"/>
              </w:rPr>
              <w:t>项目设有厨房，</w:t>
            </w:r>
            <w:r>
              <w:rPr>
                <w:rFonts w:hint="default" w:ascii="Times New Roman" w:hAnsi="Times New Roman" w:eastAsia="宋体" w:cs="Times New Roman"/>
                <w:color w:val="auto"/>
                <w:sz w:val="24"/>
                <w:szCs w:val="24"/>
                <w:highlight w:val="none"/>
                <w:lang w:val="en-US" w:eastAsia="zh-CN"/>
              </w:rPr>
              <w:t>改扩建后人员不变。项目劳动定员30人，均在厂区用餐，</w:t>
            </w:r>
            <w:r>
              <w:rPr>
                <w:rFonts w:hint="default" w:ascii="Times New Roman" w:hAnsi="Times New Roman" w:eastAsia="宋体" w:cs="Times New Roman"/>
                <w:color w:val="auto"/>
                <w:sz w:val="24"/>
                <w:szCs w:val="24"/>
                <w:highlight w:val="none"/>
              </w:rPr>
              <w:t>能源为电能。根据类比资料，项目食用油用量约为30g/人•天，则耗油量为</w:t>
            </w:r>
            <w:r>
              <w:rPr>
                <w:rFonts w:hint="default" w:ascii="Times New Roman" w:hAnsi="Times New Roman" w:eastAsia="宋体" w:cs="Times New Roman"/>
                <w:color w:val="auto"/>
                <w:sz w:val="24"/>
                <w:szCs w:val="24"/>
                <w:highlight w:val="none"/>
                <w:lang w:val="en-US" w:eastAsia="zh-CN"/>
              </w:rPr>
              <w:t>0.9</w:t>
            </w:r>
            <w:r>
              <w:rPr>
                <w:rFonts w:hint="default" w:ascii="Times New Roman" w:hAnsi="Times New Roman" w:eastAsia="宋体" w:cs="Times New Roman"/>
                <w:color w:val="auto"/>
                <w:sz w:val="24"/>
                <w:szCs w:val="24"/>
                <w:highlight w:val="none"/>
              </w:rPr>
              <w:t>kg/d、</w:t>
            </w:r>
            <w:r>
              <w:rPr>
                <w:rFonts w:hint="default" w:ascii="Times New Roman" w:hAnsi="Times New Roman" w:eastAsia="宋体" w:cs="Times New Roman"/>
                <w:color w:val="auto"/>
                <w:sz w:val="24"/>
                <w:szCs w:val="24"/>
                <w:highlight w:val="none"/>
                <w:lang w:val="en-US" w:eastAsia="zh-CN"/>
              </w:rPr>
              <w:t>0.27</w:t>
            </w:r>
            <w:r>
              <w:rPr>
                <w:rFonts w:hint="default" w:ascii="Times New Roman" w:hAnsi="Times New Roman" w:eastAsia="宋体" w:cs="Times New Roman"/>
                <w:color w:val="auto"/>
                <w:sz w:val="24"/>
                <w:szCs w:val="24"/>
                <w:highlight w:val="none"/>
              </w:rPr>
              <w:t>t/a。不同的烹饪情况，油烟中烟气浓度及挥发量均有所不同，油的平均挥发量为总耗油量的2.83%，项目油烟产生量为</w:t>
            </w:r>
            <w:r>
              <w:rPr>
                <w:rFonts w:hint="default" w:ascii="Times New Roman" w:hAnsi="Times New Roman" w:eastAsia="宋体" w:cs="Times New Roman"/>
                <w:color w:val="auto"/>
                <w:sz w:val="24"/>
                <w:szCs w:val="24"/>
                <w:highlight w:val="none"/>
                <w:lang w:val="en-US" w:eastAsia="zh-CN"/>
              </w:rPr>
              <w:t>0.025</w:t>
            </w:r>
            <w:r>
              <w:rPr>
                <w:rFonts w:hint="default" w:ascii="Times New Roman" w:hAnsi="Times New Roman" w:eastAsia="宋体" w:cs="Times New Roman"/>
                <w:color w:val="auto"/>
                <w:sz w:val="24"/>
                <w:szCs w:val="24"/>
                <w:highlight w:val="none"/>
              </w:rPr>
              <w:t>kg/d、</w:t>
            </w:r>
            <w:r>
              <w:rPr>
                <w:rFonts w:hint="default" w:ascii="Times New Roman" w:hAnsi="Times New Roman" w:eastAsia="宋体" w:cs="Times New Roman"/>
                <w:color w:val="auto"/>
                <w:sz w:val="24"/>
                <w:szCs w:val="24"/>
                <w:highlight w:val="none"/>
                <w:lang w:val="en-US" w:eastAsia="zh-CN"/>
              </w:rPr>
              <w:t>0.006</w:t>
            </w:r>
            <w:r>
              <w:rPr>
                <w:rFonts w:hint="default" w:ascii="Times New Roman" w:hAnsi="Times New Roman" w:eastAsia="宋体" w:cs="Times New Roman"/>
                <w:color w:val="auto"/>
                <w:sz w:val="24"/>
                <w:szCs w:val="24"/>
                <w:highlight w:val="none"/>
              </w:rPr>
              <w:t>kg/h。项目在厨房安装一台风量为3000m³/h的油烟净化器将油烟抽取后外排。油烟净化器有一定的净化效率（约60%），项目油烟最终排放量为</w:t>
            </w:r>
            <w:r>
              <w:rPr>
                <w:rFonts w:hint="default" w:ascii="Times New Roman" w:hAnsi="Times New Roman" w:eastAsia="宋体" w:cs="Times New Roman"/>
                <w:color w:val="auto"/>
                <w:sz w:val="24"/>
                <w:szCs w:val="24"/>
                <w:highlight w:val="none"/>
                <w:lang w:val="en-US" w:eastAsia="zh-CN"/>
              </w:rPr>
              <w:t>0.010</w:t>
            </w:r>
            <w:r>
              <w:rPr>
                <w:rFonts w:hint="default" w:ascii="Times New Roman" w:hAnsi="Times New Roman" w:eastAsia="宋体" w:cs="Times New Roman"/>
                <w:color w:val="auto"/>
                <w:sz w:val="24"/>
                <w:szCs w:val="24"/>
                <w:highlight w:val="none"/>
              </w:rPr>
              <w:t>kg/d、</w:t>
            </w:r>
            <w:r>
              <w:rPr>
                <w:rFonts w:hint="default" w:ascii="Times New Roman" w:hAnsi="Times New Roman" w:eastAsia="宋体" w:cs="Times New Roman"/>
                <w:color w:val="auto"/>
                <w:sz w:val="24"/>
                <w:szCs w:val="24"/>
                <w:highlight w:val="none"/>
                <w:lang w:val="en-US" w:eastAsia="zh-CN"/>
              </w:rPr>
              <w:t>0.003</w:t>
            </w:r>
            <w:r>
              <w:rPr>
                <w:rFonts w:hint="default" w:ascii="Times New Roman" w:hAnsi="Times New Roman" w:eastAsia="宋体" w:cs="Times New Roman"/>
                <w:color w:val="auto"/>
                <w:sz w:val="24"/>
                <w:szCs w:val="24"/>
                <w:highlight w:val="none"/>
              </w:rPr>
              <w:t>kg/h，按烹饪时间</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h计，则油烟排放浓度为</w:t>
            </w:r>
            <w:r>
              <w:rPr>
                <w:rFonts w:hint="default" w:ascii="Times New Roman" w:hAnsi="Times New Roman" w:eastAsia="宋体" w:cs="Times New Roman"/>
                <w:color w:val="auto"/>
                <w:sz w:val="24"/>
                <w:szCs w:val="24"/>
                <w:highlight w:val="none"/>
                <w:lang w:val="en-US" w:eastAsia="zh-CN"/>
              </w:rPr>
              <w:t>0.849</w:t>
            </w:r>
            <w:r>
              <w:rPr>
                <w:rFonts w:hint="default" w:ascii="Times New Roman" w:hAnsi="Times New Roman" w:eastAsia="宋体" w:cs="Times New Roman"/>
                <w:color w:val="auto"/>
                <w:sz w:val="24"/>
                <w:szCs w:val="24"/>
                <w:highlight w:val="none"/>
              </w:rPr>
              <w:t>mg/m³。</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2.</w:t>
            </w:r>
            <w:r>
              <w:rPr>
                <w:rFonts w:hint="default" w:ascii="Times New Roman" w:hAnsi="Times New Roman" w:eastAsia="宋体" w:cs="Times New Roman"/>
                <w:b/>
                <w:color w:val="auto"/>
                <w:sz w:val="24"/>
                <w:highlight w:val="none"/>
                <w:lang w:val="en-US" w:eastAsia="zh-CN"/>
              </w:rPr>
              <w:t>7</w:t>
            </w:r>
            <w:r>
              <w:rPr>
                <w:rFonts w:hint="default" w:ascii="Times New Roman" w:hAnsi="Times New Roman" w:eastAsia="宋体" w:cs="Times New Roman"/>
                <w:b/>
                <w:color w:val="auto"/>
                <w:sz w:val="24"/>
                <w:highlight w:val="none"/>
              </w:rPr>
              <w:t>有组织污染物产排情况如下</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表4.2-</w:t>
            </w:r>
            <w:r>
              <w:rPr>
                <w:rFonts w:hint="default" w:ascii="Times New Roman" w:hAnsi="Times New Roman" w:eastAsia="宋体" w:cs="Times New Roman"/>
                <w:b/>
                <w:color w:val="auto"/>
                <w:szCs w:val="21"/>
                <w:highlight w:val="none"/>
                <w:lang w:val="en-US" w:eastAsia="zh-CN"/>
              </w:rPr>
              <w:t>7</w:t>
            </w:r>
            <w:r>
              <w:rPr>
                <w:rFonts w:hint="default" w:ascii="Times New Roman" w:hAnsi="Times New Roman" w:eastAsia="宋体" w:cs="Times New Roman"/>
                <w:b/>
                <w:color w:val="auto"/>
                <w:szCs w:val="21"/>
                <w:highlight w:val="none"/>
              </w:rPr>
              <w:t xml:space="preserve">   有组织污染物产排情况表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81"/>
              <w:gridCol w:w="32"/>
              <w:gridCol w:w="1552"/>
              <w:gridCol w:w="958"/>
              <w:gridCol w:w="1015"/>
              <w:gridCol w:w="1015"/>
              <w:gridCol w:w="996"/>
              <w:gridCol w:w="2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pct"/>
                  <w:gridSpan w:val="4"/>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产污环节</w:t>
                  </w:r>
                </w:p>
              </w:tc>
              <w:tc>
                <w:tcPr>
                  <w:tcW w:w="2454" w:type="pct"/>
                  <w:gridSpan w:val="4"/>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sz w:val="21"/>
                      <w:szCs w:val="21"/>
                      <w:highlight w:val="none"/>
                    </w:rPr>
                    <w:t>隧道焙烧窑焙烧烟气</w:t>
                  </w:r>
                </w:p>
              </w:tc>
              <w:tc>
                <w:tcPr>
                  <w:tcW w:w="1242"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sz w:val="21"/>
                      <w:szCs w:val="21"/>
                      <w:highlight w:val="none"/>
                    </w:rPr>
                    <w:t>破碎、筛分粉尘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302" w:type="pct"/>
                  <w:gridSpan w:val="4"/>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污染物种类</w:t>
                  </w:r>
                </w:p>
              </w:tc>
              <w:tc>
                <w:tcPr>
                  <w:tcW w:w="59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bCs/>
                      <w:color w:val="auto"/>
                      <w:sz w:val="21"/>
                      <w:szCs w:val="21"/>
                      <w:highlight w:val="none"/>
                    </w:rPr>
                    <w:t>烟尘</w:t>
                  </w:r>
                </w:p>
              </w:tc>
              <w:tc>
                <w:tcPr>
                  <w:tcW w:w="625" w:type="pct"/>
                  <w:noWrap w:val="0"/>
                  <w:vAlign w:val="center"/>
                </w:tcPr>
                <w:p>
                  <w:pPr>
                    <w:pStyle w:val="8"/>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SO</w:t>
                  </w:r>
                  <w:r>
                    <w:rPr>
                      <w:rFonts w:hint="default" w:ascii="Times New Roman" w:hAnsi="Times New Roman" w:eastAsia="宋体" w:cs="Times New Roman"/>
                      <w:b/>
                      <w:bCs/>
                      <w:color w:val="auto"/>
                      <w:sz w:val="21"/>
                      <w:szCs w:val="21"/>
                      <w:highlight w:val="none"/>
                      <w:vertAlign w:val="subscript"/>
                    </w:rPr>
                    <w:t>2</w:t>
                  </w:r>
                </w:p>
              </w:tc>
              <w:tc>
                <w:tcPr>
                  <w:tcW w:w="62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bCs/>
                      <w:color w:val="auto"/>
                      <w:sz w:val="21"/>
                      <w:szCs w:val="21"/>
                      <w:highlight w:val="none"/>
                    </w:rPr>
                    <w:t>NO</w:t>
                  </w:r>
                  <w:r>
                    <w:rPr>
                      <w:rFonts w:hint="default" w:ascii="Times New Roman" w:hAnsi="Times New Roman" w:eastAsia="宋体" w:cs="Times New Roman"/>
                      <w:b/>
                      <w:bCs/>
                      <w:color w:val="auto"/>
                      <w:sz w:val="21"/>
                      <w:szCs w:val="21"/>
                      <w:highlight w:val="none"/>
                      <w:vertAlign w:val="subscript"/>
                    </w:rPr>
                    <w:t>X</w:t>
                  </w:r>
                </w:p>
              </w:tc>
              <w:tc>
                <w:tcPr>
                  <w:tcW w:w="61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bCs/>
                      <w:color w:val="auto"/>
                      <w:sz w:val="21"/>
                      <w:szCs w:val="21"/>
                      <w:highlight w:val="none"/>
                    </w:rPr>
                    <w:t>氟化物</w:t>
                  </w:r>
                </w:p>
              </w:tc>
              <w:tc>
                <w:tcPr>
                  <w:tcW w:w="1242"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bCs/>
                      <w:color w:val="auto"/>
                      <w:sz w:val="21"/>
                      <w:szCs w:val="21"/>
                      <w:highlight w:val="none"/>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302" w:type="pct"/>
                  <w:gridSpan w:val="4"/>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污染物产生量（t/a）</w:t>
                  </w:r>
                </w:p>
              </w:tc>
              <w:tc>
                <w:tcPr>
                  <w:tcW w:w="59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37.696</w:t>
                  </w:r>
                </w:p>
              </w:tc>
              <w:tc>
                <w:tcPr>
                  <w:tcW w:w="62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104.16</w:t>
                  </w:r>
                </w:p>
              </w:tc>
              <w:tc>
                <w:tcPr>
                  <w:tcW w:w="62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20.212</w:t>
                  </w:r>
                </w:p>
              </w:tc>
              <w:tc>
                <w:tcPr>
                  <w:tcW w:w="61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19.3751</w:t>
                  </w:r>
                </w:p>
              </w:tc>
              <w:tc>
                <w:tcPr>
                  <w:tcW w:w="1242"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b w:val="0"/>
                      <w:bCs w:val="0"/>
                      <w:color w:val="auto"/>
                      <w:sz w:val="21"/>
                      <w:szCs w:val="21"/>
                      <w:highlight w:val="none"/>
                      <w:lang w:val="en-US" w:eastAsia="zh-CN"/>
                    </w:rPr>
                    <w:t>7.626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pct"/>
                  <w:gridSpan w:val="4"/>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污染物产生浓度（mg/m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59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87.2593</w:t>
                  </w:r>
                </w:p>
              </w:tc>
              <w:tc>
                <w:tcPr>
                  <w:tcW w:w="62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241.1111</w:t>
                  </w:r>
                </w:p>
              </w:tc>
              <w:tc>
                <w:tcPr>
                  <w:tcW w:w="62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46.7870</w:t>
                  </w:r>
                </w:p>
              </w:tc>
              <w:tc>
                <w:tcPr>
                  <w:tcW w:w="61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44.8497</w:t>
                  </w:r>
                </w:p>
              </w:tc>
              <w:tc>
                <w:tcPr>
                  <w:tcW w:w="1242"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b w:val="0"/>
                      <w:bCs w:val="0"/>
                      <w:color w:val="auto"/>
                      <w:sz w:val="21"/>
                      <w:szCs w:val="21"/>
                      <w:highlight w:val="none"/>
                      <w:lang w:val="en-US" w:eastAsia="zh-CN"/>
                    </w:rPr>
                    <w:t>244.4231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pct"/>
                  <w:gridSpan w:val="4"/>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排放形式</w:t>
                  </w:r>
                </w:p>
              </w:tc>
              <w:tc>
                <w:tcPr>
                  <w:tcW w:w="2454" w:type="pct"/>
                  <w:gridSpan w:val="4"/>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有组织</w:t>
                  </w:r>
                </w:p>
              </w:tc>
              <w:tc>
                <w:tcPr>
                  <w:tcW w:w="1242"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 w:type="pct"/>
                  <w:vMerge w:val="restar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治</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理</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设</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施</w:t>
                  </w:r>
                </w:p>
              </w:tc>
              <w:tc>
                <w:tcPr>
                  <w:tcW w:w="1025" w:type="pct"/>
                  <w:gridSpan w:val="3"/>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设施</w:t>
                  </w:r>
                </w:p>
              </w:tc>
              <w:tc>
                <w:tcPr>
                  <w:tcW w:w="2454" w:type="pct"/>
                  <w:gridSpan w:val="4"/>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双碱法脱硫除尘装置</w:t>
                  </w:r>
                </w:p>
              </w:tc>
              <w:tc>
                <w:tcPr>
                  <w:tcW w:w="1242"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布袋除尘器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1025" w:type="pct"/>
                  <w:gridSpan w:val="3"/>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处理能力</w:t>
                  </w:r>
                </w:p>
              </w:tc>
              <w:tc>
                <w:tcPr>
                  <w:tcW w:w="2454" w:type="pct"/>
                  <w:gridSpan w:val="4"/>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60000</w:t>
                  </w:r>
                  <w:r>
                    <w:rPr>
                      <w:rFonts w:hint="default" w:ascii="Times New Roman" w:hAnsi="Times New Roman" w:eastAsia="宋体" w:cs="Times New Roman"/>
                      <w:color w:val="auto"/>
                      <w:sz w:val="21"/>
                      <w:szCs w:val="21"/>
                      <w:highlight w:val="none"/>
                    </w:rPr>
                    <w:t>m³/h</w:t>
                  </w:r>
                </w:p>
              </w:tc>
              <w:tc>
                <w:tcPr>
                  <w:tcW w:w="1242"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000m³/h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1025" w:type="pct"/>
                  <w:gridSpan w:val="3"/>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收集效率</w:t>
                  </w:r>
                </w:p>
              </w:tc>
              <w:tc>
                <w:tcPr>
                  <w:tcW w:w="59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62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62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61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242"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90%（集气罩）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1025" w:type="pct"/>
                  <w:gridSpan w:val="3"/>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治理工艺去除率</w:t>
                  </w:r>
                </w:p>
              </w:tc>
              <w:tc>
                <w:tcPr>
                  <w:tcW w:w="2454" w:type="pct"/>
                  <w:gridSpan w:val="4"/>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除尘效率为85%，脱硫效率为90%</w:t>
                  </w:r>
                </w:p>
              </w:tc>
              <w:tc>
                <w:tcPr>
                  <w:tcW w:w="1242"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9</w:t>
                  </w:r>
                  <w:r>
                    <w:rPr>
                      <w:rFonts w:hint="default" w:ascii="Times New Roman" w:hAnsi="Times New Roman" w:eastAsia="宋体" w:cs="Times New Roman"/>
                      <w:color w:val="auto"/>
                      <w:kern w:val="0"/>
                      <w:sz w:val="21"/>
                      <w:szCs w:val="21"/>
                      <w:highlight w:val="none"/>
                      <w:lang w:val="en-US" w:eastAsia="zh-CN"/>
                    </w:rPr>
                    <w:t>8</w:t>
                  </w:r>
                  <w:r>
                    <w:rPr>
                      <w:rFonts w:hint="default" w:ascii="Times New Roman" w:hAnsi="Times New Roman" w:eastAsia="宋体" w:cs="Times New Roman"/>
                      <w:color w:val="auto"/>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1025" w:type="pct"/>
                  <w:gridSpan w:val="3"/>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是否为可行技术</w:t>
                  </w:r>
                </w:p>
              </w:tc>
              <w:tc>
                <w:tcPr>
                  <w:tcW w:w="59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是</w:t>
                  </w:r>
                </w:p>
              </w:tc>
              <w:tc>
                <w:tcPr>
                  <w:tcW w:w="62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是</w:t>
                  </w:r>
                </w:p>
              </w:tc>
              <w:tc>
                <w:tcPr>
                  <w:tcW w:w="62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是</w:t>
                  </w:r>
                </w:p>
              </w:tc>
              <w:tc>
                <w:tcPr>
                  <w:tcW w:w="61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是</w:t>
                  </w:r>
                </w:p>
              </w:tc>
              <w:tc>
                <w:tcPr>
                  <w:tcW w:w="124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302" w:type="pct"/>
                  <w:gridSpan w:val="4"/>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污染物排放量（t/a）</w:t>
                  </w:r>
                </w:p>
              </w:tc>
              <w:tc>
                <w:tcPr>
                  <w:tcW w:w="590" w:type="pct"/>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5.6544</w:t>
                  </w:r>
                </w:p>
              </w:tc>
              <w:tc>
                <w:tcPr>
                  <w:tcW w:w="625" w:type="pct"/>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10.416</w:t>
                  </w:r>
                </w:p>
              </w:tc>
              <w:tc>
                <w:tcPr>
                  <w:tcW w:w="625" w:type="pct"/>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20.212</w:t>
                  </w:r>
                </w:p>
              </w:tc>
              <w:tc>
                <w:tcPr>
                  <w:tcW w:w="613" w:type="pct"/>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0.9687</w:t>
                  </w:r>
                </w:p>
              </w:tc>
              <w:tc>
                <w:tcPr>
                  <w:tcW w:w="1242" w:type="pct"/>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pct"/>
                  <w:gridSpan w:val="4"/>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污染物排放速率（kg/h）</w:t>
                  </w:r>
                </w:p>
              </w:tc>
              <w:tc>
                <w:tcPr>
                  <w:tcW w:w="59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0.7853</w:t>
                  </w:r>
                </w:p>
              </w:tc>
              <w:tc>
                <w:tcPr>
                  <w:tcW w:w="62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1.4467</w:t>
                  </w:r>
                </w:p>
              </w:tc>
              <w:tc>
                <w:tcPr>
                  <w:tcW w:w="625" w:type="pct"/>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2.8072</w:t>
                  </w:r>
                </w:p>
              </w:tc>
              <w:tc>
                <w:tcPr>
                  <w:tcW w:w="613" w:type="pct"/>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0.1345</w:t>
                  </w:r>
                </w:p>
              </w:tc>
              <w:tc>
                <w:tcPr>
                  <w:tcW w:w="1242" w:type="pct"/>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pct"/>
                  <w:gridSpan w:val="4"/>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污染物排放浓度（mg/m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59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13.0889</w:t>
                  </w:r>
                </w:p>
              </w:tc>
              <w:tc>
                <w:tcPr>
                  <w:tcW w:w="62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24.1111</w:t>
                  </w:r>
                </w:p>
              </w:tc>
              <w:tc>
                <w:tcPr>
                  <w:tcW w:w="625" w:type="pct"/>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46.7870</w:t>
                  </w:r>
                </w:p>
              </w:tc>
              <w:tc>
                <w:tcPr>
                  <w:tcW w:w="613" w:type="pct"/>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2.2425</w:t>
                  </w:r>
                </w:p>
              </w:tc>
              <w:tc>
                <w:tcPr>
                  <w:tcW w:w="1242" w:type="pct"/>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4.3996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gridSpan w:val="2"/>
                  <w:vMerge w:val="restar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排</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放</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口</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基</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情</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况</w:t>
                  </w:r>
                </w:p>
              </w:tc>
              <w:tc>
                <w:tcPr>
                  <w:tcW w:w="975" w:type="pct"/>
                  <w:gridSpan w:val="2"/>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高度（m）</w:t>
                  </w:r>
                </w:p>
              </w:tc>
              <w:tc>
                <w:tcPr>
                  <w:tcW w:w="2454" w:type="pct"/>
                  <w:gridSpan w:val="4"/>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15</w:t>
                  </w:r>
                </w:p>
              </w:tc>
              <w:tc>
                <w:tcPr>
                  <w:tcW w:w="1242"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gridSpan w:val="2"/>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975" w:type="pct"/>
                  <w:gridSpan w:val="2"/>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排气筒内径（m）</w:t>
                  </w:r>
                </w:p>
              </w:tc>
              <w:tc>
                <w:tcPr>
                  <w:tcW w:w="2454" w:type="pct"/>
                  <w:gridSpan w:val="4"/>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w:t>
                  </w:r>
                </w:p>
              </w:tc>
              <w:tc>
                <w:tcPr>
                  <w:tcW w:w="1242"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gridSpan w:val="2"/>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975" w:type="pct"/>
                  <w:gridSpan w:val="2"/>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温度（℃）</w:t>
                  </w:r>
                </w:p>
              </w:tc>
              <w:tc>
                <w:tcPr>
                  <w:tcW w:w="2454" w:type="pct"/>
                  <w:gridSpan w:val="4"/>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45</w:t>
                  </w:r>
                </w:p>
              </w:tc>
              <w:tc>
                <w:tcPr>
                  <w:tcW w:w="1242"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gridSpan w:val="2"/>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975" w:type="pct"/>
                  <w:gridSpan w:val="2"/>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编号及名称</w:t>
                  </w:r>
                </w:p>
              </w:tc>
              <w:tc>
                <w:tcPr>
                  <w:tcW w:w="2454" w:type="pct"/>
                  <w:gridSpan w:val="4"/>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DA001</w:t>
                  </w:r>
                </w:p>
              </w:tc>
              <w:tc>
                <w:tcPr>
                  <w:tcW w:w="1242"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DA002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gridSpan w:val="2"/>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975" w:type="pct"/>
                  <w:gridSpan w:val="2"/>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类型</w:t>
                  </w:r>
                </w:p>
              </w:tc>
              <w:tc>
                <w:tcPr>
                  <w:tcW w:w="2454" w:type="pct"/>
                  <w:gridSpan w:val="4"/>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主要</w:t>
                  </w:r>
                  <w:r>
                    <w:rPr>
                      <w:rFonts w:hint="default" w:ascii="Times New Roman" w:hAnsi="Times New Roman" w:eastAsia="宋体" w:cs="Times New Roman"/>
                      <w:color w:val="auto"/>
                      <w:kern w:val="0"/>
                      <w:sz w:val="21"/>
                      <w:szCs w:val="21"/>
                      <w:highlight w:val="none"/>
                    </w:rPr>
                    <w:t>排放口</w:t>
                  </w:r>
                </w:p>
              </w:tc>
              <w:tc>
                <w:tcPr>
                  <w:tcW w:w="1242"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gridSpan w:val="2"/>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975" w:type="pct"/>
                  <w:gridSpan w:val="2"/>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地理坐标</w:t>
                  </w:r>
                </w:p>
              </w:tc>
              <w:tc>
                <w:tcPr>
                  <w:tcW w:w="2454" w:type="pct"/>
                  <w:gridSpan w:val="4"/>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东经</w:t>
                  </w:r>
                  <w:r>
                    <w:rPr>
                      <w:rFonts w:hint="default" w:ascii="Times New Roman" w:hAnsi="Times New Roman" w:eastAsia="宋体" w:cs="Times New Roman"/>
                      <w:color w:val="auto"/>
                      <w:kern w:val="0"/>
                      <w:sz w:val="21"/>
                      <w:szCs w:val="21"/>
                      <w:highlight w:val="none"/>
                      <w:lang w:val="en-US" w:eastAsia="zh-CN"/>
                    </w:rPr>
                    <w:t>103</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13</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1</w:t>
                  </w:r>
                  <w:r>
                    <w:rPr>
                      <w:rFonts w:hint="default" w:ascii="Times New Roman" w:hAnsi="Times New Roman" w:eastAsia="宋体" w:cs="Times New Roman"/>
                      <w:color w:val="auto"/>
                      <w:kern w:val="0"/>
                      <w:sz w:val="21"/>
                      <w:szCs w:val="21"/>
                      <w:highlight w:val="none"/>
                    </w:rPr>
                    <w:t>7.922″</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北纬2</w:t>
                  </w:r>
                  <w:r>
                    <w:rPr>
                      <w:rFonts w:hint="default" w:ascii="Times New Roman" w:hAnsi="Times New Roman" w:eastAsia="宋体"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58</w:t>
                  </w:r>
                  <w:r>
                    <w:rPr>
                      <w:rFonts w:hint="default" w:ascii="Times New Roman" w:hAnsi="Times New Roman" w:eastAsia="宋体" w:cs="Times New Roman"/>
                      <w:color w:val="auto"/>
                      <w:kern w:val="0"/>
                      <w:sz w:val="21"/>
                      <w:szCs w:val="21"/>
                      <w:highlight w:val="none"/>
                    </w:rPr>
                    <w:t>′31.897″</w:t>
                  </w:r>
                </w:p>
              </w:tc>
              <w:tc>
                <w:tcPr>
                  <w:tcW w:w="1242"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东经</w:t>
                  </w:r>
                  <w:r>
                    <w:rPr>
                      <w:rFonts w:hint="default" w:ascii="Times New Roman" w:hAnsi="Times New Roman" w:eastAsia="宋体" w:cs="Times New Roman"/>
                      <w:color w:val="auto"/>
                      <w:kern w:val="0"/>
                      <w:sz w:val="21"/>
                      <w:szCs w:val="21"/>
                      <w:highlight w:val="none"/>
                      <w:lang w:val="en-US" w:eastAsia="zh-CN"/>
                    </w:rPr>
                    <w:t>103</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13</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16.783</w:t>
                  </w:r>
                  <w:r>
                    <w:rPr>
                      <w:rFonts w:hint="default" w:ascii="Times New Roman" w:hAnsi="Times New Roman" w:eastAsia="宋体" w:cs="Times New Roman"/>
                      <w:color w:val="auto"/>
                      <w:kern w:val="0"/>
                      <w:sz w:val="21"/>
                      <w:szCs w:val="21"/>
                      <w:highlight w:val="none"/>
                    </w:rPr>
                    <w:t>″</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北纬2</w:t>
                  </w:r>
                  <w:r>
                    <w:rPr>
                      <w:rFonts w:hint="default" w:ascii="Times New Roman" w:hAnsi="Times New Roman" w:eastAsia="宋体"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58</w:t>
                  </w:r>
                  <w:r>
                    <w:rPr>
                      <w:rFonts w:hint="default" w:ascii="Times New Roman" w:hAnsi="Times New Roman" w:eastAsia="宋体" w:cs="Times New Roman"/>
                      <w:color w:val="auto"/>
                      <w:kern w:val="0"/>
                      <w:sz w:val="21"/>
                      <w:szCs w:val="21"/>
                      <w:highlight w:val="none"/>
                    </w:rPr>
                    <w:t>′30.865″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pct"/>
                  <w:gridSpan w:val="4"/>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排放标准</w:t>
                  </w:r>
                </w:p>
              </w:tc>
              <w:tc>
                <w:tcPr>
                  <w:tcW w:w="3697" w:type="pct"/>
                  <w:gridSpan w:val="5"/>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《砖瓦工业大气污染物排放标准》（GB29620-2013）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6" w:type="pct"/>
                  <w:gridSpan w:val="3"/>
                  <w:vMerge w:val="restar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监</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测</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要</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求</w:t>
                  </w:r>
                </w:p>
              </w:tc>
              <w:tc>
                <w:tcPr>
                  <w:tcW w:w="956"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监测点位</w:t>
                  </w:r>
                </w:p>
              </w:tc>
              <w:tc>
                <w:tcPr>
                  <w:tcW w:w="2454" w:type="pct"/>
                  <w:gridSpan w:val="4"/>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DA001</w:t>
                  </w:r>
                </w:p>
              </w:tc>
              <w:tc>
                <w:tcPr>
                  <w:tcW w:w="1242"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DA002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6" w:type="pct"/>
                  <w:gridSpan w:val="3"/>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95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监测因子</w:t>
                  </w:r>
                </w:p>
              </w:tc>
              <w:tc>
                <w:tcPr>
                  <w:tcW w:w="59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烟尘</w:t>
                  </w:r>
                </w:p>
              </w:tc>
              <w:tc>
                <w:tcPr>
                  <w:tcW w:w="62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62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X</w:t>
                  </w:r>
                </w:p>
              </w:tc>
              <w:tc>
                <w:tcPr>
                  <w:tcW w:w="61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氟化物</w:t>
                  </w:r>
                </w:p>
              </w:tc>
              <w:tc>
                <w:tcPr>
                  <w:tcW w:w="1242"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6" w:type="pct"/>
                  <w:gridSpan w:val="3"/>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956"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监测频次</w:t>
                  </w:r>
                </w:p>
              </w:tc>
              <w:tc>
                <w:tcPr>
                  <w:tcW w:w="59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1次/半年</w:t>
                  </w:r>
                </w:p>
              </w:tc>
              <w:tc>
                <w:tcPr>
                  <w:tcW w:w="62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1次/半年</w:t>
                  </w:r>
                </w:p>
              </w:tc>
              <w:tc>
                <w:tcPr>
                  <w:tcW w:w="62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1次/半年</w:t>
                  </w:r>
                </w:p>
              </w:tc>
              <w:tc>
                <w:tcPr>
                  <w:tcW w:w="61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1次/半年</w:t>
                  </w:r>
                </w:p>
              </w:tc>
              <w:tc>
                <w:tcPr>
                  <w:tcW w:w="1242"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1次/年</w:t>
                  </w:r>
                </w:p>
              </w:tc>
            </w:tr>
          </w:tbl>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4"/>
                <w:highlight w:val="none"/>
              </w:rPr>
            </w:pP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2.</w:t>
            </w:r>
            <w:r>
              <w:rPr>
                <w:rFonts w:hint="default" w:ascii="Times New Roman" w:hAnsi="Times New Roman" w:eastAsia="宋体" w:cs="Times New Roman"/>
                <w:b/>
                <w:color w:val="auto"/>
                <w:sz w:val="24"/>
                <w:highlight w:val="none"/>
                <w:lang w:val="en-US" w:eastAsia="zh-CN"/>
              </w:rPr>
              <w:t>8</w:t>
            </w:r>
            <w:r>
              <w:rPr>
                <w:rFonts w:hint="default" w:ascii="Times New Roman" w:hAnsi="Times New Roman" w:eastAsia="宋体" w:cs="Times New Roman"/>
                <w:b/>
                <w:color w:val="auto"/>
                <w:sz w:val="24"/>
                <w:highlight w:val="none"/>
              </w:rPr>
              <w:t>无组织污染物排放情况如下</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表4.2-</w:t>
            </w:r>
            <w:r>
              <w:rPr>
                <w:rFonts w:hint="default" w:ascii="Times New Roman" w:hAnsi="Times New Roman" w:eastAsia="宋体" w:cs="Times New Roman"/>
                <w:b/>
                <w:color w:val="auto"/>
                <w:szCs w:val="21"/>
                <w:highlight w:val="none"/>
                <w:lang w:val="en-US" w:eastAsia="zh-CN"/>
              </w:rPr>
              <w:t>8</w:t>
            </w:r>
            <w:r>
              <w:rPr>
                <w:rFonts w:hint="default" w:ascii="Times New Roman" w:hAnsi="Times New Roman" w:eastAsia="宋体" w:cs="Times New Roman"/>
                <w:b/>
                <w:color w:val="auto"/>
                <w:szCs w:val="21"/>
                <w:highlight w:val="none"/>
              </w:rPr>
              <w:t xml:space="preserve">   无组织污染物排放情况</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1042"/>
              <w:gridCol w:w="1349"/>
              <w:gridCol w:w="1417"/>
              <w:gridCol w:w="1303"/>
              <w:gridCol w:w="1289"/>
              <w:gridCol w:w="1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pct"/>
                  <w:gridSpan w:val="2"/>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产污环节</w:t>
                  </w:r>
                </w:p>
              </w:tc>
              <w:tc>
                <w:tcPr>
                  <w:tcW w:w="831"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原料堆场粉尘</w:t>
                  </w:r>
                </w:p>
              </w:tc>
              <w:tc>
                <w:tcPr>
                  <w:tcW w:w="87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sz w:val="21"/>
                      <w:szCs w:val="21"/>
                      <w:highlight w:val="none"/>
                    </w:rPr>
                    <w:t>破碎、筛分粉尘</w:t>
                  </w:r>
                </w:p>
              </w:tc>
              <w:tc>
                <w:tcPr>
                  <w:tcW w:w="802"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搅拌粉尘</w:t>
                  </w:r>
                </w:p>
              </w:tc>
              <w:tc>
                <w:tcPr>
                  <w:tcW w:w="1588" w:type="pct"/>
                  <w:gridSpan w:val="2"/>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原料堆场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904" w:type="pct"/>
                  <w:gridSpan w:val="2"/>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污染物种类</w:t>
                  </w:r>
                </w:p>
              </w:tc>
              <w:tc>
                <w:tcPr>
                  <w:tcW w:w="831"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颗粒物</w:t>
                  </w:r>
                </w:p>
              </w:tc>
              <w:tc>
                <w:tcPr>
                  <w:tcW w:w="87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bCs/>
                      <w:color w:val="auto"/>
                      <w:sz w:val="21"/>
                      <w:szCs w:val="21"/>
                      <w:highlight w:val="none"/>
                    </w:rPr>
                    <w:t>颗粒物</w:t>
                  </w:r>
                </w:p>
              </w:tc>
              <w:tc>
                <w:tcPr>
                  <w:tcW w:w="802"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颗粒物</w:t>
                  </w:r>
                </w:p>
              </w:tc>
              <w:tc>
                <w:tcPr>
                  <w:tcW w:w="79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硫化氢</w:t>
                  </w:r>
                </w:p>
              </w:tc>
              <w:tc>
                <w:tcPr>
                  <w:tcW w:w="79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904" w:type="pct"/>
                  <w:gridSpan w:val="2"/>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污染物排放量（t/a）</w:t>
                  </w:r>
                </w:p>
              </w:tc>
              <w:tc>
                <w:tcPr>
                  <w:tcW w:w="831"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1.1011</w:t>
                  </w:r>
                </w:p>
              </w:tc>
              <w:tc>
                <w:tcPr>
                  <w:tcW w:w="87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0.7626</w:t>
                  </w:r>
                </w:p>
              </w:tc>
              <w:tc>
                <w:tcPr>
                  <w:tcW w:w="802"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1.1439</w:t>
                  </w:r>
                </w:p>
              </w:tc>
              <w:tc>
                <w:tcPr>
                  <w:tcW w:w="79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4.75*10</w:t>
                  </w:r>
                  <w:r>
                    <w:rPr>
                      <w:rFonts w:hint="default" w:ascii="Times New Roman" w:hAnsi="Times New Roman" w:eastAsia="宋体" w:cs="Times New Roman"/>
                      <w:color w:val="auto"/>
                      <w:kern w:val="0"/>
                      <w:sz w:val="21"/>
                      <w:szCs w:val="21"/>
                      <w:highlight w:val="none"/>
                      <w:vertAlign w:val="superscript"/>
                      <w:lang w:val="en-US" w:eastAsia="zh-CN"/>
                    </w:rPr>
                    <w:t>-5</w:t>
                  </w:r>
                </w:p>
              </w:tc>
              <w:tc>
                <w:tcPr>
                  <w:tcW w:w="79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6.8*10</w:t>
                  </w:r>
                  <w:r>
                    <w:rPr>
                      <w:rFonts w:hint="default" w:ascii="Times New Roman" w:hAnsi="Times New Roman" w:eastAsia="宋体" w:cs="Times New Roman"/>
                      <w:color w:val="auto"/>
                      <w:kern w:val="0"/>
                      <w:sz w:val="21"/>
                      <w:szCs w:val="21"/>
                      <w:highlight w:val="none"/>
                      <w:vertAlign w:val="superscrip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pct"/>
                  <w:gridSpan w:val="2"/>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污染物排放速率（kg/h）</w:t>
                  </w:r>
                </w:p>
              </w:tc>
              <w:tc>
                <w:tcPr>
                  <w:tcW w:w="831"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0.4588</w:t>
                  </w:r>
                </w:p>
              </w:tc>
              <w:tc>
                <w:tcPr>
                  <w:tcW w:w="87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0.3178</w:t>
                  </w:r>
                </w:p>
              </w:tc>
              <w:tc>
                <w:tcPr>
                  <w:tcW w:w="802"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0.4766</w:t>
                  </w:r>
                </w:p>
              </w:tc>
              <w:tc>
                <w:tcPr>
                  <w:tcW w:w="79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1.98*10</w:t>
                  </w:r>
                  <w:r>
                    <w:rPr>
                      <w:rFonts w:hint="default" w:ascii="Times New Roman" w:hAnsi="Times New Roman" w:eastAsia="宋体" w:cs="Times New Roman"/>
                      <w:color w:val="auto"/>
                      <w:kern w:val="0"/>
                      <w:sz w:val="21"/>
                      <w:szCs w:val="21"/>
                      <w:highlight w:val="none"/>
                      <w:vertAlign w:val="superscript"/>
                      <w:lang w:val="en-US" w:eastAsia="zh-CN"/>
                    </w:rPr>
                    <w:t>-5</w:t>
                  </w:r>
                </w:p>
              </w:tc>
              <w:tc>
                <w:tcPr>
                  <w:tcW w:w="79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2.85*10</w:t>
                  </w:r>
                  <w:r>
                    <w:rPr>
                      <w:rFonts w:hint="default" w:ascii="Times New Roman" w:hAnsi="Times New Roman" w:eastAsia="宋体" w:cs="Times New Roman"/>
                      <w:color w:val="auto"/>
                      <w:kern w:val="0"/>
                      <w:sz w:val="21"/>
                      <w:szCs w:val="21"/>
                      <w:highlight w:val="none"/>
                      <w:vertAlign w:val="superscrip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04" w:type="pct"/>
                  <w:gridSpan w:val="2"/>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排放形式</w:t>
                  </w:r>
                </w:p>
              </w:tc>
              <w:tc>
                <w:tcPr>
                  <w:tcW w:w="831"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无组织</w:t>
                  </w:r>
                </w:p>
              </w:tc>
              <w:tc>
                <w:tcPr>
                  <w:tcW w:w="87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无组织</w:t>
                  </w:r>
                </w:p>
              </w:tc>
              <w:tc>
                <w:tcPr>
                  <w:tcW w:w="802"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无组织</w:t>
                  </w:r>
                </w:p>
              </w:tc>
              <w:tc>
                <w:tcPr>
                  <w:tcW w:w="79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无组织</w:t>
                  </w:r>
                </w:p>
              </w:tc>
              <w:tc>
                <w:tcPr>
                  <w:tcW w:w="79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治</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理</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设</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施</w:t>
                  </w:r>
                </w:p>
              </w:tc>
              <w:tc>
                <w:tcPr>
                  <w:tcW w:w="641"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设施</w:t>
                  </w:r>
                </w:p>
              </w:tc>
              <w:tc>
                <w:tcPr>
                  <w:tcW w:w="831"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洒水降尘</w:t>
                  </w:r>
                </w:p>
              </w:tc>
              <w:tc>
                <w:tcPr>
                  <w:tcW w:w="87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洒水降尘</w:t>
                  </w:r>
                </w:p>
              </w:tc>
              <w:tc>
                <w:tcPr>
                  <w:tcW w:w="802"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洒水降尘</w:t>
                  </w:r>
                </w:p>
              </w:tc>
              <w:tc>
                <w:tcPr>
                  <w:tcW w:w="1588" w:type="pct"/>
                  <w:gridSpan w:val="2"/>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喷淋用水内增加除臭剂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pct"/>
                  <w:gridSpan w:val="2"/>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排放标准</w:t>
                  </w:r>
                </w:p>
              </w:tc>
              <w:tc>
                <w:tcPr>
                  <w:tcW w:w="2507" w:type="pct"/>
                  <w:gridSpan w:val="3"/>
                  <w:noWrap w:val="0"/>
                  <w:vAlign w:val="top"/>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《砖瓦工业大气污染物排放标准》（GB29620-2013）</w:t>
                  </w:r>
                </w:p>
              </w:tc>
              <w:tc>
                <w:tcPr>
                  <w:tcW w:w="1588" w:type="pct"/>
                  <w:gridSpan w:val="2"/>
                  <w:noWrap w:val="0"/>
                  <w:vAlign w:val="top"/>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 w:type="pct"/>
                  <w:vMerge w:val="restar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监</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测</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要</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求</w:t>
                  </w:r>
                </w:p>
              </w:tc>
              <w:tc>
                <w:tcPr>
                  <w:tcW w:w="641"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监测点位</w:t>
                  </w:r>
                </w:p>
              </w:tc>
              <w:tc>
                <w:tcPr>
                  <w:tcW w:w="4095" w:type="pct"/>
                  <w:gridSpan w:val="5"/>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厂界上风向1个点，下风向3个点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6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监测因子</w:t>
                  </w:r>
                </w:p>
              </w:tc>
              <w:tc>
                <w:tcPr>
                  <w:tcW w:w="831"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颗粒物</w:t>
                  </w:r>
                </w:p>
              </w:tc>
              <w:tc>
                <w:tcPr>
                  <w:tcW w:w="87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颗粒物</w:t>
                  </w:r>
                </w:p>
              </w:tc>
              <w:tc>
                <w:tcPr>
                  <w:tcW w:w="802"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颗粒物</w:t>
                  </w:r>
                </w:p>
              </w:tc>
              <w:tc>
                <w:tcPr>
                  <w:tcW w:w="1289"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硫化氢</w:t>
                  </w:r>
                </w:p>
              </w:tc>
              <w:tc>
                <w:tcPr>
                  <w:tcW w:w="1289"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641"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监测频次</w:t>
                  </w:r>
                </w:p>
              </w:tc>
              <w:tc>
                <w:tcPr>
                  <w:tcW w:w="831"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1次/年</w:t>
                  </w:r>
                </w:p>
              </w:tc>
              <w:tc>
                <w:tcPr>
                  <w:tcW w:w="87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1次/年</w:t>
                  </w:r>
                </w:p>
              </w:tc>
              <w:tc>
                <w:tcPr>
                  <w:tcW w:w="802"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1次/年</w:t>
                  </w:r>
                </w:p>
              </w:tc>
              <w:tc>
                <w:tcPr>
                  <w:tcW w:w="79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1次/年</w:t>
                  </w:r>
                </w:p>
              </w:tc>
              <w:tc>
                <w:tcPr>
                  <w:tcW w:w="79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1次/年</w:t>
                  </w:r>
                </w:p>
              </w:tc>
            </w:tr>
          </w:tbl>
          <w:p>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w:t>
            </w:r>
            <w:r>
              <w:rPr>
                <w:rFonts w:hint="default" w:ascii="Times New Roman" w:hAnsi="Times New Roman" w:eastAsia="宋体" w:cs="Times New Roman"/>
                <w:b/>
                <w:bCs/>
                <w:color w:val="auto"/>
                <w:sz w:val="24"/>
                <w:szCs w:val="24"/>
                <w:highlight w:val="none"/>
                <w:lang w:val="en-US" w:eastAsia="zh-CN"/>
              </w:rPr>
              <w:t>9</w:t>
            </w:r>
            <w:r>
              <w:rPr>
                <w:rFonts w:hint="default" w:ascii="Times New Roman" w:hAnsi="Times New Roman" w:eastAsia="宋体" w:cs="Times New Roman"/>
                <w:b/>
                <w:bCs/>
                <w:color w:val="auto"/>
                <w:sz w:val="24"/>
                <w:szCs w:val="24"/>
                <w:highlight w:val="none"/>
              </w:rPr>
              <w:t>非正常工况分析</w:t>
            </w:r>
          </w:p>
          <w:p>
            <w:pPr>
              <w:pStyle w:val="124"/>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废气非正常排放主要考虑废气处理设施不能够达到正常的处理效率时的废气排放情况，在这种条件下，废气不能够得到有效治理时发生的废气非正常排放。一般耗时在1-2h左右，最长不超过1小时，此种情况一年最多1～2次，当环保设备故障，效率</w:t>
            </w:r>
            <w:r>
              <w:rPr>
                <w:rFonts w:hint="default" w:ascii="Times New Roman" w:hAnsi="Times New Roman" w:eastAsia="宋体" w:cs="Times New Roman"/>
                <w:color w:val="auto"/>
                <w:kern w:val="0"/>
                <w:sz w:val="24"/>
                <w:szCs w:val="24"/>
                <w:highlight w:val="none"/>
                <w:lang w:val="en-US" w:eastAsia="zh-CN"/>
              </w:rPr>
              <w:t>降低一半</w:t>
            </w:r>
            <w:r>
              <w:rPr>
                <w:rFonts w:hint="default" w:ascii="Times New Roman" w:hAnsi="Times New Roman" w:eastAsia="宋体" w:cs="Times New Roman"/>
                <w:color w:val="auto"/>
                <w:kern w:val="0"/>
                <w:sz w:val="24"/>
                <w:szCs w:val="24"/>
                <w:highlight w:val="none"/>
              </w:rPr>
              <w:t>，排放频次和时间按照最不利情况计，所以本项目非正常排放频次为2次，排放时间为1h，则非正常工况排放如下：</w:t>
            </w:r>
          </w:p>
          <w:p>
            <w:pPr>
              <w:pStyle w:val="73"/>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color w:val="auto"/>
                <w:highlight w:val="none"/>
              </w:rPr>
              <w:t>表4.2-</w:t>
            </w:r>
            <w:r>
              <w:rPr>
                <w:rFonts w:hint="default" w:ascii="Times New Roman" w:hAnsi="Times New Roman" w:eastAsia="宋体" w:cs="Times New Roman"/>
                <w:b/>
                <w:color w:val="auto"/>
                <w:highlight w:val="none"/>
                <w:lang w:val="en-US" w:eastAsia="zh-CN"/>
              </w:rPr>
              <w:t>9</w:t>
            </w:r>
            <w:r>
              <w:rPr>
                <w:rFonts w:hint="default" w:ascii="Times New Roman" w:hAnsi="Times New Roman" w:eastAsia="宋体" w:cs="Times New Roman"/>
                <w:b/>
                <w:color w:val="auto"/>
                <w:highlight w:val="none"/>
              </w:rPr>
              <w:t xml:space="preserve">   废气非正常工况产排污系数表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659"/>
              <w:gridCol w:w="720"/>
              <w:gridCol w:w="1410"/>
              <w:gridCol w:w="960"/>
              <w:gridCol w:w="1080"/>
              <w:gridCol w:w="1185"/>
              <w:gridCol w:w="840"/>
              <w:gridCol w:w="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391" w:type="pct"/>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405" w:type="pct"/>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污染物种类</w:t>
                  </w:r>
                </w:p>
              </w:tc>
              <w:tc>
                <w:tcPr>
                  <w:tcW w:w="443" w:type="pct"/>
                  <w:noWrap/>
                  <w:vAlign w:val="center"/>
                </w:tcPr>
                <w:p>
                  <w:pPr>
                    <w:pStyle w:val="73"/>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产生量（t/a）</w:t>
                  </w:r>
                </w:p>
              </w:tc>
              <w:tc>
                <w:tcPr>
                  <w:tcW w:w="868" w:type="pct"/>
                  <w:noWrap/>
                  <w:vAlign w:val="center"/>
                </w:tcPr>
                <w:p>
                  <w:pPr>
                    <w:pStyle w:val="73"/>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治理措施</w:t>
                  </w:r>
                </w:p>
              </w:tc>
              <w:tc>
                <w:tcPr>
                  <w:tcW w:w="591" w:type="pct"/>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排放量（t/a）</w:t>
                  </w:r>
                </w:p>
              </w:tc>
              <w:tc>
                <w:tcPr>
                  <w:tcW w:w="665" w:type="pct"/>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排放速率（kg/h）</w:t>
                  </w:r>
                </w:p>
              </w:tc>
              <w:tc>
                <w:tcPr>
                  <w:tcW w:w="730" w:type="pct"/>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排放浓度（mg/m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517" w:type="pct"/>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排放浓度（mg/m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386" w:type="pct"/>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91" w:type="pct"/>
                  <w:vMerge w:val="restart"/>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焙烧烟气</w:t>
                  </w:r>
                </w:p>
              </w:tc>
              <w:tc>
                <w:tcPr>
                  <w:tcW w:w="405" w:type="pct"/>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颗粒物</w:t>
                  </w:r>
                </w:p>
              </w:tc>
              <w:tc>
                <w:tcPr>
                  <w:tcW w:w="720"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37.696</w:t>
                  </w:r>
                </w:p>
              </w:tc>
              <w:tc>
                <w:tcPr>
                  <w:tcW w:w="868" w:type="pct"/>
                  <w:vMerge w:val="restart"/>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双碱法脱硫除尘装置除尘效率为40%，脱硫效率为45%，风机风量为60000m³/h</w:t>
                  </w:r>
                </w:p>
              </w:tc>
              <w:tc>
                <w:tcPr>
                  <w:tcW w:w="960"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 xml:space="preserve">0.0063 </w:t>
                  </w:r>
                </w:p>
              </w:tc>
              <w:tc>
                <w:tcPr>
                  <w:tcW w:w="1080"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 xml:space="preserve">3.1413 </w:t>
                  </w:r>
                </w:p>
              </w:tc>
              <w:tc>
                <w:tcPr>
                  <w:tcW w:w="1185"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52.3556</w:t>
                  </w:r>
                </w:p>
              </w:tc>
              <w:tc>
                <w:tcPr>
                  <w:tcW w:w="517" w:type="pct"/>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30</w:t>
                  </w:r>
                </w:p>
              </w:tc>
              <w:tc>
                <w:tcPr>
                  <w:tcW w:w="386" w:type="pct"/>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391" w:type="pct"/>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p>
              </w:tc>
              <w:tc>
                <w:tcPr>
                  <w:tcW w:w="405" w:type="pct"/>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二氧化硫</w:t>
                  </w:r>
                </w:p>
              </w:tc>
              <w:tc>
                <w:tcPr>
                  <w:tcW w:w="720"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104.16</w:t>
                  </w:r>
                </w:p>
              </w:tc>
              <w:tc>
                <w:tcPr>
                  <w:tcW w:w="868" w:type="pct"/>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p>
              </w:tc>
              <w:tc>
                <w:tcPr>
                  <w:tcW w:w="960"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 xml:space="preserve">0.0159 </w:t>
                  </w:r>
                </w:p>
              </w:tc>
              <w:tc>
                <w:tcPr>
                  <w:tcW w:w="1080"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 xml:space="preserve">7.9567 </w:t>
                  </w:r>
                </w:p>
              </w:tc>
              <w:tc>
                <w:tcPr>
                  <w:tcW w:w="1185"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132.6111</w:t>
                  </w:r>
                </w:p>
              </w:tc>
              <w:tc>
                <w:tcPr>
                  <w:tcW w:w="517" w:type="pct"/>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300</w:t>
                  </w:r>
                </w:p>
              </w:tc>
              <w:tc>
                <w:tcPr>
                  <w:tcW w:w="386" w:type="pct"/>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391" w:type="pct"/>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破碎筛分粉尘</w:t>
                  </w:r>
                </w:p>
              </w:tc>
              <w:tc>
                <w:tcPr>
                  <w:tcW w:w="405" w:type="pct"/>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颗粒物</w:t>
                  </w:r>
                </w:p>
              </w:tc>
              <w:tc>
                <w:tcPr>
                  <w:tcW w:w="720"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7.626</w:t>
                  </w:r>
                </w:p>
              </w:tc>
              <w:tc>
                <w:tcPr>
                  <w:tcW w:w="868" w:type="pct"/>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布袋除尘器处理效率为49%，风机风量为13000m³/h</w:t>
                  </w:r>
                </w:p>
              </w:tc>
              <w:tc>
                <w:tcPr>
                  <w:tcW w:w="591" w:type="pct"/>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0.0036</w:t>
                  </w:r>
                </w:p>
              </w:tc>
              <w:tc>
                <w:tcPr>
                  <w:tcW w:w="665" w:type="pct"/>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1.7762</w:t>
                  </w:r>
                </w:p>
              </w:tc>
              <w:tc>
                <w:tcPr>
                  <w:tcW w:w="730" w:type="pct"/>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112.1902</w:t>
                  </w:r>
                </w:p>
              </w:tc>
              <w:tc>
                <w:tcPr>
                  <w:tcW w:w="517" w:type="pct"/>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30</w:t>
                  </w:r>
                </w:p>
              </w:tc>
              <w:tc>
                <w:tcPr>
                  <w:tcW w:w="386" w:type="pct"/>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超标</w:t>
                  </w:r>
                </w:p>
              </w:tc>
            </w:tr>
          </w:tbl>
          <w:p>
            <w:pPr>
              <w:pStyle w:val="124"/>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highlight w:val="none"/>
              </w:rPr>
              <w:t>非正常工况下，项目排放的</w:t>
            </w:r>
            <w:r>
              <w:rPr>
                <w:rFonts w:hint="default" w:ascii="Times New Roman" w:hAnsi="Times New Roman" w:eastAsia="宋体" w:cs="Times New Roman"/>
                <w:color w:val="auto"/>
                <w:sz w:val="24"/>
                <w:highlight w:val="none"/>
                <w:lang w:val="en-US" w:eastAsia="zh-CN"/>
              </w:rPr>
              <w:t>颗粒物不</w:t>
            </w:r>
            <w:r>
              <w:rPr>
                <w:rFonts w:hint="default" w:ascii="Times New Roman" w:hAnsi="Times New Roman" w:eastAsia="宋体" w:cs="Times New Roman"/>
                <w:color w:val="auto"/>
                <w:kern w:val="0"/>
                <w:sz w:val="24"/>
                <w:highlight w:val="none"/>
              </w:rPr>
              <w:t>能够满足</w:t>
            </w:r>
            <w:r>
              <w:rPr>
                <w:rFonts w:hint="default" w:ascii="Times New Roman" w:hAnsi="Times New Roman" w:eastAsia="宋体" w:cs="Times New Roman"/>
                <w:color w:val="auto"/>
                <w:sz w:val="24"/>
                <w:highlight w:val="none"/>
                <w:lang w:val="en-US" w:eastAsia="zh-CN"/>
              </w:rPr>
              <w:t>《砖瓦工业大气污</w:t>
            </w:r>
            <w:r>
              <w:rPr>
                <w:rFonts w:hint="default" w:ascii="Times New Roman" w:hAnsi="Times New Roman" w:eastAsia="宋体" w:cs="Times New Roman"/>
                <w:color w:val="auto"/>
                <w:sz w:val="24"/>
                <w:highlight w:val="none"/>
              </w:rPr>
              <w:t>染物排放</w:t>
            </w:r>
            <w:r>
              <w:rPr>
                <w:rFonts w:hint="default" w:ascii="Times New Roman" w:hAnsi="Times New Roman" w:eastAsia="宋体" w:cs="Times New Roman"/>
                <w:color w:val="auto"/>
                <w:sz w:val="24"/>
                <w:szCs w:val="24"/>
                <w:highlight w:val="none"/>
              </w:rPr>
              <w:t>标准》（GB29620-2013）中新建企业大气污染物排放限值</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为</w:t>
            </w:r>
            <w:r>
              <w:rPr>
                <w:rFonts w:hint="default" w:ascii="Times New Roman" w:hAnsi="Times New Roman" w:eastAsia="宋体" w:cs="Times New Roman"/>
                <w:color w:val="auto"/>
                <w:kern w:val="0"/>
                <w:sz w:val="24"/>
                <w:szCs w:val="24"/>
                <w:highlight w:val="none"/>
              </w:rPr>
              <w:t>防止非正常工况发生，企业应安排专职人员负责废气治理设施运营、维护，确保废气治理设施稳定运行、避免非正常排放情况发生。若发生废气治理措施非正常工作情况，应对废气治理措施进行检修</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有效防止废气污染物排放事故发生。</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2.</w:t>
            </w:r>
            <w:r>
              <w:rPr>
                <w:rFonts w:hint="default" w:ascii="Times New Roman" w:hAnsi="Times New Roman" w:eastAsia="宋体" w:cs="Times New Roman"/>
                <w:b/>
                <w:bCs/>
                <w:color w:val="auto"/>
                <w:kern w:val="0"/>
                <w:sz w:val="24"/>
                <w:szCs w:val="24"/>
                <w:highlight w:val="none"/>
                <w:lang w:val="en-US" w:eastAsia="zh-CN"/>
              </w:rPr>
              <w:t>10</w:t>
            </w:r>
            <w:r>
              <w:rPr>
                <w:rFonts w:hint="default" w:ascii="Times New Roman" w:hAnsi="Times New Roman" w:eastAsia="宋体" w:cs="Times New Roman"/>
                <w:b/>
                <w:bCs/>
                <w:color w:val="auto"/>
                <w:kern w:val="0"/>
                <w:sz w:val="24"/>
                <w:szCs w:val="24"/>
                <w:highlight w:val="none"/>
              </w:rPr>
              <w:t>废气环境影响情况分析</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w:t>
            </w:r>
            <w:r>
              <w:rPr>
                <w:rFonts w:hint="default" w:ascii="Times New Roman" w:hAnsi="Times New Roman" w:eastAsia="宋体" w:cs="Times New Roman"/>
                <w:b/>
                <w:bCs/>
                <w:color w:val="auto"/>
                <w:sz w:val="24"/>
                <w:szCs w:val="24"/>
                <w:highlight w:val="none"/>
                <w:lang w:val="en-US" w:eastAsia="zh-CN"/>
              </w:rPr>
              <w:t>10.1</w:t>
            </w:r>
            <w:r>
              <w:rPr>
                <w:rFonts w:hint="default" w:ascii="Times New Roman" w:hAnsi="Times New Roman" w:eastAsia="宋体" w:cs="Times New Roman"/>
                <w:b/>
                <w:bCs/>
                <w:color w:val="auto"/>
                <w:sz w:val="24"/>
                <w:szCs w:val="24"/>
                <w:highlight w:val="none"/>
              </w:rPr>
              <w:t>有组织达标分析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项目废气达标排放分析如下</w:t>
            </w:r>
            <w:r>
              <w:rPr>
                <w:rFonts w:hint="default" w:ascii="Times New Roman" w:hAnsi="Times New Roman" w:eastAsia="宋体" w:cs="Times New Roman"/>
                <w:color w:val="auto"/>
                <w:sz w:val="24"/>
                <w:szCs w:val="24"/>
                <w:highlight w:val="none"/>
                <w:lang w:eastAsia="zh-CN"/>
              </w:rPr>
              <w:t>：</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表4.2-</w:t>
            </w:r>
            <w:r>
              <w:rPr>
                <w:rFonts w:hint="default" w:ascii="Times New Roman" w:hAnsi="Times New Roman" w:eastAsia="宋体" w:cs="Times New Roman"/>
                <w:b/>
                <w:bCs/>
                <w:color w:val="auto"/>
                <w:szCs w:val="21"/>
                <w:highlight w:val="none"/>
                <w:lang w:val="en-US" w:eastAsia="zh-CN"/>
              </w:rPr>
              <w:t>10</w:t>
            </w:r>
            <w:r>
              <w:rPr>
                <w:rFonts w:hint="default" w:ascii="Times New Roman" w:hAnsi="Times New Roman" w:eastAsia="宋体" w:cs="Times New Roman"/>
                <w:b/>
                <w:bCs/>
                <w:color w:val="auto"/>
                <w:szCs w:val="21"/>
                <w:highlight w:val="none"/>
              </w:rPr>
              <w:t xml:space="preserve">  项目废气排放分析表</w:t>
            </w:r>
          </w:p>
          <w:tbl>
            <w:tblPr>
              <w:tblStyle w:val="23"/>
              <w:tblW w:w="4996"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64"/>
              <w:gridCol w:w="640"/>
              <w:gridCol w:w="1119"/>
              <w:gridCol w:w="1028"/>
              <w:gridCol w:w="1123"/>
              <w:gridCol w:w="1464"/>
              <w:gridCol w:w="1181"/>
              <w:gridCol w:w="78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2" w:hRule="atLeast"/>
              </w:trPr>
              <w:tc>
                <w:tcPr>
                  <w:tcW w:w="471" w:type="pct"/>
                  <w:vMerge w:val="restart"/>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排放口编号</w:t>
                  </w:r>
                </w:p>
              </w:tc>
              <w:tc>
                <w:tcPr>
                  <w:tcW w:w="395" w:type="pct"/>
                  <w:vMerge w:val="restart"/>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污染源</w:t>
                  </w:r>
                </w:p>
              </w:tc>
              <w:tc>
                <w:tcPr>
                  <w:tcW w:w="690" w:type="pct"/>
                  <w:vMerge w:val="restart"/>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种类</w:t>
                  </w:r>
                </w:p>
              </w:tc>
              <w:tc>
                <w:tcPr>
                  <w:tcW w:w="2231" w:type="pct"/>
                  <w:gridSpan w:val="3"/>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项目排放情况</w:t>
                  </w:r>
                </w:p>
              </w:tc>
              <w:tc>
                <w:tcPr>
                  <w:tcW w:w="728" w:type="pct"/>
                  <w:vMerge w:val="restart"/>
                  <w:tcBorders>
                    <w:top w:val="single" w:color="auto" w:sz="8" w:space="0"/>
                    <w:left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标准浓度（mg/m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482" w:type="pct"/>
                  <w:vMerge w:val="restart"/>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9" w:hRule="atLeast"/>
              </w:trPr>
              <w:tc>
                <w:tcPr>
                  <w:tcW w:w="471" w:type="pct"/>
                  <w:vMerge w:val="continue"/>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p>
              </w:tc>
              <w:tc>
                <w:tcPr>
                  <w:tcW w:w="395" w:type="pct"/>
                  <w:vMerge w:val="continue"/>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p>
              </w:tc>
              <w:tc>
                <w:tcPr>
                  <w:tcW w:w="690" w:type="pct"/>
                  <w:vMerge w:val="continue"/>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p>
              </w:tc>
              <w:tc>
                <w:tcPr>
                  <w:tcW w:w="634" w:type="pct"/>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排放量（t/a）</w:t>
                  </w:r>
                </w:p>
              </w:tc>
              <w:tc>
                <w:tcPr>
                  <w:tcW w:w="693" w:type="pct"/>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排放速率（kg/h）</w:t>
                  </w:r>
                </w:p>
              </w:tc>
              <w:tc>
                <w:tcPr>
                  <w:tcW w:w="903" w:type="pct"/>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排放浓度（m</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728" w:type="pct"/>
                  <w:vMerge w:val="continue"/>
                  <w:tcBorders>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p>
              </w:tc>
              <w:tc>
                <w:tcPr>
                  <w:tcW w:w="482" w:type="pct"/>
                  <w:vMerge w:val="continue"/>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1" w:hRule="atLeast"/>
              </w:trPr>
              <w:tc>
                <w:tcPr>
                  <w:tcW w:w="471" w:type="pct"/>
                  <w:vMerge w:val="restart"/>
                  <w:tcBorders>
                    <w:top w:val="single" w:color="auto" w:sz="8" w:space="0"/>
                    <w:left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DA001</w:t>
                  </w:r>
                </w:p>
              </w:tc>
              <w:tc>
                <w:tcPr>
                  <w:tcW w:w="395" w:type="pct"/>
                  <w:vMerge w:val="restart"/>
                  <w:tcBorders>
                    <w:top w:val="single" w:color="auto" w:sz="8" w:space="0"/>
                    <w:left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焙烧</w:t>
                  </w:r>
                  <w:r>
                    <w:rPr>
                      <w:rFonts w:hint="default" w:ascii="Times New Roman" w:hAnsi="Times New Roman" w:eastAsia="宋体" w:cs="Times New Roman"/>
                      <w:color w:val="auto"/>
                      <w:sz w:val="21"/>
                      <w:szCs w:val="21"/>
                      <w:highlight w:val="none"/>
                    </w:rPr>
                    <w:t>废气</w:t>
                  </w:r>
                </w:p>
              </w:tc>
              <w:tc>
                <w:tcPr>
                  <w:tcW w:w="690" w:type="pct"/>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烟尘</w:t>
                  </w:r>
                </w:p>
              </w:tc>
              <w:tc>
                <w:tcPr>
                  <w:tcW w:w="634" w:type="pct"/>
                  <w:tcBorders>
                    <w:top w:val="single" w:color="auto" w:sz="8" w:space="0"/>
                    <w:left w:val="single" w:color="auto" w:sz="8" w:space="0"/>
                    <w:bottom w:val="single" w:color="auto" w:sz="8" w:space="0"/>
                    <w:right w:val="single" w:color="auto" w:sz="8" w:space="0"/>
                  </w:tcBorders>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5.6544</w:t>
                  </w:r>
                </w:p>
              </w:tc>
              <w:tc>
                <w:tcPr>
                  <w:tcW w:w="693" w:type="pct"/>
                  <w:tcBorders>
                    <w:top w:val="single" w:color="auto" w:sz="8" w:space="0"/>
                    <w:left w:val="single" w:color="auto" w:sz="8" w:space="0"/>
                    <w:bottom w:val="single" w:color="auto" w:sz="8" w:space="0"/>
                    <w:right w:val="single" w:color="auto" w:sz="8" w:space="0"/>
                  </w:tcBorders>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0.7853</w:t>
                  </w:r>
                </w:p>
              </w:tc>
              <w:tc>
                <w:tcPr>
                  <w:tcW w:w="903" w:type="pct"/>
                  <w:tcBorders>
                    <w:top w:val="single" w:color="auto" w:sz="8" w:space="0"/>
                    <w:left w:val="single" w:color="auto" w:sz="8" w:space="0"/>
                    <w:bottom w:val="single" w:color="auto" w:sz="8" w:space="0"/>
                    <w:right w:val="single" w:color="auto" w:sz="8" w:space="0"/>
                  </w:tcBorders>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13.0889</w:t>
                  </w:r>
                </w:p>
              </w:tc>
              <w:tc>
                <w:tcPr>
                  <w:tcW w:w="728" w:type="pct"/>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c>
                <w:tcPr>
                  <w:tcW w:w="482" w:type="pct"/>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3" w:hRule="atLeast"/>
              </w:trPr>
              <w:tc>
                <w:tcPr>
                  <w:tcW w:w="471" w:type="pct"/>
                  <w:vMerge w:val="continue"/>
                  <w:tcBorders>
                    <w:left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95" w:type="pct"/>
                  <w:vMerge w:val="continue"/>
                  <w:tcBorders>
                    <w:left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690" w:type="pct"/>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二氧化硫</w:t>
                  </w:r>
                </w:p>
              </w:tc>
              <w:tc>
                <w:tcPr>
                  <w:tcW w:w="634" w:type="pct"/>
                  <w:tcBorders>
                    <w:top w:val="single" w:color="auto" w:sz="8" w:space="0"/>
                    <w:left w:val="single" w:color="auto" w:sz="8" w:space="0"/>
                    <w:bottom w:val="single" w:color="auto" w:sz="8" w:space="0"/>
                    <w:right w:val="single" w:color="auto" w:sz="8" w:space="0"/>
                  </w:tcBorders>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10.416</w:t>
                  </w:r>
                </w:p>
              </w:tc>
              <w:tc>
                <w:tcPr>
                  <w:tcW w:w="693" w:type="pct"/>
                  <w:tcBorders>
                    <w:top w:val="single" w:color="auto" w:sz="8" w:space="0"/>
                    <w:left w:val="single" w:color="auto" w:sz="8" w:space="0"/>
                    <w:bottom w:val="single" w:color="auto" w:sz="8" w:space="0"/>
                    <w:right w:val="single" w:color="auto" w:sz="8" w:space="0"/>
                  </w:tcBorders>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1.4467</w:t>
                  </w:r>
                </w:p>
              </w:tc>
              <w:tc>
                <w:tcPr>
                  <w:tcW w:w="903" w:type="pct"/>
                  <w:tcBorders>
                    <w:top w:val="single" w:color="auto" w:sz="8" w:space="0"/>
                    <w:left w:val="single" w:color="auto" w:sz="8" w:space="0"/>
                    <w:bottom w:val="single" w:color="auto" w:sz="8" w:space="0"/>
                    <w:right w:val="single" w:color="auto" w:sz="8" w:space="0"/>
                  </w:tcBorders>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24.1111</w:t>
                  </w:r>
                </w:p>
              </w:tc>
              <w:tc>
                <w:tcPr>
                  <w:tcW w:w="728" w:type="pct"/>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300</w:t>
                  </w:r>
                </w:p>
              </w:tc>
              <w:tc>
                <w:tcPr>
                  <w:tcW w:w="482" w:type="pct"/>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5" w:hRule="atLeast"/>
              </w:trPr>
              <w:tc>
                <w:tcPr>
                  <w:tcW w:w="471" w:type="pct"/>
                  <w:vMerge w:val="continue"/>
                  <w:tcBorders>
                    <w:left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95" w:type="pct"/>
                  <w:vMerge w:val="continue"/>
                  <w:tcBorders>
                    <w:left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690" w:type="pct"/>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氮氧化物</w:t>
                  </w:r>
                </w:p>
              </w:tc>
              <w:tc>
                <w:tcPr>
                  <w:tcW w:w="634" w:type="pct"/>
                  <w:tcBorders>
                    <w:top w:val="single" w:color="auto" w:sz="8" w:space="0"/>
                    <w:left w:val="single" w:color="auto" w:sz="8" w:space="0"/>
                    <w:bottom w:val="single" w:color="auto" w:sz="8" w:space="0"/>
                    <w:right w:val="single" w:color="auto" w:sz="8" w:space="0"/>
                  </w:tcBorders>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20.212</w:t>
                  </w:r>
                </w:p>
              </w:tc>
              <w:tc>
                <w:tcPr>
                  <w:tcW w:w="693" w:type="pct"/>
                  <w:tcBorders>
                    <w:top w:val="single" w:color="auto" w:sz="8" w:space="0"/>
                    <w:left w:val="single" w:color="auto" w:sz="8" w:space="0"/>
                    <w:bottom w:val="single" w:color="auto" w:sz="8" w:space="0"/>
                    <w:right w:val="single" w:color="auto" w:sz="8" w:space="0"/>
                  </w:tcBorders>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2.8072</w:t>
                  </w:r>
                </w:p>
              </w:tc>
              <w:tc>
                <w:tcPr>
                  <w:tcW w:w="903" w:type="pct"/>
                  <w:tcBorders>
                    <w:top w:val="single" w:color="auto" w:sz="8" w:space="0"/>
                    <w:left w:val="single" w:color="auto" w:sz="8" w:space="0"/>
                    <w:bottom w:val="single" w:color="auto" w:sz="8" w:space="0"/>
                    <w:right w:val="single" w:color="auto" w:sz="8" w:space="0"/>
                  </w:tcBorders>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46.7870</w:t>
                  </w:r>
                </w:p>
              </w:tc>
              <w:tc>
                <w:tcPr>
                  <w:tcW w:w="728" w:type="pct"/>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200</w:t>
                  </w:r>
                </w:p>
              </w:tc>
              <w:tc>
                <w:tcPr>
                  <w:tcW w:w="482" w:type="pct"/>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5" w:hRule="atLeast"/>
              </w:trPr>
              <w:tc>
                <w:tcPr>
                  <w:tcW w:w="471" w:type="pct"/>
                  <w:vMerge w:val="continue"/>
                  <w:tcBorders>
                    <w:left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95" w:type="pct"/>
                  <w:vMerge w:val="continue"/>
                  <w:tcBorders>
                    <w:left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690" w:type="pct"/>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氟化物</w:t>
                  </w:r>
                </w:p>
              </w:tc>
              <w:tc>
                <w:tcPr>
                  <w:tcW w:w="634" w:type="pct"/>
                  <w:tcBorders>
                    <w:top w:val="single" w:color="auto" w:sz="8" w:space="0"/>
                    <w:left w:val="single" w:color="auto" w:sz="8" w:space="0"/>
                    <w:bottom w:val="single" w:color="auto" w:sz="8" w:space="0"/>
                    <w:right w:val="single" w:color="auto" w:sz="8" w:space="0"/>
                  </w:tcBorders>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0.9687</w:t>
                  </w:r>
                </w:p>
              </w:tc>
              <w:tc>
                <w:tcPr>
                  <w:tcW w:w="693" w:type="pct"/>
                  <w:tcBorders>
                    <w:top w:val="single" w:color="auto" w:sz="8" w:space="0"/>
                    <w:left w:val="single" w:color="auto" w:sz="8" w:space="0"/>
                    <w:bottom w:val="single" w:color="auto" w:sz="8" w:space="0"/>
                    <w:right w:val="single" w:color="auto" w:sz="8" w:space="0"/>
                  </w:tcBorders>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0.1345</w:t>
                  </w:r>
                </w:p>
              </w:tc>
              <w:tc>
                <w:tcPr>
                  <w:tcW w:w="903" w:type="pct"/>
                  <w:tcBorders>
                    <w:top w:val="single" w:color="auto" w:sz="8" w:space="0"/>
                    <w:left w:val="single" w:color="auto" w:sz="8" w:space="0"/>
                    <w:bottom w:val="single" w:color="auto" w:sz="8" w:space="0"/>
                    <w:right w:val="single" w:color="auto" w:sz="8" w:space="0"/>
                  </w:tcBorders>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2.2425</w:t>
                  </w:r>
                </w:p>
              </w:tc>
              <w:tc>
                <w:tcPr>
                  <w:tcW w:w="728" w:type="pct"/>
                  <w:tcBorders>
                    <w:top w:val="single" w:color="auto" w:sz="8" w:space="0"/>
                    <w:left w:val="single" w:color="auto" w:sz="8" w:space="0"/>
                    <w:bottom w:val="single" w:color="auto" w:sz="8" w:space="0"/>
                    <w:right w:val="single" w:color="auto" w:sz="8" w:space="0"/>
                  </w:tcBorders>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482" w:type="pct"/>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5" w:hRule="atLeast"/>
              </w:trPr>
              <w:tc>
                <w:tcPr>
                  <w:tcW w:w="471" w:type="pct"/>
                  <w:tcBorders>
                    <w:left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DA00</w:t>
                  </w:r>
                  <w:r>
                    <w:rPr>
                      <w:rFonts w:hint="default" w:ascii="Times New Roman" w:hAnsi="Times New Roman" w:eastAsia="宋体" w:cs="Times New Roman"/>
                      <w:color w:val="auto"/>
                      <w:sz w:val="21"/>
                      <w:szCs w:val="21"/>
                      <w:highlight w:val="none"/>
                      <w:lang w:val="en-US" w:eastAsia="zh-CN"/>
                    </w:rPr>
                    <w:t>2</w:t>
                  </w:r>
                </w:p>
              </w:tc>
              <w:tc>
                <w:tcPr>
                  <w:tcW w:w="395" w:type="pct"/>
                  <w:tcBorders>
                    <w:left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破碎筛分粉尘</w:t>
                  </w:r>
                </w:p>
              </w:tc>
              <w:tc>
                <w:tcPr>
                  <w:tcW w:w="690" w:type="pct"/>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634" w:type="pct"/>
                  <w:tcBorders>
                    <w:top w:val="single" w:color="auto" w:sz="8" w:space="0"/>
                    <w:left w:val="single" w:color="auto" w:sz="8" w:space="0"/>
                    <w:bottom w:val="single" w:color="auto" w:sz="8" w:space="0"/>
                    <w:right w:val="single" w:color="auto" w:sz="8" w:space="0"/>
                  </w:tcBorders>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0.1373</w:t>
                  </w:r>
                </w:p>
              </w:tc>
              <w:tc>
                <w:tcPr>
                  <w:tcW w:w="693" w:type="pct"/>
                  <w:tcBorders>
                    <w:top w:val="single" w:color="auto" w:sz="8" w:space="0"/>
                    <w:left w:val="single" w:color="auto" w:sz="8" w:space="0"/>
                    <w:bottom w:val="single" w:color="auto" w:sz="8" w:space="0"/>
                    <w:right w:val="single" w:color="auto" w:sz="8" w:space="0"/>
                  </w:tcBorders>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0.0572</w:t>
                  </w:r>
                </w:p>
              </w:tc>
              <w:tc>
                <w:tcPr>
                  <w:tcW w:w="903" w:type="pct"/>
                  <w:tcBorders>
                    <w:top w:val="single" w:color="auto" w:sz="8" w:space="0"/>
                    <w:left w:val="single" w:color="auto" w:sz="8" w:space="0"/>
                    <w:bottom w:val="single" w:color="auto" w:sz="8" w:space="0"/>
                    <w:right w:val="single" w:color="auto" w:sz="8" w:space="0"/>
                  </w:tcBorders>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4.3996</w:t>
                  </w:r>
                </w:p>
              </w:tc>
              <w:tc>
                <w:tcPr>
                  <w:tcW w:w="728" w:type="pct"/>
                  <w:tcBorders>
                    <w:top w:val="single" w:color="auto" w:sz="8" w:space="0"/>
                    <w:left w:val="single" w:color="auto" w:sz="8" w:space="0"/>
                    <w:bottom w:val="single" w:color="auto" w:sz="8" w:space="0"/>
                    <w:right w:val="single" w:color="auto" w:sz="8" w:space="0"/>
                  </w:tcBorders>
                  <w:noWrap w:val="0"/>
                  <w:vAlign w:val="center"/>
                </w:tcPr>
                <w:p>
                  <w:pPr>
                    <w:pStyle w:val="71"/>
                    <w:keepNext w:val="0"/>
                    <w:keepLines w:val="0"/>
                    <w:widowControl w:val="0"/>
                    <w:suppressLineNumbers w:val="0"/>
                    <w:spacing w:before="7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c>
                <w:tcPr>
                  <w:tcW w:w="482" w:type="pct"/>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综上，项目焙烧烟气经双碱法脱硫除尘装置+15m高烟囱</w:t>
            </w:r>
            <w:r>
              <w:rPr>
                <w:rFonts w:hint="default" w:ascii="Times New Roman" w:hAnsi="Times New Roman" w:eastAsia="宋体" w:cs="Times New Roman"/>
                <w:color w:val="auto"/>
                <w:sz w:val="24"/>
                <w:highlight w:val="none"/>
              </w:rPr>
              <w:t>处理废气</w:t>
            </w:r>
            <w:r>
              <w:rPr>
                <w:rFonts w:hint="default" w:ascii="Times New Roman" w:hAnsi="Times New Roman" w:eastAsia="宋体" w:cs="Times New Roman"/>
                <w:color w:val="auto"/>
                <w:kern w:val="0"/>
                <w:sz w:val="24"/>
                <w:highlight w:val="none"/>
              </w:rPr>
              <w:t>后</w:t>
            </w:r>
            <w:r>
              <w:rPr>
                <w:rFonts w:hint="default" w:ascii="Times New Roman" w:hAnsi="Times New Roman" w:eastAsia="宋体" w:cs="Times New Roman"/>
                <w:bCs/>
                <w:color w:val="auto"/>
                <w:sz w:val="24"/>
                <w:highlight w:val="none"/>
              </w:rPr>
              <w:t>能够达到</w:t>
            </w:r>
            <w:r>
              <w:rPr>
                <w:rFonts w:hint="default" w:ascii="Times New Roman" w:hAnsi="Times New Roman" w:eastAsia="宋体" w:cs="Times New Roman"/>
                <w:color w:val="auto"/>
                <w:sz w:val="24"/>
                <w:highlight w:val="none"/>
                <w:lang w:val="en-US" w:eastAsia="zh-CN"/>
              </w:rPr>
              <w:t>《砖瓦工业大气污</w:t>
            </w:r>
            <w:r>
              <w:rPr>
                <w:rFonts w:hint="default" w:ascii="Times New Roman" w:hAnsi="Times New Roman" w:eastAsia="宋体" w:cs="Times New Roman"/>
                <w:color w:val="auto"/>
                <w:sz w:val="24"/>
                <w:highlight w:val="none"/>
              </w:rPr>
              <w:t>染物排放标准》（GB29620-2013）中新建企业大气污染物排放限值</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项目</w:t>
            </w:r>
            <w:r>
              <w:rPr>
                <w:rFonts w:hint="default" w:ascii="Times New Roman" w:hAnsi="Times New Roman" w:eastAsia="宋体" w:cs="Times New Roman"/>
                <w:b w:val="0"/>
                <w:bCs w:val="0"/>
                <w:color w:val="auto"/>
                <w:sz w:val="24"/>
                <w:szCs w:val="24"/>
                <w:highlight w:val="none"/>
              </w:rPr>
              <w:t>破碎、筛分</w:t>
            </w:r>
            <w:r>
              <w:rPr>
                <w:rFonts w:hint="default" w:ascii="Times New Roman" w:hAnsi="Times New Roman" w:eastAsia="宋体" w:cs="Times New Roman"/>
                <w:b w:val="0"/>
                <w:bCs w:val="0"/>
                <w:color w:val="auto"/>
                <w:sz w:val="24"/>
                <w:szCs w:val="24"/>
                <w:highlight w:val="none"/>
                <w:lang w:val="en-US" w:eastAsia="zh-CN"/>
              </w:rPr>
              <w:t>区域安装集气罩+布袋除尘器+15</w:t>
            </w:r>
            <w:r>
              <w:rPr>
                <w:rFonts w:hint="default" w:ascii="Times New Roman" w:hAnsi="Times New Roman" w:eastAsia="宋体" w:cs="Times New Roman"/>
                <w:color w:val="auto"/>
                <w:kern w:val="0"/>
                <w:sz w:val="24"/>
                <w:highlight w:val="none"/>
              </w:rPr>
              <w:t>m</w:t>
            </w:r>
            <w:r>
              <w:rPr>
                <w:rFonts w:hint="default" w:ascii="Times New Roman" w:hAnsi="Times New Roman" w:eastAsia="宋体" w:cs="Times New Roman"/>
                <w:b w:val="0"/>
                <w:bCs w:val="0"/>
                <w:color w:val="auto"/>
                <w:sz w:val="24"/>
                <w:szCs w:val="24"/>
                <w:highlight w:val="none"/>
                <w:lang w:val="en-US" w:eastAsia="zh-CN"/>
              </w:rPr>
              <w:t>排气筒处理后</w:t>
            </w:r>
            <w:r>
              <w:rPr>
                <w:rFonts w:hint="default" w:ascii="Times New Roman" w:hAnsi="Times New Roman" w:eastAsia="宋体" w:cs="Times New Roman"/>
                <w:color w:val="auto"/>
                <w:sz w:val="24"/>
                <w:highlight w:val="none"/>
              </w:rPr>
              <w:t>能够达到</w:t>
            </w:r>
            <w:r>
              <w:rPr>
                <w:rFonts w:hint="default" w:ascii="Times New Roman" w:hAnsi="Times New Roman" w:eastAsia="宋体" w:cs="Times New Roman"/>
                <w:color w:val="auto"/>
                <w:sz w:val="24"/>
                <w:highlight w:val="none"/>
                <w:lang w:val="en-US" w:eastAsia="zh-CN"/>
              </w:rPr>
              <w:t>《砖瓦工业大气污</w:t>
            </w:r>
            <w:r>
              <w:rPr>
                <w:rFonts w:hint="default" w:ascii="Times New Roman" w:hAnsi="Times New Roman" w:eastAsia="宋体" w:cs="Times New Roman"/>
                <w:color w:val="auto"/>
                <w:sz w:val="24"/>
                <w:highlight w:val="none"/>
              </w:rPr>
              <w:t>染物排放标准》（GB29620-2013）中新建企业大气污染物排放限值。</w:t>
            </w:r>
            <w:r>
              <w:rPr>
                <w:rFonts w:hint="default" w:ascii="Times New Roman" w:hAnsi="Times New Roman" w:eastAsia="宋体" w:cs="Times New Roman"/>
                <w:bCs/>
                <w:color w:val="auto"/>
                <w:sz w:val="24"/>
                <w:highlight w:val="none"/>
              </w:rPr>
              <w:t>对环境影响较小。</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2.</w:t>
            </w:r>
            <w:r>
              <w:rPr>
                <w:rFonts w:hint="default" w:ascii="Times New Roman" w:hAnsi="Times New Roman" w:eastAsia="宋体" w:cs="Times New Roman"/>
                <w:b/>
                <w:bCs/>
                <w:color w:val="auto"/>
                <w:sz w:val="24"/>
                <w:highlight w:val="none"/>
                <w:lang w:val="en-US" w:eastAsia="zh-CN"/>
              </w:rPr>
              <w:t>10.</w:t>
            </w:r>
            <w:r>
              <w:rPr>
                <w:rFonts w:hint="default" w:ascii="Times New Roman" w:hAnsi="Times New Roman" w:eastAsia="宋体" w:cs="Times New Roman"/>
                <w:b/>
                <w:bCs/>
                <w:color w:val="auto"/>
                <w:sz w:val="24"/>
                <w:highlight w:val="none"/>
              </w:rPr>
              <w:t>2无组织达标分析</w:t>
            </w:r>
          </w:p>
          <w:p>
            <w:pPr>
              <w:keepNext w:val="0"/>
              <w:keepLines w:val="0"/>
              <w:suppressLineNumbers w:val="0"/>
              <w:spacing w:before="0" w:beforeAutospacing="0" w:after="0" w:afterAutospacing="0" w:line="360" w:lineRule="auto"/>
              <w:ind w:left="0" w:right="0" w:firstLine="422" w:firstLineChars="176"/>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32"/>
                <w:highlight w:val="none"/>
              </w:rPr>
              <w:t>根据项目无组织排放情况，使用AERSCREEN模型预测无组织大气污染物排放情况，</w:t>
            </w:r>
            <w:r>
              <w:rPr>
                <w:rFonts w:hint="default" w:ascii="Times New Roman" w:hAnsi="Times New Roman" w:eastAsia="宋体" w:cs="Times New Roman"/>
                <w:color w:val="auto"/>
                <w:sz w:val="24"/>
                <w:highlight w:val="none"/>
              </w:rPr>
              <w:t>根据预测结果，</w:t>
            </w:r>
            <w:r>
              <w:rPr>
                <w:rFonts w:hint="default" w:ascii="Times New Roman" w:hAnsi="Times New Roman" w:eastAsia="宋体" w:cs="Times New Roman"/>
                <w:color w:val="auto"/>
                <w:spacing w:val="-2"/>
                <w:sz w:val="24"/>
                <w:highlight w:val="none"/>
              </w:rPr>
              <w:t>无组织颗粒物最大落地浓度为</w:t>
            </w:r>
            <w:bookmarkStart w:id="7" w:name="OLE_LINK96"/>
            <w:r>
              <w:rPr>
                <w:rFonts w:hint="default" w:ascii="Times New Roman" w:hAnsi="Times New Roman" w:eastAsia="宋体" w:cs="Times New Roman"/>
                <w:color w:val="auto"/>
                <w:sz w:val="24"/>
                <w:highlight w:val="none"/>
                <w:lang w:val="en-US" w:eastAsia="zh-CN"/>
              </w:rPr>
              <w:t>0.173</w:t>
            </w:r>
            <w:r>
              <w:rPr>
                <w:rFonts w:hint="default" w:ascii="Times New Roman" w:hAnsi="Times New Roman" w:eastAsia="宋体" w:cs="Times New Roman"/>
                <w:color w:val="auto"/>
                <w:sz w:val="24"/>
                <w:highlight w:val="none"/>
              </w:rPr>
              <w:t>m</w:t>
            </w:r>
            <w:bookmarkEnd w:id="7"/>
            <w:r>
              <w:rPr>
                <w:rFonts w:hint="default" w:ascii="Times New Roman" w:hAnsi="Times New Roman" w:eastAsia="宋体" w:cs="Times New Roman"/>
                <w:color w:val="auto"/>
                <w:sz w:val="24"/>
                <w:highlight w:val="none"/>
              </w:rPr>
              <w:t>g/m³</w:t>
            </w:r>
            <w:r>
              <w:rPr>
                <w:rFonts w:hint="default" w:ascii="Times New Roman" w:hAnsi="Times New Roman" w:eastAsia="宋体" w:cs="Times New Roman"/>
                <w:color w:val="auto"/>
                <w:spacing w:val="-2"/>
                <w:sz w:val="24"/>
                <w:highlight w:val="none"/>
              </w:rPr>
              <w:t>，</w:t>
            </w:r>
            <w:r>
              <w:rPr>
                <w:rFonts w:hint="default" w:ascii="Times New Roman" w:hAnsi="Times New Roman" w:eastAsia="宋体" w:cs="Times New Roman"/>
                <w:color w:val="auto"/>
                <w:sz w:val="24"/>
                <w:highlight w:val="none"/>
              </w:rPr>
              <w:t>占标</w:t>
            </w:r>
            <w:r>
              <w:rPr>
                <w:rFonts w:hint="default" w:ascii="Times New Roman" w:hAnsi="Times New Roman" w:eastAsia="宋体" w:cs="Times New Roman"/>
                <w:color w:val="auto"/>
                <w:spacing w:val="-10"/>
                <w:sz w:val="24"/>
                <w:highlight w:val="none"/>
              </w:rPr>
              <w:t>率为</w:t>
            </w:r>
            <w:r>
              <w:rPr>
                <w:rFonts w:hint="default" w:ascii="Times New Roman" w:hAnsi="Times New Roman" w:eastAsia="宋体" w:cs="Times New Roman"/>
                <w:color w:val="auto"/>
                <w:sz w:val="24"/>
                <w:highlight w:val="none"/>
                <w:lang w:val="en-US" w:eastAsia="zh-CN"/>
              </w:rPr>
              <w:t>19.21</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pacing w:val="-2"/>
                <w:sz w:val="24"/>
                <w:highlight w:val="none"/>
              </w:rPr>
              <w:t>，</w:t>
            </w:r>
            <w:r>
              <w:rPr>
                <w:rFonts w:hint="default" w:ascii="Times New Roman" w:hAnsi="Times New Roman" w:eastAsia="宋体" w:cs="Times New Roman"/>
                <w:color w:val="auto"/>
                <w:sz w:val="24"/>
                <w:highlight w:val="none"/>
              </w:rPr>
              <w:t>无组织</w:t>
            </w:r>
            <w:r>
              <w:rPr>
                <w:rFonts w:hint="default" w:ascii="Times New Roman" w:hAnsi="Times New Roman" w:eastAsia="宋体" w:cs="Times New Roman"/>
                <w:color w:val="auto"/>
                <w:sz w:val="24"/>
                <w:highlight w:val="none"/>
                <w:lang w:val="en-US" w:eastAsia="zh-CN"/>
              </w:rPr>
              <w:t>氨</w:t>
            </w:r>
            <w:r>
              <w:rPr>
                <w:rFonts w:hint="default" w:ascii="Times New Roman" w:hAnsi="Times New Roman" w:eastAsia="宋体" w:cs="Times New Roman"/>
                <w:color w:val="auto"/>
                <w:spacing w:val="-2"/>
                <w:sz w:val="24"/>
                <w:highlight w:val="none"/>
              </w:rPr>
              <w:t>最大落地浓度为</w:t>
            </w:r>
            <w:r>
              <w:rPr>
                <w:rFonts w:hint="default" w:ascii="Times New Roman" w:hAnsi="Times New Roman" w:eastAsia="宋体" w:cs="Times New Roman"/>
                <w:color w:val="auto"/>
                <w:sz w:val="24"/>
                <w:highlight w:val="none"/>
                <w:lang w:val="en-US" w:eastAsia="zh-CN"/>
              </w:rPr>
              <w:t>3.93*10</w:t>
            </w:r>
            <w:r>
              <w:rPr>
                <w:rFonts w:hint="default" w:ascii="Times New Roman" w:hAnsi="Times New Roman" w:eastAsia="宋体" w:cs="Times New Roman"/>
                <w:color w:val="auto"/>
                <w:sz w:val="24"/>
                <w:highlight w:val="none"/>
                <w:vertAlign w:val="superscript"/>
                <w:lang w:val="en-US" w:eastAsia="zh-CN"/>
              </w:rPr>
              <w:t>-5</w:t>
            </w:r>
            <w:r>
              <w:rPr>
                <w:rFonts w:hint="default" w:ascii="Times New Roman" w:hAnsi="Times New Roman" w:eastAsia="宋体" w:cs="Times New Roman"/>
                <w:color w:val="auto"/>
                <w:sz w:val="24"/>
                <w:highlight w:val="none"/>
              </w:rPr>
              <w:t>mg/m³，占标</w:t>
            </w:r>
            <w:r>
              <w:rPr>
                <w:rFonts w:hint="default" w:ascii="Times New Roman" w:hAnsi="Times New Roman" w:eastAsia="宋体" w:cs="Times New Roman"/>
                <w:color w:val="auto"/>
                <w:spacing w:val="-10"/>
                <w:sz w:val="24"/>
                <w:highlight w:val="none"/>
              </w:rPr>
              <w:t>率为</w:t>
            </w:r>
            <w:r>
              <w:rPr>
                <w:rFonts w:hint="default" w:ascii="Times New Roman" w:hAnsi="Times New Roman" w:eastAsia="宋体" w:cs="Times New Roman"/>
                <w:color w:val="auto"/>
                <w:sz w:val="24"/>
                <w:highlight w:val="none"/>
                <w:lang w:val="en-US" w:eastAsia="zh-CN"/>
              </w:rPr>
              <w:t>0.02</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pacing w:val="-2"/>
                <w:sz w:val="24"/>
                <w:highlight w:val="none"/>
              </w:rPr>
              <w:t>，</w:t>
            </w:r>
            <w:r>
              <w:rPr>
                <w:rFonts w:hint="default" w:ascii="Times New Roman" w:hAnsi="Times New Roman" w:eastAsia="宋体" w:cs="Times New Roman"/>
                <w:color w:val="auto"/>
                <w:sz w:val="24"/>
                <w:highlight w:val="none"/>
              </w:rPr>
              <w:t>无组织</w:t>
            </w:r>
            <w:r>
              <w:rPr>
                <w:rFonts w:hint="default" w:ascii="Times New Roman" w:hAnsi="Times New Roman" w:eastAsia="宋体" w:cs="Times New Roman"/>
                <w:color w:val="auto"/>
                <w:sz w:val="24"/>
                <w:highlight w:val="none"/>
                <w:lang w:val="en-US" w:eastAsia="zh-CN"/>
              </w:rPr>
              <w:t>硫化氢</w:t>
            </w:r>
            <w:r>
              <w:rPr>
                <w:rFonts w:hint="default" w:ascii="Times New Roman" w:hAnsi="Times New Roman" w:eastAsia="宋体" w:cs="Times New Roman"/>
                <w:color w:val="auto"/>
                <w:spacing w:val="-2"/>
                <w:sz w:val="24"/>
                <w:highlight w:val="none"/>
              </w:rPr>
              <w:t>最大落地浓度为</w:t>
            </w:r>
            <w:r>
              <w:rPr>
                <w:rFonts w:hint="default" w:ascii="Times New Roman" w:hAnsi="Times New Roman" w:eastAsia="宋体" w:cs="Times New Roman"/>
                <w:color w:val="auto"/>
                <w:spacing w:val="-2"/>
                <w:sz w:val="24"/>
                <w:highlight w:val="none"/>
                <w:lang w:val="en-US" w:eastAsia="zh-CN"/>
              </w:rPr>
              <w:t>2.73</w:t>
            </w:r>
            <w:r>
              <w:rPr>
                <w:rFonts w:hint="default" w:ascii="Times New Roman" w:hAnsi="Times New Roman" w:eastAsia="宋体" w:cs="Times New Roman"/>
                <w:color w:val="auto"/>
                <w:sz w:val="24"/>
                <w:highlight w:val="none"/>
                <w:lang w:val="en-US" w:eastAsia="zh-CN"/>
              </w:rPr>
              <w:t>*10</w:t>
            </w:r>
            <w:r>
              <w:rPr>
                <w:rFonts w:hint="default" w:ascii="Times New Roman" w:hAnsi="Times New Roman" w:eastAsia="宋体" w:cs="Times New Roman"/>
                <w:color w:val="auto"/>
                <w:sz w:val="24"/>
                <w:highlight w:val="none"/>
                <w:vertAlign w:val="superscript"/>
                <w:lang w:val="en-US" w:eastAsia="zh-CN"/>
              </w:rPr>
              <w:t>-6</w:t>
            </w:r>
            <w:r>
              <w:rPr>
                <w:rFonts w:hint="default" w:ascii="Times New Roman" w:hAnsi="Times New Roman" w:eastAsia="宋体" w:cs="Times New Roman"/>
                <w:color w:val="auto"/>
                <w:sz w:val="24"/>
                <w:highlight w:val="none"/>
              </w:rPr>
              <w:t>mg/m³，占标</w:t>
            </w:r>
            <w:r>
              <w:rPr>
                <w:rFonts w:hint="default" w:ascii="Times New Roman" w:hAnsi="Times New Roman" w:eastAsia="宋体" w:cs="Times New Roman"/>
                <w:color w:val="auto"/>
                <w:spacing w:val="-10"/>
                <w:sz w:val="24"/>
                <w:highlight w:val="none"/>
              </w:rPr>
              <w:t>率为</w:t>
            </w:r>
            <w:r>
              <w:rPr>
                <w:rFonts w:hint="default" w:ascii="Times New Roman" w:hAnsi="Times New Roman" w:eastAsia="宋体" w:cs="Times New Roman"/>
                <w:color w:val="auto"/>
                <w:sz w:val="24"/>
                <w:highlight w:val="none"/>
                <w:lang w:val="en-US" w:eastAsia="zh-CN"/>
              </w:rPr>
              <w:t>0.03</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pacing w:val="-2"/>
                <w:sz w:val="24"/>
                <w:highlight w:val="none"/>
              </w:rPr>
              <w:t>，</w:t>
            </w:r>
            <w:r>
              <w:rPr>
                <w:rFonts w:hint="default" w:ascii="Times New Roman" w:hAnsi="Times New Roman" w:eastAsia="宋体" w:cs="Times New Roman"/>
                <w:color w:val="auto"/>
                <w:sz w:val="24"/>
                <w:highlight w:val="none"/>
              </w:rPr>
              <w:t>项目各污染源排放的废气量</w:t>
            </w:r>
            <w:r>
              <w:rPr>
                <w:rFonts w:hint="default" w:ascii="Times New Roman" w:hAnsi="Times New Roman" w:eastAsia="宋体" w:cs="Times New Roman"/>
                <w:color w:val="auto"/>
                <w:spacing w:val="-2"/>
                <w:sz w:val="24"/>
                <w:highlight w:val="none"/>
              </w:rPr>
              <w:t>最大落地浓度均</w:t>
            </w:r>
            <w:r>
              <w:rPr>
                <w:rFonts w:hint="default" w:ascii="Times New Roman" w:hAnsi="Times New Roman" w:eastAsia="宋体" w:cs="Times New Roman"/>
                <w:color w:val="auto"/>
                <w:kern w:val="0"/>
                <w:sz w:val="24"/>
                <w:highlight w:val="none"/>
              </w:rPr>
              <w:t>低于</w:t>
            </w:r>
            <w:r>
              <w:rPr>
                <w:rFonts w:hint="default" w:ascii="Times New Roman" w:hAnsi="Times New Roman" w:eastAsia="宋体" w:cs="Times New Roman"/>
                <w:color w:val="auto"/>
                <w:sz w:val="24"/>
                <w:highlight w:val="none"/>
              </w:rPr>
              <w:t>《环境空气质量标准》（GB3095-20</w:t>
            </w:r>
            <w:r>
              <w:rPr>
                <w:rFonts w:hint="default" w:ascii="Times New Roman" w:hAnsi="Times New Roman" w:eastAsia="宋体" w:cs="Times New Roman"/>
                <w:color w:val="auto"/>
                <w:sz w:val="24"/>
                <w:highlight w:val="none"/>
                <w:lang w:val="en-US" w:eastAsia="zh-CN"/>
              </w:rPr>
              <w:t>26</w:t>
            </w:r>
            <w:r>
              <w:rPr>
                <w:rFonts w:hint="default" w:ascii="Times New Roman" w:hAnsi="Times New Roman" w:eastAsia="宋体" w:cs="Times New Roman"/>
                <w:color w:val="auto"/>
                <w:sz w:val="24"/>
                <w:highlight w:val="none"/>
              </w:rPr>
              <w:t>）二级标准要求</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sz w:val="24"/>
                <w:highlight w:val="none"/>
              </w:rPr>
              <w:t>对区域大气环境影响较小。</w:t>
            </w:r>
          </w:p>
          <w:p>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kern w:val="0"/>
                <w:sz w:val="24"/>
                <w:szCs w:val="24"/>
                <w:highlight w:val="none"/>
              </w:rPr>
              <w:t>2.</w:t>
            </w:r>
            <w:r>
              <w:rPr>
                <w:rFonts w:hint="default" w:ascii="Times New Roman" w:hAnsi="Times New Roman" w:eastAsia="宋体" w:cs="Times New Roman"/>
                <w:b/>
                <w:bCs/>
                <w:color w:val="auto"/>
                <w:kern w:val="0"/>
                <w:sz w:val="24"/>
                <w:szCs w:val="24"/>
                <w:highlight w:val="none"/>
                <w:lang w:val="en-US" w:eastAsia="zh-CN"/>
              </w:rPr>
              <w:t>11</w:t>
            </w:r>
            <w:r>
              <w:rPr>
                <w:rFonts w:hint="default" w:ascii="Times New Roman" w:hAnsi="Times New Roman" w:eastAsia="宋体" w:cs="Times New Roman"/>
                <w:b/>
                <w:bCs/>
                <w:color w:val="auto"/>
                <w:kern w:val="0"/>
                <w:sz w:val="24"/>
                <w:szCs w:val="24"/>
                <w:highlight w:val="none"/>
              </w:rPr>
              <w:t>措施处理可行性分析</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w:t>
            </w:r>
            <w:r>
              <w:rPr>
                <w:rFonts w:hint="default" w:ascii="Times New Roman" w:hAnsi="Times New Roman" w:eastAsia="宋体" w:cs="Times New Roman"/>
                <w:b/>
                <w:bCs/>
                <w:color w:val="auto"/>
                <w:sz w:val="24"/>
                <w:szCs w:val="24"/>
                <w:highlight w:val="none"/>
                <w:lang w:val="en-US" w:eastAsia="zh-CN"/>
              </w:rPr>
              <w:t>11</w:t>
            </w:r>
            <w:r>
              <w:rPr>
                <w:rFonts w:hint="default" w:ascii="Times New Roman" w:hAnsi="Times New Roman" w:eastAsia="宋体" w:cs="Times New Roman"/>
                <w:b/>
                <w:bCs/>
                <w:color w:val="auto"/>
                <w:sz w:val="24"/>
                <w:szCs w:val="24"/>
                <w:highlight w:val="none"/>
              </w:rPr>
              <w:t>.1隧道窑焙烧烟气</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破碎筛分粉尘</w:t>
            </w:r>
            <w:r>
              <w:rPr>
                <w:rFonts w:hint="default" w:ascii="Times New Roman" w:hAnsi="Times New Roman" w:eastAsia="宋体" w:cs="Times New Roman"/>
                <w:b/>
                <w:bCs/>
                <w:color w:val="auto"/>
                <w:sz w:val="24"/>
                <w:szCs w:val="24"/>
                <w:highlight w:val="none"/>
              </w:rPr>
              <w:t>处理可行性分析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rPr>
              <w:t>项目焙烧烟气经双碱法脱硫除尘装置+15m高烟囱处理</w:t>
            </w:r>
            <w:r>
              <w:rPr>
                <w:rFonts w:hint="default" w:ascii="Times New Roman" w:hAnsi="Times New Roman" w:eastAsia="宋体" w:cs="Times New Roman"/>
                <w:color w:val="auto"/>
                <w:kern w:val="0"/>
                <w:sz w:val="24"/>
                <w:szCs w:val="24"/>
                <w:highlight w:val="none"/>
                <w:lang w:val="en-US" w:eastAsia="zh-CN"/>
              </w:rPr>
              <w:t>后排放，项目</w:t>
            </w:r>
            <w:r>
              <w:rPr>
                <w:rFonts w:hint="default" w:ascii="Times New Roman" w:hAnsi="Times New Roman" w:eastAsia="宋体" w:cs="Times New Roman"/>
                <w:color w:val="auto"/>
                <w:kern w:val="0"/>
                <w:sz w:val="24"/>
                <w:szCs w:val="24"/>
                <w:highlight w:val="none"/>
              </w:rPr>
              <w:t>破碎、筛分</w:t>
            </w:r>
            <w:r>
              <w:rPr>
                <w:rFonts w:hint="default" w:ascii="Times New Roman" w:hAnsi="Times New Roman" w:eastAsia="宋体" w:cs="Times New Roman"/>
                <w:color w:val="auto"/>
                <w:kern w:val="0"/>
                <w:sz w:val="24"/>
                <w:szCs w:val="24"/>
                <w:highlight w:val="none"/>
                <w:lang w:val="en-US" w:eastAsia="zh-CN"/>
              </w:rPr>
              <w:t>区域安装集气罩+布袋除尘器+15</w:t>
            </w:r>
            <w:r>
              <w:rPr>
                <w:rFonts w:hint="default" w:ascii="Times New Roman" w:hAnsi="Times New Roman" w:eastAsia="宋体" w:cs="Times New Roman"/>
                <w:color w:val="auto"/>
                <w:kern w:val="0"/>
                <w:sz w:val="24"/>
                <w:szCs w:val="24"/>
                <w:highlight w:val="none"/>
              </w:rPr>
              <w:t>m</w:t>
            </w:r>
            <w:r>
              <w:rPr>
                <w:rFonts w:hint="default" w:ascii="Times New Roman" w:hAnsi="Times New Roman" w:eastAsia="宋体" w:cs="Times New Roman"/>
                <w:color w:val="auto"/>
                <w:kern w:val="0"/>
                <w:sz w:val="24"/>
                <w:szCs w:val="24"/>
                <w:highlight w:val="none"/>
                <w:lang w:val="en-US" w:eastAsia="zh-CN"/>
              </w:rPr>
              <w:t>排气筒处理后排放，根据</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排污许可证申请与核发技术规范 陶瓷砖瓦工业</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HJ954-2018</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废气污染防治可行技术</w:t>
            </w:r>
            <w:r>
              <w:rPr>
                <w:rFonts w:hint="default" w:ascii="Times New Roman" w:hAnsi="Times New Roman" w:eastAsia="宋体" w:cs="Times New Roman"/>
                <w:color w:val="auto"/>
                <w:kern w:val="0"/>
                <w:sz w:val="24"/>
                <w:szCs w:val="24"/>
                <w:highlight w:val="none"/>
                <w:lang w:val="en-US" w:eastAsia="zh-CN"/>
              </w:rPr>
              <w:t>要求，项目情况如下：</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rPr>
              <w:t>表4.2-</w:t>
            </w:r>
            <w:r>
              <w:rPr>
                <w:rFonts w:hint="default" w:ascii="Times New Roman" w:hAnsi="Times New Roman" w:eastAsia="宋体" w:cs="Times New Roman"/>
                <w:b/>
                <w:bCs/>
                <w:color w:val="auto"/>
                <w:szCs w:val="21"/>
                <w:highlight w:val="none"/>
                <w:lang w:val="en-US" w:eastAsia="zh-CN"/>
              </w:rPr>
              <w:t>11</w:t>
            </w:r>
            <w:r>
              <w:rPr>
                <w:rFonts w:hint="default" w:ascii="Times New Roman" w:hAnsi="Times New Roman" w:eastAsia="宋体" w:cs="Times New Roman"/>
                <w:b/>
                <w:bCs/>
                <w:color w:val="auto"/>
                <w:szCs w:val="21"/>
                <w:highlight w:val="none"/>
              </w:rPr>
              <w:t xml:space="preserve">  砖瓦工业排污单位废气污染防治可行技术</w:t>
            </w:r>
            <w:r>
              <w:rPr>
                <w:rFonts w:hint="default" w:ascii="Times New Roman" w:hAnsi="Times New Roman" w:eastAsia="宋体" w:cs="Times New Roman"/>
                <w:b/>
                <w:bCs/>
                <w:color w:val="auto"/>
                <w:szCs w:val="21"/>
                <w:highlight w:val="none"/>
                <w:lang w:val="en-US" w:eastAsia="zh-CN"/>
              </w:rPr>
              <w:t>对比</w:t>
            </w:r>
          </w:p>
          <w:tbl>
            <w:tblPr>
              <w:tblStyle w:val="24"/>
              <w:tblW w:w="81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1215"/>
              <w:gridCol w:w="2846"/>
              <w:gridCol w:w="1625"/>
              <w:gridCol w:w="1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产污环节</w:t>
                  </w:r>
                </w:p>
              </w:tc>
              <w:tc>
                <w:tcPr>
                  <w:tcW w:w="121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污染因子</w:t>
                  </w:r>
                </w:p>
              </w:tc>
              <w:tc>
                <w:tcPr>
                  <w:tcW w:w="284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推荐的可行技术</w:t>
                  </w:r>
                </w:p>
              </w:tc>
              <w:tc>
                <w:tcPr>
                  <w:tcW w:w="162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项目情况</w:t>
                  </w:r>
                </w:p>
              </w:tc>
              <w:tc>
                <w:tcPr>
                  <w:tcW w:w="162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技术可行性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4"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隧道窑焙烧烟气</w:t>
                  </w:r>
                </w:p>
              </w:tc>
              <w:tc>
                <w:tcPr>
                  <w:tcW w:w="121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烟尘</w:t>
                  </w:r>
                </w:p>
              </w:tc>
              <w:tc>
                <w:tcPr>
                  <w:tcW w:w="284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袋式除尘、电除尘、电袋复合除尘、湿式电除尘等技术，可根据需要采用多级除尘</w:t>
                  </w:r>
                </w:p>
              </w:tc>
              <w:tc>
                <w:tcPr>
                  <w:tcW w:w="1625"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rPr>
                    <w:t>项目焙烧烟气经双碱法脱硫除尘装置+15m高烟囱</w:t>
                  </w:r>
                  <w:r>
                    <w:rPr>
                      <w:rFonts w:hint="default" w:ascii="Times New Roman" w:hAnsi="Times New Roman" w:eastAsia="宋体" w:cs="Times New Roman"/>
                      <w:b w:val="0"/>
                      <w:bCs w:val="0"/>
                      <w:color w:val="auto"/>
                      <w:sz w:val="21"/>
                      <w:szCs w:val="21"/>
                      <w:highlight w:val="none"/>
                    </w:rPr>
                    <w:t>处理</w:t>
                  </w:r>
                  <w:r>
                    <w:rPr>
                      <w:rFonts w:hint="default" w:ascii="Times New Roman" w:hAnsi="Times New Roman" w:eastAsia="宋体" w:cs="Times New Roman"/>
                      <w:b w:val="0"/>
                      <w:bCs w:val="0"/>
                      <w:color w:val="auto"/>
                      <w:sz w:val="21"/>
                      <w:szCs w:val="21"/>
                      <w:highlight w:val="none"/>
                      <w:lang w:val="en-US" w:eastAsia="zh-CN"/>
                    </w:rPr>
                    <w:t>后排放；</w:t>
                  </w:r>
                  <w:r>
                    <w:rPr>
                      <w:rFonts w:hint="default" w:ascii="Times New Roman" w:hAnsi="Times New Roman" w:eastAsia="宋体" w:cs="Times New Roman"/>
                      <w:b w:val="0"/>
                      <w:bCs w:val="0"/>
                      <w:color w:val="auto"/>
                      <w:sz w:val="21"/>
                      <w:szCs w:val="21"/>
                      <w:highlight w:val="none"/>
                    </w:rPr>
                    <w:t>氮氧化物</w:t>
                  </w:r>
                  <w:r>
                    <w:rPr>
                      <w:rFonts w:hint="default" w:ascii="Times New Roman" w:hAnsi="Times New Roman" w:eastAsia="宋体" w:cs="Times New Roman"/>
                      <w:b w:val="0"/>
                      <w:bCs w:val="0"/>
                      <w:color w:val="auto"/>
                      <w:sz w:val="21"/>
                      <w:szCs w:val="21"/>
                      <w:highlight w:val="none"/>
                      <w:lang w:val="en-US" w:eastAsia="zh-CN"/>
                    </w:rPr>
                    <w:t>未设置处理设施，根据核算氮氧化物排放浓度为46.787</w:t>
                  </w:r>
                  <w:r>
                    <w:rPr>
                      <w:rFonts w:hint="default" w:ascii="Times New Roman" w:hAnsi="Times New Roman" w:eastAsia="宋体" w:cs="Times New Roman"/>
                      <w:b w:val="0"/>
                      <w:bCs w:val="0"/>
                      <w:color w:val="auto"/>
                      <w:sz w:val="21"/>
                      <w:szCs w:val="21"/>
                      <w:highlight w:val="none"/>
                    </w:rPr>
                    <w:t>m</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g/m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vertAlign w:val="baseline"/>
                      <w:lang w:eastAsia="zh-CN"/>
                    </w:rPr>
                    <w:t>，</w:t>
                  </w:r>
                  <w:r>
                    <w:rPr>
                      <w:rFonts w:hint="default" w:ascii="Times New Roman" w:hAnsi="Times New Roman" w:eastAsia="宋体" w:cs="Times New Roman"/>
                      <w:b w:val="0"/>
                      <w:bCs w:val="0"/>
                      <w:color w:val="auto"/>
                      <w:sz w:val="21"/>
                      <w:szCs w:val="21"/>
                      <w:highlight w:val="none"/>
                      <w:vertAlign w:val="baseline"/>
                      <w:lang w:val="en-US" w:eastAsia="zh-CN"/>
                    </w:rPr>
                    <w:t>达标排放。</w:t>
                  </w:r>
                </w:p>
              </w:tc>
              <w:tc>
                <w:tcPr>
                  <w:tcW w:w="162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4"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p>
              </w:tc>
              <w:tc>
                <w:tcPr>
                  <w:tcW w:w="121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二氧化硫</w:t>
                  </w:r>
                </w:p>
              </w:tc>
              <w:tc>
                <w:tcPr>
                  <w:tcW w:w="284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湿法脱硫技术、千法/半千法脱硫技术等</w:t>
                  </w:r>
                </w:p>
              </w:tc>
              <w:tc>
                <w:tcPr>
                  <w:tcW w:w="1625"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p>
              </w:tc>
              <w:tc>
                <w:tcPr>
                  <w:tcW w:w="162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4"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p>
              </w:tc>
              <w:tc>
                <w:tcPr>
                  <w:tcW w:w="121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氮氧化物</w:t>
                  </w:r>
                </w:p>
              </w:tc>
              <w:tc>
                <w:tcPr>
                  <w:tcW w:w="284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低氮燃烧技术、其他组合降氮技术</w:t>
                  </w:r>
                </w:p>
              </w:tc>
              <w:tc>
                <w:tcPr>
                  <w:tcW w:w="1625"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p>
              </w:tc>
              <w:tc>
                <w:tcPr>
                  <w:tcW w:w="162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破碎筛分粉尘</w:t>
                  </w:r>
                </w:p>
              </w:tc>
              <w:tc>
                <w:tcPr>
                  <w:tcW w:w="121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颗粒物</w:t>
                  </w:r>
                </w:p>
              </w:tc>
              <w:tc>
                <w:tcPr>
                  <w:tcW w:w="284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袋式除尘</w:t>
                  </w:r>
                </w:p>
              </w:tc>
              <w:tc>
                <w:tcPr>
                  <w:tcW w:w="162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项目</w:t>
                  </w:r>
                  <w:r>
                    <w:rPr>
                      <w:rFonts w:hint="default" w:ascii="Times New Roman" w:hAnsi="Times New Roman" w:eastAsia="宋体" w:cs="Times New Roman"/>
                      <w:b w:val="0"/>
                      <w:bCs w:val="0"/>
                      <w:color w:val="auto"/>
                      <w:sz w:val="21"/>
                      <w:szCs w:val="21"/>
                      <w:highlight w:val="none"/>
                    </w:rPr>
                    <w:t>破碎、筛分</w:t>
                  </w:r>
                  <w:r>
                    <w:rPr>
                      <w:rFonts w:hint="default" w:ascii="Times New Roman" w:hAnsi="Times New Roman" w:eastAsia="宋体" w:cs="Times New Roman"/>
                      <w:b w:val="0"/>
                      <w:bCs w:val="0"/>
                      <w:color w:val="auto"/>
                      <w:sz w:val="21"/>
                      <w:szCs w:val="21"/>
                      <w:highlight w:val="none"/>
                      <w:lang w:val="en-US" w:eastAsia="zh-CN"/>
                    </w:rPr>
                    <w:t>区域安装集气罩+布袋除尘器+15</w:t>
                  </w:r>
                  <w:r>
                    <w:rPr>
                      <w:rFonts w:hint="default" w:ascii="Times New Roman" w:hAnsi="Times New Roman" w:eastAsia="宋体" w:cs="Times New Roman"/>
                      <w:b w:val="0"/>
                      <w:bCs w:val="0"/>
                      <w:color w:val="auto"/>
                      <w:kern w:val="0"/>
                      <w:sz w:val="21"/>
                      <w:szCs w:val="21"/>
                      <w:highlight w:val="none"/>
                    </w:rPr>
                    <w:t>m</w:t>
                  </w:r>
                  <w:r>
                    <w:rPr>
                      <w:rFonts w:hint="default" w:ascii="Times New Roman" w:hAnsi="Times New Roman" w:eastAsia="宋体" w:cs="Times New Roman"/>
                      <w:b w:val="0"/>
                      <w:bCs w:val="0"/>
                      <w:color w:val="auto"/>
                      <w:sz w:val="21"/>
                      <w:szCs w:val="21"/>
                      <w:highlight w:val="none"/>
                      <w:lang w:val="en-US" w:eastAsia="zh-CN"/>
                    </w:rPr>
                    <w:t>排气筒处理后排放。</w:t>
                  </w:r>
                </w:p>
              </w:tc>
              <w:tc>
                <w:tcPr>
                  <w:tcW w:w="162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可行</w:t>
                  </w:r>
                </w:p>
              </w:tc>
            </w:tr>
          </w:tbl>
          <w:p>
            <w:pPr>
              <w:keepNext w:val="0"/>
              <w:keepLines w:val="0"/>
              <w:suppressLineNumbers w:val="0"/>
              <w:spacing w:before="0" w:beforeAutospacing="0" w:after="0" w:afterAutospacing="0" w:line="360" w:lineRule="auto"/>
              <w:ind w:left="0" w:right="0" w:firstLine="422" w:firstLineChars="176"/>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综上所述，项目使用的污染防治设施均为可行技术。</w:t>
            </w:r>
          </w:p>
          <w:p>
            <w:pPr>
              <w:keepNext w:val="0"/>
              <w:keepLines w:val="0"/>
              <w:suppressLineNumbers w:val="0"/>
              <w:spacing w:before="0" w:beforeAutospacing="0" w:after="0" w:afterAutospacing="0" w:line="360" w:lineRule="auto"/>
              <w:ind w:left="0" w:right="0" w:firstLine="424" w:firstLineChars="176"/>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w:t>
            </w:r>
            <w:r>
              <w:rPr>
                <w:rFonts w:hint="default" w:ascii="Times New Roman" w:hAnsi="Times New Roman" w:eastAsia="宋体" w:cs="Times New Roman"/>
                <w:b/>
                <w:bCs/>
                <w:color w:val="auto"/>
                <w:sz w:val="24"/>
                <w:szCs w:val="24"/>
                <w:highlight w:val="none"/>
                <w:lang w:val="en-US" w:eastAsia="zh-CN"/>
              </w:rPr>
              <w:t>11</w:t>
            </w:r>
            <w:r>
              <w:rPr>
                <w:rFonts w:hint="default" w:ascii="Times New Roman" w:hAnsi="Times New Roman" w:eastAsia="宋体" w:cs="Times New Roman"/>
                <w:b/>
                <w:bCs/>
                <w:color w:val="auto"/>
                <w:sz w:val="24"/>
                <w:szCs w:val="24"/>
                <w:highlight w:val="none"/>
              </w:rPr>
              <w:t>.2</w:t>
            </w:r>
            <w:r>
              <w:rPr>
                <w:rFonts w:hint="default" w:ascii="Times New Roman" w:hAnsi="Times New Roman" w:eastAsia="宋体" w:cs="Times New Roman"/>
                <w:b/>
                <w:bCs/>
                <w:color w:val="auto"/>
                <w:sz w:val="24"/>
                <w:szCs w:val="24"/>
                <w:highlight w:val="none"/>
                <w:lang w:val="en-US" w:eastAsia="zh-CN"/>
              </w:rPr>
              <w:t>恶臭气体</w:t>
            </w:r>
            <w:r>
              <w:rPr>
                <w:rFonts w:hint="default" w:ascii="Times New Roman" w:hAnsi="Times New Roman" w:eastAsia="宋体" w:cs="Times New Roman"/>
                <w:b/>
                <w:bCs/>
                <w:color w:val="auto"/>
                <w:sz w:val="24"/>
                <w:szCs w:val="24"/>
                <w:highlight w:val="none"/>
              </w:rPr>
              <w:t>处理可行性分析</w:t>
            </w:r>
          </w:p>
          <w:p>
            <w:pPr>
              <w:keepNext w:val="0"/>
              <w:keepLines w:val="0"/>
              <w:suppressLineNumbers w:val="0"/>
              <w:spacing w:before="0" w:beforeAutospacing="0" w:after="0" w:afterAutospacing="0" w:line="360" w:lineRule="auto"/>
              <w:ind w:left="0" w:right="0" w:firstLine="422" w:firstLineChars="176"/>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项目臭气来自原料堆场的污泥堆放区，采用喷淋用水内增加除臭剂的措施，参考《排污许可证申请与核发技术规范水处理（试行）》（HJ 978-2018）中污泥处理阶段氨、硫化氢等恶臭气体推荐的可行技术为生物过滤、化学洗涤、活性炭吸附。项目喷淋内投加除臭剂属于典型的化学洗涤范畴，因此项目恶臭气体处理措施可行。</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2.12</w:t>
            </w:r>
            <w:r>
              <w:rPr>
                <w:rFonts w:hint="default" w:ascii="Times New Roman" w:hAnsi="Times New Roman" w:eastAsia="宋体" w:cs="Times New Roman"/>
                <w:b/>
                <w:bCs/>
                <w:color w:val="auto"/>
                <w:sz w:val="24"/>
                <w:szCs w:val="24"/>
                <w:highlight w:val="none"/>
              </w:rPr>
              <w:t>环境监测计划</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rPr>
              <w:t>项目</w:t>
            </w:r>
            <w:r>
              <w:rPr>
                <w:rFonts w:hint="default" w:ascii="Times New Roman" w:hAnsi="Times New Roman" w:eastAsia="宋体" w:cs="Times New Roman"/>
                <w:color w:val="auto"/>
                <w:kern w:val="0"/>
                <w:sz w:val="24"/>
                <w:szCs w:val="24"/>
                <w:highlight w:val="none"/>
              </w:rPr>
              <w:t>运营期全厂废气监测计划根据</w:t>
            </w:r>
            <w:r>
              <w:rPr>
                <w:rFonts w:hint="default" w:ascii="Times New Roman" w:hAnsi="Times New Roman" w:eastAsia="宋体" w:cs="Times New Roman"/>
                <w:color w:val="auto"/>
                <w:kern w:val="0"/>
                <w:sz w:val="24"/>
                <w:szCs w:val="24"/>
                <w:highlight w:val="none"/>
                <w:lang w:val="en-US" w:eastAsia="zh-CN"/>
              </w:rPr>
              <w:t>根据</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排污许可证申请与核发技术规范 陶瓷砖瓦工业</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HJ954-2018</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进行设置。监测计划如下：</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4.2-</w:t>
            </w:r>
            <w:r>
              <w:rPr>
                <w:rFonts w:hint="default" w:ascii="Times New Roman" w:hAnsi="Times New Roman" w:eastAsia="宋体" w:cs="Times New Roman"/>
                <w:b/>
                <w:color w:val="auto"/>
                <w:szCs w:val="21"/>
                <w:highlight w:val="none"/>
                <w:lang w:val="en-US" w:eastAsia="zh-CN"/>
              </w:rPr>
              <w:t>12</w:t>
            </w:r>
            <w:r>
              <w:rPr>
                <w:rFonts w:hint="default" w:ascii="Times New Roman" w:hAnsi="Times New Roman" w:eastAsia="宋体" w:cs="Times New Roman"/>
                <w:b/>
                <w:color w:val="auto"/>
                <w:szCs w:val="21"/>
                <w:highlight w:val="none"/>
              </w:rPr>
              <w:t xml:space="preserve">  运营期全厂环境监测计划一览表</w:t>
            </w:r>
          </w:p>
          <w:tbl>
            <w:tblPr>
              <w:tblStyle w:val="23"/>
              <w:tblW w:w="813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45"/>
              <w:gridCol w:w="1593"/>
              <w:gridCol w:w="1746"/>
              <w:gridCol w:w="1378"/>
              <w:gridCol w:w="247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blHeader/>
                <w:jc w:val="center"/>
              </w:trPr>
              <w:tc>
                <w:tcPr>
                  <w:tcW w:w="58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监测内容</w:t>
                  </w:r>
                </w:p>
              </w:tc>
              <w:tc>
                <w:tcPr>
                  <w:tcW w:w="97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监测地点</w:t>
                  </w:r>
                </w:p>
              </w:tc>
              <w:tc>
                <w:tcPr>
                  <w:tcW w:w="107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监测项目</w:t>
                  </w:r>
                </w:p>
              </w:tc>
              <w:tc>
                <w:tcPr>
                  <w:tcW w:w="84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监测频率</w:t>
                  </w:r>
                </w:p>
              </w:tc>
              <w:tc>
                <w:tcPr>
                  <w:tcW w:w="152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30" w:hRule="atLeast"/>
                <w:jc w:val="center"/>
              </w:trPr>
              <w:tc>
                <w:tcPr>
                  <w:tcW w:w="580" w:type="pct"/>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97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DA001</w:t>
                  </w:r>
                </w:p>
              </w:tc>
              <w:tc>
                <w:tcPr>
                  <w:tcW w:w="1072" w:type="pct"/>
                  <w:noWrap w:val="0"/>
                  <w:vAlign w:val="center"/>
                </w:tcPr>
                <w:p>
                  <w:pPr>
                    <w:pStyle w:val="71"/>
                    <w:keepNext w:val="0"/>
                    <w:keepLines w:val="0"/>
                    <w:suppressLineNumbers w:val="0"/>
                    <w:spacing w:before="81"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颗粒物、二氧化硫、氮氧化物</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氟化物</w:t>
                  </w:r>
                </w:p>
              </w:tc>
              <w:tc>
                <w:tcPr>
                  <w:tcW w:w="84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1次/半年</w:t>
                  </w:r>
                </w:p>
              </w:tc>
              <w:tc>
                <w:tcPr>
                  <w:tcW w:w="152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《砖瓦工业大气污</w:t>
                  </w:r>
                  <w:r>
                    <w:rPr>
                      <w:rFonts w:hint="default" w:ascii="Times New Roman" w:hAnsi="Times New Roman" w:eastAsia="宋体" w:cs="Times New Roman"/>
                      <w:color w:val="auto"/>
                      <w:sz w:val="21"/>
                      <w:szCs w:val="21"/>
                      <w:highlight w:val="none"/>
                    </w:rPr>
                    <w:t>染物排放标准》（GB29620-2013）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65" w:hRule="atLeast"/>
                <w:jc w:val="center"/>
              </w:trPr>
              <w:tc>
                <w:tcPr>
                  <w:tcW w:w="580"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97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DA00</w:t>
                  </w:r>
                  <w:r>
                    <w:rPr>
                      <w:rFonts w:hint="default" w:ascii="Times New Roman" w:hAnsi="Times New Roman" w:eastAsia="宋体" w:cs="Times New Roman"/>
                      <w:color w:val="auto"/>
                      <w:sz w:val="21"/>
                      <w:szCs w:val="21"/>
                      <w:highlight w:val="none"/>
                      <w:lang w:val="en-US" w:eastAsia="zh-CN"/>
                    </w:rPr>
                    <w:t>2</w:t>
                  </w:r>
                </w:p>
              </w:tc>
              <w:tc>
                <w:tcPr>
                  <w:tcW w:w="1072" w:type="pct"/>
                  <w:noWrap w:val="0"/>
                  <w:vAlign w:val="center"/>
                </w:tcPr>
                <w:p>
                  <w:pPr>
                    <w:pStyle w:val="71"/>
                    <w:keepNext w:val="0"/>
                    <w:keepLines w:val="0"/>
                    <w:suppressLineNumbers w:val="0"/>
                    <w:spacing w:before="81"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84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1次/年</w:t>
                  </w:r>
                </w:p>
              </w:tc>
              <w:tc>
                <w:tcPr>
                  <w:tcW w:w="152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《砖瓦工业大气污</w:t>
                  </w:r>
                  <w:r>
                    <w:rPr>
                      <w:rFonts w:hint="default" w:ascii="Times New Roman" w:hAnsi="Times New Roman" w:eastAsia="宋体" w:cs="Times New Roman"/>
                      <w:color w:val="auto"/>
                      <w:sz w:val="21"/>
                      <w:szCs w:val="21"/>
                      <w:highlight w:val="none"/>
                    </w:rPr>
                    <w:t>染物排放标准》（GB29620-2013）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91" w:hRule="atLeast"/>
                <w:jc w:val="center"/>
              </w:trPr>
              <w:tc>
                <w:tcPr>
                  <w:tcW w:w="580"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978" w:type="pct"/>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厂界（上风向厂界外1个，下风向厂界外3个）</w:t>
                  </w:r>
                </w:p>
              </w:tc>
              <w:tc>
                <w:tcPr>
                  <w:tcW w:w="107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氨、硫化氢、臭气浓度</w:t>
                  </w:r>
                </w:p>
              </w:tc>
              <w:tc>
                <w:tcPr>
                  <w:tcW w:w="84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1次/年</w:t>
                  </w:r>
                </w:p>
              </w:tc>
              <w:tc>
                <w:tcPr>
                  <w:tcW w:w="152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《恶臭污染物排放标准》（GB14554-93）中表1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91" w:hRule="atLeast"/>
                <w:jc w:val="center"/>
              </w:trPr>
              <w:tc>
                <w:tcPr>
                  <w:tcW w:w="580"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978"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07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颗粒物</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color w:val="auto"/>
                      <w:sz w:val="21"/>
                      <w:szCs w:val="21"/>
                      <w:highlight w:val="none"/>
                    </w:rPr>
                    <w:t>二氧化硫、</w:t>
                  </w:r>
                  <w:r>
                    <w:rPr>
                      <w:rFonts w:hint="default" w:ascii="Times New Roman" w:hAnsi="Times New Roman" w:eastAsia="宋体" w:cs="Times New Roman"/>
                      <w:color w:val="auto"/>
                      <w:sz w:val="21"/>
                      <w:szCs w:val="21"/>
                      <w:highlight w:val="none"/>
                      <w:lang w:val="en-US" w:eastAsia="zh-CN"/>
                    </w:rPr>
                    <w:t>氟化物</w:t>
                  </w:r>
                </w:p>
              </w:tc>
              <w:tc>
                <w:tcPr>
                  <w:tcW w:w="84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1次/年</w:t>
                  </w:r>
                </w:p>
              </w:tc>
              <w:tc>
                <w:tcPr>
                  <w:tcW w:w="152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《砖瓦工业大气污</w:t>
                  </w:r>
                  <w:r>
                    <w:rPr>
                      <w:rFonts w:hint="default" w:ascii="Times New Roman" w:hAnsi="Times New Roman" w:eastAsia="宋体" w:cs="Times New Roman"/>
                      <w:color w:val="auto"/>
                      <w:sz w:val="21"/>
                      <w:szCs w:val="21"/>
                      <w:highlight w:val="none"/>
                    </w:rPr>
                    <w:t>染物排放标准》（GB29620-2013）</w:t>
                  </w:r>
                </w:p>
              </w:tc>
            </w:tr>
          </w:tbl>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三、废水</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3.</w:t>
            </w:r>
            <w:r>
              <w:rPr>
                <w:rFonts w:hint="default" w:ascii="Times New Roman" w:hAnsi="Times New Roman" w:eastAsia="宋体" w:cs="Times New Roman"/>
                <w:b/>
                <w:bCs/>
                <w:color w:val="auto"/>
                <w:kern w:val="0"/>
                <w:sz w:val="24"/>
                <w:szCs w:val="24"/>
                <w:highlight w:val="none"/>
                <w:lang w:val="en-US" w:eastAsia="zh-CN"/>
              </w:rPr>
              <w:t>1</w:t>
            </w:r>
            <w:r>
              <w:rPr>
                <w:rFonts w:hint="default" w:ascii="Times New Roman" w:hAnsi="Times New Roman" w:eastAsia="宋体" w:cs="Times New Roman"/>
                <w:b/>
                <w:bCs/>
                <w:color w:val="auto"/>
                <w:kern w:val="0"/>
                <w:sz w:val="24"/>
                <w:szCs w:val="24"/>
                <w:highlight w:val="none"/>
              </w:rPr>
              <w:t>废水产排情况及处置方式</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rPr>
              <w:t>废水主要包括生活污水、</w:t>
            </w:r>
            <w:r>
              <w:rPr>
                <w:rFonts w:hint="default" w:ascii="Times New Roman" w:hAnsi="Times New Roman" w:eastAsia="宋体" w:cs="Times New Roman"/>
                <w:bCs/>
                <w:color w:val="auto"/>
                <w:sz w:val="24"/>
                <w:szCs w:val="24"/>
                <w:highlight w:val="none"/>
                <w:lang w:eastAsia="zh-CN"/>
              </w:rPr>
              <w:t>吸收液</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吸收液循环使用不外排，食堂污水通过一个</w:t>
            </w:r>
            <w:r>
              <w:rPr>
                <w:rFonts w:hint="default" w:ascii="Times New Roman" w:hAnsi="Times New Roman" w:eastAsia="宋体" w:cs="Times New Roman"/>
                <w:bCs/>
                <w:color w:val="auto"/>
                <w:sz w:val="24"/>
                <w:szCs w:val="24"/>
                <w:highlight w:val="none"/>
              </w:rPr>
              <w:t>容积为</w:t>
            </w:r>
            <w:r>
              <w:rPr>
                <w:rFonts w:hint="default" w:ascii="Times New Roman" w:hAnsi="Times New Roman" w:eastAsia="宋体" w:cs="Times New Roman"/>
                <w:bCs/>
                <w:color w:val="auto"/>
                <w:sz w:val="24"/>
                <w:szCs w:val="24"/>
                <w:highlight w:val="none"/>
                <w:lang w:val="en-US" w:eastAsia="zh-CN"/>
              </w:rPr>
              <w:t>0.5</w:t>
            </w:r>
            <w:r>
              <w:rPr>
                <w:rFonts w:hint="default" w:ascii="Times New Roman" w:hAnsi="Times New Roman" w:eastAsia="宋体" w:cs="Times New Roman"/>
                <w:bCs/>
                <w:color w:val="auto"/>
                <w:sz w:val="24"/>
                <w:szCs w:val="24"/>
                <w:highlight w:val="none"/>
              </w:rPr>
              <w:t>m</w:t>
            </w:r>
            <w:r>
              <w:rPr>
                <w:rFonts w:hint="default" w:ascii="Times New Roman" w:hAnsi="Times New Roman" w:eastAsia="宋体" w:cs="Times New Roman"/>
                <w:bCs/>
                <w:color w:val="auto"/>
                <w:sz w:val="24"/>
                <w:szCs w:val="24"/>
                <w:highlight w:val="none"/>
                <w:vertAlign w:val="superscript"/>
              </w:rPr>
              <w:t>3</w:t>
            </w:r>
            <w:r>
              <w:rPr>
                <w:rFonts w:hint="default" w:ascii="Times New Roman" w:hAnsi="Times New Roman" w:eastAsia="宋体" w:cs="Times New Roman"/>
                <w:bCs/>
                <w:color w:val="auto"/>
                <w:sz w:val="24"/>
                <w:szCs w:val="24"/>
                <w:highlight w:val="none"/>
                <w:lang w:val="en-US" w:eastAsia="zh-CN"/>
              </w:rPr>
              <w:t>的油水分离器处理后与其他生活污水共同进入一个</w:t>
            </w:r>
            <w:r>
              <w:rPr>
                <w:rFonts w:hint="default" w:ascii="Times New Roman" w:hAnsi="Times New Roman" w:eastAsia="宋体" w:cs="Times New Roman"/>
                <w:bCs/>
                <w:color w:val="auto"/>
                <w:sz w:val="24"/>
                <w:szCs w:val="24"/>
                <w:highlight w:val="none"/>
              </w:rPr>
              <w:t>容积为</w:t>
            </w:r>
            <w:r>
              <w:rPr>
                <w:rFonts w:hint="default" w:ascii="Times New Roman" w:hAnsi="Times New Roman" w:eastAsia="宋体" w:cs="Times New Roman"/>
                <w:bCs/>
                <w:color w:val="auto"/>
                <w:sz w:val="24"/>
                <w:szCs w:val="24"/>
                <w:highlight w:val="none"/>
                <w:lang w:val="en-US" w:eastAsia="zh-CN"/>
              </w:rPr>
              <w:t>8</w:t>
            </w:r>
            <w:r>
              <w:rPr>
                <w:rFonts w:hint="default" w:ascii="Times New Roman" w:hAnsi="Times New Roman" w:eastAsia="宋体" w:cs="Times New Roman"/>
                <w:bCs/>
                <w:color w:val="auto"/>
                <w:sz w:val="24"/>
                <w:szCs w:val="24"/>
                <w:highlight w:val="none"/>
              </w:rPr>
              <w:t>m</w:t>
            </w:r>
            <w:r>
              <w:rPr>
                <w:rFonts w:hint="default" w:ascii="Times New Roman" w:hAnsi="Times New Roman" w:eastAsia="宋体" w:cs="Times New Roman"/>
                <w:bCs/>
                <w:color w:val="auto"/>
                <w:sz w:val="24"/>
                <w:szCs w:val="24"/>
                <w:highlight w:val="none"/>
                <w:vertAlign w:val="superscript"/>
              </w:rPr>
              <w:t>3</w:t>
            </w:r>
            <w:r>
              <w:rPr>
                <w:rFonts w:hint="default" w:ascii="Times New Roman" w:hAnsi="Times New Roman" w:eastAsia="宋体" w:cs="Times New Roman"/>
                <w:bCs/>
                <w:color w:val="auto"/>
                <w:sz w:val="24"/>
                <w:szCs w:val="24"/>
                <w:highlight w:val="none"/>
                <w:lang w:val="en-US" w:eastAsia="zh-CN"/>
              </w:rPr>
              <w:t>的化粪池处理，再排入1个容积为700</w:t>
            </w:r>
            <w:r>
              <w:rPr>
                <w:rFonts w:hint="default" w:ascii="Times New Roman" w:hAnsi="Times New Roman" w:eastAsia="宋体" w:cs="Times New Roman"/>
                <w:bCs/>
                <w:color w:val="auto"/>
                <w:sz w:val="24"/>
                <w:szCs w:val="24"/>
                <w:highlight w:val="none"/>
              </w:rPr>
              <w:t>0m</w:t>
            </w:r>
            <w:r>
              <w:rPr>
                <w:rFonts w:hint="default" w:ascii="Times New Roman" w:hAnsi="Times New Roman" w:eastAsia="宋体" w:cs="Times New Roman"/>
                <w:bCs/>
                <w:color w:val="auto"/>
                <w:sz w:val="24"/>
                <w:szCs w:val="24"/>
                <w:highlight w:val="none"/>
                <w:vertAlign w:val="superscript"/>
              </w:rPr>
              <w:t>3</w:t>
            </w:r>
            <w:r>
              <w:rPr>
                <w:rFonts w:hint="default" w:ascii="Times New Roman" w:hAnsi="Times New Roman" w:eastAsia="宋体" w:cs="Times New Roman"/>
                <w:bCs/>
                <w:color w:val="auto"/>
                <w:sz w:val="24"/>
                <w:szCs w:val="24"/>
                <w:highlight w:val="none"/>
                <w:lang w:val="en-US" w:eastAsia="zh-CN"/>
              </w:rPr>
              <w:t>的集水池回用于生产。</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3.2污水处理措施可行性</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项目为改扩建项目，油水分离器、化粪池、集水池均为依托原有，项目改扩建完成后劳动定员不变，生活污水并未增加。只要原有设施运行正常、容积匹配原水量，则继续依托在技术上不存在容量不足问题。</w:t>
            </w:r>
          </w:p>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3.3、废水监测计划</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bCs/>
                <w:color w:val="auto"/>
                <w:kern w:val="0"/>
                <w:sz w:val="24"/>
                <w:szCs w:val="24"/>
                <w:highlight w:val="none"/>
                <w:lang w:val="en-US"/>
              </w:rPr>
            </w:pPr>
            <w:r>
              <w:rPr>
                <w:rFonts w:hint="default" w:ascii="Times New Roman" w:hAnsi="Times New Roman" w:eastAsia="宋体" w:cs="Times New Roman"/>
                <w:color w:val="auto"/>
                <w:kern w:val="0"/>
                <w:sz w:val="24"/>
                <w:szCs w:val="24"/>
                <w:highlight w:val="none"/>
                <w:lang w:val="en-US" w:eastAsia="zh-CN"/>
              </w:rPr>
              <w:t>项目废水均不外排，本次环评不对废水设置监测计划。</w:t>
            </w:r>
          </w:p>
          <w:p>
            <w:pPr>
              <w:pStyle w:val="8"/>
              <w:keepNext w:val="0"/>
              <w:keepLines w:val="0"/>
              <w:suppressLineNumbers w:val="0"/>
              <w:spacing w:beforeAutospacing="0" w:afterAutospacing="0" w:line="360" w:lineRule="auto"/>
              <w:ind w:left="0" w:firstLine="420" w:firstLineChars="200"/>
              <w:jc w:val="left"/>
              <w:rPr>
                <w:rFonts w:hint="default" w:ascii="Times New Roman" w:hAnsi="Times New Roman" w:eastAsia="宋体" w:cs="Times New Roman"/>
                <w:color w:val="auto"/>
                <w:sz w:val="21"/>
                <w:szCs w:val="21"/>
                <w:highlight w:val="none"/>
              </w:rPr>
            </w:pPr>
          </w:p>
          <w:p>
            <w:pPr>
              <w:pStyle w:val="8"/>
              <w:keepNext w:val="0"/>
              <w:keepLines w:val="0"/>
              <w:suppressLineNumbers w:val="0"/>
              <w:spacing w:beforeAutospacing="0" w:afterAutospacing="0" w:line="360" w:lineRule="auto"/>
              <w:ind w:left="0"/>
              <w:jc w:val="left"/>
              <w:rPr>
                <w:rFonts w:hint="default" w:ascii="Times New Roman" w:hAnsi="Times New Roman" w:eastAsia="宋体" w:cs="Times New Roman"/>
                <w:color w:val="auto"/>
                <w:sz w:val="21"/>
                <w:szCs w:val="21"/>
                <w:highlight w:val="none"/>
              </w:rPr>
            </w:pPr>
          </w:p>
          <w:p>
            <w:pPr>
              <w:pStyle w:val="8"/>
              <w:keepNext w:val="0"/>
              <w:keepLines w:val="0"/>
              <w:suppressLineNumbers w:val="0"/>
              <w:spacing w:beforeAutospacing="0" w:afterAutospacing="0" w:line="360" w:lineRule="auto"/>
              <w:ind w:left="0"/>
              <w:jc w:val="left"/>
              <w:rPr>
                <w:rFonts w:hint="default" w:ascii="Times New Roman" w:hAnsi="Times New Roman" w:eastAsia="宋体" w:cs="Times New Roman"/>
                <w:color w:val="auto"/>
                <w:sz w:val="21"/>
                <w:szCs w:val="21"/>
                <w:highlight w:val="none"/>
              </w:rPr>
            </w:pPr>
          </w:p>
          <w:p>
            <w:pPr>
              <w:pStyle w:val="8"/>
              <w:keepNext w:val="0"/>
              <w:keepLines w:val="0"/>
              <w:suppressLineNumbers w:val="0"/>
              <w:spacing w:beforeAutospacing="0" w:afterAutospacing="0" w:line="360" w:lineRule="auto"/>
              <w:ind w:left="0"/>
              <w:jc w:val="left"/>
              <w:rPr>
                <w:rFonts w:hint="default" w:ascii="Times New Roman" w:hAnsi="Times New Roman" w:eastAsia="宋体" w:cs="Times New Roman"/>
                <w:color w:val="auto"/>
                <w:sz w:val="21"/>
                <w:szCs w:val="21"/>
                <w:highlight w:val="none"/>
              </w:rPr>
            </w:pPr>
          </w:p>
          <w:p>
            <w:pPr>
              <w:pStyle w:val="8"/>
              <w:keepNext w:val="0"/>
              <w:keepLines w:val="0"/>
              <w:suppressLineNumbers w:val="0"/>
              <w:spacing w:beforeAutospacing="0" w:afterAutospacing="0" w:line="360" w:lineRule="auto"/>
              <w:ind w:left="0"/>
              <w:jc w:val="left"/>
              <w:rPr>
                <w:rFonts w:hint="default" w:ascii="Times New Roman" w:hAnsi="Times New Roman" w:eastAsia="宋体" w:cs="Times New Roman"/>
                <w:color w:val="auto"/>
                <w:sz w:val="21"/>
                <w:szCs w:val="21"/>
                <w:highlight w:val="none"/>
              </w:rPr>
            </w:pPr>
          </w:p>
          <w:p>
            <w:pPr>
              <w:pStyle w:val="8"/>
              <w:keepNext w:val="0"/>
              <w:keepLines w:val="0"/>
              <w:suppressLineNumbers w:val="0"/>
              <w:spacing w:beforeAutospacing="0" w:afterAutospacing="0" w:line="360" w:lineRule="auto"/>
              <w:ind w:left="0"/>
              <w:jc w:val="left"/>
              <w:rPr>
                <w:rFonts w:hint="default" w:ascii="Times New Roman" w:hAnsi="Times New Roman" w:eastAsia="宋体" w:cs="Times New Roman"/>
                <w:color w:val="auto"/>
                <w:sz w:val="21"/>
                <w:szCs w:val="21"/>
                <w:highlight w:val="none"/>
              </w:rPr>
            </w:pPr>
          </w:p>
          <w:p>
            <w:pPr>
              <w:pStyle w:val="8"/>
              <w:keepNext w:val="0"/>
              <w:keepLines w:val="0"/>
              <w:suppressLineNumbers w:val="0"/>
              <w:spacing w:beforeAutospacing="0" w:afterAutospacing="0" w:line="360" w:lineRule="auto"/>
              <w:ind w:left="0"/>
              <w:jc w:val="left"/>
              <w:rPr>
                <w:rFonts w:hint="default" w:ascii="Times New Roman" w:hAnsi="Times New Roman" w:eastAsia="宋体" w:cs="Times New Roman"/>
                <w:color w:val="auto"/>
                <w:sz w:val="21"/>
                <w:szCs w:val="21"/>
                <w:highlight w:val="none"/>
              </w:rPr>
            </w:pPr>
          </w:p>
          <w:p>
            <w:pPr>
              <w:pStyle w:val="8"/>
              <w:keepNext w:val="0"/>
              <w:keepLines w:val="0"/>
              <w:suppressLineNumbers w:val="0"/>
              <w:spacing w:beforeAutospacing="0" w:afterAutospacing="0" w:line="360" w:lineRule="auto"/>
              <w:ind w:left="0"/>
              <w:jc w:val="left"/>
              <w:rPr>
                <w:rFonts w:hint="default" w:ascii="Times New Roman" w:hAnsi="Times New Roman" w:eastAsia="宋体" w:cs="Times New Roman"/>
                <w:color w:val="auto"/>
                <w:sz w:val="21"/>
                <w:szCs w:val="21"/>
                <w:highlight w:val="none"/>
              </w:rPr>
            </w:pPr>
          </w:p>
          <w:p>
            <w:pPr>
              <w:pStyle w:val="8"/>
              <w:keepNext w:val="0"/>
              <w:keepLines w:val="0"/>
              <w:suppressLineNumbers w:val="0"/>
              <w:spacing w:beforeAutospacing="0" w:afterAutospacing="0" w:line="360" w:lineRule="auto"/>
              <w:ind w:left="0"/>
              <w:jc w:val="left"/>
              <w:rPr>
                <w:rFonts w:hint="default" w:ascii="Times New Roman" w:hAnsi="Times New Roman" w:eastAsia="宋体" w:cs="Times New Roman"/>
                <w:color w:val="auto"/>
                <w:sz w:val="21"/>
                <w:szCs w:val="21"/>
                <w:highlight w:val="none"/>
              </w:rPr>
            </w:pPr>
          </w:p>
          <w:p>
            <w:pPr>
              <w:pStyle w:val="8"/>
              <w:keepNext w:val="0"/>
              <w:keepLines w:val="0"/>
              <w:suppressLineNumbers w:val="0"/>
              <w:spacing w:beforeAutospacing="0" w:afterAutospacing="0" w:line="360" w:lineRule="auto"/>
              <w:ind w:left="0"/>
              <w:jc w:val="left"/>
              <w:rPr>
                <w:rFonts w:hint="default" w:ascii="Times New Roman" w:hAnsi="Times New Roman" w:eastAsia="宋体" w:cs="Times New Roman"/>
                <w:color w:val="auto"/>
                <w:sz w:val="21"/>
                <w:szCs w:val="21"/>
                <w:highlight w:val="none"/>
              </w:rPr>
            </w:pPr>
          </w:p>
        </w:tc>
      </w:tr>
    </w:tbl>
    <w:p>
      <w:pPr>
        <w:adjustRightInd w:val="0"/>
        <w:snapToGrid w:val="0"/>
        <w:spacing w:line="360" w:lineRule="auto"/>
        <w:rPr>
          <w:rFonts w:hint="default" w:ascii="Times New Roman" w:hAnsi="Times New Roman" w:eastAsia="宋体" w:cs="Times New Roman"/>
          <w:b/>
          <w:color w:val="auto"/>
          <w:kern w:val="0"/>
          <w:szCs w:val="21"/>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2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noWrap w:val="0"/>
            <w:vAlign w:val="top"/>
          </w:tcPr>
          <w:p>
            <w:pPr>
              <w:pStyle w:val="90"/>
              <w:keepNext w:val="0"/>
              <w:keepLines w:val="0"/>
              <w:suppressLineNumbers w:val="0"/>
              <w:spacing w:before="0" w:beforeAutospacing="0" w:after="0" w:afterAutospacing="0"/>
              <w:ind w:left="0" w:right="0" w:firstLine="0"/>
              <w:rPr>
                <w:rFonts w:hint="default" w:ascii="Times New Roman" w:hAnsi="Times New Roman" w:eastAsia="宋体" w:cs="Times New Roman"/>
                <w:color w:val="auto"/>
                <w:highlight w:val="none"/>
              </w:rPr>
            </w:pPr>
            <w:r>
              <w:rPr>
                <w:rFonts w:hint="default" w:ascii="Times New Roman" w:hAnsi="Times New Roman" w:eastAsia="宋体" w:cs="Times New Roman"/>
                <w:bCs/>
                <w:color w:val="auto"/>
                <w:szCs w:val="21"/>
                <w:highlight w:val="none"/>
              </w:rPr>
              <w:t>运营期环境影响和保护措施</w:t>
            </w:r>
          </w:p>
        </w:tc>
        <w:tc>
          <w:tcPr>
            <w:tcW w:w="12570" w:type="dxa"/>
            <w:noWrap w:val="0"/>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四、噪声</w:t>
            </w:r>
          </w:p>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4.1、噪声源强</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rPr>
              <w:t>项目主要噪声源为设备运转噪声，噪声源强为</w:t>
            </w:r>
            <w:r>
              <w:rPr>
                <w:rFonts w:hint="default" w:ascii="Times New Roman" w:hAnsi="Times New Roman" w:eastAsia="宋体" w:cs="Times New Roman"/>
                <w:color w:val="auto"/>
                <w:sz w:val="24"/>
                <w:szCs w:val="24"/>
                <w:highlight w:val="none"/>
                <w:lang w:val="en-US" w:eastAsia="zh-CN"/>
              </w:rPr>
              <w:t>75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85</w:t>
            </w:r>
            <w:r>
              <w:rPr>
                <w:rFonts w:hint="default" w:ascii="Times New Roman" w:hAnsi="Times New Roman" w:eastAsia="宋体" w:cs="Times New Roman"/>
                <w:color w:val="auto"/>
                <w:sz w:val="24"/>
                <w:szCs w:val="24"/>
                <w:highlight w:val="none"/>
              </w:rPr>
              <w:t>dB（A），通过厂房隔音，可有效降噪5-15dB（A）。噪声源及减噪措施见下表。</w:t>
            </w:r>
          </w:p>
          <w:p>
            <w:pPr>
              <w:pStyle w:val="78"/>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sz w:val="21"/>
                <w:szCs w:val="21"/>
                <w:highlight w:val="none"/>
              </w:rPr>
              <w:t>表4.4-1   项目机械设备噪声声源一览表   单位：dB（A）</w:t>
            </w:r>
          </w:p>
          <w:tbl>
            <w:tblPr>
              <w:tblStyle w:val="23"/>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33"/>
              <w:gridCol w:w="503"/>
              <w:gridCol w:w="667"/>
              <w:gridCol w:w="448"/>
              <w:gridCol w:w="566"/>
              <w:gridCol w:w="457"/>
              <w:gridCol w:w="591"/>
              <w:gridCol w:w="529"/>
              <w:gridCol w:w="296"/>
              <w:gridCol w:w="489"/>
              <w:gridCol w:w="551"/>
              <w:gridCol w:w="489"/>
              <w:gridCol w:w="489"/>
              <w:gridCol w:w="489"/>
              <w:gridCol w:w="489"/>
              <w:gridCol w:w="489"/>
              <w:gridCol w:w="489"/>
              <w:gridCol w:w="334"/>
              <w:gridCol w:w="334"/>
              <w:gridCol w:w="489"/>
              <w:gridCol w:w="489"/>
              <w:gridCol w:w="492"/>
              <w:gridCol w:w="489"/>
              <w:gridCol w:w="334"/>
              <w:gridCol w:w="334"/>
              <w:gridCol w:w="334"/>
              <w:gridCol w:w="34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134" w:type="pct"/>
                  <w:vMerge w:val="restar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序号</w:t>
                  </w:r>
                </w:p>
              </w:tc>
              <w:tc>
                <w:tcPr>
                  <w:tcW w:w="203" w:type="pct"/>
                  <w:vMerge w:val="restar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建筑物名称</w:t>
                  </w:r>
                </w:p>
              </w:tc>
              <w:tc>
                <w:tcPr>
                  <w:tcW w:w="270" w:type="pct"/>
                  <w:vMerge w:val="restar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声源名称</w:t>
                  </w:r>
                </w:p>
              </w:tc>
              <w:tc>
                <w:tcPr>
                  <w:tcW w:w="181" w:type="pct"/>
                  <w:vMerge w:val="restar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数量（台）</w:t>
                  </w:r>
                </w:p>
              </w:tc>
              <w:tc>
                <w:tcPr>
                  <w:tcW w:w="229" w:type="pct"/>
                  <w:vMerge w:val="restar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声源源强</w:t>
                  </w:r>
                </w:p>
              </w:tc>
              <w:tc>
                <w:tcPr>
                  <w:tcW w:w="185" w:type="pct"/>
                  <w:vMerge w:val="restar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声源控制措</w:t>
                  </w:r>
                </w:p>
              </w:tc>
              <w:tc>
                <w:tcPr>
                  <w:tcW w:w="574" w:type="pct"/>
                  <w:gridSpan w:val="3"/>
                  <w:vMerge w:val="restar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空间相对位置</w:t>
                  </w:r>
                  <w:r>
                    <w:rPr>
                      <w:rStyle w:val="126"/>
                      <w:rFonts w:hint="default" w:ascii="Times New Roman" w:hAnsi="Times New Roman" w:eastAsia="宋体" w:cs="Times New Roman"/>
                      <w:color w:val="auto"/>
                      <w:sz w:val="21"/>
                      <w:szCs w:val="21"/>
                      <w:highlight w:val="none"/>
                      <w:lang w:val="en-US" w:eastAsia="zh-CN" w:bidi="ar"/>
                    </w:rPr>
                    <w:t>/m</w:t>
                  </w:r>
                </w:p>
              </w:tc>
              <w:tc>
                <w:tcPr>
                  <w:tcW w:w="818" w:type="pct"/>
                  <w:gridSpan w:val="4"/>
                  <w:vMerge w:val="restar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距室内边界距离</w:t>
                  </w:r>
                  <w:r>
                    <w:rPr>
                      <w:rStyle w:val="126"/>
                      <w:rFonts w:hint="default" w:ascii="Times New Roman" w:hAnsi="Times New Roman" w:eastAsia="宋体" w:cs="Times New Roman"/>
                      <w:color w:val="auto"/>
                      <w:sz w:val="21"/>
                      <w:szCs w:val="21"/>
                      <w:highlight w:val="none"/>
                      <w:lang w:val="en-US" w:eastAsia="zh-CN" w:bidi="ar"/>
                    </w:rPr>
                    <w:t>/m</w:t>
                  </w:r>
                </w:p>
              </w:tc>
              <w:tc>
                <w:tcPr>
                  <w:tcW w:w="792" w:type="pct"/>
                  <w:gridSpan w:val="4"/>
                  <w:vMerge w:val="restar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室内边界声级</w:t>
                  </w:r>
                  <w:r>
                    <w:rPr>
                      <w:rStyle w:val="126"/>
                      <w:rFonts w:hint="default" w:ascii="Times New Roman" w:hAnsi="Times New Roman" w:eastAsia="宋体" w:cs="Times New Roman"/>
                      <w:color w:val="auto"/>
                      <w:sz w:val="21"/>
                      <w:szCs w:val="21"/>
                      <w:highlight w:val="none"/>
                      <w:lang w:val="en-US" w:eastAsia="zh-CN" w:bidi="ar"/>
                    </w:rPr>
                    <w:t>/dB(A)</w:t>
                  </w:r>
                </w:p>
              </w:tc>
              <w:tc>
                <w:tcPr>
                  <w:tcW w:w="135" w:type="pct"/>
                  <w:vMerge w:val="restar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运行时段</w:t>
                  </w:r>
                </w:p>
              </w:tc>
              <w:tc>
                <w:tcPr>
                  <w:tcW w:w="731" w:type="pct"/>
                  <w:gridSpan w:val="4"/>
                  <w:vMerge w:val="restar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建筑物插入损失</w:t>
                  </w:r>
                  <w:r>
                    <w:rPr>
                      <w:rStyle w:val="126"/>
                      <w:rFonts w:hint="default" w:ascii="Times New Roman" w:hAnsi="Times New Roman" w:eastAsia="宋体" w:cs="Times New Roman"/>
                      <w:color w:val="auto"/>
                      <w:sz w:val="21"/>
                      <w:szCs w:val="21"/>
                      <w:highlight w:val="none"/>
                      <w:lang w:val="en-US" w:eastAsia="zh-CN" w:bidi="ar"/>
                    </w:rPr>
                    <w:t>/dB(A)</w:t>
                  </w:r>
                </w:p>
              </w:tc>
              <w:tc>
                <w:tcPr>
                  <w:tcW w:w="742" w:type="pct"/>
                  <w:gridSpan w:val="5"/>
                  <w:vMerge w:val="restar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建筑物外噪声声压级</w:t>
                  </w:r>
                  <w:r>
                    <w:rPr>
                      <w:rStyle w:val="126"/>
                      <w:rFonts w:hint="default" w:ascii="Times New Roman" w:hAnsi="Times New Roman" w:eastAsia="宋体" w:cs="Times New Roman"/>
                      <w:color w:val="auto"/>
                      <w:sz w:val="21"/>
                      <w:szCs w:val="21"/>
                      <w:highlight w:val="none"/>
                      <w:lang w:val="en-US" w:eastAsia="zh-CN" w:bidi="ar"/>
                    </w:rPr>
                    <w:t>/dB(A)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134"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203"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270"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181"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229"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185"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574" w:type="pct"/>
                  <w:gridSpan w:val="3"/>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818" w:type="pct"/>
                  <w:gridSpan w:val="4"/>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792" w:type="pct"/>
                  <w:gridSpan w:val="4"/>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135"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731" w:type="pct"/>
                  <w:gridSpan w:val="4"/>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742" w:type="pct"/>
                  <w:gridSpan w:val="5"/>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134"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203"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270"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181"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22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声功率级</w:t>
                  </w:r>
                </w:p>
              </w:tc>
              <w:tc>
                <w:tcPr>
                  <w:tcW w:w="185"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239" w:type="pct"/>
                  <w:vMerge w:val="restar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X</w:t>
                  </w:r>
                </w:p>
              </w:tc>
              <w:tc>
                <w:tcPr>
                  <w:tcW w:w="214" w:type="pct"/>
                  <w:vMerge w:val="restar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Y</w:t>
                  </w:r>
                </w:p>
              </w:tc>
              <w:tc>
                <w:tcPr>
                  <w:tcW w:w="119" w:type="pct"/>
                  <w:vMerge w:val="restar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Z</w:t>
                  </w:r>
                </w:p>
              </w:tc>
              <w:tc>
                <w:tcPr>
                  <w:tcW w:w="198" w:type="pct"/>
                  <w:vMerge w:val="restar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东</w:t>
                  </w:r>
                </w:p>
              </w:tc>
              <w:tc>
                <w:tcPr>
                  <w:tcW w:w="223" w:type="pct"/>
                  <w:vMerge w:val="restar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南</w:t>
                  </w:r>
                </w:p>
              </w:tc>
              <w:tc>
                <w:tcPr>
                  <w:tcW w:w="198" w:type="pct"/>
                  <w:vMerge w:val="restar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西</w:t>
                  </w:r>
                </w:p>
              </w:tc>
              <w:tc>
                <w:tcPr>
                  <w:tcW w:w="198" w:type="pct"/>
                  <w:vMerge w:val="restar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北</w:t>
                  </w:r>
                </w:p>
              </w:tc>
              <w:tc>
                <w:tcPr>
                  <w:tcW w:w="198" w:type="pct"/>
                  <w:vMerge w:val="restar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东</w:t>
                  </w:r>
                </w:p>
              </w:tc>
              <w:tc>
                <w:tcPr>
                  <w:tcW w:w="198" w:type="pct"/>
                  <w:vMerge w:val="restar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南</w:t>
                  </w:r>
                </w:p>
              </w:tc>
              <w:tc>
                <w:tcPr>
                  <w:tcW w:w="198" w:type="pct"/>
                  <w:vMerge w:val="restar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西</w:t>
                  </w:r>
                </w:p>
              </w:tc>
              <w:tc>
                <w:tcPr>
                  <w:tcW w:w="198" w:type="pct"/>
                  <w:vMerge w:val="restar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北</w:t>
                  </w:r>
                </w:p>
              </w:tc>
              <w:tc>
                <w:tcPr>
                  <w:tcW w:w="135"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135" w:type="pct"/>
                  <w:vMerge w:val="restar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东</w:t>
                  </w:r>
                </w:p>
              </w:tc>
              <w:tc>
                <w:tcPr>
                  <w:tcW w:w="198" w:type="pct"/>
                  <w:vMerge w:val="restar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南</w:t>
                  </w:r>
                </w:p>
              </w:tc>
              <w:tc>
                <w:tcPr>
                  <w:tcW w:w="198" w:type="pct"/>
                  <w:vMerge w:val="restar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西</w:t>
                  </w:r>
                </w:p>
              </w:tc>
              <w:tc>
                <w:tcPr>
                  <w:tcW w:w="199" w:type="pct"/>
                  <w:vMerge w:val="restar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北</w:t>
                  </w:r>
                </w:p>
              </w:tc>
              <w:tc>
                <w:tcPr>
                  <w:tcW w:w="198" w:type="pct"/>
                  <w:vMerge w:val="restar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东</w:t>
                  </w:r>
                </w:p>
              </w:tc>
              <w:tc>
                <w:tcPr>
                  <w:tcW w:w="135" w:type="pct"/>
                  <w:vMerge w:val="restar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南</w:t>
                  </w:r>
                </w:p>
              </w:tc>
              <w:tc>
                <w:tcPr>
                  <w:tcW w:w="135" w:type="pct"/>
                  <w:vMerge w:val="restar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西</w:t>
                  </w:r>
                </w:p>
              </w:tc>
              <w:tc>
                <w:tcPr>
                  <w:tcW w:w="135" w:type="pct"/>
                  <w:vMerge w:val="restar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北</w:t>
                  </w:r>
                </w:p>
              </w:tc>
              <w:tc>
                <w:tcPr>
                  <w:tcW w:w="138" w:type="pct"/>
                  <w:vMerge w:val="restar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建筑物外距离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34"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203"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270"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181"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22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/dB(A)</w:t>
                  </w:r>
                </w:p>
              </w:tc>
              <w:tc>
                <w:tcPr>
                  <w:tcW w:w="185"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239"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214"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119"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198"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223"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198"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198"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198"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198"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198"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198"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135"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135"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198"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198"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199"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198"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135"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135"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135"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c>
                <w:tcPr>
                  <w:tcW w:w="138"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highlight w:val="none"/>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13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3" w:type="pct"/>
                  <w:vMerge w:val="restart"/>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生产车间</w:t>
                  </w:r>
                </w:p>
              </w:tc>
              <w:tc>
                <w:tcPr>
                  <w:tcW w:w="270"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给料机</w:t>
                  </w:r>
                </w:p>
              </w:tc>
              <w:tc>
                <w:tcPr>
                  <w:tcW w:w="181"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29"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185" w:type="pct"/>
                  <w:vMerge w:val="restar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厂房隔声、距离衰减</w:t>
                  </w:r>
                </w:p>
              </w:tc>
              <w:tc>
                <w:tcPr>
                  <w:tcW w:w="239"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-112.91</w:t>
                  </w:r>
                </w:p>
              </w:tc>
              <w:tc>
                <w:tcPr>
                  <w:tcW w:w="214"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-27.84</w:t>
                  </w:r>
                </w:p>
              </w:tc>
              <w:tc>
                <w:tcPr>
                  <w:tcW w:w="119"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94.25</w:t>
                  </w:r>
                </w:p>
              </w:tc>
              <w:tc>
                <w:tcPr>
                  <w:tcW w:w="22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34.49</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8.33</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8.88</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35.51</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44.25</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56.59</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56.03</w:t>
                  </w:r>
                </w:p>
              </w:tc>
              <w:tc>
                <w:tcPr>
                  <w:tcW w:w="135"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昼间</w:t>
                  </w:r>
                </w:p>
              </w:tc>
              <w:tc>
                <w:tcPr>
                  <w:tcW w:w="135"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9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489"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9.42</w:t>
                  </w:r>
                </w:p>
              </w:tc>
              <w:tc>
                <w:tcPr>
                  <w:tcW w:w="33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w:t>
                  </w:r>
                </w:p>
              </w:tc>
              <w:tc>
                <w:tcPr>
                  <w:tcW w:w="33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29.6</w:t>
                  </w:r>
                </w:p>
              </w:tc>
              <w:tc>
                <w:tcPr>
                  <w:tcW w:w="33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29.11</w:t>
                  </w:r>
                </w:p>
              </w:tc>
              <w:tc>
                <w:tcPr>
                  <w:tcW w:w="13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3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203" w:type="pct"/>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270"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颚式破碎机</w:t>
                  </w:r>
                </w:p>
              </w:tc>
              <w:tc>
                <w:tcPr>
                  <w:tcW w:w="181"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29"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85</w:t>
                  </w:r>
                </w:p>
              </w:tc>
              <w:tc>
                <w:tcPr>
                  <w:tcW w:w="185" w:type="pct"/>
                  <w:vMerge w:val="continue"/>
                  <w:tcBorders>
                    <w:tl2br w:val="nil"/>
                    <w:tr2bl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239"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-112.4</w:t>
                  </w:r>
                </w:p>
              </w:tc>
              <w:tc>
                <w:tcPr>
                  <w:tcW w:w="214"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-30.99</w:t>
                  </w:r>
                </w:p>
              </w:tc>
              <w:tc>
                <w:tcPr>
                  <w:tcW w:w="119"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94.63</w:t>
                  </w:r>
                </w:p>
              </w:tc>
              <w:tc>
                <w:tcPr>
                  <w:tcW w:w="22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33.46</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8.08</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12.13</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45.48</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54.51</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66.85</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63.33</w:t>
                  </w:r>
                </w:p>
              </w:tc>
              <w:tc>
                <w:tcPr>
                  <w:tcW w:w="135"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昼间</w:t>
                  </w:r>
                </w:p>
              </w:tc>
              <w:tc>
                <w:tcPr>
                  <w:tcW w:w="135"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9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489"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19.39</w:t>
                  </w:r>
                </w:p>
              </w:tc>
              <w:tc>
                <w:tcPr>
                  <w:tcW w:w="33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28.25</w:t>
                  </w:r>
                </w:p>
              </w:tc>
              <w:tc>
                <w:tcPr>
                  <w:tcW w:w="33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39.84</w:t>
                  </w:r>
                </w:p>
              </w:tc>
              <w:tc>
                <w:tcPr>
                  <w:tcW w:w="33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36.64</w:t>
                  </w:r>
                </w:p>
              </w:tc>
              <w:tc>
                <w:tcPr>
                  <w:tcW w:w="13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3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203" w:type="pct"/>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270"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滚筒机</w:t>
                  </w:r>
                </w:p>
              </w:tc>
              <w:tc>
                <w:tcPr>
                  <w:tcW w:w="181"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29"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185" w:type="pct"/>
                  <w:vMerge w:val="continue"/>
                  <w:tcBorders>
                    <w:tl2br w:val="nil"/>
                    <w:tr2bl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239"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-111.59</w:t>
                  </w:r>
                </w:p>
              </w:tc>
              <w:tc>
                <w:tcPr>
                  <w:tcW w:w="214"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-35.45</w:t>
                  </w:r>
                </w:p>
              </w:tc>
              <w:tc>
                <w:tcPr>
                  <w:tcW w:w="119"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95.07</w:t>
                  </w:r>
                </w:p>
              </w:tc>
              <w:tc>
                <w:tcPr>
                  <w:tcW w:w="22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32.38</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7.82</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16.76</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40.44</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49.8</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62.13</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55.51</w:t>
                  </w:r>
                </w:p>
              </w:tc>
              <w:tc>
                <w:tcPr>
                  <w:tcW w:w="135"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昼间</w:t>
                  </w:r>
                </w:p>
              </w:tc>
              <w:tc>
                <w:tcPr>
                  <w:tcW w:w="135"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9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489"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14.35</w:t>
                  </w:r>
                </w:p>
              </w:tc>
              <w:tc>
                <w:tcPr>
                  <w:tcW w:w="33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23.53</w:t>
                  </w:r>
                </w:p>
              </w:tc>
              <w:tc>
                <w:tcPr>
                  <w:tcW w:w="33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35.09</w:t>
                  </w:r>
                </w:p>
              </w:tc>
              <w:tc>
                <w:tcPr>
                  <w:tcW w:w="33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29.01</w:t>
                  </w:r>
                </w:p>
              </w:tc>
              <w:tc>
                <w:tcPr>
                  <w:tcW w:w="13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3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203" w:type="pct"/>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270"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螺旋搅拌机</w:t>
                  </w:r>
                </w:p>
              </w:tc>
              <w:tc>
                <w:tcPr>
                  <w:tcW w:w="181"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29"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85</w:t>
                  </w:r>
                </w:p>
              </w:tc>
              <w:tc>
                <w:tcPr>
                  <w:tcW w:w="185" w:type="pct"/>
                  <w:vMerge w:val="continue"/>
                  <w:tcBorders>
                    <w:tl2br w:val="nil"/>
                    <w:tr2bl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239"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-107.39</w:t>
                  </w:r>
                </w:p>
              </w:tc>
              <w:tc>
                <w:tcPr>
                  <w:tcW w:w="214"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-35.05</w:t>
                  </w:r>
                </w:p>
              </w:tc>
              <w:tc>
                <w:tcPr>
                  <w:tcW w:w="119"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90.75</w:t>
                  </w:r>
                </w:p>
              </w:tc>
              <w:tc>
                <w:tcPr>
                  <w:tcW w:w="22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50.16</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12.12</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17.33</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45.84</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50.99</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63.33</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60.22</w:t>
                  </w:r>
                </w:p>
              </w:tc>
              <w:tc>
                <w:tcPr>
                  <w:tcW w:w="135"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昼间</w:t>
                  </w:r>
                </w:p>
              </w:tc>
              <w:tc>
                <w:tcPr>
                  <w:tcW w:w="135"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9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489"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19.75</w:t>
                  </w:r>
                </w:p>
              </w:tc>
              <w:tc>
                <w:tcPr>
                  <w:tcW w:w="33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24.82</w:t>
                  </w:r>
                </w:p>
              </w:tc>
              <w:tc>
                <w:tcPr>
                  <w:tcW w:w="33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36.64</w:t>
                  </w:r>
                </w:p>
              </w:tc>
              <w:tc>
                <w:tcPr>
                  <w:tcW w:w="33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33.73</w:t>
                  </w:r>
                </w:p>
              </w:tc>
              <w:tc>
                <w:tcPr>
                  <w:tcW w:w="13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3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203" w:type="pct"/>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270"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综合搅拌机</w:t>
                  </w:r>
                </w:p>
              </w:tc>
              <w:tc>
                <w:tcPr>
                  <w:tcW w:w="181"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29"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85</w:t>
                  </w:r>
                </w:p>
              </w:tc>
              <w:tc>
                <w:tcPr>
                  <w:tcW w:w="185" w:type="pct"/>
                  <w:vMerge w:val="continue"/>
                  <w:tcBorders>
                    <w:tl2br w:val="nil"/>
                    <w:tr2bl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239"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-106.44</w:t>
                  </w:r>
                </w:p>
              </w:tc>
              <w:tc>
                <w:tcPr>
                  <w:tcW w:w="214"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-40.32</w:t>
                  </w:r>
                </w:p>
              </w:tc>
              <w:tc>
                <w:tcPr>
                  <w:tcW w:w="119"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91.28</w:t>
                  </w:r>
                </w:p>
              </w:tc>
              <w:tc>
                <w:tcPr>
                  <w:tcW w:w="22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48.83</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11.8</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22.81</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45.79</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51.23</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63.57</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57.84</w:t>
                  </w:r>
                </w:p>
              </w:tc>
              <w:tc>
                <w:tcPr>
                  <w:tcW w:w="135"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昼间</w:t>
                  </w:r>
                </w:p>
              </w:tc>
              <w:tc>
                <w:tcPr>
                  <w:tcW w:w="135"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9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489"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19.7</w:t>
                  </w:r>
                </w:p>
              </w:tc>
              <w:tc>
                <w:tcPr>
                  <w:tcW w:w="33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25.05</w:t>
                  </w:r>
                </w:p>
              </w:tc>
              <w:tc>
                <w:tcPr>
                  <w:tcW w:w="33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36.86</w:t>
                  </w:r>
                </w:p>
              </w:tc>
              <w:tc>
                <w:tcPr>
                  <w:tcW w:w="33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31.47</w:t>
                  </w:r>
                </w:p>
              </w:tc>
              <w:tc>
                <w:tcPr>
                  <w:tcW w:w="13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3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203" w:type="pct"/>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270"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真空制砖机</w:t>
                  </w:r>
                </w:p>
              </w:tc>
              <w:tc>
                <w:tcPr>
                  <w:tcW w:w="181"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29"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185" w:type="pct"/>
                  <w:vMerge w:val="continue"/>
                  <w:tcBorders>
                    <w:tl2br w:val="nil"/>
                    <w:tr2bl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239"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-108.47</w:t>
                  </w:r>
                </w:p>
              </w:tc>
              <w:tc>
                <w:tcPr>
                  <w:tcW w:w="214"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-48.44</w:t>
                  </w:r>
                </w:p>
              </w:tc>
              <w:tc>
                <w:tcPr>
                  <w:tcW w:w="119"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95.59</w:t>
                  </w:r>
                </w:p>
              </w:tc>
              <w:tc>
                <w:tcPr>
                  <w:tcW w:w="22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32.34</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7.81</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30.41</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40.39</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49.8</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62.14</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50.34</w:t>
                  </w:r>
                </w:p>
              </w:tc>
              <w:tc>
                <w:tcPr>
                  <w:tcW w:w="135"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昼间</w:t>
                  </w:r>
                </w:p>
              </w:tc>
              <w:tc>
                <w:tcPr>
                  <w:tcW w:w="135"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9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489"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14.3</w:t>
                  </w:r>
                </w:p>
              </w:tc>
              <w:tc>
                <w:tcPr>
                  <w:tcW w:w="33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23.54</w:t>
                  </w:r>
                </w:p>
              </w:tc>
              <w:tc>
                <w:tcPr>
                  <w:tcW w:w="33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35.1</w:t>
                  </w:r>
                </w:p>
              </w:tc>
              <w:tc>
                <w:tcPr>
                  <w:tcW w:w="33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24.06</w:t>
                  </w:r>
                </w:p>
              </w:tc>
              <w:tc>
                <w:tcPr>
                  <w:tcW w:w="13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3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203" w:type="pct"/>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270"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切砖机</w:t>
                  </w:r>
                </w:p>
              </w:tc>
              <w:tc>
                <w:tcPr>
                  <w:tcW w:w="181"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29"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185" w:type="pct"/>
                  <w:vMerge w:val="continue"/>
                  <w:tcBorders>
                    <w:tl2br w:val="nil"/>
                    <w:tr2bl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239"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-106.85</w:t>
                  </w:r>
                </w:p>
              </w:tc>
              <w:tc>
                <w:tcPr>
                  <w:tcW w:w="214"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-53.45</w:t>
                  </w:r>
                </w:p>
              </w:tc>
              <w:tc>
                <w:tcPr>
                  <w:tcW w:w="119"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95.37</w:t>
                  </w:r>
                </w:p>
              </w:tc>
              <w:tc>
                <w:tcPr>
                  <w:tcW w:w="22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34.08</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8.23</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35.78</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40.41</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49.35</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61.69</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48.93</w:t>
                  </w:r>
                </w:p>
              </w:tc>
              <w:tc>
                <w:tcPr>
                  <w:tcW w:w="135"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昼间</w:t>
                  </w:r>
                </w:p>
              </w:tc>
              <w:tc>
                <w:tcPr>
                  <w:tcW w:w="135"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9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489"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14.32</w:t>
                  </w:r>
                </w:p>
              </w:tc>
              <w:tc>
                <w:tcPr>
                  <w:tcW w:w="33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23.1</w:t>
                  </w:r>
                </w:p>
              </w:tc>
              <w:tc>
                <w:tcPr>
                  <w:tcW w:w="33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34.69</w:t>
                  </w:r>
                </w:p>
              </w:tc>
              <w:tc>
                <w:tcPr>
                  <w:tcW w:w="33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22.69</w:t>
                  </w:r>
                </w:p>
              </w:tc>
              <w:tc>
                <w:tcPr>
                  <w:tcW w:w="13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3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203" w:type="pct"/>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270"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自动码坯机</w:t>
                  </w:r>
                </w:p>
              </w:tc>
              <w:tc>
                <w:tcPr>
                  <w:tcW w:w="181"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229"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185" w:type="pct"/>
                  <w:vMerge w:val="continue"/>
                  <w:tcBorders>
                    <w:tl2br w:val="nil"/>
                    <w:tr2bl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23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-101.71</w:t>
                  </w:r>
                </w:p>
              </w:tc>
              <w:tc>
                <w:tcPr>
                  <w:tcW w:w="214"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-55.48</w:t>
                  </w:r>
                </w:p>
              </w:tc>
              <w:tc>
                <w:tcPr>
                  <w:tcW w:w="11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90.79</w:t>
                  </w:r>
                </w:p>
              </w:tc>
              <w:tc>
                <w:tcPr>
                  <w:tcW w:w="22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53.36</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12.89</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38.99</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38.85</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43.47</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55.8</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46.19</w:t>
                  </w:r>
                </w:p>
              </w:tc>
              <w:tc>
                <w:tcPr>
                  <w:tcW w:w="135"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昼间</w:t>
                  </w:r>
                </w:p>
              </w:tc>
              <w:tc>
                <w:tcPr>
                  <w:tcW w:w="135"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9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489"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12.75</w:t>
                  </w:r>
                </w:p>
              </w:tc>
              <w:tc>
                <w:tcPr>
                  <w:tcW w:w="33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17.3</w:t>
                  </w:r>
                </w:p>
              </w:tc>
              <w:tc>
                <w:tcPr>
                  <w:tcW w:w="33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29.16</w:t>
                  </w:r>
                </w:p>
              </w:tc>
              <w:tc>
                <w:tcPr>
                  <w:tcW w:w="33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19.97</w:t>
                  </w:r>
                </w:p>
              </w:tc>
              <w:tc>
                <w:tcPr>
                  <w:tcW w:w="13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3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203" w:type="pct"/>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270"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空压机</w:t>
                  </w:r>
                </w:p>
              </w:tc>
              <w:tc>
                <w:tcPr>
                  <w:tcW w:w="181"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229"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85</w:t>
                  </w:r>
                </w:p>
              </w:tc>
              <w:tc>
                <w:tcPr>
                  <w:tcW w:w="185" w:type="pct"/>
                  <w:vMerge w:val="continue"/>
                  <w:tcBorders>
                    <w:tl2br w:val="nil"/>
                    <w:tr2bl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23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-65.17</w:t>
                  </w:r>
                </w:p>
              </w:tc>
              <w:tc>
                <w:tcPr>
                  <w:tcW w:w="214"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-23.14</w:t>
                  </w:r>
                </w:p>
              </w:tc>
              <w:tc>
                <w:tcPr>
                  <w:tcW w:w="11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45.17</w:t>
                  </w:r>
                </w:p>
              </w:tc>
              <w:tc>
                <w:tcPr>
                  <w:tcW w:w="22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148.95</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7.34</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6.71</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54.91</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44.55</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70.7</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71.48</w:t>
                  </w:r>
                </w:p>
              </w:tc>
              <w:tc>
                <w:tcPr>
                  <w:tcW w:w="135"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昼间</w:t>
                  </w:r>
                </w:p>
              </w:tc>
              <w:tc>
                <w:tcPr>
                  <w:tcW w:w="135"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9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489"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28.72</w:t>
                  </w:r>
                </w:p>
              </w:tc>
              <w:tc>
                <w:tcPr>
                  <w:tcW w:w="33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18.49</w:t>
                  </w:r>
                </w:p>
              </w:tc>
              <w:tc>
                <w:tcPr>
                  <w:tcW w:w="33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43.59</w:t>
                  </w:r>
                </w:p>
              </w:tc>
              <w:tc>
                <w:tcPr>
                  <w:tcW w:w="33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44.27</w:t>
                  </w:r>
                </w:p>
              </w:tc>
              <w:tc>
                <w:tcPr>
                  <w:tcW w:w="13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3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203" w:type="pct"/>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270"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风机</w:t>
                  </w:r>
                </w:p>
              </w:tc>
              <w:tc>
                <w:tcPr>
                  <w:tcW w:w="181"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229"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185" w:type="pct"/>
                  <w:vMerge w:val="continue"/>
                  <w:tcBorders>
                    <w:tl2br w:val="nil"/>
                    <w:tr2bl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23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-70.04</w:t>
                  </w:r>
                </w:p>
              </w:tc>
              <w:tc>
                <w:tcPr>
                  <w:tcW w:w="214"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-25.57</w:t>
                  </w:r>
                </w:p>
              </w:tc>
              <w:tc>
                <w:tcPr>
                  <w:tcW w:w="11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50.73</w:t>
                  </w:r>
                </w:p>
              </w:tc>
              <w:tc>
                <w:tcPr>
                  <w:tcW w:w="22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149.04</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51.77</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2.91</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48.91</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39.54</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48.73</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73.74</w:t>
                  </w:r>
                </w:p>
              </w:tc>
              <w:tc>
                <w:tcPr>
                  <w:tcW w:w="135"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昼间</w:t>
                  </w:r>
                </w:p>
              </w:tc>
              <w:tc>
                <w:tcPr>
                  <w:tcW w:w="135"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9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489"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22.74</w:t>
                  </w:r>
                </w:p>
              </w:tc>
              <w:tc>
                <w:tcPr>
                  <w:tcW w:w="33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13.49</w:t>
                  </w:r>
                </w:p>
              </w:tc>
              <w:tc>
                <w:tcPr>
                  <w:tcW w:w="33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22.56</w:t>
                  </w:r>
                </w:p>
              </w:tc>
              <w:tc>
                <w:tcPr>
                  <w:tcW w:w="33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45.17</w:t>
                  </w:r>
                </w:p>
              </w:tc>
              <w:tc>
                <w:tcPr>
                  <w:tcW w:w="13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3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w:t>
                  </w:r>
                </w:p>
              </w:tc>
              <w:tc>
                <w:tcPr>
                  <w:tcW w:w="203" w:type="pct"/>
                  <w:vMerge w:val="continue"/>
                  <w:tcBorders>
                    <w:tl2br w:val="nil"/>
                    <w:tr2bl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270"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50型装载机</w:t>
                  </w:r>
                </w:p>
              </w:tc>
              <w:tc>
                <w:tcPr>
                  <w:tcW w:w="181"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229"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185" w:type="pct"/>
                  <w:vMerge w:val="continue"/>
                  <w:tcBorders>
                    <w:tl2br w:val="nil"/>
                    <w:tr2bl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23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-17.8</w:t>
                  </w:r>
                </w:p>
              </w:tc>
              <w:tc>
                <w:tcPr>
                  <w:tcW w:w="214"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-63.06</w:t>
                  </w:r>
                </w:p>
              </w:tc>
              <w:tc>
                <w:tcPr>
                  <w:tcW w:w="11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8.96</w:t>
                  </w:r>
                </w:p>
              </w:tc>
              <w:tc>
                <w:tcPr>
                  <w:tcW w:w="22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84.75</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95.03</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31.83</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31.83</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58.97</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39.45</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38.45</w:t>
                  </w:r>
                </w:p>
              </w:tc>
              <w:tc>
                <w:tcPr>
                  <w:tcW w:w="135"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昼间</w:t>
                  </w:r>
                </w:p>
              </w:tc>
              <w:tc>
                <w:tcPr>
                  <w:tcW w:w="135"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9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9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489"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32.05</w:t>
                  </w:r>
                </w:p>
              </w:tc>
              <w:tc>
                <w:tcPr>
                  <w:tcW w:w="33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13.35</w:t>
                  </w:r>
                </w:p>
              </w:tc>
              <w:tc>
                <w:tcPr>
                  <w:tcW w:w="33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12.36</w:t>
                  </w:r>
                </w:p>
              </w:tc>
              <w:tc>
                <w:tcPr>
                  <w:tcW w:w="33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21.69</w:t>
                  </w:r>
                </w:p>
              </w:tc>
              <w:tc>
                <w:tcPr>
                  <w:tcW w:w="13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bl>
          <w:p>
            <w:pPr>
              <w:pStyle w:val="78"/>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表4.4-2   项目室外噪声声源一览表   单位：dB（A）</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158"/>
              <w:gridCol w:w="902"/>
              <w:gridCol w:w="850"/>
              <w:gridCol w:w="782"/>
              <w:gridCol w:w="3363"/>
              <w:gridCol w:w="1809"/>
              <w:gridCol w:w="1619"/>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exact"/>
              </w:trPr>
              <w:tc>
                <w:tcPr>
                  <w:tcW w:w="282"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469"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声源名称</w:t>
                  </w:r>
                </w:p>
              </w:tc>
              <w:tc>
                <w:tcPr>
                  <w:tcW w:w="1026" w:type="pct"/>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空间相对位置/m</w:t>
                  </w:r>
                </w:p>
              </w:tc>
              <w:tc>
                <w:tcPr>
                  <w:tcW w:w="2095" w:type="pct"/>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声源源强（任选一种）</w:t>
                  </w:r>
                </w:p>
              </w:tc>
              <w:tc>
                <w:tcPr>
                  <w:tcW w:w="656"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声源控制措施</w:t>
                  </w:r>
                </w:p>
              </w:tc>
              <w:tc>
                <w:tcPr>
                  <w:tcW w:w="469"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2" w:type="pct"/>
                  <w:vMerge w:val="continue"/>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69" w:type="pct"/>
                  <w:vMerge w:val="continue"/>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65"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X</w:t>
                  </w:r>
                </w:p>
              </w:tc>
              <w:tc>
                <w:tcPr>
                  <w:tcW w:w="344"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Y</w:t>
                  </w:r>
                </w:p>
              </w:tc>
              <w:tc>
                <w:tcPr>
                  <w:tcW w:w="317"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Z</w:t>
                  </w:r>
                </w:p>
              </w:tc>
              <w:tc>
                <w:tcPr>
                  <w:tcW w:w="1362"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（声压级/距声源距离）/（dB(A)/m）</w:t>
                  </w:r>
                </w:p>
              </w:tc>
              <w:tc>
                <w:tcPr>
                  <w:tcW w:w="732"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声功率级/dB(A)</w:t>
                  </w:r>
                </w:p>
              </w:tc>
              <w:tc>
                <w:tcPr>
                  <w:tcW w:w="656" w:type="pct"/>
                  <w:vMerge w:val="continue"/>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69" w:type="pct"/>
                  <w:vMerge w:val="continue"/>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39" w:hRule="exact"/>
              </w:trPr>
              <w:tc>
                <w:tcPr>
                  <w:tcW w:w="282" w:type="pct"/>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158" w:type="dxa"/>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50型装载机</w:t>
                  </w:r>
                </w:p>
              </w:tc>
              <w:tc>
                <w:tcPr>
                  <w:tcW w:w="902" w:type="dxa"/>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-13.2</w:t>
                  </w:r>
                </w:p>
              </w:tc>
              <w:tc>
                <w:tcPr>
                  <w:tcW w:w="850" w:type="dxa"/>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19.76</w:t>
                  </w:r>
                </w:p>
              </w:tc>
              <w:tc>
                <w:tcPr>
                  <w:tcW w:w="782" w:type="dxa"/>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3363" w:type="dxa"/>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09" w:type="dxa"/>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1619" w:type="dxa"/>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距离减震</w:t>
                  </w:r>
                </w:p>
              </w:tc>
              <w:tc>
                <w:tcPr>
                  <w:tcW w:w="1157" w:type="dxa"/>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昼间</w:t>
                  </w:r>
                </w:p>
              </w:tc>
            </w:tr>
          </w:tbl>
          <w:p>
            <w:pPr>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4.2、噪声预测</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①预测、分析方法</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工业企业噪声计算</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首先计算出某个室内靠近围护结构处的倍频带声压级：</w:t>
            </w:r>
          </w:p>
          <w:p>
            <w:pPr>
              <w:keepNext w:val="0"/>
              <w:keepLines w:val="0"/>
              <w:suppressLineNumbers w:val="0"/>
              <w:spacing w:before="0" w:beforeAutospacing="0" w:after="0" w:afterAutospacing="0" w:line="360" w:lineRule="auto"/>
              <w:ind w:left="0" w:right="0" w:firstLine="200"/>
              <w:jc w:val="center"/>
              <w:rPr>
                <w:rFonts w:hint="default" w:ascii="Times New Roman" w:hAnsi="Times New Roman" w:eastAsia="宋体" w:cs="Times New Roman"/>
                <w:color w:val="auto"/>
                <w:kern w:val="0"/>
                <w:sz w:val="24"/>
                <w:highlight w:val="none"/>
              </w:rPr>
            </w:pPr>
            <m:oMathPara>
              <m:oMath>
                <m:sSub>
                  <m:sSubPr>
                    <m:ctrlPr>
                      <w:rPr>
                        <w:rFonts w:hint="default" w:ascii="Cambria Math" w:hAnsi="Cambria Math" w:cs="Times New Roman"/>
                        <w:i/>
                        <w:color w:val="000000"/>
                        <w:kern w:val="0"/>
                        <w:sz w:val="24"/>
                      </w:rPr>
                    </m:ctrlPr>
                  </m:sSubPr>
                  <m:e>
                    <m:r>
                      <m:rPr/>
                      <w:rPr>
                        <w:rFonts w:hint="default" w:ascii="Cambria Math" w:hAnsi="Times New Roman" w:cs="Times New Roman"/>
                        <w:color w:val="000000"/>
                        <w:kern w:val="0"/>
                        <w:sz w:val="24"/>
                      </w:rPr>
                      <m:t>L</m:t>
                    </m:r>
                    <m:ctrlPr>
                      <w:rPr>
                        <w:rFonts w:hint="default" w:ascii="Cambria Math" w:hAnsi="Cambria Math" w:cs="Times New Roman"/>
                        <w:i/>
                        <w:color w:val="000000"/>
                        <w:kern w:val="0"/>
                        <w:sz w:val="24"/>
                      </w:rPr>
                    </m:ctrlPr>
                  </m:e>
                  <m:sub>
                    <m:r>
                      <m:rPr/>
                      <w:rPr>
                        <w:rFonts w:hint="default" w:ascii="Cambria Math" w:hAnsi="Times New Roman" w:cs="Times New Roman"/>
                        <w:color w:val="000000"/>
                        <w:kern w:val="0"/>
                        <w:sz w:val="24"/>
                      </w:rPr>
                      <m:t>p1</m:t>
                    </m:r>
                    <m:ctrlPr>
                      <w:rPr>
                        <w:rFonts w:hint="default" w:ascii="Cambria Math" w:hAnsi="Cambria Math" w:cs="Times New Roman"/>
                        <w:i/>
                        <w:color w:val="000000"/>
                        <w:kern w:val="0"/>
                        <w:sz w:val="24"/>
                      </w:rPr>
                    </m:ctrlPr>
                  </m:sub>
                </m:sSub>
                <m:r>
                  <m:rPr/>
                  <w:rPr>
                    <w:rFonts w:hint="default" w:ascii="Cambria Math" w:hAnsi="Times New Roman" w:cs="Times New Roman"/>
                    <w:color w:val="000000"/>
                    <w:kern w:val="0"/>
                    <w:sz w:val="24"/>
                  </w:rPr>
                  <m:t>=</m:t>
                </m:r>
                <m:sSub>
                  <m:sSubPr>
                    <m:ctrlPr>
                      <w:rPr>
                        <w:rFonts w:hint="default" w:ascii="Cambria Math" w:hAnsi="Cambria Math" w:cs="Times New Roman"/>
                        <w:i/>
                        <w:color w:val="000000"/>
                        <w:kern w:val="0"/>
                        <w:sz w:val="24"/>
                      </w:rPr>
                    </m:ctrlPr>
                  </m:sSubPr>
                  <m:e>
                    <m:r>
                      <m:rPr/>
                      <w:rPr>
                        <w:rFonts w:hint="default" w:ascii="Cambria Math" w:hAnsi="Times New Roman" w:cs="Times New Roman"/>
                        <w:color w:val="000000"/>
                        <w:kern w:val="0"/>
                        <w:sz w:val="24"/>
                      </w:rPr>
                      <m:t>L</m:t>
                    </m:r>
                    <m:ctrlPr>
                      <w:rPr>
                        <w:rFonts w:hint="default" w:ascii="Cambria Math" w:hAnsi="Cambria Math" w:cs="Times New Roman"/>
                        <w:i/>
                        <w:color w:val="000000"/>
                        <w:kern w:val="0"/>
                        <w:sz w:val="24"/>
                      </w:rPr>
                    </m:ctrlPr>
                  </m:e>
                  <m:sub>
                    <m:r>
                      <m:rPr/>
                      <w:rPr>
                        <w:rFonts w:hint="default" w:ascii="Cambria Math" w:hAnsi="Times New Roman" w:cs="Times New Roman"/>
                        <w:color w:val="000000"/>
                        <w:kern w:val="0"/>
                        <w:sz w:val="24"/>
                      </w:rPr>
                      <m:t>w</m:t>
                    </m:r>
                    <m:ctrlPr>
                      <w:rPr>
                        <w:rFonts w:hint="default" w:ascii="Cambria Math" w:hAnsi="Cambria Math" w:cs="Times New Roman"/>
                        <w:i/>
                        <w:color w:val="000000"/>
                        <w:kern w:val="0"/>
                        <w:sz w:val="24"/>
                      </w:rPr>
                    </m:ctrlPr>
                  </m:sub>
                </m:sSub>
                <m:r>
                  <m:rPr/>
                  <w:rPr>
                    <w:rFonts w:hint="default" w:ascii="Cambria Math" w:hAnsi="Times New Roman" w:cs="Times New Roman"/>
                    <w:color w:val="000000"/>
                    <w:kern w:val="0"/>
                    <w:sz w:val="24"/>
                  </w:rPr>
                  <m:t>+10</m:t>
                </m:r>
                <m:func>
                  <m:funcPr>
                    <m:ctrlPr>
                      <w:rPr>
                        <w:rFonts w:hint="default" w:ascii="Cambria Math" w:hAnsi="Cambria Math" w:cs="Times New Roman"/>
                        <w:i/>
                        <w:color w:val="000000"/>
                        <w:kern w:val="0"/>
                        <w:sz w:val="24"/>
                      </w:rPr>
                    </m:ctrlPr>
                  </m:funcPr>
                  <m:fName>
                    <m:r>
                      <m:rPr/>
                      <w:rPr>
                        <w:rFonts w:hint="default" w:ascii="Cambria Math" w:hAnsi="Times New Roman" w:cs="Times New Roman"/>
                        <w:color w:val="000000"/>
                        <w:kern w:val="0"/>
                        <w:sz w:val="24"/>
                      </w:rPr>
                      <m:t>lg</m:t>
                    </m:r>
                    <m:ctrlPr>
                      <w:rPr>
                        <w:rFonts w:hint="default" w:ascii="Cambria Math" w:hAnsi="Cambria Math" w:cs="Times New Roman"/>
                        <w:i/>
                        <w:color w:val="000000"/>
                        <w:kern w:val="0"/>
                        <w:sz w:val="24"/>
                      </w:rPr>
                    </m:ctrlPr>
                  </m:fName>
                  <m:e>
                    <m:d>
                      <m:dPr>
                        <m:ctrlPr>
                          <w:rPr>
                            <w:rFonts w:hint="default" w:ascii="Cambria Math" w:hAnsi="Cambria Math" w:cs="Times New Roman"/>
                            <w:i/>
                            <w:color w:val="000000"/>
                            <w:kern w:val="0"/>
                            <w:sz w:val="24"/>
                          </w:rPr>
                        </m:ctrlPr>
                      </m:dPr>
                      <m:e>
                        <m:f>
                          <m:fPr>
                            <m:ctrlPr>
                              <w:rPr>
                                <w:rFonts w:hint="default" w:ascii="Cambria Math" w:hAnsi="Cambria Math" w:cs="Times New Roman"/>
                                <w:i/>
                                <w:color w:val="000000"/>
                                <w:kern w:val="0"/>
                                <w:sz w:val="24"/>
                              </w:rPr>
                            </m:ctrlPr>
                          </m:fPr>
                          <m:num>
                            <m:r>
                              <m:rPr/>
                              <w:rPr>
                                <w:rFonts w:hint="default" w:ascii="Cambria Math" w:hAnsi="Times New Roman" w:cs="Times New Roman"/>
                                <w:color w:val="000000"/>
                                <w:kern w:val="0"/>
                                <w:sz w:val="24"/>
                              </w:rPr>
                              <m:t>Q</m:t>
                            </m:r>
                            <m:ctrlPr>
                              <w:rPr>
                                <w:rFonts w:hint="default" w:ascii="Cambria Math" w:hAnsi="Cambria Math" w:cs="Times New Roman"/>
                                <w:i/>
                                <w:color w:val="000000"/>
                                <w:kern w:val="0"/>
                                <w:sz w:val="24"/>
                              </w:rPr>
                            </m:ctrlPr>
                          </m:num>
                          <m:den>
                            <m:r>
                              <m:rPr/>
                              <w:rPr>
                                <w:rFonts w:hint="default" w:ascii="Cambria Math" w:hAnsi="Times New Roman" w:cs="Times New Roman"/>
                                <w:color w:val="000000"/>
                                <w:kern w:val="0"/>
                                <w:sz w:val="24"/>
                              </w:rPr>
                              <m:t>4π</m:t>
                            </m:r>
                            <m:sSubSup>
                              <m:sSubSupPr>
                                <m:ctrlPr>
                                  <w:rPr>
                                    <w:rFonts w:hint="default" w:ascii="Cambria Math" w:hAnsi="Cambria Math" w:cs="Times New Roman"/>
                                    <w:i/>
                                    <w:color w:val="000000"/>
                                    <w:kern w:val="0"/>
                                    <w:sz w:val="24"/>
                                  </w:rPr>
                                </m:ctrlPr>
                              </m:sSubSupPr>
                              <m:e>
                                <m:r>
                                  <m:rPr/>
                                  <w:rPr>
                                    <w:rFonts w:hint="default" w:ascii="Cambria Math" w:hAnsi="Times New Roman" w:cs="Times New Roman"/>
                                    <w:color w:val="000000"/>
                                    <w:kern w:val="0"/>
                                    <w:sz w:val="24"/>
                                  </w:rPr>
                                  <m:t>r</m:t>
                                </m:r>
                                <m:ctrlPr>
                                  <w:rPr>
                                    <w:rFonts w:hint="default" w:ascii="Cambria Math" w:hAnsi="Cambria Math" w:cs="Times New Roman"/>
                                    <w:i/>
                                    <w:color w:val="000000"/>
                                    <w:kern w:val="0"/>
                                    <w:sz w:val="24"/>
                                  </w:rPr>
                                </m:ctrlPr>
                              </m:e>
                              <m:sub>
                                <m:ctrlPr>
                                  <w:rPr>
                                    <w:rFonts w:hint="default" w:ascii="Cambria Math" w:hAnsi="Cambria Math" w:cs="Times New Roman"/>
                                    <w:i/>
                                    <w:color w:val="000000"/>
                                    <w:kern w:val="0"/>
                                    <w:sz w:val="24"/>
                                  </w:rPr>
                                </m:ctrlPr>
                              </m:sub>
                              <m:sup>
                                <m:r>
                                  <m:rPr/>
                                  <w:rPr>
                                    <w:rFonts w:hint="default" w:ascii="Cambria Math" w:hAnsi="Times New Roman" w:cs="Times New Roman"/>
                                    <w:color w:val="000000"/>
                                    <w:kern w:val="0"/>
                                    <w:sz w:val="24"/>
                                  </w:rPr>
                                  <m:t>2</m:t>
                                </m:r>
                                <m:ctrlPr>
                                  <w:rPr>
                                    <w:rFonts w:hint="default" w:ascii="Cambria Math" w:hAnsi="Cambria Math" w:cs="Times New Roman"/>
                                    <w:i/>
                                    <w:color w:val="000000"/>
                                    <w:kern w:val="0"/>
                                    <w:sz w:val="24"/>
                                  </w:rPr>
                                </m:ctrlPr>
                              </m:sup>
                            </m:sSubSup>
                            <m:ctrlPr>
                              <w:rPr>
                                <w:rFonts w:hint="default" w:ascii="Cambria Math" w:hAnsi="Cambria Math" w:cs="Times New Roman"/>
                                <w:i/>
                                <w:color w:val="000000"/>
                                <w:kern w:val="0"/>
                                <w:sz w:val="24"/>
                              </w:rPr>
                            </m:ctrlPr>
                          </m:den>
                        </m:f>
                        <m:r>
                          <m:rPr/>
                          <w:rPr>
                            <w:rFonts w:hint="default" w:ascii="Cambria Math" w:hAnsi="Times New Roman" w:cs="Times New Roman"/>
                            <w:color w:val="000000"/>
                            <w:kern w:val="0"/>
                            <w:sz w:val="24"/>
                          </w:rPr>
                          <m:t>+</m:t>
                        </m:r>
                        <m:f>
                          <m:fPr>
                            <m:ctrlPr>
                              <w:rPr>
                                <w:rFonts w:hint="default" w:ascii="Cambria Math" w:hAnsi="Cambria Math" w:cs="Times New Roman"/>
                                <w:i/>
                                <w:color w:val="000000"/>
                                <w:kern w:val="0"/>
                                <w:sz w:val="24"/>
                              </w:rPr>
                            </m:ctrlPr>
                          </m:fPr>
                          <m:num>
                            <m:r>
                              <m:rPr/>
                              <w:rPr>
                                <w:rFonts w:hint="default" w:ascii="Cambria Math" w:hAnsi="Times New Roman" w:cs="Times New Roman"/>
                                <w:color w:val="000000"/>
                                <w:kern w:val="0"/>
                                <w:sz w:val="24"/>
                              </w:rPr>
                              <m:t>4</m:t>
                            </m:r>
                            <m:ctrlPr>
                              <w:rPr>
                                <w:rFonts w:hint="default" w:ascii="Cambria Math" w:hAnsi="Cambria Math" w:cs="Times New Roman"/>
                                <w:i/>
                                <w:color w:val="000000"/>
                                <w:kern w:val="0"/>
                                <w:sz w:val="24"/>
                              </w:rPr>
                            </m:ctrlPr>
                          </m:num>
                          <m:den>
                            <m:r>
                              <m:rPr/>
                              <w:rPr>
                                <w:rFonts w:hint="default" w:ascii="Cambria Math" w:hAnsi="Times New Roman" w:cs="Times New Roman"/>
                                <w:color w:val="000000"/>
                                <w:kern w:val="0"/>
                                <w:sz w:val="24"/>
                              </w:rPr>
                              <m:t>R</m:t>
                            </m:r>
                            <m:ctrlPr>
                              <w:rPr>
                                <w:rFonts w:hint="default" w:ascii="Cambria Math" w:hAnsi="Cambria Math" w:cs="Times New Roman"/>
                                <w:i/>
                                <w:color w:val="000000"/>
                                <w:kern w:val="0"/>
                                <w:sz w:val="24"/>
                              </w:rPr>
                            </m:ctrlPr>
                          </m:den>
                        </m:f>
                        <m:ctrlPr>
                          <w:rPr>
                            <w:rFonts w:hint="default" w:ascii="Cambria Math" w:hAnsi="Cambria Math" w:cs="Times New Roman"/>
                            <w:i/>
                            <w:color w:val="000000"/>
                            <w:kern w:val="0"/>
                            <w:sz w:val="24"/>
                          </w:rPr>
                        </m:ctrlPr>
                      </m:e>
                    </m:d>
                    <m:ctrlPr>
                      <w:rPr>
                        <w:rFonts w:hint="default" w:ascii="Cambria Math" w:hAnsi="Cambria Math" w:cs="Times New Roman"/>
                        <w:i/>
                        <w:color w:val="000000"/>
                        <w:kern w:val="0"/>
                        <w:sz w:val="24"/>
                      </w:rPr>
                    </m:ctrlPr>
                  </m:e>
                </m:func>
              </m:oMath>
            </m:oMathPara>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式中：L</w:t>
            </w:r>
            <w:r>
              <w:rPr>
                <w:rFonts w:hint="default" w:ascii="Times New Roman" w:hAnsi="Times New Roman" w:eastAsia="宋体" w:cs="Times New Roman"/>
                <w:color w:val="auto"/>
                <w:kern w:val="0"/>
                <w:sz w:val="24"/>
                <w:highlight w:val="none"/>
                <w:vertAlign w:val="subscript"/>
              </w:rPr>
              <w:t>p1</w:t>
            </w:r>
            <w:r>
              <w:rPr>
                <w:rFonts w:hint="default" w:ascii="Times New Roman" w:hAnsi="Times New Roman" w:eastAsia="宋体" w:cs="Times New Roman"/>
                <w:color w:val="auto"/>
                <w:kern w:val="0"/>
                <w:sz w:val="24"/>
                <w:highlight w:val="none"/>
              </w:rPr>
              <w:sym w:font="Symbol" w:char="F0BE"/>
            </w:r>
            <w:r>
              <w:rPr>
                <w:rFonts w:hint="default" w:ascii="Times New Roman" w:hAnsi="Times New Roman" w:eastAsia="宋体" w:cs="Times New Roman"/>
                <w:color w:val="auto"/>
                <w:kern w:val="0"/>
                <w:sz w:val="24"/>
                <w:highlight w:val="none"/>
              </w:rPr>
              <w:t>靠近开口处（或窗户）室内某倍频带的声压级或 A 声级，dB；</w:t>
            </w:r>
          </w:p>
          <w:p>
            <w:pPr>
              <w:keepNext w:val="0"/>
              <w:keepLines w:val="0"/>
              <w:suppressLineNumbers w:val="0"/>
              <w:spacing w:before="0" w:beforeAutospacing="0" w:after="0" w:afterAutospacing="0" w:line="360" w:lineRule="auto"/>
              <w:ind w:left="0" w:right="0" w:firstLine="1200" w:firstLineChars="5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L</w:t>
            </w:r>
            <w:r>
              <w:rPr>
                <w:rFonts w:hint="default" w:ascii="Times New Roman" w:hAnsi="Times New Roman" w:eastAsia="宋体" w:cs="Times New Roman"/>
                <w:color w:val="auto"/>
                <w:kern w:val="0"/>
                <w:sz w:val="24"/>
                <w:highlight w:val="none"/>
                <w:vertAlign w:val="subscript"/>
              </w:rPr>
              <w:t xml:space="preserve">w </w:t>
            </w:r>
            <w:r>
              <w:rPr>
                <w:rFonts w:hint="default" w:ascii="Times New Roman" w:hAnsi="Times New Roman" w:eastAsia="宋体" w:cs="Times New Roman"/>
                <w:color w:val="auto"/>
                <w:kern w:val="0"/>
                <w:sz w:val="24"/>
                <w:highlight w:val="none"/>
              </w:rPr>
              <w:sym w:font="Symbol" w:char="F0BE"/>
            </w:r>
            <w:r>
              <w:rPr>
                <w:rFonts w:hint="default" w:ascii="Times New Roman" w:hAnsi="Times New Roman" w:eastAsia="宋体" w:cs="Times New Roman"/>
                <w:color w:val="auto"/>
                <w:kern w:val="0"/>
                <w:sz w:val="24"/>
                <w:highlight w:val="none"/>
              </w:rPr>
              <w:t>点声源声功率级（A 计权或倍频带），dB；</w:t>
            </w:r>
          </w:p>
          <w:p>
            <w:pPr>
              <w:keepNext w:val="0"/>
              <w:keepLines w:val="0"/>
              <w:suppressLineNumbers w:val="0"/>
              <w:spacing w:before="0" w:beforeAutospacing="0" w:after="0" w:afterAutospacing="0" w:line="360" w:lineRule="auto"/>
              <w:ind w:left="0" w:right="0" w:firstLine="1200" w:firstLineChars="5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r</w:t>
            </w:r>
            <w:r>
              <w:rPr>
                <w:rFonts w:hint="default" w:ascii="Times New Roman" w:hAnsi="Times New Roman" w:eastAsia="宋体" w:cs="Times New Roman"/>
                <w:color w:val="auto"/>
                <w:kern w:val="0"/>
                <w:sz w:val="24"/>
                <w:highlight w:val="none"/>
              </w:rPr>
              <w:sym w:font="Symbol" w:char="F0BE"/>
            </w:r>
            <w:r>
              <w:rPr>
                <w:rFonts w:hint="default" w:ascii="Times New Roman" w:hAnsi="Times New Roman" w:eastAsia="宋体" w:cs="Times New Roman"/>
                <w:color w:val="auto"/>
                <w:kern w:val="0"/>
                <w:sz w:val="24"/>
                <w:highlight w:val="none"/>
              </w:rPr>
              <w:t>声源到靠近围护结构某点处的距离，m；</w:t>
            </w:r>
          </w:p>
          <w:p>
            <w:pPr>
              <w:keepNext w:val="0"/>
              <w:keepLines w:val="0"/>
              <w:suppressLineNumbers w:val="0"/>
              <w:spacing w:before="0" w:beforeAutospacing="0" w:after="0" w:afterAutospacing="0" w:line="360" w:lineRule="auto"/>
              <w:ind w:left="1530" w:leftChars="500" w:right="0" w:hanging="480" w:hanging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R</w:t>
            </w:r>
            <w:r>
              <w:rPr>
                <w:rFonts w:hint="default" w:ascii="Times New Roman" w:hAnsi="Times New Roman" w:eastAsia="宋体" w:cs="Times New Roman"/>
                <w:color w:val="auto"/>
                <w:kern w:val="0"/>
                <w:sz w:val="24"/>
                <w:highlight w:val="none"/>
              </w:rPr>
              <w:sym w:font="Symbol" w:char="F0BE"/>
            </w:r>
            <w:r>
              <w:rPr>
                <w:rFonts w:hint="default" w:ascii="Times New Roman" w:hAnsi="Times New Roman" w:eastAsia="宋体" w:cs="Times New Roman"/>
                <w:color w:val="auto"/>
                <w:kern w:val="0"/>
                <w:sz w:val="24"/>
                <w:highlight w:val="none"/>
              </w:rPr>
              <w:t>房间常数；R= Sα/（1-α），S为房间内表面面积，m</w:t>
            </w:r>
            <w:r>
              <w:rPr>
                <w:rFonts w:hint="default" w:ascii="Times New Roman" w:hAnsi="Times New Roman" w:eastAsia="宋体" w:cs="Times New Roman"/>
                <w:color w:val="auto"/>
                <w:kern w:val="0"/>
                <w:sz w:val="24"/>
                <w:highlight w:val="none"/>
                <w:vertAlign w:val="superscript"/>
              </w:rPr>
              <w:t>2</w:t>
            </w:r>
            <w:r>
              <w:rPr>
                <w:rFonts w:hint="default" w:ascii="Times New Roman" w:hAnsi="Times New Roman" w:eastAsia="宋体" w:cs="Times New Roman"/>
                <w:color w:val="auto"/>
                <w:kern w:val="0"/>
                <w:sz w:val="24"/>
                <w:highlight w:val="none"/>
              </w:rPr>
              <w:t>；α为平均吸 声系数；</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Q</w:t>
            </w:r>
            <w:r>
              <w:rPr>
                <w:rFonts w:hint="default" w:ascii="Times New Roman" w:hAnsi="Times New Roman" w:eastAsia="宋体" w:cs="Times New Roman"/>
                <w:color w:val="auto"/>
                <w:kern w:val="0"/>
                <w:sz w:val="24"/>
                <w:highlight w:val="none"/>
              </w:rPr>
              <w:sym w:font="Symbol" w:char="F0BE"/>
            </w:r>
            <w:r>
              <w:rPr>
                <w:rFonts w:hint="default" w:ascii="Times New Roman" w:hAnsi="Times New Roman" w:eastAsia="宋体" w:cs="Times New Roman"/>
                <w:color w:val="auto"/>
                <w:kern w:val="0"/>
                <w:sz w:val="24"/>
                <w:highlight w:val="none"/>
              </w:rPr>
              <w:t>指向性因数；通常对无指向性声源，当声源放在房间中心时，Q=1；    当放在一面墙的中心时，Q=2；</w:t>
            </w:r>
          </w:p>
        </w:tc>
      </w:tr>
    </w:tbl>
    <w:p>
      <w:pPr>
        <w:pStyle w:val="8"/>
        <w:rPr>
          <w:rFonts w:hint="default" w:ascii="Times New Roman" w:hAnsi="Times New Roman" w:eastAsia="宋体" w:cs="Times New Roman"/>
          <w:color w:val="auto"/>
          <w:highlight w:val="none"/>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3"/>
        <w:tblW w:w="543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09"/>
        <w:gridCol w:w="94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965" w:hRule="atLeast"/>
          <w:jc w:val="center"/>
        </w:trPr>
        <w:tc>
          <w:tcPr>
            <w:tcW w:w="158" w:type="pct"/>
            <w:noWrap w:val="0"/>
            <w:tcMar>
              <w:left w:w="28" w:type="dxa"/>
              <w:right w:w="28" w:type="dxa"/>
            </w:tcMar>
            <w:vAlign w:val="center"/>
          </w:tcPr>
          <w:p>
            <w:pPr>
              <w:pStyle w:val="1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运营期环境影响和保护措施</w:t>
            </w:r>
          </w:p>
        </w:tc>
        <w:tc>
          <w:tcPr>
            <w:tcW w:w="4841" w:type="pct"/>
            <w:tcBorders>
              <w:bottom w:val="single" w:color="auto" w:sz="4" w:space="0"/>
            </w:tcBorders>
            <w:noWrap w:val="0"/>
            <w:vAlign w:val="center"/>
          </w:tcPr>
          <w:p>
            <w:pPr>
              <w:keepNext w:val="0"/>
              <w:keepLines w:val="0"/>
              <w:suppressLineNumbers w:val="0"/>
              <w:spacing w:before="0" w:beforeAutospacing="0" w:after="0" w:afterAutospacing="0" w:line="360" w:lineRule="auto"/>
              <w:ind w:left="1530" w:leftChars="500" w:right="0" w:hanging="480" w:hanging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当放在两面墙夹角处时，Q=4；当放在三面墙夹角处时，Q=8。</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计算出所有室内声源在围护结构处产生的 i 倍频带叠加声压级：</w:t>
            </w:r>
          </w:p>
          <w:p>
            <w:pPr>
              <w:keepNext w:val="0"/>
              <w:keepLines w:val="0"/>
              <w:suppressLineNumbers w:val="0"/>
              <w:spacing w:before="0" w:beforeAutospacing="0" w:after="0" w:afterAutospacing="0" w:line="360" w:lineRule="auto"/>
              <w:ind w:left="0" w:right="0" w:firstLine="200"/>
              <w:jc w:val="center"/>
              <w:rPr>
                <w:rFonts w:hint="default" w:ascii="Times New Roman" w:hAnsi="Times New Roman" w:eastAsia="宋体" w:cs="Times New Roman"/>
                <w:color w:val="auto"/>
                <w:kern w:val="0"/>
                <w:sz w:val="24"/>
                <w:highlight w:val="none"/>
              </w:rPr>
            </w:pPr>
            <m:oMathPara>
              <m:oMath>
                <m:sSub>
                  <m:sSubPr>
                    <m:ctrlPr>
                      <w:rPr>
                        <w:rFonts w:hint="default" w:ascii="Cambria Math" w:hAnsi="Cambria Math" w:cs="Times New Roman"/>
                        <w:i/>
                        <w:color w:val="000000"/>
                        <w:kern w:val="0"/>
                        <w:sz w:val="24"/>
                      </w:rPr>
                    </m:ctrlPr>
                  </m:sSubPr>
                  <m:e>
                    <m:r>
                      <m:rPr/>
                      <w:rPr>
                        <w:rFonts w:hint="default" w:ascii="Cambria Math" w:hAnsi="Times New Roman" w:cs="Times New Roman"/>
                        <w:color w:val="000000"/>
                        <w:kern w:val="0"/>
                        <w:sz w:val="24"/>
                      </w:rPr>
                      <m:t>L</m:t>
                    </m:r>
                    <m:ctrlPr>
                      <w:rPr>
                        <w:rFonts w:hint="default" w:ascii="Cambria Math" w:hAnsi="Cambria Math" w:cs="Times New Roman"/>
                        <w:i/>
                        <w:color w:val="000000"/>
                        <w:kern w:val="0"/>
                        <w:sz w:val="24"/>
                      </w:rPr>
                    </m:ctrlPr>
                  </m:e>
                  <m:sub>
                    <m:eqArr>
                      <m:eqArrPr>
                        <m:ctrlPr>
                          <w:rPr>
                            <w:rFonts w:hint="eastAsia" w:ascii="Cambria Math" w:hAnsi="Cambria Math" w:cs="Times New Roman"/>
                            <w:i/>
                            <w:color w:val="000000"/>
                            <w:kern w:val="0"/>
                            <w:sz w:val="24"/>
                          </w:rPr>
                        </m:ctrlPr>
                      </m:eqArrPr>
                      <m:e>
                        <m:r>
                          <m:rPr/>
                          <w:rPr>
                            <w:rFonts w:hint="eastAsia" w:ascii="Cambria Math" w:hAnsi="Times New Roman" w:cs="Times New Roman"/>
                            <w:color w:val="000000"/>
                            <w:kern w:val="0"/>
                            <w:sz w:val="24"/>
                          </w:rPr>
                          <m:t>p</m:t>
                        </m:r>
                        <m:r>
                          <m:rPr/>
                          <w:rPr>
                            <w:rFonts w:hint="default" w:ascii="Cambria Math" w:hAnsi="Times New Roman" w:cs="Times New Roman"/>
                            <w:color w:val="000000"/>
                            <w:kern w:val="0"/>
                            <w:sz w:val="24"/>
                          </w:rPr>
                          <m:t>1i</m:t>
                        </m:r>
                        <m:ctrlPr>
                          <w:rPr>
                            <w:rFonts w:hint="default" w:ascii="Cambria Math" w:hAnsi="Cambria Math" w:cs="Times New Roman"/>
                            <w:i/>
                            <w:color w:val="000000"/>
                            <w:kern w:val="0"/>
                            <w:sz w:val="24"/>
                          </w:rPr>
                        </m:ctrlPr>
                      </m:e>
                      <m:e>
                        <m:ctrlPr>
                          <w:rPr>
                            <w:rFonts w:hint="default" w:ascii="Cambria Math" w:hAnsi="Cambria Math" w:cs="Times New Roman"/>
                            <w:i/>
                            <w:color w:val="000000"/>
                            <w:kern w:val="0"/>
                            <w:sz w:val="24"/>
                          </w:rPr>
                        </m:ctrlPr>
                      </m:e>
                    </m:eqArr>
                    <m:ctrlPr>
                      <w:rPr>
                        <w:rFonts w:hint="eastAsia" w:ascii="Cambria Math" w:hAnsi="Cambria Math" w:cs="Times New Roman"/>
                        <w:i/>
                        <w:color w:val="000000"/>
                        <w:kern w:val="0"/>
                        <w:sz w:val="24"/>
                      </w:rPr>
                    </m:ctrlPr>
                  </m:sub>
                </m:sSub>
                <m:r>
                  <m:rPr/>
                  <w:rPr>
                    <w:rFonts w:hint="default" w:ascii="Cambria Math" w:hAnsi="Times New Roman" w:cs="Times New Roman"/>
                    <w:color w:val="000000"/>
                    <w:kern w:val="0"/>
                    <w:sz w:val="24"/>
                  </w:rPr>
                  <m:t>(T)=10</m:t>
                </m:r>
                <m:func>
                  <m:funcPr>
                    <m:ctrlPr>
                      <w:rPr>
                        <w:rFonts w:hint="default" w:ascii="Cambria Math" w:hAnsi="Cambria Math" w:cs="Times New Roman"/>
                        <w:i/>
                        <w:color w:val="000000"/>
                        <w:kern w:val="0"/>
                        <w:sz w:val="24"/>
                      </w:rPr>
                    </m:ctrlPr>
                  </m:funcPr>
                  <m:fName>
                    <m:r>
                      <m:rPr/>
                      <w:rPr>
                        <w:rFonts w:hint="default" w:ascii="Cambria Math" w:hAnsi="Times New Roman" w:cs="Times New Roman"/>
                        <w:color w:val="000000"/>
                        <w:kern w:val="0"/>
                        <w:sz w:val="24"/>
                      </w:rPr>
                      <m:t>lg</m:t>
                    </m:r>
                    <m:ctrlPr>
                      <w:rPr>
                        <w:rFonts w:hint="eastAsia" w:ascii="Cambria Math" w:hAnsi="Cambria Math" w:cs="Times New Roman"/>
                        <w:i/>
                        <w:color w:val="000000"/>
                        <w:kern w:val="0"/>
                        <w:sz w:val="24"/>
                      </w:rPr>
                    </m:ctrlPr>
                  </m:fName>
                  <m:e>
                    <m:d>
                      <m:dPr>
                        <m:ctrlPr>
                          <w:rPr>
                            <w:rFonts w:hint="default" w:ascii="Cambria Math" w:hAnsi="Cambria Math" w:cs="Times New Roman"/>
                            <w:i/>
                            <w:color w:val="000000"/>
                            <w:kern w:val="0"/>
                            <w:sz w:val="24"/>
                          </w:rPr>
                        </m:ctrlPr>
                      </m:dPr>
                      <m:e>
                        <m:nary>
                          <m:naryPr>
                            <m:chr m:val="∑"/>
                            <m:ctrlPr>
                              <w:rPr>
                                <w:rFonts w:hint="default" w:ascii="Cambria Math" w:hAnsi="Cambria Math" w:cs="Times New Roman"/>
                                <w:i/>
                                <w:color w:val="000000"/>
                                <w:kern w:val="0"/>
                                <w:sz w:val="24"/>
                              </w:rPr>
                            </m:ctrlPr>
                          </m:naryPr>
                          <m:sub>
                            <m:r>
                              <m:rPr/>
                              <w:rPr>
                                <w:rFonts w:hint="default" w:ascii="Cambria Math" w:hAnsi="Times New Roman" w:cs="Times New Roman"/>
                                <w:color w:val="000000"/>
                                <w:kern w:val="0"/>
                                <w:sz w:val="24"/>
                              </w:rPr>
                              <m:t>j=1</m:t>
                            </m:r>
                            <m:ctrlPr>
                              <w:rPr>
                                <w:rFonts w:hint="default" w:ascii="Cambria Math" w:hAnsi="Cambria Math" w:cs="Times New Roman"/>
                                <w:i/>
                                <w:color w:val="000000"/>
                                <w:kern w:val="0"/>
                                <w:sz w:val="24"/>
                              </w:rPr>
                            </m:ctrlPr>
                          </m:sub>
                          <m:sup>
                            <m:r>
                              <m:rPr/>
                              <w:rPr>
                                <w:rFonts w:hint="default" w:ascii="Cambria Math" w:hAnsi="Times New Roman" w:cs="Times New Roman"/>
                                <w:color w:val="000000"/>
                                <w:kern w:val="0"/>
                                <w:sz w:val="24"/>
                              </w:rPr>
                              <m:t>N</m:t>
                            </m:r>
                            <m:ctrlPr>
                              <w:rPr>
                                <w:rFonts w:hint="default" w:ascii="Cambria Math" w:hAnsi="Cambria Math" w:cs="Times New Roman"/>
                                <w:i/>
                                <w:color w:val="000000"/>
                                <w:kern w:val="0"/>
                                <w:sz w:val="24"/>
                              </w:rPr>
                            </m:ctrlPr>
                          </m:sup>
                          <m:e>
                            <m:r>
                              <m:rPr/>
                              <w:rPr>
                                <w:rFonts w:hint="default" w:ascii="Cambria Math" w:hAnsi="Times New Roman" w:cs="Times New Roman"/>
                                <w:color w:val="000000"/>
                                <w:kern w:val="0"/>
                                <w:sz w:val="24"/>
                              </w:rPr>
                              <m:t>1</m:t>
                            </m:r>
                            <m:sSup>
                              <m:sSupPr>
                                <m:ctrlPr>
                                  <w:rPr>
                                    <w:rFonts w:hint="default" w:ascii="Cambria Math" w:hAnsi="Cambria Math" w:cs="Times New Roman"/>
                                    <w:i/>
                                    <w:color w:val="000000"/>
                                    <w:kern w:val="0"/>
                                    <w:sz w:val="24"/>
                                  </w:rPr>
                                </m:ctrlPr>
                              </m:sSupPr>
                              <m:e>
                                <m:r>
                                  <m:rPr/>
                                  <w:rPr>
                                    <w:rFonts w:hint="default" w:ascii="Cambria Math" w:hAnsi="Times New Roman" w:cs="Times New Roman"/>
                                    <w:color w:val="000000"/>
                                    <w:kern w:val="0"/>
                                    <w:sz w:val="24"/>
                                  </w:rPr>
                                  <m:t>0</m:t>
                                </m:r>
                                <m:ctrlPr>
                                  <w:rPr>
                                    <w:rFonts w:hint="default" w:ascii="Cambria Math" w:hAnsi="Cambria Math" w:cs="Times New Roman"/>
                                    <w:i/>
                                    <w:color w:val="000000"/>
                                    <w:kern w:val="0"/>
                                    <w:sz w:val="24"/>
                                  </w:rPr>
                                </m:ctrlPr>
                              </m:e>
                              <m:sup>
                                <m:r>
                                  <m:rPr/>
                                  <w:rPr>
                                    <w:rFonts w:hint="default" w:ascii="Cambria Math" w:hAnsi="Times New Roman" w:cs="Times New Roman"/>
                                    <w:color w:val="000000"/>
                                    <w:kern w:val="0"/>
                                    <w:sz w:val="24"/>
                                  </w:rPr>
                                  <m:t>0.1</m:t>
                                </m:r>
                                <m:sSub>
                                  <m:sSubPr>
                                    <m:ctrlPr>
                                      <w:rPr>
                                        <w:rFonts w:hint="default" w:ascii="Cambria Math" w:hAnsi="Cambria Math" w:cs="Times New Roman"/>
                                        <w:i/>
                                        <w:color w:val="000000"/>
                                        <w:kern w:val="0"/>
                                        <w:sz w:val="24"/>
                                      </w:rPr>
                                    </m:ctrlPr>
                                  </m:sSubPr>
                                  <m:e>
                                    <m:r>
                                      <m:rPr/>
                                      <w:rPr>
                                        <w:rFonts w:hint="default" w:ascii="Cambria Math" w:hAnsi="Times New Roman" w:cs="Times New Roman"/>
                                        <w:color w:val="000000"/>
                                        <w:kern w:val="0"/>
                                        <w:sz w:val="24"/>
                                      </w:rPr>
                                      <m:t>L</m:t>
                                    </m:r>
                                    <m:ctrlPr>
                                      <w:rPr>
                                        <w:rFonts w:hint="default" w:ascii="Cambria Math" w:hAnsi="Cambria Math" w:cs="Times New Roman"/>
                                        <w:i/>
                                        <w:color w:val="000000"/>
                                        <w:kern w:val="0"/>
                                        <w:sz w:val="24"/>
                                      </w:rPr>
                                    </m:ctrlPr>
                                  </m:e>
                                  <m:sub>
                                    <m:r>
                                      <m:rPr/>
                                      <w:rPr>
                                        <w:rFonts w:hint="default" w:ascii="Cambria Math" w:hAnsi="Times New Roman" w:cs="Times New Roman"/>
                                        <w:color w:val="000000"/>
                                        <w:kern w:val="0"/>
                                        <w:sz w:val="24"/>
                                      </w:rPr>
                                      <m:t>p1ij</m:t>
                                    </m:r>
                                    <m:ctrlPr>
                                      <w:rPr>
                                        <w:rFonts w:hint="default" w:ascii="Cambria Math" w:hAnsi="Cambria Math" w:cs="Times New Roman"/>
                                        <w:i/>
                                        <w:color w:val="000000"/>
                                        <w:kern w:val="0"/>
                                        <w:sz w:val="24"/>
                                      </w:rPr>
                                    </m:ctrlPr>
                                  </m:sub>
                                </m:sSub>
                                <m:ctrlPr>
                                  <w:rPr>
                                    <w:rFonts w:hint="default" w:ascii="Cambria Math" w:hAnsi="Cambria Math" w:cs="Times New Roman"/>
                                    <w:i/>
                                    <w:color w:val="000000"/>
                                    <w:kern w:val="0"/>
                                    <w:sz w:val="24"/>
                                  </w:rPr>
                                </m:ctrlPr>
                              </m:sup>
                            </m:sSup>
                            <m:ctrlPr>
                              <w:rPr>
                                <w:rFonts w:hint="default" w:ascii="Cambria Math" w:hAnsi="Cambria Math" w:cs="Times New Roman"/>
                                <w:i/>
                                <w:color w:val="000000"/>
                                <w:kern w:val="0"/>
                                <w:sz w:val="24"/>
                              </w:rPr>
                            </m:ctrlPr>
                          </m:e>
                        </m:nary>
                        <m:ctrlPr>
                          <w:rPr>
                            <w:rFonts w:hint="default" w:ascii="Cambria Math" w:hAnsi="Cambria Math" w:cs="Times New Roman"/>
                            <w:i/>
                            <w:color w:val="000000"/>
                            <w:kern w:val="0"/>
                            <w:sz w:val="24"/>
                          </w:rPr>
                        </m:ctrlPr>
                      </m:e>
                    </m:d>
                    <m:ctrlPr>
                      <w:rPr>
                        <w:rFonts w:hint="default" w:ascii="Cambria Math" w:hAnsi="Cambria Math" w:cs="Times New Roman"/>
                        <w:i/>
                        <w:color w:val="000000"/>
                        <w:kern w:val="0"/>
                        <w:sz w:val="24"/>
                      </w:rPr>
                    </m:ctrlPr>
                  </m:e>
                </m:func>
              </m:oMath>
            </m:oMathPara>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式中：L</w:t>
            </w:r>
            <w:r>
              <w:rPr>
                <w:rFonts w:hint="default" w:ascii="Times New Roman" w:hAnsi="Times New Roman" w:eastAsia="宋体" w:cs="Times New Roman"/>
                <w:color w:val="auto"/>
                <w:kern w:val="0"/>
                <w:sz w:val="24"/>
                <w:highlight w:val="none"/>
                <w:vertAlign w:val="subscript"/>
              </w:rPr>
              <w:t>p1i</w:t>
            </w:r>
            <w:r>
              <w:rPr>
                <w:rFonts w:hint="default" w:ascii="Times New Roman" w:hAnsi="Times New Roman" w:eastAsia="宋体" w:cs="Times New Roman"/>
                <w:color w:val="auto"/>
                <w:kern w:val="0"/>
                <w:sz w:val="24"/>
                <w:highlight w:val="none"/>
              </w:rPr>
              <w:t>（T）</w:t>
            </w:r>
            <w:r>
              <w:rPr>
                <w:rFonts w:hint="default" w:ascii="Times New Roman" w:hAnsi="Times New Roman" w:eastAsia="宋体" w:cs="Times New Roman"/>
                <w:color w:val="auto"/>
                <w:kern w:val="0"/>
                <w:sz w:val="24"/>
                <w:highlight w:val="none"/>
              </w:rPr>
              <w:sym w:font="Symbol" w:char="F0BE"/>
            </w:r>
            <w:r>
              <w:rPr>
                <w:rFonts w:hint="default" w:ascii="Times New Roman" w:hAnsi="Times New Roman" w:eastAsia="宋体" w:cs="Times New Roman"/>
                <w:color w:val="auto"/>
                <w:kern w:val="0"/>
                <w:sz w:val="24"/>
                <w:highlight w:val="none"/>
              </w:rPr>
              <w:t>靠近围护结构处室内 N 个声源 i 倍频带的叠加声压级，dB；</w:t>
            </w:r>
          </w:p>
          <w:p>
            <w:pPr>
              <w:keepNext w:val="0"/>
              <w:keepLines w:val="0"/>
              <w:suppressLineNumbers w:val="0"/>
              <w:spacing w:before="0" w:beforeAutospacing="0" w:after="0" w:afterAutospacing="0" w:line="360" w:lineRule="auto"/>
              <w:ind w:left="0" w:right="0" w:firstLine="1200" w:firstLineChars="5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L</w:t>
            </w:r>
            <w:r>
              <w:rPr>
                <w:rFonts w:hint="default" w:ascii="Times New Roman" w:hAnsi="Times New Roman" w:eastAsia="宋体" w:cs="Times New Roman"/>
                <w:color w:val="auto"/>
                <w:kern w:val="0"/>
                <w:sz w:val="24"/>
                <w:highlight w:val="none"/>
                <w:vertAlign w:val="subscript"/>
              </w:rPr>
              <w:t xml:space="preserve">p1ij </w:t>
            </w:r>
            <w:r>
              <w:rPr>
                <w:rFonts w:hint="default" w:ascii="Times New Roman" w:hAnsi="Times New Roman" w:eastAsia="宋体" w:cs="Times New Roman"/>
                <w:color w:val="auto"/>
                <w:kern w:val="0"/>
                <w:sz w:val="24"/>
                <w:highlight w:val="none"/>
              </w:rPr>
              <w:sym w:font="Symbol" w:char="F0BE"/>
            </w:r>
            <w:r>
              <w:rPr>
                <w:rFonts w:hint="default" w:ascii="Times New Roman" w:hAnsi="Times New Roman" w:eastAsia="宋体" w:cs="Times New Roman"/>
                <w:color w:val="auto"/>
                <w:kern w:val="0"/>
                <w:sz w:val="24"/>
                <w:highlight w:val="none"/>
              </w:rPr>
              <w:t>室内 j 声源 i 倍频带的声压级，dB；</w:t>
            </w:r>
          </w:p>
          <w:p>
            <w:pPr>
              <w:keepNext w:val="0"/>
              <w:keepLines w:val="0"/>
              <w:suppressLineNumbers w:val="0"/>
              <w:spacing w:before="0" w:beforeAutospacing="0" w:after="0" w:afterAutospacing="0" w:line="360" w:lineRule="auto"/>
              <w:ind w:left="1500" w:leftChars="600" w:right="0" w:hanging="240" w:hangingChars="1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N</w:t>
            </w:r>
            <w:r>
              <w:rPr>
                <w:rFonts w:hint="default" w:ascii="Times New Roman" w:hAnsi="Times New Roman" w:eastAsia="宋体" w:cs="Times New Roman"/>
                <w:color w:val="auto"/>
                <w:kern w:val="0"/>
                <w:sz w:val="24"/>
                <w:highlight w:val="none"/>
              </w:rPr>
              <w:sym w:font="Symbol" w:char="F0BE"/>
            </w:r>
            <w:r>
              <w:rPr>
                <w:rFonts w:hint="default" w:ascii="Times New Roman" w:hAnsi="Times New Roman" w:eastAsia="宋体" w:cs="Times New Roman"/>
                <w:color w:val="auto"/>
                <w:kern w:val="0"/>
                <w:sz w:val="24"/>
                <w:highlight w:val="none"/>
              </w:rPr>
              <w:t>室内声源总数。</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计算出室外靠近围护结构处的声压级：</w:t>
            </w:r>
          </w:p>
          <w:p>
            <w:pPr>
              <w:keepNext w:val="0"/>
              <w:keepLines w:val="0"/>
              <w:suppressLineNumbers w:val="0"/>
              <w:spacing w:before="0" w:beforeAutospacing="0" w:after="0" w:afterAutospacing="0" w:line="360" w:lineRule="auto"/>
              <w:ind w:left="0" w:right="0" w:firstLine="200"/>
              <w:jc w:val="center"/>
              <w:rPr>
                <w:rFonts w:hint="default" w:ascii="Times New Roman" w:hAnsi="Times New Roman" w:eastAsia="宋体" w:cs="Times New Roman"/>
                <w:color w:val="auto"/>
                <w:kern w:val="0"/>
                <w:sz w:val="24"/>
                <w:highlight w:val="none"/>
              </w:rPr>
            </w:pPr>
            <m:oMathPara>
              <m:oMath>
                <m:sSub>
                  <m:sSubPr>
                    <m:ctrlPr>
                      <w:rPr>
                        <w:rFonts w:hint="default" w:ascii="Cambria Math" w:hAnsi="Cambria Math" w:cs="Times New Roman"/>
                        <w:i/>
                        <w:color w:val="000000"/>
                        <w:kern w:val="0"/>
                        <w:sz w:val="24"/>
                      </w:rPr>
                    </m:ctrlPr>
                  </m:sSubPr>
                  <m:e>
                    <m:r>
                      <m:rPr/>
                      <w:rPr>
                        <w:rFonts w:hint="default" w:ascii="Cambria Math" w:hAnsi="Times New Roman" w:cs="Times New Roman"/>
                        <w:color w:val="000000"/>
                        <w:kern w:val="0"/>
                        <w:sz w:val="24"/>
                      </w:rPr>
                      <m:t>L</m:t>
                    </m:r>
                    <m:ctrlPr>
                      <w:rPr>
                        <w:rFonts w:hint="default" w:ascii="Cambria Math" w:hAnsi="Cambria Math" w:cs="Times New Roman"/>
                        <w:i/>
                        <w:color w:val="000000"/>
                        <w:kern w:val="0"/>
                        <w:sz w:val="24"/>
                      </w:rPr>
                    </m:ctrlPr>
                  </m:e>
                  <m:sub>
                    <m:r>
                      <m:rPr/>
                      <w:rPr>
                        <w:rFonts w:hint="default" w:ascii="Cambria Math" w:hAnsi="Times New Roman" w:cs="Times New Roman"/>
                        <w:color w:val="000000"/>
                        <w:kern w:val="0"/>
                        <w:sz w:val="24"/>
                      </w:rPr>
                      <m:t>p2i</m:t>
                    </m:r>
                    <m:ctrlPr>
                      <w:rPr>
                        <w:rFonts w:hint="default" w:ascii="Cambria Math" w:hAnsi="Cambria Math" w:cs="Times New Roman"/>
                        <w:i/>
                        <w:color w:val="000000"/>
                        <w:kern w:val="0"/>
                        <w:sz w:val="24"/>
                      </w:rPr>
                    </m:ctrlPr>
                  </m:sub>
                </m:sSub>
                <m:r>
                  <m:rPr/>
                  <w:rPr>
                    <w:rFonts w:hint="default" w:ascii="Cambria Math" w:hAnsi="Times New Roman" w:cs="Times New Roman"/>
                    <w:color w:val="000000"/>
                    <w:kern w:val="0"/>
                    <w:sz w:val="24"/>
                  </w:rPr>
                  <m:t>(T)=</m:t>
                </m:r>
                <m:sSub>
                  <m:sSubPr>
                    <m:ctrlPr>
                      <w:rPr>
                        <w:rFonts w:hint="default" w:ascii="Cambria Math" w:hAnsi="Cambria Math" w:cs="Times New Roman"/>
                        <w:i/>
                        <w:color w:val="000000"/>
                        <w:kern w:val="0"/>
                        <w:sz w:val="24"/>
                      </w:rPr>
                    </m:ctrlPr>
                  </m:sSubPr>
                  <m:e>
                    <m:r>
                      <m:rPr/>
                      <w:rPr>
                        <w:rFonts w:hint="default" w:ascii="Cambria Math" w:hAnsi="Times New Roman" w:cs="Times New Roman"/>
                        <w:color w:val="000000"/>
                        <w:kern w:val="0"/>
                        <w:sz w:val="24"/>
                      </w:rPr>
                      <m:t>L</m:t>
                    </m:r>
                    <m:ctrlPr>
                      <w:rPr>
                        <w:rFonts w:hint="default" w:ascii="Cambria Math" w:hAnsi="Cambria Math" w:cs="Times New Roman"/>
                        <w:i/>
                        <w:color w:val="000000"/>
                        <w:kern w:val="0"/>
                        <w:sz w:val="24"/>
                      </w:rPr>
                    </m:ctrlPr>
                  </m:e>
                  <m:sub>
                    <m:r>
                      <m:rPr/>
                      <w:rPr>
                        <w:rFonts w:hint="default" w:ascii="Cambria Math" w:hAnsi="Times New Roman" w:cs="Times New Roman"/>
                        <w:color w:val="000000"/>
                        <w:kern w:val="0"/>
                        <w:sz w:val="24"/>
                      </w:rPr>
                      <m:t>p1i</m:t>
                    </m:r>
                    <m:ctrlPr>
                      <w:rPr>
                        <w:rFonts w:hint="default" w:ascii="Cambria Math" w:hAnsi="Cambria Math" w:cs="Times New Roman"/>
                        <w:i/>
                        <w:color w:val="000000"/>
                        <w:kern w:val="0"/>
                        <w:sz w:val="24"/>
                      </w:rPr>
                    </m:ctrlPr>
                  </m:sub>
                </m:sSub>
                <m:r>
                  <m:rPr/>
                  <w:rPr>
                    <w:rFonts w:hint="default" w:ascii="Cambria Math" w:hAnsi="Times New Roman" w:cs="Times New Roman"/>
                    <w:color w:val="000000"/>
                    <w:kern w:val="0"/>
                    <w:sz w:val="24"/>
                  </w:rPr>
                  <m:t>(T)−(T</m:t>
                </m:r>
                <m:sSub>
                  <m:sSubPr>
                    <m:ctrlPr>
                      <w:rPr>
                        <w:rFonts w:hint="default" w:ascii="Cambria Math" w:hAnsi="Cambria Math" w:cs="Times New Roman"/>
                        <w:i/>
                        <w:color w:val="000000"/>
                        <w:kern w:val="0"/>
                        <w:sz w:val="24"/>
                      </w:rPr>
                    </m:ctrlPr>
                  </m:sSubPr>
                  <m:e>
                    <m:r>
                      <m:rPr/>
                      <w:rPr>
                        <w:rFonts w:hint="default" w:ascii="Cambria Math" w:hAnsi="Times New Roman" w:cs="Times New Roman"/>
                        <w:color w:val="000000"/>
                        <w:kern w:val="0"/>
                        <w:sz w:val="24"/>
                      </w:rPr>
                      <m:t>L</m:t>
                    </m:r>
                    <m:ctrlPr>
                      <w:rPr>
                        <w:rFonts w:hint="default" w:ascii="Cambria Math" w:hAnsi="Cambria Math" w:cs="Times New Roman"/>
                        <w:i/>
                        <w:color w:val="000000"/>
                        <w:kern w:val="0"/>
                        <w:sz w:val="24"/>
                      </w:rPr>
                    </m:ctrlPr>
                  </m:e>
                  <m:sub>
                    <m:r>
                      <m:rPr/>
                      <w:rPr>
                        <w:rFonts w:hint="default" w:ascii="Cambria Math" w:hAnsi="Times New Roman" w:cs="Times New Roman"/>
                        <w:color w:val="000000"/>
                        <w:kern w:val="0"/>
                        <w:sz w:val="24"/>
                      </w:rPr>
                      <m:t>i</m:t>
                    </m:r>
                    <m:ctrlPr>
                      <w:rPr>
                        <w:rFonts w:hint="default" w:ascii="Cambria Math" w:hAnsi="Cambria Math" w:cs="Times New Roman"/>
                        <w:i/>
                        <w:color w:val="000000"/>
                        <w:kern w:val="0"/>
                        <w:sz w:val="24"/>
                      </w:rPr>
                    </m:ctrlPr>
                  </m:sub>
                </m:sSub>
                <m:r>
                  <m:rPr/>
                  <w:rPr>
                    <w:rFonts w:hint="default" w:ascii="Cambria Math" w:hAnsi="Times New Roman" w:cs="Times New Roman"/>
                    <w:color w:val="000000"/>
                    <w:kern w:val="0"/>
                    <w:sz w:val="24"/>
                  </w:rPr>
                  <m:t>+6)</m:t>
                </m:r>
              </m:oMath>
            </m:oMathPara>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式中：L</w:t>
            </w:r>
            <w:r>
              <w:rPr>
                <w:rFonts w:hint="default" w:ascii="Times New Roman" w:hAnsi="Times New Roman" w:eastAsia="宋体" w:cs="Times New Roman"/>
                <w:color w:val="auto"/>
                <w:kern w:val="0"/>
                <w:sz w:val="24"/>
                <w:highlight w:val="none"/>
                <w:vertAlign w:val="subscript"/>
              </w:rPr>
              <w:t>p2i</w:t>
            </w:r>
            <w:r>
              <w:rPr>
                <w:rFonts w:hint="default" w:ascii="Times New Roman" w:hAnsi="Times New Roman" w:eastAsia="宋体" w:cs="Times New Roman"/>
                <w:color w:val="auto"/>
                <w:kern w:val="0"/>
                <w:sz w:val="24"/>
                <w:highlight w:val="none"/>
              </w:rPr>
              <w:t>（T）</w:t>
            </w:r>
            <w:r>
              <w:rPr>
                <w:rFonts w:hint="default" w:ascii="Times New Roman" w:hAnsi="Times New Roman" w:eastAsia="宋体" w:cs="Times New Roman"/>
                <w:color w:val="auto"/>
                <w:kern w:val="0"/>
                <w:sz w:val="24"/>
                <w:highlight w:val="none"/>
              </w:rPr>
              <w:sym w:font="Symbol" w:char="F0BE"/>
            </w:r>
            <w:r>
              <w:rPr>
                <w:rFonts w:hint="default" w:ascii="Times New Roman" w:hAnsi="Times New Roman" w:eastAsia="宋体" w:cs="Times New Roman"/>
                <w:color w:val="auto"/>
                <w:kern w:val="0"/>
                <w:sz w:val="24"/>
                <w:highlight w:val="none"/>
              </w:rPr>
              <w:t>靠近围护结构处室外 N 个声源 i 倍频带的叠加声压级，dB；</w:t>
            </w:r>
          </w:p>
          <w:p>
            <w:pPr>
              <w:keepNext w:val="0"/>
              <w:keepLines w:val="0"/>
              <w:suppressLineNumbers w:val="0"/>
              <w:spacing w:before="0" w:beforeAutospacing="0" w:after="0" w:afterAutospacing="0" w:line="360" w:lineRule="auto"/>
              <w:ind w:left="1500" w:leftChars="600" w:right="0" w:hanging="240" w:hangingChars="1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TL</w:t>
            </w:r>
            <w:r>
              <w:rPr>
                <w:rFonts w:hint="default" w:ascii="Times New Roman" w:hAnsi="Times New Roman" w:eastAsia="宋体" w:cs="Times New Roman"/>
                <w:color w:val="auto"/>
                <w:kern w:val="0"/>
                <w:sz w:val="24"/>
                <w:highlight w:val="none"/>
                <w:vertAlign w:val="subscript"/>
              </w:rPr>
              <w:t>i</w:t>
            </w:r>
            <w:r>
              <w:rPr>
                <w:rFonts w:hint="default" w:ascii="Times New Roman" w:hAnsi="Times New Roman" w:eastAsia="宋体" w:cs="Times New Roman"/>
                <w:color w:val="auto"/>
                <w:kern w:val="0"/>
                <w:sz w:val="24"/>
                <w:highlight w:val="none"/>
              </w:rPr>
              <w:sym w:font="Symbol" w:char="F0BE"/>
            </w:r>
            <w:r>
              <w:rPr>
                <w:rFonts w:hint="default" w:ascii="Times New Roman" w:hAnsi="Times New Roman" w:eastAsia="宋体" w:cs="Times New Roman"/>
                <w:color w:val="auto"/>
                <w:kern w:val="0"/>
                <w:sz w:val="24"/>
                <w:highlight w:val="none"/>
              </w:rPr>
              <w:t>围护结构 i 倍频带的隔声量，dB。</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将室外声源的声压级和透过面积换算成等效的室外声源，计算出中心位置位于透声面积（S）处的等效声源的倍频带声功率级：</w:t>
            </w:r>
          </w:p>
          <w:p>
            <w:pPr>
              <w:keepNext w:val="0"/>
              <w:keepLines w:val="0"/>
              <w:suppressLineNumbers w:val="0"/>
              <w:spacing w:before="0" w:beforeAutospacing="0" w:after="0" w:afterAutospacing="0" w:line="360" w:lineRule="auto"/>
              <w:ind w:left="0" w:right="0" w:firstLine="200"/>
              <w:jc w:val="center"/>
              <w:rPr>
                <w:rFonts w:hint="default" w:ascii="Times New Roman" w:hAnsi="Times New Roman" w:eastAsia="宋体" w:cs="Times New Roman"/>
                <w:color w:val="auto"/>
                <w:kern w:val="0"/>
                <w:sz w:val="24"/>
                <w:highlight w:val="none"/>
              </w:rPr>
            </w:pPr>
            <m:oMathPara>
              <m:oMath>
                <m:sSub>
                  <m:sSubPr>
                    <m:ctrlPr>
                      <w:rPr>
                        <w:rFonts w:hint="default" w:ascii="Cambria Math" w:hAnsi="Cambria Math" w:cs="Times New Roman"/>
                        <w:i/>
                        <w:color w:val="000000"/>
                        <w:kern w:val="0"/>
                        <w:sz w:val="24"/>
                      </w:rPr>
                    </m:ctrlPr>
                  </m:sSubPr>
                  <m:e>
                    <m:r>
                      <m:rPr/>
                      <w:rPr>
                        <w:rFonts w:hint="default" w:ascii="Cambria Math" w:hAnsi="Times New Roman" w:cs="Times New Roman"/>
                        <w:color w:val="000000"/>
                        <w:kern w:val="0"/>
                        <w:sz w:val="24"/>
                      </w:rPr>
                      <m:t>L</m:t>
                    </m:r>
                    <m:ctrlPr>
                      <w:rPr>
                        <w:rFonts w:hint="default" w:ascii="Cambria Math" w:hAnsi="Cambria Math" w:cs="Times New Roman"/>
                        <w:i/>
                        <w:color w:val="000000"/>
                        <w:kern w:val="0"/>
                        <w:sz w:val="24"/>
                      </w:rPr>
                    </m:ctrlPr>
                  </m:e>
                  <m:sub>
                    <m:r>
                      <m:rPr/>
                      <w:rPr>
                        <w:rFonts w:hint="default" w:ascii="Cambria Math" w:hAnsi="Times New Roman" w:cs="Times New Roman"/>
                        <w:color w:val="000000"/>
                        <w:kern w:val="0"/>
                        <w:sz w:val="24"/>
                      </w:rPr>
                      <m:t>w</m:t>
                    </m:r>
                    <m:ctrlPr>
                      <w:rPr>
                        <w:rFonts w:hint="default" w:ascii="Cambria Math" w:hAnsi="Cambria Math" w:cs="Times New Roman"/>
                        <w:i/>
                        <w:color w:val="000000"/>
                        <w:kern w:val="0"/>
                        <w:sz w:val="24"/>
                      </w:rPr>
                    </m:ctrlPr>
                  </m:sub>
                </m:sSub>
                <m:r>
                  <m:rPr/>
                  <w:rPr>
                    <w:rFonts w:hint="default" w:ascii="Cambria Math" w:hAnsi="Times New Roman" w:cs="Times New Roman"/>
                    <w:color w:val="000000"/>
                    <w:kern w:val="0"/>
                    <w:sz w:val="24"/>
                  </w:rPr>
                  <m:t>=</m:t>
                </m:r>
                <m:sSub>
                  <m:sSubPr>
                    <m:ctrlPr>
                      <w:rPr>
                        <w:rFonts w:hint="default" w:ascii="Cambria Math" w:hAnsi="Cambria Math" w:cs="Times New Roman"/>
                        <w:i/>
                        <w:color w:val="000000"/>
                        <w:kern w:val="0"/>
                        <w:sz w:val="24"/>
                      </w:rPr>
                    </m:ctrlPr>
                  </m:sSubPr>
                  <m:e>
                    <m:r>
                      <m:rPr/>
                      <w:rPr>
                        <w:rFonts w:hint="default" w:ascii="Cambria Math" w:hAnsi="Times New Roman" w:cs="Times New Roman"/>
                        <w:color w:val="000000"/>
                        <w:kern w:val="0"/>
                        <w:sz w:val="24"/>
                      </w:rPr>
                      <m:t>L</m:t>
                    </m:r>
                    <m:ctrlPr>
                      <w:rPr>
                        <w:rFonts w:hint="default" w:ascii="Cambria Math" w:hAnsi="Cambria Math" w:cs="Times New Roman"/>
                        <w:i/>
                        <w:color w:val="000000"/>
                        <w:kern w:val="0"/>
                        <w:sz w:val="24"/>
                      </w:rPr>
                    </m:ctrlPr>
                  </m:e>
                  <m:sub>
                    <m:r>
                      <m:rPr/>
                      <w:rPr>
                        <w:rFonts w:hint="default" w:ascii="Cambria Math" w:hAnsi="Times New Roman" w:cs="Times New Roman"/>
                        <w:color w:val="000000"/>
                        <w:kern w:val="0"/>
                        <w:sz w:val="24"/>
                      </w:rPr>
                      <m:t>p2</m:t>
                    </m:r>
                    <m:ctrlPr>
                      <w:rPr>
                        <w:rFonts w:hint="default" w:ascii="Cambria Math" w:hAnsi="Cambria Math" w:cs="Times New Roman"/>
                        <w:i/>
                        <w:color w:val="000000"/>
                        <w:kern w:val="0"/>
                        <w:sz w:val="24"/>
                      </w:rPr>
                    </m:ctrlPr>
                  </m:sub>
                </m:sSub>
                <m:r>
                  <m:rPr/>
                  <w:rPr>
                    <w:rFonts w:hint="default" w:ascii="Cambria Math" w:hAnsi="Times New Roman" w:cs="Times New Roman"/>
                    <w:color w:val="000000"/>
                    <w:kern w:val="0"/>
                    <w:sz w:val="24"/>
                  </w:rPr>
                  <m:t>(T)+10</m:t>
                </m:r>
                <m:func>
                  <m:funcPr>
                    <m:ctrlPr>
                      <w:rPr>
                        <w:rFonts w:hint="default" w:ascii="Cambria Math" w:hAnsi="Cambria Math" w:cs="Times New Roman"/>
                        <w:i/>
                        <w:color w:val="000000"/>
                        <w:kern w:val="0"/>
                        <w:sz w:val="24"/>
                      </w:rPr>
                    </m:ctrlPr>
                  </m:funcPr>
                  <m:fName>
                    <m:r>
                      <m:rPr/>
                      <w:rPr>
                        <w:rFonts w:hint="default" w:ascii="Cambria Math" w:hAnsi="Times New Roman" w:cs="Times New Roman"/>
                        <w:color w:val="000000"/>
                        <w:kern w:val="0"/>
                        <w:sz w:val="24"/>
                      </w:rPr>
                      <m:t>lg</m:t>
                    </m:r>
                    <m:ctrlPr>
                      <w:rPr>
                        <w:rFonts w:hint="default" w:ascii="Cambria Math" w:hAnsi="Cambria Math" w:cs="Times New Roman"/>
                        <w:i/>
                        <w:color w:val="000000"/>
                        <w:kern w:val="0"/>
                        <w:sz w:val="24"/>
                      </w:rPr>
                    </m:ctrlPr>
                  </m:fName>
                  <m:e>
                    <m:r>
                      <m:rPr/>
                      <w:rPr>
                        <w:rFonts w:hint="default" w:ascii="Cambria Math" w:hAnsi="Times New Roman" w:cs="Times New Roman"/>
                        <w:color w:val="000000"/>
                        <w:kern w:val="0"/>
                        <w:sz w:val="24"/>
                      </w:rPr>
                      <m:t>S</m:t>
                    </m:r>
                    <m:ctrlPr>
                      <w:rPr>
                        <w:rFonts w:hint="default" w:ascii="Cambria Math" w:hAnsi="Cambria Math" w:cs="Times New Roman"/>
                        <w:i/>
                        <w:color w:val="000000"/>
                        <w:kern w:val="0"/>
                        <w:sz w:val="24"/>
                      </w:rPr>
                    </m:ctrlPr>
                  </m:e>
                </m:func>
              </m:oMath>
            </m:oMathPara>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式中：L</w:t>
            </w:r>
            <w:r>
              <w:rPr>
                <w:rFonts w:hint="default" w:ascii="Times New Roman" w:hAnsi="Times New Roman" w:eastAsia="宋体" w:cs="Times New Roman"/>
                <w:color w:val="auto"/>
                <w:kern w:val="0"/>
                <w:sz w:val="24"/>
                <w:highlight w:val="none"/>
                <w:vertAlign w:val="subscript"/>
              </w:rPr>
              <w:t>w</w:t>
            </w:r>
            <w:r>
              <w:rPr>
                <w:rFonts w:hint="default" w:ascii="Times New Roman" w:hAnsi="Times New Roman" w:eastAsia="宋体" w:cs="Times New Roman"/>
                <w:color w:val="auto"/>
                <w:kern w:val="0"/>
                <w:sz w:val="24"/>
                <w:highlight w:val="none"/>
              </w:rPr>
              <w:sym w:font="Symbol" w:char="F0BE"/>
            </w:r>
            <w:r>
              <w:rPr>
                <w:rFonts w:hint="default" w:ascii="Times New Roman" w:hAnsi="Times New Roman" w:eastAsia="宋体" w:cs="Times New Roman"/>
                <w:color w:val="auto"/>
                <w:kern w:val="0"/>
                <w:sz w:val="24"/>
                <w:highlight w:val="none"/>
              </w:rPr>
              <w:t>—中心位置位于透声面积（S）处的等效声源的倍频带声功率级，dB；</w:t>
            </w:r>
          </w:p>
          <w:p>
            <w:pPr>
              <w:keepNext w:val="0"/>
              <w:keepLines w:val="0"/>
              <w:suppressLineNumbers w:val="0"/>
              <w:spacing w:before="0" w:beforeAutospacing="0" w:after="0" w:afterAutospacing="0" w:line="360" w:lineRule="auto"/>
              <w:ind w:left="0" w:right="0" w:firstLine="1200" w:firstLineChars="5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L</w:t>
            </w:r>
            <w:r>
              <w:rPr>
                <w:rFonts w:hint="default" w:ascii="Times New Roman" w:hAnsi="Times New Roman" w:eastAsia="宋体" w:cs="Times New Roman"/>
                <w:color w:val="auto"/>
                <w:kern w:val="0"/>
                <w:sz w:val="24"/>
                <w:highlight w:val="none"/>
                <w:vertAlign w:val="subscript"/>
              </w:rPr>
              <w:t>p2</w:t>
            </w:r>
            <w:r>
              <w:rPr>
                <w:rFonts w:hint="default" w:ascii="Times New Roman" w:hAnsi="Times New Roman" w:eastAsia="宋体" w:cs="Times New Roman"/>
                <w:color w:val="auto"/>
                <w:kern w:val="0"/>
                <w:sz w:val="24"/>
                <w:highlight w:val="none"/>
              </w:rPr>
              <w:t>（T）</w:t>
            </w:r>
            <w:r>
              <w:rPr>
                <w:rFonts w:hint="default" w:ascii="Times New Roman" w:hAnsi="Times New Roman" w:eastAsia="宋体" w:cs="Times New Roman"/>
                <w:color w:val="auto"/>
                <w:kern w:val="0"/>
                <w:sz w:val="24"/>
                <w:highlight w:val="none"/>
                <w:vertAlign w:val="subscript"/>
              </w:rPr>
              <w:t xml:space="preserve"> </w:t>
            </w:r>
            <w:r>
              <w:rPr>
                <w:rFonts w:hint="default" w:ascii="Times New Roman" w:hAnsi="Times New Roman" w:eastAsia="宋体" w:cs="Times New Roman"/>
                <w:color w:val="auto"/>
                <w:kern w:val="0"/>
                <w:sz w:val="24"/>
                <w:highlight w:val="none"/>
              </w:rPr>
              <w:sym w:font="Symbol" w:char="F0BE"/>
            </w:r>
            <w:r>
              <w:rPr>
                <w:rFonts w:hint="default" w:ascii="Times New Roman" w:hAnsi="Times New Roman" w:eastAsia="宋体" w:cs="Times New Roman"/>
                <w:color w:val="auto"/>
                <w:kern w:val="0"/>
                <w:sz w:val="24"/>
                <w:highlight w:val="none"/>
              </w:rPr>
              <w:t>靠近围护结构处室外声源的声压级，dB；</w:t>
            </w:r>
          </w:p>
          <w:p>
            <w:pPr>
              <w:keepNext w:val="0"/>
              <w:keepLines w:val="0"/>
              <w:suppressLineNumbers w:val="0"/>
              <w:spacing w:before="0" w:beforeAutospacing="0" w:after="0" w:afterAutospacing="0" w:line="360" w:lineRule="auto"/>
              <w:ind w:left="1500" w:leftChars="600" w:right="0" w:hanging="240" w:hangingChars="1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S</w:t>
            </w:r>
            <w:r>
              <w:rPr>
                <w:rFonts w:hint="default" w:ascii="Times New Roman" w:hAnsi="Times New Roman" w:eastAsia="宋体" w:cs="Times New Roman"/>
                <w:color w:val="auto"/>
                <w:kern w:val="0"/>
                <w:sz w:val="24"/>
                <w:highlight w:val="none"/>
              </w:rPr>
              <w:sym w:font="Symbol" w:char="F0BE"/>
            </w:r>
            <w:r>
              <w:rPr>
                <w:rFonts w:hint="default" w:ascii="Times New Roman" w:hAnsi="Times New Roman" w:eastAsia="宋体" w:cs="Times New Roman"/>
                <w:color w:val="auto"/>
                <w:kern w:val="0"/>
                <w:sz w:val="24"/>
                <w:highlight w:val="none"/>
              </w:rPr>
              <w:t>透声面积，m</w:t>
            </w:r>
            <w:r>
              <w:rPr>
                <w:rFonts w:hint="default" w:ascii="Times New Roman" w:hAnsi="Times New Roman" w:eastAsia="宋体" w:cs="Times New Roman"/>
                <w:color w:val="auto"/>
                <w:kern w:val="0"/>
                <w:sz w:val="24"/>
                <w:highlight w:val="none"/>
                <w:vertAlign w:val="superscript"/>
              </w:rPr>
              <w:t>2</w:t>
            </w:r>
            <w:r>
              <w:rPr>
                <w:rFonts w:hint="default" w:ascii="Times New Roman" w:hAnsi="Times New Roman" w:eastAsia="宋体" w:cs="Times New Roman"/>
                <w:color w:val="auto"/>
                <w:kern w:val="0"/>
                <w:sz w:val="24"/>
                <w:highlight w:val="none"/>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然后按室外声源预测方法计算预测点处的 A 声级。</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计算总声压级</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设第i个室外声源在预测点产生的A声级为L</w:t>
            </w:r>
            <w:r>
              <w:rPr>
                <w:rFonts w:hint="default" w:ascii="Times New Roman" w:hAnsi="Times New Roman" w:eastAsia="宋体" w:cs="Times New Roman"/>
                <w:color w:val="auto"/>
                <w:sz w:val="24"/>
                <w:highlight w:val="none"/>
                <w:vertAlign w:val="subscript"/>
              </w:rPr>
              <w:t>Ai</w:t>
            </w:r>
            <w:r>
              <w:rPr>
                <w:rFonts w:hint="default" w:ascii="Times New Roman" w:hAnsi="Times New Roman" w:eastAsia="宋体" w:cs="Times New Roman"/>
                <w:color w:val="auto"/>
                <w:sz w:val="24"/>
                <w:highlight w:val="none"/>
              </w:rPr>
              <w:t>，在T时间内该声源工作时间为t</w:t>
            </w:r>
            <w:r>
              <w:rPr>
                <w:rFonts w:hint="default" w:ascii="Times New Roman" w:hAnsi="Times New Roman" w:eastAsia="宋体" w:cs="Times New Roman"/>
                <w:color w:val="auto"/>
                <w:sz w:val="24"/>
                <w:highlight w:val="none"/>
                <w:vertAlign w:val="subscript"/>
              </w:rPr>
              <w:t>i</w:t>
            </w:r>
            <w:r>
              <w:rPr>
                <w:rFonts w:hint="default" w:ascii="Times New Roman" w:hAnsi="Times New Roman" w:eastAsia="宋体" w:cs="Times New Roman"/>
                <w:color w:val="auto"/>
                <w:sz w:val="24"/>
                <w:highlight w:val="none"/>
              </w:rPr>
              <w:t>；第j个等效室外声源在预测点产生的A声级为L</w:t>
            </w:r>
            <w:r>
              <w:rPr>
                <w:rFonts w:hint="default" w:ascii="Times New Roman" w:hAnsi="Times New Roman" w:eastAsia="宋体" w:cs="Times New Roman"/>
                <w:color w:val="auto"/>
                <w:sz w:val="24"/>
                <w:highlight w:val="none"/>
                <w:vertAlign w:val="subscript"/>
              </w:rPr>
              <w:t>Aj</w:t>
            </w:r>
            <w:r>
              <w:rPr>
                <w:rFonts w:hint="default" w:ascii="Times New Roman" w:hAnsi="Times New Roman" w:eastAsia="宋体" w:cs="Times New Roman"/>
                <w:color w:val="auto"/>
                <w:sz w:val="24"/>
                <w:highlight w:val="none"/>
              </w:rPr>
              <w:t>，在T时间内该声源工作时间为t</w:t>
            </w:r>
            <w:r>
              <w:rPr>
                <w:rFonts w:hint="default" w:ascii="Times New Roman" w:hAnsi="Times New Roman" w:eastAsia="宋体" w:cs="Times New Roman"/>
                <w:color w:val="auto"/>
                <w:sz w:val="24"/>
                <w:highlight w:val="none"/>
                <w:vertAlign w:val="subscript"/>
              </w:rPr>
              <w:t>j</w:t>
            </w:r>
            <w:r>
              <w:rPr>
                <w:rFonts w:hint="default" w:ascii="Times New Roman" w:hAnsi="Times New Roman" w:eastAsia="宋体" w:cs="Times New Roman"/>
                <w:color w:val="auto"/>
                <w:sz w:val="24"/>
                <w:highlight w:val="none"/>
              </w:rPr>
              <w:t>，则拟建工程声源对预测点产生的贡献值（L</w:t>
            </w:r>
            <w:r>
              <w:rPr>
                <w:rFonts w:hint="default" w:ascii="Times New Roman" w:hAnsi="Times New Roman" w:eastAsia="宋体" w:cs="Times New Roman"/>
                <w:color w:val="auto"/>
                <w:sz w:val="24"/>
                <w:highlight w:val="none"/>
                <w:vertAlign w:val="subscript"/>
              </w:rPr>
              <w:t>eqg</w:t>
            </w:r>
            <w:r>
              <w:rPr>
                <w:rFonts w:hint="default" w:ascii="Times New Roman" w:hAnsi="Times New Roman" w:eastAsia="宋体" w:cs="Times New Roman"/>
                <w:color w:val="auto"/>
                <w:sz w:val="24"/>
                <w:highlight w:val="none"/>
              </w:rPr>
              <w:t>）为：</w:t>
            </w:r>
          </w:p>
          <w:p>
            <w:pPr>
              <w:keepNext w:val="0"/>
              <w:keepLines w:val="0"/>
              <w:suppressLineNumbers w:val="0"/>
              <w:spacing w:before="0" w:beforeAutospacing="0" w:after="0" w:afterAutospacing="0" w:line="360" w:lineRule="auto"/>
              <w:ind w:left="0" w:right="0" w:firstLine="420" w:firstLineChars="20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highlight w:val="none"/>
              </w:rPr>
              <w:drawing>
                <wp:inline distT="0" distB="0" distL="114300" distR="114300">
                  <wp:extent cx="2889250" cy="605790"/>
                  <wp:effectExtent l="0" t="0" r="6350" b="3810"/>
                  <wp:docPr id="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3"/>
                          <pic:cNvPicPr>
                            <a:picLocks noChangeAspect="1"/>
                          </pic:cNvPicPr>
                        </pic:nvPicPr>
                        <pic:blipFill>
                          <a:blip r:embed="rId21"/>
                          <a:stretch>
                            <a:fillRect/>
                          </a:stretch>
                        </pic:blipFill>
                        <pic:spPr>
                          <a:xfrm>
                            <a:off x="0" y="0"/>
                            <a:ext cx="2889250" cy="605790"/>
                          </a:xfrm>
                          <a:prstGeom prst="rect">
                            <a:avLst/>
                          </a:prstGeom>
                          <a:noFill/>
                          <a:ln>
                            <a:noFill/>
                          </a:ln>
                        </pic:spPr>
                      </pic:pic>
                    </a:graphicData>
                  </a:graphic>
                </wp:inline>
              </w:drawing>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式中：L</w:t>
            </w:r>
            <w:r>
              <w:rPr>
                <w:rFonts w:hint="default" w:ascii="Times New Roman" w:hAnsi="Times New Roman" w:eastAsia="宋体" w:cs="Times New Roman"/>
                <w:color w:val="auto"/>
                <w:sz w:val="24"/>
                <w:highlight w:val="none"/>
                <w:vertAlign w:val="subscript"/>
              </w:rPr>
              <w:t>eqg</w:t>
            </w:r>
            <w:r>
              <w:rPr>
                <w:rFonts w:hint="default" w:ascii="Times New Roman" w:hAnsi="Times New Roman" w:eastAsia="宋体" w:cs="Times New Roman"/>
                <w:color w:val="auto"/>
                <w:sz w:val="24"/>
                <w:highlight w:val="none"/>
              </w:rPr>
              <w:t>——建设项目声源在预测点产生的噪声贡献值，dB；</w:t>
            </w:r>
          </w:p>
          <w:p>
            <w:pPr>
              <w:keepNext w:val="0"/>
              <w:keepLines w:val="0"/>
              <w:suppressLineNumbers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T——用于计算等效声级的时间，s；</w:t>
            </w:r>
          </w:p>
          <w:p>
            <w:pPr>
              <w:keepNext w:val="0"/>
              <w:keepLines w:val="0"/>
              <w:suppressLineNumbers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N——室外声源个数；</w:t>
            </w:r>
          </w:p>
          <w:p>
            <w:pPr>
              <w:keepNext w:val="0"/>
              <w:keepLines w:val="0"/>
              <w:suppressLineNumbers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t</w:t>
            </w:r>
            <w:r>
              <w:rPr>
                <w:rFonts w:hint="default" w:ascii="Times New Roman" w:hAnsi="Times New Roman" w:eastAsia="宋体" w:cs="Times New Roman"/>
                <w:color w:val="auto"/>
                <w:sz w:val="24"/>
                <w:highlight w:val="none"/>
                <w:vertAlign w:val="subscript"/>
              </w:rPr>
              <w:t>i</w:t>
            </w:r>
            <w:r>
              <w:rPr>
                <w:rFonts w:hint="default" w:ascii="Times New Roman" w:hAnsi="Times New Roman" w:eastAsia="宋体" w:cs="Times New Roman"/>
                <w:color w:val="auto"/>
                <w:sz w:val="24"/>
                <w:highlight w:val="none"/>
              </w:rPr>
              <w:t>——在T时间内i声源工作时间，s；</w:t>
            </w:r>
          </w:p>
          <w:p>
            <w:pPr>
              <w:keepNext w:val="0"/>
              <w:keepLines w:val="0"/>
              <w:suppressLineNumbers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M——等效室外声源个数；</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t</w:t>
            </w:r>
            <w:r>
              <w:rPr>
                <w:rFonts w:hint="default" w:ascii="Times New Roman" w:hAnsi="Times New Roman" w:eastAsia="宋体" w:cs="Times New Roman"/>
                <w:color w:val="auto"/>
                <w:sz w:val="24"/>
                <w:highlight w:val="none"/>
                <w:vertAlign w:val="subscript"/>
              </w:rPr>
              <w:t>j</w:t>
            </w:r>
            <w:r>
              <w:rPr>
                <w:rFonts w:hint="default" w:ascii="Times New Roman" w:hAnsi="Times New Roman" w:eastAsia="宋体" w:cs="Times New Roman"/>
                <w:color w:val="auto"/>
                <w:sz w:val="24"/>
                <w:highlight w:val="none"/>
              </w:rPr>
              <w:t>——在T时间内j声源工作时间，s。</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color w:val="auto"/>
                <w:sz w:val="24"/>
                <w:highlight w:val="none"/>
              </w:rPr>
              <w:t>②预测结果及评价</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表4.4-3   厂界噪声贡献值预测结果 单位：dB（A）</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871"/>
              <w:gridCol w:w="994"/>
              <w:gridCol w:w="1017"/>
              <w:gridCol w:w="1390"/>
              <w:gridCol w:w="1227"/>
              <w:gridCol w:w="1270"/>
              <w:gridCol w:w="1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641"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预测方位</w:t>
                  </w:r>
                </w:p>
              </w:tc>
              <w:tc>
                <w:tcPr>
                  <w:tcW w:w="1559" w:type="pct"/>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最大值点空间相对位置/m</w:t>
                  </w:r>
                </w:p>
              </w:tc>
              <w:tc>
                <w:tcPr>
                  <w:tcW w:w="752"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时段</w:t>
                  </w:r>
                </w:p>
              </w:tc>
              <w:tc>
                <w:tcPr>
                  <w:tcW w:w="664"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贡献值（dB(A)）</w:t>
                  </w:r>
                </w:p>
              </w:tc>
              <w:tc>
                <w:tcPr>
                  <w:tcW w:w="687"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标准限值（dB(A)）</w:t>
                  </w:r>
                </w:p>
              </w:tc>
              <w:tc>
                <w:tcPr>
                  <w:tcW w:w="693"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41" w:type="pct"/>
                  <w:vMerge w:val="continue"/>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71"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w:t>
                  </w:r>
                </w:p>
              </w:tc>
              <w:tc>
                <w:tcPr>
                  <w:tcW w:w="538"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550"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w:t>
                  </w:r>
                </w:p>
              </w:tc>
              <w:tc>
                <w:tcPr>
                  <w:tcW w:w="752" w:type="pct"/>
                  <w:vMerge w:val="continue"/>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664" w:type="pct"/>
                  <w:vMerge w:val="continue"/>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687" w:type="pct"/>
                  <w:vMerge w:val="continue"/>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693" w:type="pct"/>
                  <w:vMerge w:val="continue"/>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27" w:hRule="exact"/>
                <w:jc w:val="center"/>
              </w:trPr>
              <w:tc>
                <w:tcPr>
                  <w:tcW w:w="641"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北</w:t>
                  </w:r>
                  <w:r>
                    <w:rPr>
                      <w:rFonts w:hint="default" w:ascii="Times New Roman" w:hAnsi="Times New Roman" w:eastAsia="宋体" w:cs="Times New Roman"/>
                      <w:bCs/>
                      <w:color w:val="auto"/>
                      <w:sz w:val="21"/>
                      <w:szCs w:val="21"/>
                      <w:highlight w:val="none"/>
                    </w:rPr>
                    <w:t>侧</w:t>
                  </w:r>
                </w:p>
              </w:tc>
              <w:tc>
                <w:tcPr>
                  <w:tcW w:w="471"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-71.93</w:t>
                  </w:r>
                </w:p>
              </w:tc>
              <w:tc>
                <w:tcPr>
                  <w:tcW w:w="538"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-2.3</w:t>
                  </w:r>
                </w:p>
              </w:tc>
              <w:tc>
                <w:tcPr>
                  <w:tcW w:w="550"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1.2</w:t>
                  </w:r>
                </w:p>
              </w:tc>
              <w:tc>
                <w:tcPr>
                  <w:tcW w:w="752"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昼间</w:t>
                  </w:r>
                </w:p>
              </w:tc>
              <w:tc>
                <w:tcPr>
                  <w:tcW w:w="664"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44.72</w:t>
                  </w:r>
                </w:p>
              </w:tc>
              <w:tc>
                <w:tcPr>
                  <w:tcW w:w="687"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6</w:t>
                  </w:r>
                  <w:r>
                    <w:rPr>
                      <w:rFonts w:hint="default" w:ascii="Times New Roman" w:hAnsi="Times New Roman" w:eastAsia="宋体" w:cs="Times New Roman"/>
                      <w:bCs/>
                      <w:color w:val="auto"/>
                      <w:sz w:val="21"/>
                      <w:szCs w:val="21"/>
                      <w:highlight w:val="none"/>
                      <w:lang w:val="en-US" w:eastAsia="zh-CN"/>
                    </w:rPr>
                    <w:t>0</w:t>
                  </w:r>
                </w:p>
              </w:tc>
              <w:tc>
                <w:tcPr>
                  <w:tcW w:w="693"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641"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东</w:t>
                  </w:r>
                  <w:r>
                    <w:rPr>
                      <w:rFonts w:hint="default" w:ascii="Times New Roman" w:hAnsi="Times New Roman" w:eastAsia="宋体" w:cs="Times New Roman"/>
                      <w:bCs/>
                      <w:color w:val="auto"/>
                      <w:sz w:val="21"/>
                      <w:szCs w:val="21"/>
                      <w:highlight w:val="none"/>
                    </w:rPr>
                    <w:t>侧</w:t>
                  </w:r>
                </w:p>
              </w:tc>
              <w:tc>
                <w:tcPr>
                  <w:tcW w:w="471"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35.25</w:t>
                  </w:r>
                </w:p>
              </w:tc>
              <w:tc>
                <w:tcPr>
                  <w:tcW w:w="538"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-64.82</w:t>
                  </w:r>
                </w:p>
              </w:tc>
              <w:tc>
                <w:tcPr>
                  <w:tcW w:w="550"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1.2</w:t>
                  </w:r>
                </w:p>
              </w:tc>
              <w:tc>
                <w:tcPr>
                  <w:tcW w:w="752"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昼间</w:t>
                  </w:r>
                </w:p>
              </w:tc>
              <w:tc>
                <w:tcPr>
                  <w:tcW w:w="664"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40.19</w:t>
                  </w:r>
                </w:p>
              </w:tc>
              <w:tc>
                <w:tcPr>
                  <w:tcW w:w="687"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6</w:t>
                  </w:r>
                  <w:r>
                    <w:rPr>
                      <w:rFonts w:hint="default" w:ascii="Times New Roman" w:hAnsi="Times New Roman" w:eastAsia="宋体" w:cs="Times New Roman"/>
                      <w:bCs/>
                      <w:color w:val="auto"/>
                      <w:sz w:val="21"/>
                      <w:szCs w:val="21"/>
                      <w:highlight w:val="none"/>
                      <w:lang w:val="en-US" w:eastAsia="zh-CN"/>
                    </w:rPr>
                    <w:t>0</w:t>
                  </w:r>
                </w:p>
              </w:tc>
              <w:tc>
                <w:tcPr>
                  <w:tcW w:w="693"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38" w:hRule="exact"/>
                <w:jc w:val="center"/>
              </w:trPr>
              <w:tc>
                <w:tcPr>
                  <w:tcW w:w="641"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南</w:t>
                  </w:r>
                  <w:r>
                    <w:rPr>
                      <w:rFonts w:hint="default" w:ascii="Times New Roman" w:hAnsi="Times New Roman" w:eastAsia="宋体" w:cs="Times New Roman"/>
                      <w:bCs/>
                      <w:color w:val="auto"/>
                      <w:sz w:val="21"/>
                      <w:szCs w:val="21"/>
                      <w:highlight w:val="none"/>
                    </w:rPr>
                    <w:t>侧</w:t>
                  </w:r>
                </w:p>
              </w:tc>
              <w:tc>
                <w:tcPr>
                  <w:tcW w:w="471"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-16.72</w:t>
                  </w:r>
                </w:p>
              </w:tc>
              <w:tc>
                <w:tcPr>
                  <w:tcW w:w="538"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-160.09</w:t>
                  </w:r>
                </w:p>
              </w:tc>
              <w:tc>
                <w:tcPr>
                  <w:tcW w:w="550"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1.2</w:t>
                  </w:r>
                </w:p>
              </w:tc>
              <w:tc>
                <w:tcPr>
                  <w:tcW w:w="752"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昼间</w:t>
                  </w:r>
                </w:p>
              </w:tc>
              <w:tc>
                <w:tcPr>
                  <w:tcW w:w="664"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24.39</w:t>
                  </w:r>
                </w:p>
              </w:tc>
              <w:tc>
                <w:tcPr>
                  <w:tcW w:w="687"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6</w:t>
                  </w:r>
                  <w:r>
                    <w:rPr>
                      <w:rFonts w:hint="default" w:ascii="Times New Roman" w:hAnsi="Times New Roman" w:eastAsia="宋体" w:cs="Times New Roman"/>
                      <w:bCs/>
                      <w:color w:val="auto"/>
                      <w:sz w:val="21"/>
                      <w:szCs w:val="21"/>
                      <w:highlight w:val="none"/>
                      <w:lang w:val="en-US" w:eastAsia="zh-CN"/>
                    </w:rPr>
                    <w:t>0</w:t>
                  </w:r>
                </w:p>
              </w:tc>
              <w:tc>
                <w:tcPr>
                  <w:tcW w:w="693"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641"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西</w:t>
                  </w:r>
                  <w:r>
                    <w:rPr>
                      <w:rFonts w:hint="default" w:ascii="Times New Roman" w:hAnsi="Times New Roman" w:eastAsia="宋体" w:cs="Times New Roman"/>
                      <w:bCs/>
                      <w:color w:val="auto"/>
                      <w:sz w:val="21"/>
                      <w:szCs w:val="21"/>
                      <w:highlight w:val="none"/>
                    </w:rPr>
                    <w:t>侧</w:t>
                  </w:r>
                </w:p>
              </w:tc>
              <w:tc>
                <w:tcPr>
                  <w:tcW w:w="471"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-111.18</w:t>
                  </w:r>
                </w:p>
              </w:tc>
              <w:tc>
                <w:tcPr>
                  <w:tcW w:w="538"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-98.38</w:t>
                  </w:r>
                </w:p>
              </w:tc>
              <w:tc>
                <w:tcPr>
                  <w:tcW w:w="550"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1.2</w:t>
                  </w:r>
                </w:p>
              </w:tc>
              <w:tc>
                <w:tcPr>
                  <w:tcW w:w="752"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昼间</w:t>
                  </w:r>
                </w:p>
              </w:tc>
              <w:tc>
                <w:tcPr>
                  <w:tcW w:w="664"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31.17</w:t>
                  </w:r>
                </w:p>
              </w:tc>
              <w:tc>
                <w:tcPr>
                  <w:tcW w:w="687"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6</w:t>
                  </w:r>
                  <w:r>
                    <w:rPr>
                      <w:rFonts w:hint="default" w:ascii="Times New Roman" w:hAnsi="Times New Roman" w:eastAsia="宋体" w:cs="Times New Roman"/>
                      <w:bCs/>
                      <w:color w:val="auto"/>
                      <w:sz w:val="21"/>
                      <w:szCs w:val="21"/>
                      <w:highlight w:val="none"/>
                      <w:lang w:val="en-US" w:eastAsia="zh-CN"/>
                    </w:rPr>
                    <w:t>0</w:t>
                  </w:r>
                </w:p>
              </w:tc>
              <w:tc>
                <w:tcPr>
                  <w:tcW w:w="693"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达标</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通过上表预测结果，项目</w:t>
            </w:r>
            <w:r>
              <w:rPr>
                <w:rFonts w:hint="default" w:ascii="Times New Roman" w:hAnsi="Times New Roman" w:eastAsia="宋体" w:cs="Times New Roman"/>
                <w:color w:val="auto"/>
                <w:kern w:val="0"/>
                <w:sz w:val="24"/>
                <w:szCs w:val="24"/>
                <w:highlight w:val="none"/>
              </w:rPr>
              <w:t>厂界</w:t>
            </w:r>
            <w:r>
              <w:rPr>
                <w:rFonts w:hint="default" w:ascii="Times New Roman" w:hAnsi="Times New Roman" w:eastAsia="宋体" w:cs="Times New Roman"/>
                <w:color w:val="auto"/>
                <w:kern w:val="0"/>
                <w:sz w:val="24"/>
                <w:szCs w:val="24"/>
                <w:highlight w:val="none"/>
                <w:lang w:val="en-US" w:eastAsia="zh-CN"/>
              </w:rPr>
              <w:t>外1米处的</w:t>
            </w:r>
            <w:r>
              <w:rPr>
                <w:rFonts w:hint="default" w:ascii="Times New Roman" w:hAnsi="Times New Roman" w:eastAsia="宋体" w:cs="Times New Roman"/>
                <w:color w:val="auto"/>
                <w:kern w:val="0"/>
                <w:sz w:val="24"/>
                <w:szCs w:val="24"/>
                <w:highlight w:val="none"/>
              </w:rPr>
              <w:t>噪声值能达到《工业企业厂界环境噪声排放标准》（GB12348-2008）</w:t>
            </w:r>
            <w:r>
              <w:rPr>
                <w:rFonts w:hint="default" w:ascii="Times New Roman" w:hAnsi="Times New Roman" w:eastAsia="宋体" w:cs="Times New Roman"/>
                <w:color w:val="auto"/>
                <w:kern w:val="0"/>
                <w:sz w:val="24"/>
                <w:szCs w:val="24"/>
                <w:highlight w:val="none"/>
                <w:lang w:val="en-US" w:eastAsia="zh-CN"/>
              </w:rPr>
              <w:t>2</w:t>
            </w:r>
            <w:r>
              <w:rPr>
                <w:rFonts w:hint="default" w:ascii="Times New Roman" w:hAnsi="Times New Roman" w:eastAsia="宋体" w:cs="Times New Roman"/>
                <w:color w:val="auto"/>
                <w:kern w:val="0"/>
                <w:sz w:val="24"/>
                <w:szCs w:val="24"/>
                <w:highlight w:val="none"/>
              </w:rPr>
              <w:t>类标准（昼间≤6</w:t>
            </w:r>
            <w:r>
              <w:rPr>
                <w:rFonts w:hint="default" w:ascii="Times New Roman" w:hAnsi="Times New Roman" w:eastAsia="宋体" w:cs="Times New Roman"/>
                <w:color w:val="auto"/>
                <w:kern w:val="0"/>
                <w:sz w:val="24"/>
                <w:szCs w:val="24"/>
                <w:highlight w:val="none"/>
                <w:lang w:val="en-US" w:eastAsia="zh-CN"/>
              </w:rPr>
              <w:t>0</w:t>
            </w:r>
            <w:r>
              <w:rPr>
                <w:rFonts w:hint="default" w:ascii="Times New Roman" w:hAnsi="Times New Roman" w:eastAsia="宋体" w:cs="Times New Roman"/>
                <w:color w:val="auto"/>
                <w:kern w:val="0"/>
                <w:sz w:val="24"/>
                <w:szCs w:val="24"/>
                <w:highlight w:val="none"/>
              </w:rPr>
              <w:t>dB（A））。</w:t>
            </w:r>
            <w:r>
              <w:rPr>
                <w:rFonts w:hint="default" w:ascii="Times New Roman" w:hAnsi="Times New Roman" w:eastAsia="宋体" w:cs="Times New Roman"/>
                <w:color w:val="auto"/>
                <w:sz w:val="24"/>
                <w:szCs w:val="24"/>
                <w:highlight w:val="none"/>
              </w:rPr>
              <w:t>运营期生产区噪声对周围声环境影响较小。</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snapToGrid w:val="0"/>
                <w:color w:val="auto"/>
                <w:kern w:val="0"/>
                <w:sz w:val="24"/>
                <w:szCs w:val="24"/>
                <w:highlight w:val="none"/>
              </w:rPr>
            </w:pPr>
            <w:r>
              <w:rPr>
                <w:rFonts w:hint="default" w:ascii="Times New Roman" w:hAnsi="Times New Roman" w:eastAsia="宋体" w:cs="Times New Roman"/>
                <w:snapToGrid w:val="0"/>
                <w:color w:val="auto"/>
                <w:kern w:val="0"/>
                <w:sz w:val="24"/>
                <w:szCs w:val="24"/>
                <w:highlight w:val="none"/>
              </w:rPr>
              <w:t>为进一步降低运营期间噪声对周边环境的影响，本环评报告要求建设单位在运营期采取以下措施：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a.设备应定期维护保养，避免设备噪声增大。</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b.及时增加或更换润滑油，降低设备直接的摩擦。</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color w:val="auto"/>
                <w:sz w:val="24"/>
                <w:szCs w:val="24"/>
                <w:highlight w:val="none"/>
              </w:rPr>
              <w:t>c.项目设备优化布局，高噪声设备布置于厂房内等措施，进一步降低项目运营噪声对周围声环境影响。</w:t>
            </w:r>
          </w:p>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4.3、噪声监测计划</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color w:val="auto"/>
                <w:kern w:val="0"/>
                <w:sz w:val="24"/>
                <w:szCs w:val="24"/>
                <w:highlight w:val="none"/>
              </w:rPr>
              <w:t>根据《排污单位自行监测技术指南 总则》（HJ819-2017），本项目噪声自行监测计划如下表所示：</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color w:val="auto"/>
                <w:kern w:val="0"/>
                <w:szCs w:val="21"/>
                <w:highlight w:val="none"/>
              </w:rPr>
              <w:t>表4.4-4    噪声监测计划表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1613"/>
              <w:gridCol w:w="1615"/>
              <w:gridCol w:w="2538"/>
              <w:gridCol w:w="2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监测点位</w:t>
                  </w:r>
                </w:p>
              </w:tc>
              <w:tc>
                <w:tcPr>
                  <w:tcW w:w="87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监测项目</w:t>
                  </w:r>
                </w:p>
              </w:tc>
              <w:tc>
                <w:tcPr>
                  <w:tcW w:w="87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时间及频次</w:t>
                  </w:r>
                </w:p>
              </w:tc>
              <w:tc>
                <w:tcPr>
                  <w:tcW w:w="137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执行标准</w:t>
                  </w:r>
                </w:p>
              </w:tc>
              <w:tc>
                <w:tcPr>
                  <w:tcW w:w="10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厂界外东、南、西、北1m处</w:t>
                  </w:r>
                </w:p>
              </w:tc>
              <w:tc>
                <w:tcPr>
                  <w:tcW w:w="87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等效声级Leq(dB(A))</w:t>
                  </w:r>
                </w:p>
              </w:tc>
              <w:tc>
                <w:tcPr>
                  <w:tcW w:w="87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1次/季</w:t>
                  </w:r>
                </w:p>
              </w:tc>
              <w:tc>
                <w:tcPr>
                  <w:tcW w:w="137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《工业企业厂界环境噪声排放标准》（GB12348-2008）</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类标准</w:t>
                  </w:r>
                </w:p>
              </w:tc>
              <w:tc>
                <w:tcPr>
                  <w:tcW w:w="10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昼间≤6</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dB（A），夜间≤5</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dB（A）</w:t>
                  </w:r>
                </w:p>
              </w:tc>
            </w:tr>
          </w:tbl>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b/>
                <w:color w:val="auto"/>
                <w:kern w:val="0"/>
                <w:sz w:val="24"/>
                <w:highlight w:val="none"/>
              </w:rPr>
              <w:t>五、固体废物</w:t>
            </w:r>
          </w:p>
          <w:p>
            <w:pPr>
              <w:keepNext w:val="0"/>
              <w:keepLines w:val="0"/>
              <w:suppressLineNumbers w:val="0"/>
              <w:spacing w:before="0" w:beforeAutospacing="0" w:after="0" w:afterAutospacing="0" w:line="360" w:lineRule="auto"/>
              <w:ind w:left="0" w:right="0"/>
              <w:jc w:val="left"/>
              <w:textAlignment w:val="baseline"/>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5.</w:t>
            </w:r>
            <w:r>
              <w:rPr>
                <w:rFonts w:hint="default"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rPr>
              <w:t>一般固体废物</w:t>
            </w:r>
          </w:p>
          <w:p>
            <w:pPr>
              <w:keepNext w:val="0"/>
              <w:keepLines w:val="0"/>
              <w:suppressLineNumbers w:val="0"/>
              <w:spacing w:before="0" w:beforeAutospacing="0" w:after="0" w:afterAutospacing="0" w:line="360" w:lineRule="auto"/>
              <w:ind w:left="0" w:right="0" w:firstLine="482" w:firstLineChars="200"/>
              <w:jc w:val="left"/>
              <w:textAlignment w:val="baseline"/>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①废泥坯</w:t>
            </w:r>
          </w:p>
          <w:p>
            <w:pPr>
              <w:keepNext w:val="0"/>
              <w:keepLines w:val="0"/>
              <w:suppressLineNumbers w:val="0"/>
              <w:spacing w:before="0" w:beforeAutospacing="0" w:after="0" w:afterAutospacing="0" w:line="360" w:lineRule="auto"/>
              <w:ind w:left="0" w:right="0" w:firstLine="480" w:firstLineChars="200"/>
              <w:jc w:val="left"/>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lang w:val="en-US" w:eastAsia="zh-CN"/>
              </w:rPr>
              <w:t>根据以往生产经验及原有项目竣工验收，项目生产过程中</w:t>
            </w:r>
            <w:r>
              <w:rPr>
                <w:rFonts w:hint="default" w:ascii="Times New Roman" w:hAnsi="Times New Roman" w:eastAsia="宋体" w:cs="Times New Roman"/>
                <w:color w:val="auto"/>
                <w:sz w:val="24"/>
                <w:highlight w:val="none"/>
              </w:rPr>
              <w:t>废泥坯产生量为</w:t>
            </w:r>
            <w:r>
              <w:rPr>
                <w:rFonts w:hint="default" w:ascii="Times New Roman" w:hAnsi="Times New Roman" w:eastAsia="宋体" w:cs="Times New Roman"/>
                <w:color w:val="auto"/>
                <w:sz w:val="24"/>
                <w:highlight w:val="none"/>
                <w:lang w:val="en-US" w:eastAsia="zh-CN"/>
              </w:rPr>
              <w:t>22.96</w:t>
            </w:r>
            <w:r>
              <w:rPr>
                <w:rFonts w:hint="default" w:ascii="Times New Roman" w:hAnsi="Times New Roman" w:eastAsia="宋体" w:cs="Times New Roman"/>
                <w:color w:val="auto"/>
                <w:sz w:val="24"/>
                <w:highlight w:val="none"/>
              </w:rPr>
              <w:t>t/a，</w:t>
            </w:r>
            <w:r>
              <w:rPr>
                <w:rFonts w:hint="default" w:ascii="Times New Roman" w:hAnsi="Times New Roman" w:eastAsia="宋体" w:cs="Times New Roman"/>
                <w:color w:val="auto"/>
                <w:sz w:val="24"/>
                <w:szCs w:val="24"/>
                <w:highlight w:val="none"/>
                <w:lang w:val="en-US" w:eastAsia="zh-CN"/>
              </w:rPr>
              <w:t>根据《一般固体废物分类与代码》（GB/T39198-2020），固废代码为900-999-99。作为原料经收集后回用于搅拌工序。</w:t>
            </w:r>
          </w:p>
          <w:p>
            <w:pPr>
              <w:keepNext w:val="0"/>
              <w:keepLines w:val="0"/>
              <w:suppressLineNumbers w:val="0"/>
              <w:spacing w:before="0" w:beforeAutospacing="0" w:after="0" w:afterAutospacing="0" w:line="360" w:lineRule="auto"/>
              <w:ind w:left="0" w:right="0" w:firstLine="482" w:firstLineChars="200"/>
              <w:jc w:val="left"/>
              <w:textAlignment w:val="baseline"/>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②废砖</w:t>
            </w:r>
          </w:p>
          <w:p>
            <w:pPr>
              <w:keepNext w:val="0"/>
              <w:keepLines w:val="0"/>
              <w:suppressLineNumbers w:val="0"/>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根据以往生产经验及原有项目竣工验收，项目每年废砖产生量约为8万块（236.8t/a），根据《一般固体废物分类与代码》（GB/T39198-2020），固废代码为900-999-99。统一收集，作为原料与其他物料一起经破碎处理后回用于制砖。</w:t>
            </w:r>
          </w:p>
          <w:p>
            <w:pPr>
              <w:keepNext w:val="0"/>
              <w:keepLines w:val="0"/>
              <w:suppressLineNumbers w:val="0"/>
              <w:spacing w:before="0" w:beforeAutospacing="0" w:after="0" w:afterAutospacing="0" w:line="360" w:lineRule="auto"/>
              <w:ind w:left="0" w:right="0" w:firstLine="482" w:firstLineChars="200"/>
              <w:jc w:val="left"/>
              <w:textAlignment w:val="baseline"/>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③脱硫除尘渣</w:t>
            </w:r>
          </w:p>
          <w:p>
            <w:pPr>
              <w:pStyle w:val="7"/>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因项目煤内燃后烟气中含有SO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，经脱硫塔设备处理后达标排放</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1kg的S需要3.12kg的脱硫剂，1kg的S最终生产4.87kg的脱硫渣，根据工程分析</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二氧化硫产生量为104.16t/a，</w:t>
            </w:r>
            <w:r>
              <w:rPr>
                <w:rFonts w:hint="default" w:ascii="Times New Roman" w:hAnsi="Times New Roman" w:eastAsia="宋体" w:cs="Times New Roman"/>
                <w:color w:val="auto"/>
                <w:sz w:val="24"/>
                <w:szCs w:val="24"/>
                <w:highlight w:val="none"/>
              </w:rPr>
              <w:t>因此项目脱硫塔装置产生的脱硫渣量为</w:t>
            </w:r>
            <w:r>
              <w:rPr>
                <w:rFonts w:hint="default" w:ascii="Times New Roman" w:hAnsi="Times New Roman" w:eastAsia="宋体" w:cs="Times New Roman"/>
                <w:color w:val="auto"/>
                <w:sz w:val="24"/>
                <w:szCs w:val="24"/>
                <w:highlight w:val="none"/>
                <w:lang w:val="en-US" w:eastAsia="zh-CN"/>
              </w:rPr>
              <w:t>253.6296</w:t>
            </w:r>
            <w:r>
              <w:rPr>
                <w:rFonts w:hint="default" w:ascii="Times New Roman" w:hAnsi="Times New Roman" w:eastAsia="宋体" w:cs="Times New Roman"/>
                <w:color w:val="auto"/>
                <w:sz w:val="24"/>
                <w:szCs w:val="24"/>
                <w:highlight w:val="none"/>
              </w:rPr>
              <w:t>t/a(不含脱硫渣带走水量)，根据《一般固体废物分类与代码》（GB/T39198-2020），</w:t>
            </w:r>
            <w:r>
              <w:rPr>
                <w:rFonts w:hint="default" w:ascii="Times New Roman" w:hAnsi="Times New Roman" w:eastAsia="宋体" w:cs="Times New Roman"/>
                <w:color w:val="auto"/>
                <w:sz w:val="24"/>
                <w:szCs w:val="24"/>
                <w:highlight w:val="none"/>
                <w:lang w:val="en-US" w:eastAsia="zh-CN"/>
              </w:rPr>
              <w:t>脱硫渣</w:t>
            </w:r>
            <w:r>
              <w:rPr>
                <w:rFonts w:hint="default" w:ascii="Times New Roman" w:hAnsi="Times New Roman" w:eastAsia="宋体" w:cs="Times New Roman"/>
                <w:color w:val="auto"/>
                <w:sz w:val="24"/>
                <w:szCs w:val="24"/>
                <w:highlight w:val="none"/>
              </w:rPr>
              <w:t>固废代码为</w:t>
            </w:r>
            <w:r>
              <w:rPr>
                <w:rFonts w:hint="default" w:ascii="Times New Roman" w:hAnsi="Times New Roman" w:eastAsia="宋体" w:cs="Times New Roman"/>
                <w:color w:val="auto"/>
                <w:sz w:val="24"/>
                <w:szCs w:val="24"/>
                <w:highlight w:val="none"/>
                <w:lang w:val="en-US" w:eastAsia="zh-CN"/>
              </w:rPr>
              <w:t>900-999-65</w:t>
            </w:r>
            <w:r>
              <w:rPr>
                <w:rFonts w:hint="default" w:ascii="Times New Roman" w:hAnsi="Times New Roman" w:eastAsia="宋体" w:cs="Times New Roman"/>
                <w:color w:val="auto"/>
                <w:sz w:val="24"/>
                <w:szCs w:val="24"/>
                <w:highlight w:val="none"/>
              </w:rPr>
              <w:t>。统一收集，定期清理回用于制砖过程。</w:t>
            </w:r>
          </w:p>
          <w:p>
            <w:pPr>
              <w:keepNext w:val="0"/>
              <w:keepLines w:val="0"/>
              <w:suppressLineNumbers w:val="0"/>
              <w:spacing w:before="0" w:beforeAutospacing="0" w:after="0" w:afterAutospacing="0" w:line="360" w:lineRule="auto"/>
              <w:ind w:left="0" w:right="0" w:firstLine="482" w:firstLineChars="200"/>
              <w:jc w:val="left"/>
              <w:textAlignment w:val="baseline"/>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④除尘灰</w:t>
            </w:r>
          </w:p>
          <w:p>
            <w:pPr>
              <w:keepNext w:val="0"/>
              <w:keepLines w:val="0"/>
              <w:suppressLineNumbers w:val="0"/>
              <w:spacing w:before="0" w:beforeAutospacing="0" w:after="0" w:afterAutospacing="0" w:line="360" w:lineRule="auto"/>
              <w:ind w:left="0" w:right="0" w:firstLine="480" w:firstLineChars="200"/>
              <w:jc w:val="left"/>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项目设有1套布袋除尘器对破碎、筛分过程粉尘进行收集，根据工程分析，</w:t>
            </w:r>
            <w:r>
              <w:rPr>
                <w:rFonts w:hint="default" w:ascii="Times New Roman" w:hAnsi="Times New Roman" w:eastAsia="宋体" w:cs="Times New Roman"/>
                <w:color w:val="auto"/>
                <w:sz w:val="24"/>
                <w:szCs w:val="24"/>
                <w:highlight w:val="none"/>
                <w:lang w:val="en-US" w:eastAsia="zh-CN"/>
              </w:rPr>
              <w:t>布袋除尘器</w:t>
            </w:r>
            <w:r>
              <w:rPr>
                <w:rFonts w:hint="default" w:ascii="Times New Roman" w:hAnsi="Times New Roman" w:eastAsia="宋体" w:cs="Times New Roman"/>
                <w:color w:val="auto"/>
                <w:sz w:val="24"/>
                <w:szCs w:val="24"/>
                <w:highlight w:val="none"/>
              </w:rPr>
              <w:t>粉尘收集量为</w:t>
            </w:r>
            <w:r>
              <w:rPr>
                <w:rFonts w:hint="default" w:ascii="Times New Roman" w:hAnsi="Times New Roman" w:eastAsia="宋体" w:cs="Times New Roman"/>
                <w:color w:val="auto"/>
                <w:sz w:val="24"/>
                <w:szCs w:val="24"/>
                <w:highlight w:val="none"/>
                <w:lang w:val="en-US" w:eastAsia="zh-CN"/>
              </w:rPr>
              <w:t>7.626t/a，根据《一般固体废物分类与代码》（GB/T39198-2020），除尘灰固废代码为900-999-66。统一收集后用于制砖过程。</w:t>
            </w:r>
          </w:p>
          <w:p>
            <w:pPr>
              <w:keepNext w:val="0"/>
              <w:keepLines w:val="0"/>
              <w:suppressLineNumbers w:val="0"/>
              <w:spacing w:before="0" w:beforeAutospacing="0" w:after="0" w:afterAutospacing="0" w:line="360" w:lineRule="auto"/>
              <w:ind w:left="0" w:right="0" w:firstLine="482" w:firstLineChars="200"/>
              <w:jc w:val="left"/>
              <w:textAlignment w:val="baseline"/>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⑤煤渣</w:t>
            </w:r>
          </w:p>
          <w:p>
            <w:pPr>
              <w:pStyle w:val="7"/>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采用隧道窑焙烧，底渣产生量约为70%左右，褐煤灰份为35.5%，有6900吨褐煤做为燃料，则煤渣生产量为1714.65t/a，</w:t>
            </w:r>
            <w:r>
              <w:rPr>
                <w:rFonts w:hint="default" w:ascii="Times New Roman" w:hAnsi="Times New Roman" w:eastAsia="宋体" w:cs="Times New Roman"/>
                <w:color w:val="auto"/>
                <w:sz w:val="24"/>
                <w:szCs w:val="24"/>
                <w:highlight w:val="none"/>
              </w:rPr>
              <w:t>根据《一般固体废物分类与代码》（GB/T39198-2020），</w:t>
            </w:r>
            <w:r>
              <w:rPr>
                <w:rFonts w:hint="default" w:ascii="Times New Roman" w:hAnsi="Times New Roman" w:eastAsia="宋体" w:cs="Times New Roman"/>
                <w:color w:val="auto"/>
                <w:sz w:val="24"/>
                <w:szCs w:val="24"/>
                <w:highlight w:val="none"/>
                <w:lang w:val="en-US" w:eastAsia="zh-CN"/>
              </w:rPr>
              <w:t>煤渣</w:t>
            </w:r>
            <w:r>
              <w:rPr>
                <w:rFonts w:hint="default" w:ascii="Times New Roman" w:hAnsi="Times New Roman" w:eastAsia="宋体" w:cs="Times New Roman"/>
                <w:color w:val="auto"/>
                <w:sz w:val="24"/>
                <w:szCs w:val="24"/>
                <w:highlight w:val="none"/>
              </w:rPr>
              <w:t>固废代码为</w:t>
            </w:r>
            <w:r>
              <w:rPr>
                <w:rFonts w:hint="default" w:ascii="Times New Roman" w:hAnsi="Times New Roman" w:eastAsia="宋体" w:cs="Times New Roman"/>
                <w:color w:val="auto"/>
                <w:sz w:val="24"/>
                <w:szCs w:val="24"/>
                <w:highlight w:val="none"/>
                <w:lang w:val="en-US" w:eastAsia="zh-CN"/>
              </w:rPr>
              <w:t>900-999-63</w:t>
            </w:r>
            <w:r>
              <w:rPr>
                <w:rFonts w:hint="default" w:ascii="Times New Roman" w:hAnsi="Times New Roman" w:eastAsia="宋体" w:cs="Times New Roman"/>
                <w:color w:val="auto"/>
                <w:sz w:val="24"/>
                <w:szCs w:val="24"/>
                <w:highlight w:val="none"/>
              </w:rPr>
              <w:t>。统一收集后用于制砖过程。</w:t>
            </w:r>
          </w:p>
          <w:p>
            <w:pPr>
              <w:pStyle w:val="7"/>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5.2危险固废</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机械设备在维护、保养过程中，会产生少量废机油，废机油产生量约为0.1t/a，根据《国家危险废物名录》（2025年版），废机油属于危险废物，废物类别为HW08废矿物油与含矿物油废物，废物代码900-214-08，废机油收集于危险废物危废贮存场所分类暂存后，定期委托有资质的单位处置。</w:t>
            </w:r>
          </w:p>
          <w:p>
            <w:pPr>
              <w:pStyle w:val="7"/>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5.</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生活垃圾</w:t>
            </w:r>
          </w:p>
          <w:p>
            <w:pPr>
              <w:pStyle w:val="7"/>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项目劳动定员</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0人，生活垃圾产生量按0.3kg/（人•d）计，则生活垃圾产生量为</w:t>
            </w: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kg/d，</w:t>
            </w:r>
            <w:r>
              <w:rPr>
                <w:rFonts w:hint="default" w:ascii="Times New Roman" w:hAnsi="Times New Roman" w:eastAsia="宋体" w:cs="Times New Roman"/>
                <w:color w:val="auto"/>
                <w:sz w:val="24"/>
                <w:szCs w:val="24"/>
                <w:highlight w:val="none"/>
                <w:lang w:val="en-US" w:eastAsia="zh-CN"/>
              </w:rPr>
              <w:t>2.7</w:t>
            </w:r>
            <w:r>
              <w:rPr>
                <w:rFonts w:hint="default" w:ascii="Times New Roman" w:hAnsi="Times New Roman" w:eastAsia="宋体" w:cs="Times New Roman"/>
                <w:color w:val="auto"/>
                <w:sz w:val="24"/>
                <w:szCs w:val="24"/>
                <w:highlight w:val="none"/>
              </w:rPr>
              <w:t>t/a，统一收集委托环卫部门清运处理。</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项目固废均得到合理处置，对环境影响较小。</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本项目固废产生及处置情况见下表。</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表4.5-1   建设项目废物产生及处置一览表</w:t>
            </w:r>
          </w:p>
          <w:tbl>
            <w:tblPr>
              <w:tblStyle w:val="23"/>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563"/>
              <w:gridCol w:w="1176"/>
              <w:gridCol w:w="1106"/>
              <w:gridCol w:w="980"/>
              <w:gridCol w:w="1719"/>
              <w:gridCol w:w="1534"/>
              <w:gridCol w:w="1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3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属性</w:t>
                  </w:r>
                </w:p>
              </w:tc>
              <w:tc>
                <w:tcPr>
                  <w:tcW w:w="6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类型</w:t>
                  </w: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理化性质</w:t>
                  </w:r>
                </w:p>
              </w:tc>
              <w:tc>
                <w:tcPr>
                  <w:tcW w:w="5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产生量（t/a）</w:t>
                  </w:r>
                </w:p>
              </w:tc>
              <w:tc>
                <w:tcPr>
                  <w:tcW w:w="9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代码</w:t>
                  </w:r>
                </w:p>
              </w:tc>
              <w:tc>
                <w:tcPr>
                  <w:tcW w:w="8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储存方式</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5" w:type="pct"/>
                  <w:vMerge w:val="restart"/>
                  <w:tcBorders>
                    <w:top w:val="single" w:color="auto" w:sz="4" w:space="0"/>
                    <w:left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w:t>
                  </w:r>
                </w:p>
              </w:tc>
              <w:tc>
                <w:tcPr>
                  <w:tcW w:w="305" w:type="pct"/>
                  <w:vMerge w:val="restart"/>
                  <w:tcBorders>
                    <w:top w:val="single" w:color="auto" w:sz="4" w:space="0"/>
                    <w:left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一般固废</w:t>
                  </w:r>
                </w:p>
              </w:tc>
              <w:tc>
                <w:tcPr>
                  <w:tcW w:w="6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废泥坯</w:t>
                  </w: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固态</w:t>
                  </w:r>
                </w:p>
              </w:tc>
              <w:tc>
                <w:tcPr>
                  <w:tcW w:w="5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22.96</w:t>
                  </w:r>
                </w:p>
              </w:tc>
              <w:tc>
                <w:tcPr>
                  <w:tcW w:w="9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900-999-99</w:t>
                  </w:r>
                </w:p>
              </w:tc>
              <w:tc>
                <w:tcPr>
                  <w:tcW w:w="8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统一储存</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5" w:type="pct"/>
                  <w:vMerge w:val="continue"/>
                  <w:tcBorders>
                    <w:left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p>
              </w:tc>
              <w:tc>
                <w:tcPr>
                  <w:tcW w:w="305" w:type="pct"/>
                  <w:vMerge w:val="continue"/>
                  <w:tcBorders>
                    <w:left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p>
              </w:tc>
              <w:tc>
                <w:tcPr>
                  <w:tcW w:w="6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废砖</w:t>
                  </w: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固态</w:t>
                  </w:r>
                </w:p>
              </w:tc>
              <w:tc>
                <w:tcPr>
                  <w:tcW w:w="5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236.8</w:t>
                  </w:r>
                </w:p>
              </w:tc>
              <w:tc>
                <w:tcPr>
                  <w:tcW w:w="9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900-999-99</w:t>
                  </w:r>
                </w:p>
              </w:tc>
              <w:tc>
                <w:tcPr>
                  <w:tcW w:w="8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统一储存</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5" w:type="pct"/>
                  <w:vMerge w:val="continue"/>
                  <w:tcBorders>
                    <w:left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p>
              </w:tc>
              <w:tc>
                <w:tcPr>
                  <w:tcW w:w="305" w:type="pct"/>
                  <w:vMerge w:val="continue"/>
                  <w:tcBorders>
                    <w:left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p>
              </w:tc>
              <w:tc>
                <w:tcPr>
                  <w:tcW w:w="6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煤渣</w:t>
                  </w: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固态</w:t>
                  </w:r>
                </w:p>
              </w:tc>
              <w:tc>
                <w:tcPr>
                  <w:tcW w:w="5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1714.65</w:t>
                  </w:r>
                </w:p>
              </w:tc>
              <w:tc>
                <w:tcPr>
                  <w:tcW w:w="9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900-999-63</w:t>
                  </w:r>
                </w:p>
              </w:tc>
              <w:tc>
                <w:tcPr>
                  <w:tcW w:w="8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统一储存</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5" w:type="pct"/>
                  <w:vMerge w:val="continue"/>
                  <w:tcBorders>
                    <w:left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p>
              </w:tc>
              <w:tc>
                <w:tcPr>
                  <w:tcW w:w="305" w:type="pct"/>
                  <w:vMerge w:val="continue"/>
                  <w:tcBorders>
                    <w:left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p>
              </w:tc>
              <w:tc>
                <w:tcPr>
                  <w:tcW w:w="6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除尘灰</w:t>
                  </w: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固态</w:t>
                  </w:r>
                </w:p>
              </w:tc>
              <w:tc>
                <w:tcPr>
                  <w:tcW w:w="5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7.626</w:t>
                  </w:r>
                </w:p>
              </w:tc>
              <w:tc>
                <w:tcPr>
                  <w:tcW w:w="9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900-999-66</w:t>
                  </w:r>
                </w:p>
              </w:tc>
              <w:tc>
                <w:tcPr>
                  <w:tcW w:w="8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统一储存</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5" w:type="pct"/>
                  <w:vMerge w:val="continue"/>
                  <w:tcBorders>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p>
              </w:tc>
              <w:tc>
                <w:tcPr>
                  <w:tcW w:w="305" w:type="pct"/>
                  <w:vMerge w:val="continue"/>
                  <w:tcBorders>
                    <w:left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p>
              </w:tc>
              <w:tc>
                <w:tcPr>
                  <w:tcW w:w="6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脱硫除尘渣</w:t>
                  </w: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固态</w:t>
                  </w:r>
                </w:p>
              </w:tc>
              <w:tc>
                <w:tcPr>
                  <w:tcW w:w="5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253.6296</w:t>
                  </w:r>
                </w:p>
              </w:tc>
              <w:tc>
                <w:tcPr>
                  <w:tcW w:w="9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900-999-65</w:t>
                  </w:r>
                </w:p>
              </w:tc>
              <w:tc>
                <w:tcPr>
                  <w:tcW w:w="8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统一储存</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5" w:type="pct"/>
                  <w:tcBorders>
                    <w:top w:val="single" w:color="auto" w:sz="4" w:space="0"/>
                    <w:left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w:t>
                  </w:r>
                </w:p>
              </w:tc>
              <w:tc>
                <w:tcPr>
                  <w:tcW w:w="305" w:type="pct"/>
                  <w:tcBorders>
                    <w:left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危险废物</w:t>
                  </w:r>
                </w:p>
              </w:tc>
              <w:tc>
                <w:tcPr>
                  <w:tcW w:w="6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废机油</w:t>
                  </w: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液态</w:t>
                  </w:r>
                </w:p>
              </w:tc>
              <w:tc>
                <w:tcPr>
                  <w:tcW w:w="5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0.</w:t>
                  </w:r>
                  <w:r>
                    <w:rPr>
                      <w:rFonts w:hint="default" w:ascii="Times New Roman" w:hAnsi="Times New Roman" w:eastAsia="宋体" w:cs="Times New Roman"/>
                      <w:bCs/>
                      <w:color w:val="auto"/>
                      <w:sz w:val="21"/>
                      <w:szCs w:val="21"/>
                      <w:highlight w:val="none"/>
                      <w:lang w:val="en-US" w:eastAsia="zh-CN"/>
                    </w:rPr>
                    <w:t>1</w:t>
                  </w:r>
                </w:p>
              </w:tc>
              <w:tc>
                <w:tcPr>
                  <w:tcW w:w="9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900-214-08</w:t>
                  </w:r>
                </w:p>
              </w:tc>
              <w:tc>
                <w:tcPr>
                  <w:tcW w:w="8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统一储存</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统一收集后委托有资质的单位处置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5" w:type="pct"/>
                  <w:tcBorders>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w:t>
                  </w:r>
                </w:p>
              </w:tc>
              <w:tc>
                <w:tcPr>
                  <w:tcW w:w="305" w:type="pct"/>
                  <w:tcBorders>
                    <w:left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生活垃圾</w:t>
                  </w:r>
                </w:p>
              </w:tc>
              <w:tc>
                <w:tcPr>
                  <w:tcW w:w="6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生活垃圾</w:t>
                  </w: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5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2.7</w:t>
                  </w:r>
                </w:p>
              </w:tc>
              <w:tc>
                <w:tcPr>
                  <w:tcW w:w="9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8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统一储存</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统一收集委托环卫部门清运处理</w:t>
                  </w:r>
                </w:p>
              </w:tc>
            </w:tr>
          </w:tbl>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六</w:t>
            </w:r>
            <w:r>
              <w:rPr>
                <w:rFonts w:hint="default" w:ascii="Times New Roman" w:hAnsi="Times New Roman" w:eastAsia="宋体" w:cs="Times New Roman"/>
                <w:b/>
                <w:bCs/>
                <w:color w:val="auto"/>
                <w:sz w:val="24"/>
                <w:szCs w:val="24"/>
                <w:highlight w:val="none"/>
              </w:rPr>
              <w:t>、项目“三本账”核算</w:t>
            </w:r>
          </w:p>
          <w:p>
            <w:pPr>
              <w:pStyle w:val="8"/>
              <w:keepNext w:val="0"/>
              <w:keepLines w:val="0"/>
              <w:suppressLineNumbers w:val="0"/>
              <w:spacing w:beforeAutospacing="0" w:afterAutospacing="0" w:line="360" w:lineRule="auto"/>
              <w:ind w:left="0" w:firstLine="480" w:firstLineChars="200"/>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eastAsia="zh-CN"/>
              </w:rPr>
              <w:t>改扩建</w:t>
            </w:r>
            <w:r>
              <w:rPr>
                <w:rFonts w:hint="default" w:ascii="Times New Roman" w:hAnsi="Times New Roman" w:eastAsia="宋体" w:cs="Times New Roman"/>
                <w:color w:val="auto"/>
                <w:sz w:val="24"/>
                <w:szCs w:val="24"/>
                <w:highlight w:val="none"/>
              </w:rPr>
              <w:t>后“三废”排放变化情况，详见下表。</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highlight w:val="none"/>
              </w:rPr>
            </w:pPr>
            <w:r>
              <w:rPr>
                <w:rFonts w:hint="default" w:ascii="Times New Roman" w:hAnsi="Times New Roman" w:eastAsia="宋体" w:cs="Times New Roman"/>
                <w:b/>
                <w:bCs/>
                <w:color w:val="auto"/>
                <w:kern w:val="0"/>
                <w:highlight w:val="none"/>
              </w:rPr>
              <w:t>表4.</w:t>
            </w:r>
            <w:r>
              <w:rPr>
                <w:rFonts w:hint="default" w:ascii="Times New Roman" w:hAnsi="Times New Roman" w:eastAsia="宋体" w:cs="Times New Roman"/>
                <w:b/>
                <w:bCs/>
                <w:color w:val="auto"/>
                <w:kern w:val="0"/>
                <w:highlight w:val="none"/>
                <w:lang w:val="en-US" w:eastAsia="zh-CN"/>
              </w:rPr>
              <w:t>6</w:t>
            </w:r>
            <w:r>
              <w:rPr>
                <w:rFonts w:hint="default" w:ascii="Times New Roman" w:hAnsi="Times New Roman" w:eastAsia="宋体" w:cs="Times New Roman"/>
                <w:b/>
                <w:bCs/>
                <w:color w:val="auto"/>
                <w:kern w:val="0"/>
                <w:highlight w:val="none"/>
              </w:rPr>
              <w:t>-1   污染物排放三本帐核算表   单位：t/a</w:t>
            </w:r>
          </w:p>
          <w:tbl>
            <w:tblPr>
              <w:tblStyle w:val="23"/>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439"/>
              <w:gridCol w:w="835"/>
              <w:gridCol w:w="1117"/>
              <w:gridCol w:w="1019"/>
              <w:gridCol w:w="1038"/>
              <w:gridCol w:w="1124"/>
              <w:gridCol w:w="1119"/>
              <w:gridCol w:w="1296"/>
              <w:gridCol w:w="123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238"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污染</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类别</w:t>
                  </w:r>
                </w:p>
              </w:tc>
              <w:tc>
                <w:tcPr>
                  <w:tcW w:w="452"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主要污染物</w:t>
                  </w:r>
                </w:p>
              </w:tc>
              <w:tc>
                <w:tcPr>
                  <w:tcW w:w="605"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①原有项目污染物排放量</w:t>
                  </w:r>
                </w:p>
              </w:tc>
              <w:tc>
                <w:tcPr>
                  <w:tcW w:w="1723" w:type="pct"/>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②</w:t>
                  </w:r>
                  <w:r>
                    <w:rPr>
                      <w:rFonts w:hint="default" w:ascii="Times New Roman" w:hAnsi="Times New Roman" w:eastAsia="宋体" w:cs="Times New Roman"/>
                      <w:b/>
                      <w:bCs/>
                      <w:color w:val="auto"/>
                      <w:kern w:val="0"/>
                      <w:sz w:val="21"/>
                      <w:szCs w:val="21"/>
                      <w:highlight w:val="none"/>
                      <w:lang w:eastAsia="zh-CN"/>
                    </w:rPr>
                    <w:t>改扩建</w:t>
                  </w:r>
                  <w:r>
                    <w:rPr>
                      <w:rFonts w:hint="default" w:ascii="Times New Roman" w:hAnsi="Times New Roman" w:eastAsia="宋体" w:cs="Times New Roman"/>
                      <w:b/>
                      <w:bCs/>
                      <w:color w:val="auto"/>
                      <w:kern w:val="0"/>
                      <w:sz w:val="21"/>
                      <w:szCs w:val="21"/>
                      <w:highlight w:val="none"/>
                    </w:rPr>
                    <w:t>工程污染物排放量</w:t>
                  </w:r>
                </w:p>
              </w:tc>
              <w:tc>
                <w:tcPr>
                  <w:tcW w:w="606"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③以新带老削减量</w:t>
                  </w:r>
                </w:p>
              </w:tc>
              <w:tc>
                <w:tcPr>
                  <w:tcW w:w="702"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④预测排放总量</w:t>
                  </w:r>
                </w:p>
              </w:tc>
              <w:tc>
                <w:tcPr>
                  <w:tcW w:w="670"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⑤排放增减量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238"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p>
              </w:tc>
              <w:tc>
                <w:tcPr>
                  <w:tcW w:w="452"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p>
              </w:tc>
              <w:tc>
                <w:tcPr>
                  <w:tcW w:w="605"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p>
              </w:tc>
              <w:tc>
                <w:tcPr>
                  <w:tcW w:w="55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产生量</w:t>
                  </w:r>
                </w:p>
              </w:tc>
              <w:tc>
                <w:tcPr>
                  <w:tcW w:w="56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自身削减量</w:t>
                  </w:r>
                </w:p>
              </w:tc>
              <w:tc>
                <w:tcPr>
                  <w:tcW w:w="60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排放量</w:t>
                  </w:r>
                </w:p>
              </w:tc>
              <w:tc>
                <w:tcPr>
                  <w:tcW w:w="606"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p>
              </w:tc>
              <w:tc>
                <w:tcPr>
                  <w:tcW w:w="702"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p>
              </w:tc>
              <w:tc>
                <w:tcPr>
                  <w:tcW w:w="670"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23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废水</w:t>
                  </w:r>
                </w:p>
              </w:tc>
              <w:tc>
                <w:tcPr>
                  <w:tcW w:w="45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生活污水</w:t>
                  </w:r>
                </w:p>
              </w:tc>
              <w:tc>
                <w:tcPr>
                  <w:tcW w:w="605"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504</w:t>
                  </w:r>
                </w:p>
              </w:tc>
              <w:tc>
                <w:tcPr>
                  <w:tcW w:w="552"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630</w:t>
                  </w:r>
                </w:p>
              </w:tc>
              <w:tc>
                <w:tcPr>
                  <w:tcW w:w="562"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126</w:t>
                  </w:r>
                </w:p>
              </w:tc>
              <w:tc>
                <w:tcPr>
                  <w:tcW w:w="607"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504</w:t>
                  </w:r>
                </w:p>
              </w:tc>
              <w:tc>
                <w:tcPr>
                  <w:tcW w:w="606"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504</w:t>
                  </w:r>
                </w:p>
              </w:tc>
              <w:tc>
                <w:tcPr>
                  <w:tcW w:w="702"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504</w:t>
                  </w:r>
                </w:p>
              </w:tc>
              <w:tc>
                <w:tcPr>
                  <w:tcW w:w="670"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238"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废气</w:t>
                  </w:r>
                </w:p>
              </w:tc>
              <w:tc>
                <w:tcPr>
                  <w:tcW w:w="45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烟尘</w:t>
                  </w:r>
                </w:p>
              </w:tc>
              <w:tc>
                <w:tcPr>
                  <w:tcW w:w="605"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12.1621</w:t>
                  </w:r>
                </w:p>
              </w:tc>
              <w:tc>
                <w:tcPr>
                  <w:tcW w:w="552"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37.696</w:t>
                  </w:r>
                </w:p>
              </w:tc>
              <w:tc>
                <w:tcPr>
                  <w:tcW w:w="562"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32.0416</w:t>
                  </w:r>
                </w:p>
              </w:tc>
              <w:tc>
                <w:tcPr>
                  <w:tcW w:w="607"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5.6544</w:t>
                  </w:r>
                </w:p>
              </w:tc>
              <w:tc>
                <w:tcPr>
                  <w:tcW w:w="606"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12.1621</w:t>
                  </w:r>
                </w:p>
              </w:tc>
              <w:tc>
                <w:tcPr>
                  <w:tcW w:w="702"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5.6544</w:t>
                  </w:r>
                </w:p>
              </w:tc>
              <w:tc>
                <w:tcPr>
                  <w:tcW w:w="670"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-6.5077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238"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45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605"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43.588</w:t>
                  </w:r>
                </w:p>
              </w:tc>
              <w:tc>
                <w:tcPr>
                  <w:tcW w:w="552"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104.16</w:t>
                  </w:r>
                </w:p>
              </w:tc>
              <w:tc>
                <w:tcPr>
                  <w:tcW w:w="562"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93.744</w:t>
                  </w:r>
                </w:p>
              </w:tc>
              <w:tc>
                <w:tcPr>
                  <w:tcW w:w="607"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10.416</w:t>
                  </w:r>
                </w:p>
              </w:tc>
              <w:tc>
                <w:tcPr>
                  <w:tcW w:w="606"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43.5880</w:t>
                  </w:r>
                </w:p>
              </w:tc>
              <w:tc>
                <w:tcPr>
                  <w:tcW w:w="702"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10.416</w:t>
                  </w:r>
                </w:p>
              </w:tc>
              <w:tc>
                <w:tcPr>
                  <w:tcW w:w="670"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-33.172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238"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45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X</w:t>
                  </w:r>
                </w:p>
              </w:tc>
              <w:tc>
                <w:tcPr>
                  <w:tcW w:w="605"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68.6742</w:t>
                  </w:r>
                </w:p>
              </w:tc>
              <w:tc>
                <w:tcPr>
                  <w:tcW w:w="552"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20.212</w:t>
                  </w:r>
                </w:p>
              </w:tc>
              <w:tc>
                <w:tcPr>
                  <w:tcW w:w="562"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w:t>
                  </w:r>
                </w:p>
              </w:tc>
              <w:tc>
                <w:tcPr>
                  <w:tcW w:w="607"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20.212</w:t>
                  </w:r>
                </w:p>
              </w:tc>
              <w:tc>
                <w:tcPr>
                  <w:tcW w:w="606"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68.6742</w:t>
                  </w:r>
                </w:p>
              </w:tc>
              <w:tc>
                <w:tcPr>
                  <w:tcW w:w="702"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20.212</w:t>
                  </w:r>
                </w:p>
              </w:tc>
              <w:tc>
                <w:tcPr>
                  <w:tcW w:w="670"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-48.4622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238"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45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氟化物</w:t>
                  </w:r>
                </w:p>
              </w:tc>
              <w:tc>
                <w:tcPr>
                  <w:tcW w:w="605"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0.7828</w:t>
                  </w:r>
                </w:p>
              </w:tc>
              <w:tc>
                <w:tcPr>
                  <w:tcW w:w="552"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19.3751</w:t>
                  </w:r>
                </w:p>
              </w:tc>
              <w:tc>
                <w:tcPr>
                  <w:tcW w:w="562"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18.4063</w:t>
                  </w:r>
                </w:p>
              </w:tc>
              <w:tc>
                <w:tcPr>
                  <w:tcW w:w="607"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0.9688</w:t>
                  </w:r>
                </w:p>
              </w:tc>
              <w:tc>
                <w:tcPr>
                  <w:tcW w:w="606"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0.7828</w:t>
                  </w:r>
                </w:p>
              </w:tc>
              <w:tc>
                <w:tcPr>
                  <w:tcW w:w="702"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0.9688</w:t>
                  </w:r>
                </w:p>
              </w:tc>
              <w:tc>
                <w:tcPr>
                  <w:tcW w:w="670"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+0.1859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238"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45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粉尘</w:t>
                  </w:r>
                </w:p>
              </w:tc>
              <w:tc>
                <w:tcPr>
                  <w:tcW w:w="605"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5.2907</w:t>
                  </w:r>
                </w:p>
              </w:tc>
              <w:tc>
                <w:tcPr>
                  <w:tcW w:w="552"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18.9224</w:t>
                  </w:r>
                </w:p>
              </w:tc>
              <w:tc>
                <w:tcPr>
                  <w:tcW w:w="562"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15.7775</w:t>
                  </w:r>
                </w:p>
              </w:tc>
              <w:tc>
                <w:tcPr>
                  <w:tcW w:w="607"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3.1449</w:t>
                  </w:r>
                </w:p>
              </w:tc>
              <w:tc>
                <w:tcPr>
                  <w:tcW w:w="606"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5.2907</w:t>
                  </w:r>
                </w:p>
              </w:tc>
              <w:tc>
                <w:tcPr>
                  <w:tcW w:w="702"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3.1449</w:t>
                  </w:r>
                </w:p>
              </w:tc>
              <w:tc>
                <w:tcPr>
                  <w:tcW w:w="670"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-2.1458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238"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45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硫化氢</w:t>
                  </w:r>
                </w:p>
              </w:tc>
              <w:tc>
                <w:tcPr>
                  <w:tcW w:w="605"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552"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4.75*10</w:t>
                  </w:r>
                  <w:r>
                    <w:rPr>
                      <w:rFonts w:hint="default" w:ascii="Times New Roman" w:hAnsi="Times New Roman" w:eastAsia="宋体" w:cs="Times New Roman"/>
                      <w:bCs/>
                      <w:color w:val="auto"/>
                      <w:sz w:val="21"/>
                      <w:szCs w:val="21"/>
                      <w:highlight w:val="none"/>
                      <w:vertAlign w:val="superscript"/>
                      <w:lang w:val="en-US" w:eastAsia="zh-CN"/>
                    </w:rPr>
                    <w:t>-5</w:t>
                  </w:r>
                </w:p>
              </w:tc>
              <w:tc>
                <w:tcPr>
                  <w:tcW w:w="562"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w:t>
                  </w:r>
                </w:p>
              </w:tc>
              <w:tc>
                <w:tcPr>
                  <w:tcW w:w="607"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4.75*10</w:t>
                  </w:r>
                  <w:r>
                    <w:rPr>
                      <w:rFonts w:hint="default" w:ascii="Times New Roman" w:hAnsi="Times New Roman" w:eastAsia="宋体" w:cs="Times New Roman"/>
                      <w:bCs/>
                      <w:color w:val="auto"/>
                      <w:sz w:val="21"/>
                      <w:szCs w:val="21"/>
                      <w:highlight w:val="none"/>
                      <w:vertAlign w:val="superscript"/>
                      <w:lang w:val="en-US" w:eastAsia="zh-CN"/>
                    </w:rPr>
                    <w:t>-5</w:t>
                  </w:r>
                </w:p>
              </w:tc>
              <w:tc>
                <w:tcPr>
                  <w:tcW w:w="606"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702"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4.75*10</w:t>
                  </w:r>
                  <w:r>
                    <w:rPr>
                      <w:rFonts w:hint="default" w:ascii="Times New Roman" w:hAnsi="Times New Roman" w:eastAsia="宋体" w:cs="Times New Roman"/>
                      <w:bCs/>
                      <w:color w:val="auto"/>
                      <w:sz w:val="21"/>
                      <w:szCs w:val="21"/>
                      <w:highlight w:val="none"/>
                      <w:vertAlign w:val="superscript"/>
                      <w:lang w:val="en-US" w:eastAsia="zh-CN"/>
                    </w:rPr>
                    <w:t>-5</w:t>
                  </w:r>
                </w:p>
              </w:tc>
              <w:tc>
                <w:tcPr>
                  <w:tcW w:w="670"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+4.75*10</w:t>
                  </w:r>
                  <w:r>
                    <w:rPr>
                      <w:rFonts w:hint="default" w:ascii="Times New Roman" w:hAnsi="Times New Roman" w:eastAsia="宋体" w:cs="Times New Roman"/>
                      <w:bCs/>
                      <w:color w:val="auto"/>
                      <w:sz w:val="21"/>
                      <w:szCs w:val="21"/>
                      <w:highlight w:val="none"/>
                      <w:vertAlign w:val="superscript"/>
                      <w:lang w:val="en-US" w:eastAsia="zh-CN"/>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238" w:type="pct"/>
                  <w:vMerge w:val="continue"/>
                  <w:noWrap w:val="0"/>
                  <w:vAlign w:val="center"/>
                </w:tcPr>
                <w:p>
                  <w:pPr>
                    <w:pStyle w:val="8"/>
                    <w:keepNext w:val="0"/>
                    <w:keepLines w:val="0"/>
                    <w:suppressLineNumbers w:val="0"/>
                    <w:spacing w:beforeAutospacing="0" w:afterAutospacing="0"/>
                    <w:ind w:left="0"/>
                    <w:jc w:val="center"/>
                    <w:rPr>
                      <w:rFonts w:hint="default" w:ascii="Times New Roman" w:hAnsi="Times New Roman" w:eastAsia="宋体" w:cs="Times New Roman"/>
                      <w:color w:val="auto"/>
                      <w:sz w:val="21"/>
                      <w:szCs w:val="21"/>
                      <w:highlight w:val="none"/>
                    </w:rPr>
                  </w:pPr>
                </w:p>
              </w:tc>
              <w:tc>
                <w:tcPr>
                  <w:tcW w:w="45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氨</w:t>
                  </w:r>
                </w:p>
              </w:tc>
              <w:tc>
                <w:tcPr>
                  <w:tcW w:w="605"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552"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6.8*10</w:t>
                  </w:r>
                  <w:r>
                    <w:rPr>
                      <w:rFonts w:hint="default" w:ascii="Times New Roman" w:hAnsi="Times New Roman" w:eastAsia="宋体" w:cs="Times New Roman"/>
                      <w:bCs/>
                      <w:color w:val="auto"/>
                      <w:sz w:val="21"/>
                      <w:szCs w:val="21"/>
                      <w:highlight w:val="none"/>
                      <w:vertAlign w:val="superscript"/>
                      <w:lang w:val="en-US" w:eastAsia="zh-CN"/>
                    </w:rPr>
                    <w:t>-4</w:t>
                  </w:r>
                </w:p>
              </w:tc>
              <w:tc>
                <w:tcPr>
                  <w:tcW w:w="562"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w:t>
                  </w:r>
                </w:p>
              </w:tc>
              <w:tc>
                <w:tcPr>
                  <w:tcW w:w="607"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6.8*10</w:t>
                  </w:r>
                  <w:r>
                    <w:rPr>
                      <w:rFonts w:hint="default" w:ascii="Times New Roman" w:hAnsi="Times New Roman" w:eastAsia="宋体" w:cs="Times New Roman"/>
                      <w:bCs/>
                      <w:color w:val="auto"/>
                      <w:sz w:val="21"/>
                      <w:szCs w:val="21"/>
                      <w:highlight w:val="none"/>
                      <w:vertAlign w:val="superscript"/>
                      <w:lang w:val="en-US" w:eastAsia="zh-CN"/>
                    </w:rPr>
                    <w:t>-4</w:t>
                  </w:r>
                </w:p>
              </w:tc>
              <w:tc>
                <w:tcPr>
                  <w:tcW w:w="606"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702"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6.8*10</w:t>
                  </w:r>
                  <w:r>
                    <w:rPr>
                      <w:rFonts w:hint="default" w:ascii="Times New Roman" w:hAnsi="Times New Roman" w:eastAsia="宋体" w:cs="Times New Roman"/>
                      <w:bCs/>
                      <w:color w:val="auto"/>
                      <w:sz w:val="21"/>
                      <w:szCs w:val="21"/>
                      <w:highlight w:val="none"/>
                      <w:vertAlign w:val="superscript"/>
                      <w:lang w:val="en-US" w:eastAsia="zh-CN"/>
                    </w:rPr>
                    <w:t>-4</w:t>
                  </w:r>
                </w:p>
              </w:tc>
              <w:tc>
                <w:tcPr>
                  <w:tcW w:w="670"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+6.8*10</w:t>
                  </w:r>
                  <w:r>
                    <w:rPr>
                      <w:rFonts w:hint="default" w:ascii="Times New Roman" w:hAnsi="Times New Roman" w:eastAsia="宋体" w:cs="Times New Roman"/>
                      <w:bCs/>
                      <w:color w:val="auto"/>
                      <w:sz w:val="21"/>
                      <w:szCs w:val="21"/>
                      <w:highlight w:val="none"/>
                      <w:vertAlign w:val="superscript"/>
                      <w:lang w:val="en-US" w:eastAsia="zh-CN"/>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238"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固废</w:t>
                  </w:r>
                </w:p>
              </w:tc>
              <w:tc>
                <w:tcPr>
                  <w:tcW w:w="45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废泥坯</w:t>
                  </w:r>
                </w:p>
              </w:tc>
              <w:tc>
                <w:tcPr>
                  <w:tcW w:w="605"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18.52</w:t>
                  </w:r>
                </w:p>
              </w:tc>
              <w:tc>
                <w:tcPr>
                  <w:tcW w:w="552"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562"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607"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22.9648</w:t>
                  </w:r>
                </w:p>
              </w:tc>
              <w:tc>
                <w:tcPr>
                  <w:tcW w:w="606"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18.52</w:t>
                  </w:r>
                </w:p>
              </w:tc>
              <w:tc>
                <w:tcPr>
                  <w:tcW w:w="702"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22.9648</w:t>
                  </w:r>
                </w:p>
              </w:tc>
              <w:tc>
                <w:tcPr>
                  <w:tcW w:w="670"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+4.4448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238"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45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废砖</w:t>
                  </w:r>
                </w:p>
              </w:tc>
              <w:tc>
                <w:tcPr>
                  <w:tcW w:w="605"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236.8</w:t>
                  </w:r>
                </w:p>
              </w:tc>
              <w:tc>
                <w:tcPr>
                  <w:tcW w:w="552"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562"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607"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236.8</w:t>
                  </w:r>
                </w:p>
              </w:tc>
              <w:tc>
                <w:tcPr>
                  <w:tcW w:w="606"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236.8</w:t>
                  </w:r>
                </w:p>
              </w:tc>
              <w:tc>
                <w:tcPr>
                  <w:tcW w:w="702"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236.8</w:t>
                  </w:r>
                </w:p>
              </w:tc>
              <w:tc>
                <w:tcPr>
                  <w:tcW w:w="670"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238"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45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煤渣</w:t>
                  </w:r>
                </w:p>
              </w:tc>
              <w:tc>
                <w:tcPr>
                  <w:tcW w:w="605"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1565.55</w:t>
                  </w:r>
                </w:p>
              </w:tc>
              <w:tc>
                <w:tcPr>
                  <w:tcW w:w="552"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562"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607"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1714.65</w:t>
                  </w:r>
                </w:p>
              </w:tc>
              <w:tc>
                <w:tcPr>
                  <w:tcW w:w="606"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1565.55</w:t>
                  </w:r>
                </w:p>
              </w:tc>
              <w:tc>
                <w:tcPr>
                  <w:tcW w:w="702"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1714.65</w:t>
                  </w:r>
                </w:p>
              </w:tc>
              <w:tc>
                <w:tcPr>
                  <w:tcW w:w="670"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149.1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238"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45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除尘灰</w:t>
                  </w:r>
                </w:p>
              </w:tc>
              <w:tc>
                <w:tcPr>
                  <w:tcW w:w="605"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6.16</w:t>
                  </w:r>
                </w:p>
              </w:tc>
              <w:tc>
                <w:tcPr>
                  <w:tcW w:w="552"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562"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607"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7.626</w:t>
                  </w:r>
                </w:p>
              </w:tc>
              <w:tc>
                <w:tcPr>
                  <w:tcW w:w="606"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6.16</w:t>
                  </w:r>
                </w:p>
              </w:tc>
              <w:tc>
                <w:tcPr>
                  <w:tcW w:w="702"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7.626</w:t>
                  </w:r>
                </w:p>
              </w:tc>
              <w:tc>
                <w:tcPr>
                  <w:tcW w:w="670"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1.466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238"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45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脱硫除尘渣</w:t>
                  </w:r>
                </w:p>
              </w:tc>
              <w:tc>
                <w:tcPr>
                  <w:tcW w:w="605"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213.8349</w:t>
                  </w:r>
                </w:p>
              </w:tc>
              <w:tc>
                <w:tcPr>
                  <w:tcW w:w="552"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562"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607"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253.6296</w:t>
                  </w:r>
                </w:p>
              </w:tc>
              <w:tc>
                <w:tcPr>
                  <w:tcW w:w="606"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213.8349</w:t>
                  </w:r>
                </w:p>
              </w:tc>
              <w:tc>
                <w:tcPr>
                  <w:tcW w:w="702"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253.6296</w:t>
                  </w:r>
                </w:p>
              </w:tc>
              <w:tc>
                <w:tcPr>
                  <w:tcW w:w="670"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39.7947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238"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45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废机油</w:t>
                  </w:r>
                </w:p>
              </w:tc>
              <w:tc>
                <w:tcPr>
                  <w:tcW w:w="605"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w:t>
                  </w:r>
                </w:p>
              </w:tc>
              <w:tc>
                <w:tcPr>
                  <w:tcW w:w="552"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562"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607"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w:t>
                  </w:r>
                </w:p>
              </w:tc>
              <w:tc>
                <w:tcPr>
                  <w:tcW w:w="606"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w:t>
                  </w:r>
                </w:p>
              </w:tc>
              <w:tc>
                <w:tcPr>
                  <w:tcW w:w="702"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w:t>
                  </w:r>
                </w:p>
              </w:tc>
              <w:tc>
                <w:tcPr>
                  <w:tcW w:w="670"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w:t>
                  </w:r>
                </w:p>
              </w:tc>
            </w:tr>
          </w:tbl>
          <w:p>
            <w:pPr>
              <w:keepNext w:val="0"/>
              <w:keepLines w:val="0"/>
              <w:suppressLineNumbers w:val="0"/>
              <w:adjustRightInd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kern w:val="0"/>
                <w:sz w:val="24"/>
                <w:szCs w:val="24"/>
                <w:highlight w:val="none"/>
                <w:lang w:val="en-US" w:eastAsia="zh-CN"/>
              </w:rPr>
              <w:t>七</w:t>
            </w:r>
            <w:r>
              <w:rPr>
                <w:rFonts w:hint="default" w:ascii="Times New Roman" w:hAnsi="Times New Roman" w:eastAsia="宋体" w:cs="Times New Roman"/>
                <w:b/>
                <w:bCs/>
                <w:color w:val="auto"/>
                <w:kern w:val="0"/>
                <w:sz w:val="24"/>
                <w:szCs w:val="24"/>
                <w:highlight w:val="none"/>
              </w:rPr>
              <w:t>、</w:t>
            </w:r>
            <w:r>
              <w:rPr>
                <w:rFonts w:hint="default" w:ascii="Times New Roman" w:hAnsi="Times New Roman" w:eastAsia="宋体" w:cs="Times New Roman"/>
                <w:b/>
                <w:bCs/>
                <w:color w:val="auto"/>
                <w:sz w:val="24"/>
                <w:szCs w:val="24"/>
                <w:highlight w:val="none"/>
              </w:rPr>
              <w:t>固废环境影响分析</w:t>
            </w:r>
          </w:p>
          <w:p>
            <w:pPr>
              <w:keepNext w:val="0"/>
              <w:keepLines w:val="0"/>
              <w:suppressLineNumbers w:val="0"/>
              <w:adjustRightIn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rPr>
              <w:t>.1一般工业固体废物</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项目设置一个原料堆场占地面积为900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未做封闭措施；本次环评要求本次环评要求原料堆场</w:t>
            </w:r>
            <w:r>
              <w:rPr>
                <w:rFonts w:hint="default" w:ascii="Times New Roman" w:hAnsi="Times New Roman" w:eastAsia="宋体" w:cs="Times New Roman"/>
                <w:color w:val="auto"/>
                <w:sz w:val="24"/>
                <w:szCs w:val="24"/>
                <w:highlight w:val="none"/>
              </w:rPr>
              <w:t>应满足相应防渗漏、防雨淋、防扬尘等环境保护要求；不相容的一般工业固体废物应设置不同的分区进行贮存；贮存场设置清晰、完整的一般工业固体废物标志牌等。</w:t>
            </w:r>
            <w:r>
              <w:rPr>
                <w:rFonts w:hint="default" w:ascii="Times New Roman" w:hAnsi="Times New Roman" w:eastAsia="宋体" w:cs="Times New Roman"/>
                <w:color w:val="auto"/>
                <w:sz w:val="24"/>
                <w:szCs w:val="24"/>
                <w:highlight w:val="none"/>
                <w:lang w:val="en-US" w:eastAsia="zh-CN"/>
              </w:rPr>
              <w:t>项目设置</w:t>
            </w:r>
            <w:r>
              <w:rPr>
                <w:rFonts w:hint="default" w:ascii="Times New Roman" w:hAnsi="Times New Roman" w:eastAsia="宋体" w:cs="Times New Roman"/>
                <w:color w:val="auto"/>
                <w:kern w:val="2"/>
                <w:sz w:val="24"/>
                <w:szCs w:val="24"/>
                <w:highlight w:val="none"/>
                <w:lang w:val="en-US" w:eastAsia="zh-CN" w:bidi="ar-SA"/>
              </w:rPr>
              <w:t>污泥堆放池，</w:t>
            </w:r>
            <w:r>
              <w:rPr>
                <w:rFonts w:hint="default" w:ascii="Times New Roman" w:hAnsi="Times New Roman" w:eastAsia="宋体" w:cs="Times New Roman"/>
                <w:color w:val="auto"/>
                <w:sz w:val="24"/>
                <w:szCs w:val="24"/>
                <w:highlight w:val="none"/>
                <w:lang w:val="en-US" w:eastAsia="zh-CN"/>
              </w:rPr>
              <w:t>容积为300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，污泥堆放池采用素土夯实+混凝土+铺设防渗膜的措施，</w:t>
            </w:r>
            <w:r>
              <w:rPr>
                <w:rFonts w:hint="default" w:ascii="Times New Roman" w:hAnsi="Times New Roman" w:eastAsia="宋体" w:cs="Times New Roman"/>
                <w:color w:val="auto"/>
                <w:sz w:val="24"/>
                <w:szCs w:val="24"/>
                <w:highlight w:val="none"/>
              </w:rPr>
              <w:t>防渗层渗透系数≤10</w:t>
            </w:r>
            <w:r>
              <w:rPr>
                <w:rFonts w:hint="default" w:ascii="Times New Roman" w:hAnsi="Times New Roman" w:eastAsia="宋体" w:cs="Times New Roman"/>
                <w:color w:val="auto"/>
                <w:sz w:val="24"/>
                <w:szCs w:val="24"/>
                <w:highlight w:val="none"/>
                <w:vertAlign w:val="superscript"/>
              </w:rPr>
              <w:t>⁻</w:t>
            </w:r>
            <w:r>
              <w:rPr>
                <w:rFonts w:hint="default" w:ascii="Times New Roman" w:hAnsi="Times New Roman" w:eastAsia="宋体" w:cs="Times New Roman"/>
                <w:color w:val="auto"/>
                <w:sz w:val="24"/>
                <w:szCs w:val="24"/>
                <w:highlight w:val="none"/>
                <w:vertAlign w:val="superscript"/>
                <w:lang w:val="en-US" w:eastAsia="zh-CN"/>
              </w:rPr>
              <w:t>7</w:t>
            </w:r>
            <w:r>
              <w:rPr>
                <w:rFonts w:hint="default" w:ascii="Times New Roman" w:hAnsi="Times New Roman" w:eastAsia="宋体" w:cs="Times New Roman"/>
                <w:color w:val="auto"/>
                <w:sz w:val="24"/>
                <w:szCs w:val="24"/>
                <w:highlight w:val="none"/>
              </w:rPr>
              <w:t>cm/s</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同时一般工业固体废物自行贮存设施的环境管理和相关设施运行维护要求还应符合《环境保护图形标志 固体废物贮存（处置）场》（GB 15562.2-1995）、《一般工业固体废物贮存和填埋污染控制标准》（GB 18599-2020）等相关标准规范要求。</w:t>
            </w:r>
          </w:p>
          <w:p>
            <w:pPr>
              <w:keepNext w:val="0"/>
              <w:keepLines w:val="0"/>
              <w:suppressLineNumbers w:val="0"/>
              <w:adjustRightIn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rPr>
              <w:t>.2危险废物</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项目设置一间面积为</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的危废贮存场所，危废贮存场所</w:t>
            </w:r>
            <w:r>
              <w:rPr>
                <w:rFonts w:hint="default" w:ascii="Times New Roman" w:hAnsi="Times New Roman" w:eastAsia="宋体" w:cs="Times New Roman"/>
                <w:color w:val="auto"/>
                <w:sz w:val="24"/>
                <w:szCs w:val="24"/>
                <w:highlight w:val="none"/>
                <w:lang w:val="en-US" w:eastAsia="zh-CN"/>
              </w:rPr>
              <w:t>采用素土夯实+混泥土+铺设防渗膜的措施，</w:t>
            </w:r>
            <w:r>
              <w:rPr>
                <w:rFonts w:hint="default" w:ascii="Times New Roman" w:hAnsi="Times New Roman" w:eastAsia="宋体" w:cs="Times New Roman"/>
                <w:color w:val="auto"/>
                <w:sz w:val="24"/>
                <w:szCs w:val="24"/>
                <w:highlight w:val="none"/>
              </w:rPr>
              <w:t>防渗层渗透系数≤10⁻¹⁰cm/s，危废贮存场所已按照《危险废物识别标志设置技术规范》（HJ 1276-2022）规范设置了标识标牌，并建立了完善的危险废物出入库台账记录制度。危废贮存场所</w:t>
            </w:r>
            <w:r>
              <w:rPr>
                <w:rFonts w:hint="default" w:ascii="Times New Roman" w:hAnsi="Times New Roman" w:eastAsia="宋体" w:cs="Times New Roman"/>
                <w:color w:val="auto"/>
                <w:sz w:val="24"/>
                <w:szCs w:val="24"/>
                <w:highlight w:val="none"/>
                <w:lang w:val="en-US" w:eastAsia="zh-CN"/>
              </w:rPr>
              <w:t>的设置</w:t>
            </w:r>
            <w:r>
              <w:rPr>
                <w:rFonts w:hint="default" w:ascii="Times New Roman" w:hAnsi="Times New Roman" w:eastAsia="宋体" w:cs="Times New Roman"/>
                <w:color w:val="auto"/>
                <w:sz w:val="24"/>
                <w:szCs w:val="24"/>
                <w:highlight w:val="none"/>
              </w:rPr>
              <w:t>满足《危险废物贮存污染控制标准》（GB18597-2023）中的相关要求。</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kern w:val="24"/>
                <w:sz w:val="24"/>
                <w:szCs w:val="24"/>
                <w:highlight w:val="none"/>
              </w:rPr>
            </w:pPr>
            <w:r>
              <w:rPr>
                <w:rFonts w:hint="default" w:ascii="Times New Roman" w:hAnsi="Times New Roman" w:eastAsia="宋体" w:cs="Times New Roman"/>
                <w:b/>
                <w:bCs/>
                <w:color w:val="auto"/>
                <w:kern w:val="24"/>
                <w:sz w:val="24"/>
                <w:szCs w:val="24"/>
                <w:highlight w:val="none"/>
                <w:lang w:val="en-US" w:eastAsia="zh-CN"/>
              </w:rPr>
              <w:t>八</w:t>
            </w:r>
            <w:r>
              <w:rPr>
                <w:rFonts w:hint="default" w:ascii="Times New Roman" w:hAnsi="Times New Roman" w:eastAsia="宋体" w:cs="Times New Roman"/>
                <w:b/>
                <w:bCs/>
                <w:color w:val="auto"/>
                <w:kern w:val="24"/>
                <w:sz w:val="24"/>
                <w:szCs w:val="24"/>
                <w:highlight w:val="none"/>
              </w:rPr>
              <w:t>、土壤、地下水影响及保护措施</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根据《建设项目环境影响报告表编制技术指南》（污染影响类）（试行），地下水、土壤环境原则上不开展环境质量现状调查。根据项目对地下水和土壤环境影响程度，本项目可不对地下水和土壤影响进行评价，仅对地下水和土壤防治措施进行分析。</w:t>
            </w:r>
          </w:p>
          <w:p>
            <w:pPr>
              <w:keepNext w:val="0"/>
              <w:keepLines w:val="0"/>
              <w:suppressLineNumbers w:val="0"/>
              <w:adjustRightIn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8.1污染物类型及污染途径</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根据工程分析，项目生产运行过程中对地下水、土壤环境存在潜在污染途径主要为：发生事故导致化粪池、集水池、污泥堆放池、</w:t>
            </w:r>
            <w:r>
              <w:rPr>
                <w:rFonts w:hint="default" w:ascii="Times New Roman" w:hAnsi="Times New Roman" w:eastAsia="宋体" w:cs="Times New Roman"/>
                <w:color w:val="auto"/>
                <w:sz w:val="24"/>
                <w:szCs w:val="24"/>
                <w:highlight w:val="none"/>
              </w:rPr>
              <w:t>危废贮存场所</w:t>
            </w:r>
            <w:r>
              <w:rPr>
                <w:rFonts w:hint="default" w:ascii="Times New Roman" w:hAnsi="Times New Roman" w:eastAsia="宋体" w:cs="Times New Roman"/>
                <w:color w:val="auto"/>
                <w:sz w:val="24"/>
                <w:szCs w:val="24"/>
                <w:highlight w:val="none"/>
                <w:lang w:val="en-US" w:eastAsia="zh-CN"/>
              </w:rPr>
              <w:t>的废机油泄漏发生地面漫流、垂直入渗，将会对地下水、土壤造成污染。氟在土壤中易被黏粒、铁铝氧化物，形成难溶氟化，迁移性较弱，但长期连续沉降可导致表层土壤全氟含量缓慢升高，若厂区地势低洼、排水不畅，含氟降尘随降水径流可能向周边农用地扩散。双碱法脱硫产生的脱硫渣中含有氟化钙及未完全反应的氟离子，若脱硫渣露天堆放、防渗不到位或渗滤液收集不完善，降雨淋溶后氟可随渗漏水渗入浅层地下水。</w:t>
            </w:r>
          </w:p>
          <w:p>
            <w:pPr>
              <w:keepNext w:val="0"/>
              <w:keepLines w:val="0"/>
              <w:suppressLineNumbers w:val="0"/>
              <w:adjustRightIn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8.2防控措施</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主要采取措施为对厂区进行分区防渗：</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①化粪池、集水池、污泥堆放池</w:t>
            </w:r>
            <w:r>
              <w:rPr>
                <w:rFonts w:hint="default" w:ascii="Times New Roman" w:hAnsi="Times New Roman" w:eastAsia="宋体" w:cs="Times New Roman"/>
                <w:color w:val="auto"/>
                <w:sz w:val="24"/>
                <w:szCs w:val="24"/>
                <w:highlight w:val="none"/>
              </w:rPr>
              <w:t>进行</w:t>
            </w:r>
            <w:r>
              <w:rPr>
                <w:rFonts w:hint="default" w:ascii="Times New Roman" w:hAnsi="Times New Roman" w:eastAsia="宋体" w:cs="Times New Roman"/>
                <w:color w:val="auto"/>
                <w:sz w:val="24"/>
                <w:szCs w:val="24"/>
                <w:highlight w:val="none"/>
                <w:lang w:val="en-US" w:eastAsia="zh-CN"/>
              </w:rPr>
              <w:t>一般防渗，化粪池防渗层采用素土夯实+M10砂浆砌砖墙；集水池防渗层采用素土夯实+铺设防渗膜；防渗透</w:t>
            </w:r>
            <w:r>
              <w:rPr>
                <w:rFonts w:hint="default" w:ascii="Times New Roman" w:hAnsi="Times New Roman" w:eastAsia="宋体" w:cs="Times New Roman"/>
                <w:color w:val="auto"/>
                <w:sz w:val="24"/>
                <w:szCs w:val="24"/>
                <w:highlight w:val="none"/>
              </w:rPr>
              <w:t>数达到≤10</w:t>
            </w:r>
            <w:r>
              <w:rPr>
                <w:rFonts w:hint="default" w:ascii="Times New Roman" w:hAnsi="Times New Roman" w:eastAsia="宋体" w:cs="Times New Roman"/>
                <w:color w:val="auto"/>
                <w:sz w:val="24"/>
                <w:szCs w:val="24"/>
                <w:highlight w:val="none"/>
                <w:vertAlign w:val="superscript"/>
              </w:rPr>
              <w:t>-</w:t>
            </w:r>
            <w:r>
              <w:rPr>
                <w:rFonts w:hint="default" w:ascii="Times New Roman" w:hAnsi="Times New Roman" w:eastAsia="宋体" w:cs="Times New Roman"/>
                <w:color w:val="auto"/>
                <w:sz w:val="24"/>
                <w:szCs w:val="24"/>
                <w:highlight w:val="none"/>
                <w:vertAlign w:val="superscript"/>
                <w:lang w:val="en-US" w:eastAsia="zh-CN"/>
              </w:rPr>
              <w:t>7</w:t>
            </w:r>
            <w:r>
              <w:rPr>
                <w:rFonts w:hint="default" w:ascii="Times New Roman" w:hAnsi="Times New Roman" w:eastAsia="宋体" w:cs="Times New Roman"/>
                <w:color w:val="auto"/>
                <w:sz w:val="24"/>
                <w:szCs w:val="24"/>
                <w:highlight w:val="none"/>
              </w:rPr>
              <w:t>cm/s。</w:t>
            </w:r>
            <w:r>
              <w:rPr>
                <w:rFonts w:hint="default" w:ascii="Times New Roman" w:hAnsi="Times New Roman" w:eastAsia="宋体" w:cs="Times New Roman"/>
                <w:color w:val="auto"/>
                <w:sz w:val="24"/>
                <w:szCs w:val="24"/>
                <w:highlight w:val="none"/>
                <w:lang w:val="en-US" w:eastAsia="zh-CN"/>
              </w:rPr>
              <w:t>污泥堆放池采用素土夯实+混凝土+铺设防渗膜的措施，</w:t>
            </w:r>
            <w:r>
              <w:rPr>
                <w:rFonts w:hint="default" w:ascii="Times New Roman" w:hAnsi="Times New Roman" w:eastAsia="宋体" w:cs="Times New Roman"/>
                <w:color w:val="auto"/>
                <w:sz w:val="24"/>
                <w:szCs w:val="24"/>
                <w:highlight w:val="none"/>
              </w:rPr>
              <w:t>防渗层渗透系数≤10</w:t>
            </w:r>
            <w:r>
              <w:rPr>
                <w:rFonts w:hint="default" w:ascii="Times New Roman" w:hAnsi="Times New Roman" w:eastAsia="宋体" w:cs="Times New Roman"/>
                <w:color w:val="auto"/>
                <w:sz w:val="24"/>
                <w:szCs w:val="24"/>
                <w:highlight w:val="none"/>
                <w:vertAlign w:val="superscript"/>
              </w:rPr>
              <w:t>⁻</w:t>
            </w:r>
            <w:r>
              <w:rPr>
                <w:rFonts w:hint="default" w:ascii="Times New Roman" w:hAnsi="Times New Roman" w:eastAsia="宋体" w:cs="Times New Roman"/>
                <w:color w:val="auto"/>
                <w:sz w:val="24"/>
                <w:szCs w:val="24"/>
                <w:highlight w:val="none"/>
                <w:vertAlign w:val="superscript"/>
                <w:lang w:val="en-US" w:eastAsia="zh-CN"/>
              </w:rPr>
              <w:t>7</w:t>
            </w:r>
            <w:r>
              <w:rPr>
                <w:rFonts w:hint="default" w:ascii="Times New Roman" w:hAnsi="Times New Roman" w:eastAsia="宋体" w:cs="Times New Roman"/>
                <w:color w:val="auto"/>
                <w:sz w:val="24"/>
                <w:szCs w:val="24"/>
                <w:highlight w:val="none"/>
              </w:rPr>
              <w:t>cm/s</w:t>
            </w:r>
            <w:r>
              <w:rPr>
                <w:rFonts w:hint="default" w:ascii="Times New Roman" w:hAnsi="Times New Roman" w:eastAsia="宋体" w:cs="Times New Roman"/>
                <w:color w:val="auto"/>
                <w:sz w:val="24"/>
                <w:szCs w:val="24"/>
                <w:highlight w:val="none"/>
                <w:lang w:eastAsia="zh-CN"/>
              </w:rPr>
              <w:t>。</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危废贮存场所进行</w:t>
            </w:r>
            <w:r>
              <w:rPr>
                <w:rFonts w:hint="default" w:ascii="Times New Roman" w:hAnsi="Times New Roman" w:eastAsia="宋体" w:cs="Times New Roman"/>
                <w:color w:val="auto"/>
                <w:sz w:val="24"/>
                <w:szCs w:val="24"/>
                <w:highlight w:val="none"/>
                <w:lang w:val="en-US" w:eastAsia="zh-CN"/>
              </w:rPr>
              <w:t>一般</w:t>
            </w:r>
            <w:r>
              <w:rPr>
                <w:rFonts w:hint="default" w:ascii="Times New Roman" w:hAnsi="Times New Roman" w:eastAsia="宋体" w:cs="Times New Roman"/>
                <w:color w:val="auto"/>
                <w:sz w:val="24"/>
                <w:szCs w:val="24"/>
                <w:highlight w:val="none"/>
              </w:rPr>
              <w:t>防渗，防渗层采用</w:t>
            </w:r>
            <w:r>
              <w:rPr>
                <w:rFonts w:hint="default" w:ascii="Times New Roman" w:hAnsi="Times New Roman" w:eastAsia="宋体" w:cs="Times New Roman"/>
                <w:color w:val="auto"/>
                <w:sz w:val="24"/>
                <w:szCs w:val="24"/>
                <w:highlight w:val="none"/>
                <w:lang w:val="en-US" w:eastAsia="zh-CN"/>
              </w:rPr>
              <w:t>素土夯实+混泥土+铺设防渗膜的措施，</w:t>
            </w:r>
            <w:r>
              <w:rPr>
                <w:rFonts w:hint="default" w:ascii="Times New Roman" w:hAnsi="Times New Roman" w:eastAsia="宋体" w:cs="Times New Roman"/>
                <w:color w:val="auto"/>
                <w:sz w:val="24"/>
                <w:szCs w:val="24"/>
                <w:highlight w:val="none"/>
              </w:rPr>
              <w:t>防渗层渗透系数≤10⁻¹⁰cm/s</w:t>
            </w:r>
            <w:r>
              <w:rPr>
                <w:rFonts w:hint="default" w:ascii="Times New Roman" w:hAnsi="Times New Roman" w:eastAsia="宋体" w:cs="Times New Roman"/>
                <w:color w:val="auto"/>
                <w:sz w:val="24"/>
                <w:szCs w:val="24"/>
                <w:highlight w:val="none"/>
                <w:lang w:eastAsia="zh-CN"/>
              </w:rPr>
              <w:t>。</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③其他区域（除绿化区域外）进行水泥硬化处理。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④项目原料堆场密闭，堆场</w:t>
            </w:r>
            <w:r>
              <w:rPr>
                <w:rFonts w:hint="default" w:ascii="Times New Roman" w:hAnsi="Times New Roman" w:eastAsia="宋体" w:cs="Times New Roman"/>
                <w:color w:val="auto"/>
                <w:sz w:val="24"/>
                <w:szCs w:val="24"/>
                <w:highlight w:val="none"/>
              </w:rPr>
              <w:t>进行</w:t>
            </w:r>
            <w:r>
              <w:rPr>
                <w:rFonts w:hint="default" w:ascii="Times New Roman" w:hAnsi="Times New Roman" w:eastAsia="宋体" w:cs="Times New Roman"/>
                <w:color w:val="auto"/>
                <w:sz w:val="24"/>
                <w:szCs w:val="24"/>
                <w:highlight w:val="none"/>
                <w:lang w:val="en-US" w:eastAsia="zh-CN"/>
              </w:rPr>
              <w:t>一般</w:t>
            </w:r>
            <w:r>
              <w:rPr>
                <w:rFonts w:hint="default" w:ascii="Times New Roman" w:hAnsi="Times New Roman" w:eastAsia="宋体" w:cs="Times New Roman"/>
                <w:color w:val="auto"/>
                <w:sz w:val="24"/>
                <w:szCs w:val="24"/>
                <w:highlight w:val="none"/>
              </w:rPr>
              <w:t>防渗</w:t>
            </w:r>
            <w:r>
              <w:rPr>
                <w:rFonts w:hint="default" w:ascii="Times New Roman" w:hAnsi="Times New Roman" w:eastAsia="宋体" w:cs="Times New Roman"/>
                <w:color w:val="auto"/>
                <w:sz w:val="24"/>
                <w:szCs w:val="24"/>
                <w:highlight w:val="none"/>
                <w:lang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⑤脱硫渣堆放区设置“三防”措施，脱硫渣</w:t>
            </w:r>
            <w:r>
              <w:rPr>
                <w:rFonts w:hint="default" w:ascii="Times New Roman" w:hAnsi="Times New Roman" w:eastAsia="宋体" w:cs="Times New Roman"/>
                <w:bCs/>
                <w:color w:val="auto"/>
                <w:sz w:val="24"/>
                <w:szCs w:val="24"/>
                <w:highlight w:val="none"/>
              </w:rPr>
              <w:t>统一</w:t>
            </w:r>
            <w:r>
              <w:rPr>
                <w:rFonts w:hint="default" w:ascii="Times New Roman" w:hAnsi="Times New Roman" w:eastAsia="宋体" w:cs="Times New Roman"/>
                <w:color w:val="auto"/>
                <w:sz w:val="24"/>
                <w:szCs w:val="24"/>
                <w:highlight w:val="none"/>
                <w:lang w:val="zh-CN"/>
              </w:rPr>
              <w:t>收集，回用于</w:t>
            </w:r>
            <w:r>
              <w:rPr>
                <w:rFonts w:hint="default" w:ascii="Times New Roman" w:hAnsi="Times New Roman" w:eastAsia="宋体" w:cs="Times New Roman"/>
                <w:color w:val="auto"/>
                <w:sz w:val="24"/>
                <w:szCs w:val="24"/>
                <w:highlight w:val="none"/>
                <w:lang w:val="en-US" w:eastAsia="zh-CN"/>
              </w:rPr>
              <w:t>生产。</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综上所述，</w:t>
            </w:r>
            <w:r>
              <w:rPr>
                <w:rFonts w:hint="default" w:ascii="Times New Roman" w:hAnsi="Times New Roman" w:eastAsia="宋体" w:cs="Times New Roman"/>
                <w:color w:val="auto"/>
                <w:sz w:val="24"/>
                <w:szCs w:val="24"/>
                <w:highlight w:val="none"/>
              </w:rPr>
              <w:t>项目对可能产生地下水</w:t>
            </w:r>
            <w:r>
              <w:rPr>
                <w:rFonts w:hint="default" w:ascii="Times New Roman" w:hAnsi="Times New Roman" w:eastAsia="宋体" w:cs="Times New Roman"/>
                <w:color w:val="auto"/>
                <w:sz w:val="24"/>
                <w:szCs w:val="24"/>
                <w:highlight w:val="none"/>
                <w:lang w:val="en-US" w:eastAsia="zh-CN"/>
              </w:rPr>
              <w:t>和土壤</w:t>
            </w:r>
            <w:r>
              <w:rPr>
                <w:rFonts w:hint="default" w:ascii="Times New Roman" w:hAnsi="Times New Roman" w:eastAsia="宋体" w:cs="Times New Roman"/>
                <w:color w:val="auto"/>
                <w:sz w:val="24"/>
                <w:szCs w:val="24"/>
                <w:highlight w:val="none"/>
              </w:rPr>
              <w:t>影响的各项途径均进行有效预防；在确保各项防渗措施得以落实，并加强维护和厂区环境管理的前提下，可有效控制厂区内的废水污染物下渗现象，避免污染地下水和土壤。因此，采取以上措施后正常状态下，本项目不会对区域地下水</w:t>
            </w:r>
            <w:r>
              <w:rPr>
                <w:rFonts w:hint="default" w:ascii="Times New Roman" w:hAnsi="Times New Roman" w:eastAsia="宋体" w:cs="Times New Roman"/>
                <w:color w:val="auto"/>
                <w:sz w:val="24"/>
                <w:szCs w:val="24"/>
                <w:highlight w:val="none"/>
                <w:lang w:val="en-US" w:eastAsia="zh-CN"/>
              </w:rPr>
              <w:t>和土壤</w:t>
            </w:r>
            <w:r>
              <w:rPr>
                <w:rFonts w:hint="default" w:ascii="Times New Roman" w:hAnsi="Times New Roman" w:eastAsia="宋体" w:cs="Times New Roman"/>
                <w:color w:val="auto"/>
                <w:sz w:val="24"/>
                <w:szCs w:val="24"/>
                <w:highlight w:val="none"/>
              </w:rPr>
              <w:t>环境造成污染。</w:t>
            </w:r>
          </w:p>
          <w:p>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九、环境风险</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9.1风险调查</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对照《建设项目环境风险评价技术导则》（HJ169-2018）附录B中的风险物质，对本项目涉及的原辅材料及开展生产活动过程中排放的污染物进行危险性识别，筛选风险评价因子。根据项目使用原辅材料性质，项目排放的</w:t>
            </w:r>
            <w:r>
              <w:rPr>
                <w:rFonts w:hint="default" w:ascii="Times New Roman" w:hAnsi="Times New Roman" w:eastAsia="宋体" w:cs="Times New Roman"/>
                <w:color w:val="auto"/>
                <w:sz w:val="24"/>
                <w:szCs w:val="24"/>
                <w:highlight w:val="none"/>
                <w:lang w:val="en-US" w:eastAsia="zh-CN"/>
              </w:rPr>
              <w:t>气态物质</w:t>
            </w:r>
            <w:r>
              <w:rPr>
                <w:rFonts w:hint="default" w:ascii="Times New Roman" w:hAnsi="Times New Roman" w:eastAsia="宋体" w:cs="Times New Roman"/>
                <w:color w:val="auto"/>
                <w:sz w:val="24"/>
                <w:szCs w:val="24"/>
                <w:highlight w:val="none"/>
              </w:rPr>
              <w:t>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属于有毒有害物质，生产过程中使用的机油属于易燃易爆物质。</w:t>
            </w:r>
            <w:r>
              <w:rPr>
                <w:rFonts w:hint="default" w:ascii="Times New Roman" w:hAnsi="Times New Roman" w:eastAsia="宋体" w:cs="Times New Roman"/>
                <w:color w:val="auto"/>
                <w:kern w:val="0"/>
                <w:sz w:val="24"/>
                <w:szCs w:val="24"/>
                <w:highlight w:val="none"/>
              </w:rPr>
              <w:t>项目在脱硫除尘过程中使用氢氧化钠，氢氧化钠是强碱，具有腐蚀性。</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9.2风险潜势初判</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根据《建设项目环境风险评价 技术导则》（HJ/T169-2018），环境风险潜势等级由危险物质及工艺系统危险性（P）和环境敏感程度（E）判定，环境风险潜势划分见表所示。</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color w:val="auto"/>
                <w:szCs w:val="21"/>
                <w:highlight w:val="none"/>
              </w:rPr>
              <w:t xml:space="preserve">表4.9-1  </w:t>
            </w:r>
            <w:r>
              <w:rPr>
                <w:rFonts w:hint="default" w:ascii="Times New Roman" w:hAnsi="Times New Roman" w:eastAsia="宋体" w:cs="Times New Roman"/>
                <w:b/>
                <w:bCs/>
                <w:color w:val="auto"/>
                <w:szCs w:val="21"/>
                <w:highlight w:val="none"/>
              </w:rPr>
              <w:t>环境风险潜势划分</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1"/>
              <w:gridCol w:w="1560"/>
              <w:gridCol w:w="1560"/>
              <w:gridCol w:w="1842"/>
              <w:gridCol w:w="1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环境敏感程度（E）</w:t>
                  </w:r>
                </w:p>
              </w:tc>
              <w:tc>
                <w:tcPr>
                  <w:tcW w:w="6165" w:type="dxa"/>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危险物质及工艺系统危险性（P）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环境高度敏感区（E1）</w:t>
                  </w:r>
                </w:p>
              </w:tc>
              <w:tc>
                <w:tcPr>
                  <w:tcW w:w="156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Ⅳ+</w:t>
                  </w:r>
                </w:p>
              </w:tc>
              <w:tc>
                <w:tcPr>
                  <w:tcW w:w="156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Ⅳ</w:t>
                  </w:r>
                </w:p>
              </w:tc>
              <w:tc>
                <w:tcPr>
                  <w:tcW w:w="184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Ⅲ</w:t>
                  </w:r>
                </w:p>
              </w:tc>
              <w:tc>
                <w:tcPr>
                  <w:tcW w:w="120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环境中度敏感区（E2）</w:t>
                  </w:r>
                </w:p>
              </w:tc>
              <w:tc>
                <w:tcPr>
                  <w:tcW w:w="156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Ⅳ</w:t>
                  </w:r>
                </w:p>
              </w:tc>
              <w:tc>
                <w:tcPr>
                  <w:tcW w:w="156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Ⅲ</w:t>
                  </w:r>
                </w:p>
              </w:tc>
              <w:tc>
                <w:tcPr>
                  <w:tcW w:w="184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Ⅲ</w:t>
                  </w:r>
                </w:p>
              </w:tc>
              <w:tc>
                <w:tcPr>
                  <w:tcW w:w="120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环境中度敏感区（E3）</w:t>
                  </w:r>
                </w:p>
              </w:tc>
              <w:tc>
                <w:tcPr>
                  <w:tcW w:w="156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Ⅲ</w:t>
                  </w:r>
                </w:p>
              </w:tc>
              <w:tc>
                <w:tcPr>
                  <w:tcW w:w="156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Ⅲ</w:t>
                  </w:r>
                </w:p>
              </w:tc>
              <w:tc>
                <w:tcPr>
                  <w:tcW w:w="184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Ⅱ</w:t>
                  </w:r>
                </w:p>
              </w:tc>
              <w:tc>
                <w:tcPr>
                  <w:tcW w:w="120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6" w:type="dxa"/>
                  <w:gridSpan w:val="5"/>
                  <w:noWrap w:val="0"/>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注：Ⅳ+为极高环境风险</w:t>
                  </w:r>
                </w:p>
              </w:tc>
            </w:tr>
          </w:tbl>
          <w:p>
            <w:pPr>
              <w:keepNext w:val="0"/>
              <w:keepLines w:val="0"/>
              <w:suppressLineNumbers w:val="0"/>
              <w:adjustRightInd w:val="0"/>
              <w:snapToGrid w:val="0"/>
              <w:spacing w:before="240" w:beforeLines="10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确定危险物质及工艺系统危险性（P）</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危险物质及工艺系统危险性（P）由危险物质数量与临界量的比值（Q）和所属行业及生产工艺特点（M）判定。</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确定危险物质数量与临界量的比值（Q）</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附录C中C1.1危险物质数量与临界量比值（Q）的计算有两种情况：</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a、当只涉及一种危险物质时，计算该物质的总量与其临界量比值，即为Q；</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b、当存在多种危险物质时，则按下式计算物质总量与其临界量的比值（Q）：</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Q=q</w:t>
            </w:r>
            <w:r>
              <w:rPr>
                <w:rFonts w:hint="default" w:ascii="Times New Roman" w:hAnsi="Times New Roman" w:eastAsia="宋体" w:cs="Times New Roman"/>
                <w:color w:val="auto"/>
                <w:sz w:val="24"/>
                <w:szCs w:val="24"/>
                <w:highlight w:val="none"/>
                <w:vertAlign w:val="subscript"/>
              </w:rPr>
              <w:t>1</w:t>
            </w:r>
            <w:r>
              <w:rPr>
                <w:rFonts w:hint="default" w:ascii="Times New Roman" w:hAnsi="Times New Roman" w:eastAsia="宋体" w:cs="Times New Roman"/>
                <w:color w:val="auto"/>
                <w:sz w:val="24"/>
                <w:szCs w:val="24"/>
                <w:highlight w:val="none"/>
              </w:rPr>
              <w:t>/Q</w:t>
            </w:r>
            <w:r>
              <w:rPr>
                <w:rFonts w:hint="default" w:ascii="Times New Roman" w:hAnsi="Times New Roman" w:eastAsia="宋体" w:cs="Times New Roman"/>
                <w:color w:val="auto"/>
                <w:sz w:val="24"/>
                <w:szCs w:val="24"/>
                <w:highlight w:val="none"/>
                <w:vertAlign w:val="subscript"/>
              </w:rPr>
              <w:t>1</w:t>
            </w:r>
            <w:r>
              <w:rPr>
                <w:rFonts w:hint="default" w:ascii="Times New Roman" w:hAnsi="Times New Roman" w:eastAsia="宋体" w:cs="Times New Roman"/>
                <w:color w:val="auto"/>
                <w:sz w:val="24"/>
                <w:szCs w:val="24"/>
                <w:highlight w:val="none"/>
              </w:rPr>
              <w:t>+q</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/Q</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+……+q</w:t>
            </w:r>
            <w:r>
              <w:rPr>
                <w:rFonts w:hint="default" w:ascii="Times New Roman" w:hAnsi="Times New Roman" w:eastAsia="宋体" w:cs="Times New Roman"/>
                <w:color w:val="auto"/>
                <w:sz w:val="24"/>
                <w:szCs w:val="24"/>
                <w:highlight w:val="none"/>
                <w:vertAlign w:val="subscript"/>
              </w:rPr>
              <w:t>n</w:t>
            </w:r>
            <w:r>
              <w:rPr>
                <w:rFonts w:hint="default" w:ascii="Times New Roman" w:hAnsi="Times New Roman" w:eastAsia="宋体" w:cs="Times New Roman"/>
                <w:color w:val="auto"/>
                <w:sz w:val="24"/>
                <w:szCs w:val="24"/>
                <w:highlight w:val="none"/>
              </w:rPr>
              <w:t>/Q</w:t>
            </w:r>
            <w:r>
              <w:rPr>
                <w:rFonts w:hint="default" w:ascii="Times New Roman" w:hAnsi="Times New Roman" w:eastAsia="宋体" w:cs="Times New Roman"/>
                <w:color w:val="auto"/>
                <w:sz w:val="24"/>
                <w:szCs w:val="24"/>
                <w:highlight w:val="none"/>
                <w:vertAlign w:val="subscript"/>
              </w:rPr>
              <w:t>n</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式中q</w:t>
            </w:r>
            <w:r>
              <w:rPr>
                <w:rFonts w:hint="default" w:ascii="Times New Roman" w:hAnsi="Times New Roman" w:eastAsia="宋体" w:cs="Times New Roman"/>
                <w:color w:val="auto"/>
                <w:sz w:val="24"/>
                <w:szCs w:val="24"/>
                <w:highlight w:val="none"/>
                <w:vertAlign w:val="subscript"/>
              </w:rPr>
              <w:t>1</w:t>
            </w:r>
            <w:r>
              <w:rPr>
                <w:rFonts w:hint="default" w:ascii="Times New Roman" w:hAnsi="Times New Roman" w:eastAsia="宋体" w:cs="Times New Roman"/>
                <w:color w:val="auto"/>
                <w:sz w:val="24"/>
                <w:szCs w:val="24"/>
                <w:highlight w:val="none"/>
              </w:rPr>
              <w:t>、q</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…，q</w:t>
            </w:r>
            <w:r>
              <w:rPr>
                <w:rFonts w:hint="default" w:ascii="Times New Roman" w:hAnsi="Times New Roman" w:eastAsia="宋体" w:cs="Times New Roman"/>
                <w:color w:val="auto"/>
                <w:sz w:val="24"/>
                <w:szCs w:val="24"/>
                <w:highlight w:val="none"/>
                <w:vertAlign w:val="subscript"/>
              </w:rPr>
              <w:t>n</w:t>
            </w:r>
            <w:r>
              <w:rPr>
                <w:rFonts w:hint="default" w:ascii="Times New Roman" w:hAnsi="Times New Roman" w:eastAsia="宋体" w:cs="Times New Roman"/>
                <w:color w:val="auto"/>
                <w:sz w:val="24"/>
                <w:szCs w:val="24"/>
                <w:highlight w:val="none"/>
              </w:rPr>
              <w:t xml:space="preserve"> ——为每种危险物质的最大存在总量，t；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Q</w:t>
            </w:r>
            <w:r>
              <w:rPr>
                <w:rFonts w:hint="default" w:ascii="Times New Roman" w:hAnsi="Times New Roman" w:eastAsia="宋体" w:cs="Times New Roman"/>
                <w:color w:val="auto"/>
                <w:sz w:val="24"/>
                <w:szCs w:val="24"/>
                <w:highlight w:val="none"/>
                <w:vertAlign w:val="subscript"/>
              </w:rPr>
              <w:t>1</w:t>
            </w:r>
            <w:r>
              <w:rPr>
                <w:rFonts w:hint="default" w:ascii="Times New Roman" w:hAnsi="Times New Roman" w:eastAsia="宋体" w:cs="Times New Roman"/>
                <w:color w:val="auto"/>
                <w:sz w:val="24"/>
                <w:szCs w:val="24"/>
                <w:highlight w:val="none"/>
              </w:rPr>
              <w:t>、Q</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…Q</w:t>
            </w:r>
            <w:r>
              <w:rPr>
                <w:rFonts w:hint="default" w:ascii="Times New Roman" w:hAnsi="Times New Roman" w:eastAsia="宋体" w:cs="Times New Roman"/>
                <w:color w:val="auto"/>
                <w:sz w:val="24"/>
                <w:szCs w:val="24"/>
                <w:highlight w:val="none"/>
                <w:vertAlign w:val="subscript"/>
              </w:rPr>
              <w:t>n</w:t>
            </w:r>
            <w:r>
              <w:rPr>
                <w:rFonts w:hint="default" w:ascii="Times New Roman" w:hAnsi="Times New Roman" w:eastAsia="宋体" w:cs="Times New Roman"/>
                <w:color w:val="auto"/>
                <w:sz w:val="24"/>
                <w:szCs w:val="24"/>
                <w:highlight w:val="none"/>
              </w:rPr>
              <w:t xml:space="preserve"> ——每种危险物质的临界量，t。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rPr>
              <w:t>当Q&lt;1时，该项目环境风险潜势为I；当Q≥1时，将Q值划分为三种，再综合所属行业及生产工艺特点（M）另行判定。项目危险物质Q值计算情况详见下表所示。</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表4.9-2 项目危险物质Q值计算情况一览表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1"/>
              <w:gridCol w:w="2064"/>
              <w:gridCol w:w="2886"/>
              <w:gridCol w:w="1376"/>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3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危险物质</w:t>
                  </w:r>
                </w:p>
              </w:tc>
              <w:tc>
                <w:tcPr>
                  <w:tcW w:w="1117" w:type="pct"/>
                  <w:noWrap w:val="0"/>
                  <w:vAlign w:val="center"/>
                </w:tcPr>
                <w:p>
                  <w:pPr>
                    <w:keepNext w:val="0"/>
                    <w:keepLines w:val="0"/>
                    <w:suppressLineNumbers w:val="0"/>
                    <w:overflowPunct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主要或关注成分</w:t>
                  </w:r>
                </w:p>
              </w:tc>
              <w:tc>
                <w:tcPr>
                  <w:tcW w:w="156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一次最大储存量/排放量t</w:t>
                  </w:r>
                </w:p>
              </w:tc>
              <w:tc>
                <w:tcPr>
                  <w:tcW w:w="74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临界量/t</w:t>
                  </w:r>
                </w:p>
              </w:tc>
              <w:tc>
                <w:tcPr>
                  <w:tcW w:w="64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计算Q值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9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eastAsia="zh-CN" w:bidi="ar"/>
                    </w:rPr>
                  </w:pPr>
                  <w:r>
                    <w:rPr>
                      <w:rFonts w:hint="default" w:ascii="Times New Roman" w:hAnsi="Times New Roman" w:eastAsia="宋体" w:cs="Times New Roman"/>
                      <w:color w:val="auto"/>
                      <w:kern w:val="0"/>
                      <w:sz w:val="21"/>
                      <w:szCs w:val="21"/>
                      <w:highlight w:val="none"/>
                      <w:lang w:val="en-US" w:eastAsia="zh-CN" w:bidi="ar"/>
                    </w:rPr>
                    <w:t>二氧化硫</w:t>
                  </w:r>
                </w:p>
              </w:tc>
              <w:tc>
                <w:tcPr>
                  <w:tcW w:w="1117"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w:t>
                  </w:r>
                </w:p>
              </w:tc>
              <w:tc>
                <w:tcPr>
                  <w:tcW w:w="156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0.0188</w:t>
                  </w:r>
                </w:p>
              </w:tc>
              <w:tc>
                <w:tcPr>
                  <w:tcW w:w="745"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2.5</w:t>
                  </w:r>
                </w:p>
              </w:tc>
              <w:tc>
                <w:tcPr>
                  <w:tcW w:w="117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0.0075392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9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氢氧化钠</w:t>
                  </w:r>
                </w:p>
              </w:tc>
              <w:tc>
                <w:tcPr>
                  <w:tcW w:w="1117"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w:t>
                  </w:r>
                </w:p>
              </w:tc>
              <w:tc>
                <w:tcPr>
                  <w:tcW w:w="156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0.05</w:t>
                  </w:r>
                </w:p>
              </w:tc>
              <w:tc>
                <w:tcPr>
                  <w:tcW w:w="745"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p>
              </w:tc>
              <w:tc>
                <w:tcPr>
                  <w:tcW w:w="117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9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废机油</w:t>
                  </w:r>
                </w:p>
              </w:tc>
              <w:tc>
                <w:tcPr>
                  <w:tcW w:w="1117"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p>
              </w:tc>
              <w:tc>
                <w:tcPr>
                  <w:tcW w:w="156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0.1</w:t>
                  </w:r>
                </w:p>
              </w:tc>
              <w:tc>
                <w:tcPr>
                  <w:tcW w:w="745"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2500</w:t>
                  </w:r>
                </w:p>
              </w:tc>
              <w:tc>
                <w:tcPr>
                  <w:tcW w:w="117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4356" w:type="pct"/>
                  <w:gridSpan w:val="4"/>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合计</w:t>
                  </w:r>
                </w:p>
              </w:tc>
              <w:tc>
                <w:tcPr>
                  <w:tcW w:w="643"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0.007579</w:t>
                  </w:r>
                </w:p>
              </w:tc>
            </w:tr>
          </w:tbl>
          <w:p>
            <w:pPr>
              <w:keepNext w:val="0"/>
              <w:keepLines w:val="0"/>
              <w:suppressLineNumbers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根据上表可得，项目Q值为</w:t>
            </w:r>
            <w:r>
              <w:rPr>
                <w:rFonts w:hint="default" w:ascii="Times New Roman" w:hAnsi="Times New Roman" w:eastAsia="宋体" w:cs="Times New Roman"/>
                <w:color w:val="auto"/>
                <w:sz w:val="24"/>
                <w:szCs w:val="24"/>
                <w:highlight w:val="none"/>
                <w:lang w:val="en-US" w:eastAsia="zh-CN"/>
              </w:rPr>
              <w:t>0.007579</w:t>
            </w:r>
            <w:r>
              <w:rPr>
                <w:rFonts w:hint="default" w:ascii="Times New Roman" w:hAnsi="Times New Roman" w:eastAsia="宋体" w:cs="Times New Roman"/>
                <w:color w:val="auto"/>
                <w:sz w:val="24"/>
                <w:szCs w:val="24"/>
                <w:highlight w:val="none"/>
              </w:rPr>
              <w:t>&lt;1时，则项目环境风险潜势为I，无需再确定所属行业及生产工艺特点（M）。</w:t>
            </w:r>
          </w:p>
          <w:p>
            <w:pPr>
              <w:keepNext w:val="0"/>
              <w:keepLines w:val="0"/>
              <w:suppressLineNumbers w:val="0"/>
              <w:autoSpaceDE w:val="0"/>
              <w:autoSpaceDN w:val="0"/>
              <w:spacing w:before="0" w:beforeAutospacing="0" w:after="0" w:afterAutospacing="0" w:line="360" w:lineRule="auto"/>
              <w:ind w:left="0" w:right="0" w:firstLine="482" w:firstLineChars="200"/>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9.3评价等级</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根据《建设项目环境风险评价 技术导则》（HJ/T169-2018）规定，建设项目环境风险评价工作等级由环境风险潜势判定，</w:t>
            </w:r>
            <w:r>
              <w:rPr>
                <w:rFonts w:hint="default" w:ascii="Times New Roman" w:hAnsi="Times New Roman" w:eastAsia="宋体" w:cs="Times New Roman"/>
                <w:color w:val="auto"/>
                <w:kern w:val="0"/>
                <w:sz w:val="24"/>
                <w:szCs w:val="24"/>
                <w:highlight w:val="none"/>
              </w:rPr>
              <w:t>见下表。</w:t>
            </w:r>
          </w:p>
          <w:p>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表4.9-3  评价工作等级划分表</w:t>
            </w:r>
          </w:p>
          <w:tbl>
            <w:tblPr>
              <w:tblStyle w:val="23"/>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697"/>
              <w:gridCol w:w="1881"/>
              <w:gridCol w:w="1881"/>
              <w:gridCol w:w="1881"/>
              <w:gridCol w:w="188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jc w:val="center"/>
              </w:trPr>
              <w:tc>
                <w:tcPr>
                  <w:tcW w:w="920" w:type="pct"/>
                  <w:noWrap w:val="0"/>
                  <w:vAlign w:val="center"/>
                </w:tcPr>
                <w:p>
                  <w:pPr>
                    <w:keepNext w:val="0"/>
                    <w:keepLines w:val="0"/>
                    <w:suppressLineNumbers w:val="0"/>
                    <w:tabs>
                      <w:tab w:val="left" w:pos="3800"/>
                    </w:tabs>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环境风险潜势</w:t>
                  </w:r>
                </w:p>
              </w:tc>
              <w:tc>
                <w:tcPr>
                  <w:tcW w:w="1020" w:type="pct"/>
                  <w:noWrap w:val="0"/>
                  <w:vAlign w:val="center"/>
                </w:tcPr>
                <w:p>
                  <w:pPr>
                    <w:keepNext w:val="0"/>
                    <w:keepLines w:val="0"/>
                    <w:suppressLineNumbers w:val="0"/>
                    <w:tabs>
                      <w:tab w:val="left" w:pos="3800"/>
                    </w:tabs>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Ⅳ、Ⅳ+</w:t>
                  </w:r>
                </w:p>
              </w:tc>
              <w:tc>
                <w:tcPr>
                  <w:tcW w:w="1020" w:type="pct"/>
                  <w:noWrap w:val="0"/>
                  <w:vAlign w:val="center"/>
                </w:tcPr>
                <w:p>
                  <w:pPr>
                    <w:keepNext w:val="0"/>
                    <w:keepLines w:val="0"/>
                    <w:suppressLineNumbers w:val="0"/>
                    <w:tabs>
                      <w:tab w:val="left" w:pos="3800"/>
                    </w:tabs>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Ⅲ</w:t>
                  </w:r>
                </w:p>
              </w:tc>
              <w:tc>
                <w:tcPr>
                  <w:tcW w:w="1020" w:type="pct"/>
                  <w:noWrap w:val="0"/>
                  <w:vAlign w:val="center"/>
                </w:tcPr>
                <w:p>
                  <w:pPr>
                    <w:keepNext w:val="0"/>
                    <w:keepLines w:val="0"/>
                    <w:suppressLineNumbers w:val="0"/>
                    <w:tabs>
                      <w:tab w:val="left" w:pos="3800"/>
                    </w:tabs>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Ⅱ</w:t>
                  </w:r>
                </w:p>
              </w:tc>
              <w:tc>
                <w:tcPr>
                  <w:tcW w:w="1018" w:type="pct"/>
                  <w:noWrap w:val="0"/>
                  <w:vAlign w:val="center"/>
                </w:tcPr>
                <w:p>
                  <w:pPr>
                    <w:keepNext w:val="0"/>
                    <w:keepLines w:val="0"/>
                    <w:suppressLineNumbers w:val="0"/>
                    <w:tabs>
                      <w:tab w:val="left" w:pos="3800"/>
                    </w:tabs>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920" w:type="pct"/>
                  <w:noWrap w:val="0"/>
                  <w:vAlign w:val="center"/>
                </w:tcPr>
                <w:p>
                  <w:pPr>
                    <w:keepNext w:val="0"/>
                    <w:keepLines w:val="0"/>
                    <w:suppressLineNumbers w:val="0"/>
                    <w:tabs>
                      <w:tab w:val="left" w:pos="3800"/>
                    </w:tabs>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评价工作等级</w:t>
                  </w:r>
                </w:p>
              </w:tc>
              <w:tc>
                <w:tcPr>
                  <w:tcW w:w="1020" w:type="pct"/>
                  <w:noWrap w:val="0"/>
                  <w:vAlign w:val="center"/>
                </w:tcPr>
                <w:p>
                  <w:pPr>
                    <w:keepNext w:val="0"/>
                    <w:keepLines w:val="0"/>
                    <w:suppressLineNumbers w:val="0"/>
                    <w:tabs>
                      <w:tab w:val="left" w:pos="3800"/>
                    </w:tabs>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w:t>
                  </w:r>
                </w:p>
              </w:tc>
              <w:tc>
                <w:tcPr>
                  <w:tcW w:w="1020" w:type="pct"/>
                  <w:noWrap w:val="0"/>
                  <w:vAlign w:val="center"/>
                </w:tcPr>
                <w:p>
                  <w:pPr>
                    <w:keepNext w:val="0"/>
                    <w:keepLines w:val="0"/>
                    <w:suppressLineNumbers w:val="0"/>
                    <w:tabs>
                      <w:tab w:val="left" w:pos="3800"/>
                    </w:tabs>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w:t>
                  </w:r>
                </w:p>
              </w:tc>
              <w:tc>
                <w:tcPr>
                  <w:tcW w:w="1020" w:type="pct"/>
                  <w:noWrap w:val="0"/>
                  <w:vAlign w:val="center"/>
                </w:tcPr>
                <w:p>
                  <w:pPr>
                    <w:keepNext w:val="0"/>
                    <w:keepLines w:val="0"/>
                    <w:suppressLineNumbers w:val="0"/>
                    <w:tabs>
                      <w:tab w:val="left" w:pos="3800"/>
                    </w:tabs>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w:t>
                  </w:r>
                </w:p>
              </w:tc>
              <w:tc>
                <w:tcPr>
                  <w:tcW w:w="1018" w:type="pct"/>
                  <w:noWrap w:val="0"/>
                  <w:vAlign w:val="center"/>
                </w:tcPr>
                <w:p>
                  <w:pPr>
                    <w:keepNext w:val="0"/>
                    <w:keepLines w:val="0"/>
                    <w:suppressLineNumbers w:val="0"/>
                    <w:tabs>
                      <w:tab w:val="left" w:pos="3800"/>
                    </w:tabs>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简单分析*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000" w:type="pct"/>
                  <w:gridSpan w:val="5"/>
                  <w:noWrap w:val="0"/>
                  <w:vAlign w:val="center"/>
                </w:tcPr>
                <w:p>
                  <w:pPr>
                    <w:keepNext w:val="0"/>
                    <w:keepLines w:val="0"/>
                    <w:suppressLineNumbers w:val="0"/>
                    <w:tabs>
                      <w:tab w:val="left" w:pos="3800"/>
                    </w:tabs>
                    <w:spacing w:before="0" w:beforeAutospacing="0" w:after="0" w:afterAutospacing="0"/>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*是相对于详细评价工作内容而言，在描述危险物质、环境影响途径、环境危害后果、风险防范措施等方面给出定性的说明。</w:t>
                  </w:r>
                </w:p>
              </w:tc>
            </w:tr>
          </w:tbl>
          <w:p>
            <w:pPr>
              <w:pStyle w:val="124"/>
              <w:keepNext w:val="0"/>
              <w:keepLines w:val="0"/>
              <w:suppressLineNumbers w:val="0"/>
              <w:spacing w:before="0" w:beforeAutospacing="0" w:after="0" w:afterAutospacing="0"/>
              <w:ind w:left="0" w:right="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根据上表可得，项目环境风险潜势为I时，项目风险评价等级为简单分析。</w:t>
            </w:r>
          </w:p>
          <w:p>
            <w:pPr>
              <w:pStyle w:val="124"/>
              <w:keepNext w:val="0"/>
              <w:keepLines w:val="0"/>
              <w:suppressLineNumbers w:val="0"/>
              <w:spacing w:before="0" w:beforeAutospacing="0" w:after="0" w:afterAutospacing="0"/>
              <w:ind w:left="0" w:right="0" w:firstLine="482"/>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9.4环境风险识别</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项目风险物质为</w:t>
            </w:r>
            <w:r>
              <w:rPr>
                <w:rFonts w:hint="default" w:ascii="Times New Roman" w:hAnsi="Times New Roman" w:eastAsia="宋体" w:cs="Times New Roman"/>
                <w:color w:val="auto"/>
                <w:sz w:val="24"/>
                <w:highlight w:val="none"/>
                <w:lang w:val="en-US" w:eastAsia="zh-CN"/>
              </w:rPr>
              <w:t>氢氧化钠、废机油、二氧化硫</w:t>
            </w:r>
            <w:r>
              <w:rPr>
                <w:rFonts w:hint="default" w:ascii="Times New Roman" w:hAnsi="Times New Roman" w:eastAsia="宋体" w:cs="Times New Roman"/>
                <w:color w:val="auto"/>
                <w:sz w:val="24"/>
                <w:highlight w:val="none"/>
              </w:rPr>
              <w:t>。风险</w:t>
            </w:r>
            <w:r>
              <w:rPr>
                <w:rFonts w:hint="default"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rPr>
              <w:t>设施为</w:t>
            </w:r>
            <w:r>
              <w:rPr>
                <w:rFonts w:hint="default" w:ascii="Times New Roman" w:hAnsi="Times New Roman" w:eastAsia="宋体" w:cs="Times New Roman"/>
                <w:color w:val="auto"/>
                <w:sz w:val="24"/>
                <w:highlight w:val="none"/>
                <w:lang w:val="en-US" w:eastAsia="zh-CN"/>
              </w:rPr>
              <w:t>危废贮存场所</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辅料堆放区、二氧化硫为项目脱硫塔排放的气态物质</w:t>
            </w:r>
            <w:r>
              <w:rPr>
                <w:rFonts w:hint="default" w:ascii="Times New Roman" w:hAnsi="Times New Roman" w:eastAsia="宋体" w:cs="Times New Roman"/>
                <w:color w:val="auto"/>
                <w:sz w:val="24"/>
                <w:highlight w:val="none"/>
              </w:rPr>
              <w:t>。</w:t>
            </w:r>
          </w:p>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 xml:space="preserve">表4.9-4  </w:t>
            </w:r>
            <w:r>
              <w:rPr>
                <w:rFonts w:hint="default" w:ascii="Times New Roman" w:hAnsi="Times New Roman" w:eastAsia="宋体" w:cs="Times New Roman"/>
                <w:b/>
                <w:bCs/>
                <w:color w:val="auto"/>
                <w:szCs w:val="21"/>
                <w:highlight w:val="none"/>
              </w:rPr>
              <w:t>风险物质识别结果一览表</w:t>
            </w:r>
          </w:p>
          <w:tbl>
            <w:tblPr>
              <w:tblStyle w:val="23"/>
              <w:tblpPr w:leftFromText="180" w:rightFromText="180" w:vertAnchor="text" w:tblpY="1"/>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2164"/>
              <w:gridCol w:w="2205"/>
              <w:gridCol w:w="1357"/>
              <w:gridCol w:w="2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形态</w:t>
                  </w:r>
                </w:p>
              </w:tc>
              <w:tc>
                <w:tcPr>
                  <w:tcW w:w="117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物质名称</w:t>
                  </w:r>
                </w:p>
              </w:tc>
              <w:tc>
                <w:tcPr>
                  <w:tcW w:w="119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最大储量/排放量</w:t>
                  </w:r>
                </w:p>
              </w:tc>
              <w:tc>
                <w:tcPr>
                  <w:tcW w:w="73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临界值</w:t>
                  </w:r>
                </w:p>
              </w:tc>
              <w:tc>
                <w:tcPr>
                  <w:tcW w:w="113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是否为环境风险物质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76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气态</w:t>
                  </w:r>
                </w:p>
              </w:tc>
              <w:tc>
                <w:tcPr>
                  <w:tcW w:w="117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二氧化硫</w:t>
                  </w:r>
                </w:p>
              </w:tc>
              <w:tc>
                <w:tcPr>
                  <w:tcW w:w="119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0.0188</w:t>
                  </w:r>
                </w:p>
              </w:tc>
              <w:tc>
                <w:tcPr>
                  <w:tcW w:w="735"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2.5</w:t>
                  </w:r>
                </w:p>
              </w:tc>
              <w:tc>
                <w:tcPr>
                  <w:tcW w:w="113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w:t>
                  </w:r>
                </w:p>
              </w:tc>
              <w:tc>
                <w:tcPr>
                  <w:tcW w:w="117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氢氧化钠</w:t>
                  </w:r>
                </w:p>
              </w:tc>
              <w:tc>
                <w:tcPr>
                  <w:tcW w:w="119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0.05</w:t>
                  </w:r>
                </w:p>
              </w:tc>
              <w:tc>
                <w:tcPr>
                  <w:tcW w:w="735"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p>
              </w:tc>
              <w:tc>
                <w:tcPr>
                  <w:tcW w:w="113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液态</w:t>
                  </w:r>
                </w:p>
              </w:tc>
              <w:tc>
                <w:tcPr>
                  <w:tcW w:w="117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废机油</w:t>
                  </w:r>
                </w:p>
              </w:tc>
              <w:tc>
                <w:tcPr>
                  <w:tcW w:w="119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0.1</w:t>
                  </w:r>
                </w:p>
              </w:tc>
              <w:tc>
                <w:tcPr>
                  <w:tcW w:w="735"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2500</w:t>
                  </w:r>
                </w:p>
              </w:tc>
              <w:tc>
                <w:tcPr>
                  <w:tcW w:w="113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r>
          </w:tbl>
          <w:p>
            <w:pPr>
              <w:keepNext w:val="0"/>
              <w:keepLines w:val="0"/>
              <w:suppressLineNumbers w:val="0"/>
              <w:spacing w:before="0" w:beforeAutospacing="0" w:after="0" w:afterAutospacing="0"/>
              <w:ind w:left="0" w:right="0" w:firstLine="422" w:firstLineChars="20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 xml:space="preserve">表4.9-5  </w:t>
            </w:r>
            <w:r>
              <w:rPr>
                <w:rFonts w:hint="default" w:ascii="Times New Roman" w:hAnsi="Times New Roman" w:eastAsia="宋体" w:cs="Times New Roman"/>
                <w:b/>
                <w:bCs/>
                <w:color w:val="auto"/>
                <w:szCs w:val="21"/>
                <w:highlight w:val="none"/>
              </w:rPr>
              <w:t>风险设施识别结果一览表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9"/>
              <w:gridCol w:w="4854"/>
              <w:gridCol w:w="1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8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设施名称</w:t>
                  </w:r>
                </w:p>
              </w:tc>
              <w:tc>
                <w:tcPr>
                  <w:tcW w:w="262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设施情况</w:t>
                  </w:r>
                </w:p>
              </w:tc>
              <w:tc>
                <w:tcPr>
                  <w:tcW w:w="108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是否为风险设施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8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危废贮存场所</w:t>
                  </w:r>
                </w:p>
              </w:tc>
              <w:tc>
                <w:tcPr>
                  <w:tcW w:w="262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设置一间10m</w:t>
                  </w:r>
                  <w:r>
                    <w:rPr>
                      <w:rFonts w:hint="default" w:ascii="Times New Roman" w:hAnsi="Times New Roman" w:eastAsia="宋体" w:cs="Times New Roman"/>
                      <w:bCs/>
                      <w:color w:val="auto"/>
                      <w:sz w:val="21"/>
                      <w:szCs w:val="21"/>
                      <w:highlight w:val="none"/>
                      <w:vertAlign w:val="superscript"/>
                      <w:lang w:val="en-US" w:eastAsia="zh-CN"/>
                    </w:rPr>
                    <w:t>3</w:t>
                  </w:r>
                  <w:r>
                    <w:rPr>
                      <w:rFonts w:hint="default" w:ascii="Times New Roman" w:hAnsi="Times New Roman" w:eastAsia="宋体" w:cs="Times New Roman"/>
                      <w:bCs/>
                      <w:color w:val="auto"/>
                      <w:sz w:val="21"/>
                      <w:szCs w:val="21"/>
                      <w:highlight w:val="none"/>
                      <w:lang w:val="en-US" w:eastAsia="zh-CN"/>
                    </w:rPr>
                    <w:t>的危废贮存场所，做重点防渗</w:t>
                  </w:r>
                  <w:r>
                    <w:rPr>
                      <w:rFonts w:hint="default" w:ascii="Times New Roman" w:hAnsi="Times New Roman" w:eastAsia="宋体" w:cs="Times New Roman"/>
                      <w:color w:val="auto"/>
                      <w:sz w:val="21"/>
                      <w:szCs w:val="21"/>
                      <w:highlight w:val="none"/>
                    </w:rPr>
                    <w:t>渗透系数≤1.0×10</w:t>
                  </w:r>
                  <w:r>
                    <w:rPr>
                      <w:rFonts w:hint="default" w:ascii="Times New Roman" w:hAnsi="Times New Roman" w:eastAsia="宋体" w:cs="Times New Roman"/>
                      <w:color w:val="auto"/>
                      <w:sz w:val="21"/>
                      <w:szCs w:val="21"/>
                      <w:highlight w:val="none"/>
                      <w:vertAlign w:val="superscript"/>
                    </w:rPr>
                    <w:t>-10</w:t>
                  </w:r>
                  <w:r>
                    <w:rPr>
                      <w:rFonts w:hint="default" w:ascii="Times New Roman" w:hAnsi="Times New Roman" w:eastAsia="宋体" w:cs="Times New Roman"/>
                      <w:color w:val="auto"/>
                      <w:sz w:val="21"/>
                      <w:szCs w:val="21"/>
                      <w:highlight w:val="none"/>
                    </w:rPr>
                    <w:t>cm/s</w:t>
                  </w:r>
                  <w:r>
                    <w:rPr>
                      <w:rFonts w:hint="default" w:ascii="Times New Roman" w:hAnsi="Times New Roman" w:eastAsia="宋体" w:cs="Times New Roman"/>
                      <w:color w:val="auto"/>
                      <w:sz w:val="21"/>
                      <w:szCs w:val="21"/>
                      <w:highlight w:val="none"/>
                      <w:lang w:eastAsia="zh-CN"/>
                    </w:rPr>
                    <w:t>。</w:t>
                  </w:r>
                </w:p>
              </w:tc>
              <w:tc>
                <w:tcPr>
                  <w:tcW w:w="108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8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辅料堆放区</w:t>
                  </w:r>
                </w:p>
              </w:tc>
              <w:tc>
                <w:tcPr>
                  <w:tcW w:w="262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脱硫房的</w:t>
                  </w:r>
                  <w:r>
                    <w:rPr>
                      <w:rFonts w:hint="default" w:ascii="Times New Roman" w:hAnsi="Times New Roman" w:eastAsia="宋体" w:cs="Times New Roman"/>
                      <w:color w:val="auto"/>
                      <w:sz w:val="21"/>
                      <w:szCs w:val="21"/>
                      <w:highlight w:val="none"/>
                    </w:rPr>
                    <w:t>堆放区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已做了基础防渗。</w:t>
                  </w:r>
                </w:p>
              </w:tc>
              <w:tc>
                <w:tcPr>
                  <w:tcW w:w="108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8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产生过程</w:t>
                  </w:r>
                </w:p>
              </w:tc>
              <w:tc>
                <w:tcPr>
                  <w:tcW w:w="262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脱硫塔采用双碱法脱硫除尘。</w:t>
                  </w:r>
                </w:p>
              </w:tc>
              <w:tc>
                <w:tcPr>
                  <w:tcW w:w="108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是</w:t>
                  </w:r>
                </w:p>
              </w:tc>
            </w:tr>
          </w:tbl>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根据风险识别，项目生产中可能涉及到的危险物质主要为</w:t>
            </w:r>
            <w:r>
              <w:rPr>
                <w:rFonts w:hint="default" w:ascii="Times New Roman" w:hAnsi="Times New Roman" w:eastAsia="宋体" w:cs="Times New Roman"/>
                <w:color w:val="auto"/>
                <w:sz w:val="24"/>
                <w:szCs w:val="24"/>
                <w:highlight w:val="none"/>
                <w:lang w:val="en-US" w:eastAsia="zh-CN"/>
              </w:rPr>
              <w:t>氢氧化钠、废机油、二氧化硫</w:t>
            </w:r>
            <w:r>
              <w:rPr>
                <w:rFonts w:hint="default" w:ascii="Times New Roman" w:hAnsi="Times New Roman" w:eastAsia="宋体" w:cs="Times New Roman"/>
                <w:color w:val="auto"/>
                <w:sz w:val="24"/>
                <w:szCs w:val="24"/>
                <w:highlight w:val="none"/>
              </w:rPr>
              <w:t>，其物理化学性质见下表。</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表4.9-6  SO</w:t>
            </w:r>
            <w:r>
              <w:rPr>
                <w:rFonts w:hint="default" w:ascii="Times New Roman" w:hAnsi="Times New Roman" w:eastAsia="宋体" w:cs="Times New Roman"/>
                <w:b/>
                <w:bCs/>
                <w:color w:val="auto"/>
                <w:szCs w:val="21"/>
                <w:highlight w:val="none"/>
                <w:vertAlign w:val="subscript"/>
              </w:rPr>
              <w:t>2</w:t>
            </w:r>
            <w:r>
              <w:rPr>
                <w:rFonts w:hint="default" w:ascii="Times New Roman" w:hAnsi="Times New Roman" w:eastAsia="宋体" w:cs="Times New Roman"/>
                <w:b/>
                <w:bCs/>
                <w:color w:val="auto"/>
                <w:szCs w:val="21"/>
                <w:highlight w:val="none"/>
              </w:rPr>
              <w:t>物化性质和危险性识别</w:t>
            </w:r>
          </w:p>
          <w:tbl>
            <w:tblPr>
              <w:tblStyle w:val="23"/>
              <w:tblW w:w="4998"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999"/>
              <w:gridCol w:w="1926"/>
              <w:gridCol w:w="2011"/>
              <w:gridCol w:w="1830"/>
              <w:gridCol w:w="245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542" w:type="pct"/>
                  <w:vMerge w:val="restart"/>
                  <w:tcBorders>
                    <w:top w:val="single" w:color="auto" w:sz="8" w:space="0"/>
                    <w:left w:val="single" w:color="auto" w:sz="8"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标识</w:t>
                  </w:r>
                </w:p>
              </w:tc>
              <w:tc>
                <w:tcPr>
                  <w:tcW w:w="1044" w:type="pct"/>
                  <w:tcBorders>
                    <w:top w:val="single" w:color="auto" w:sz="8"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中文名</w:t>
                  </w:r>
                </w:p>
              </w:tc>
              <w:tc>
                <w:tcPr>
                  <w:tcW w:w="1090" w:type="pct"/>
                  <w:tcBorders>
                    <w:top w:val="single" w:color="auto" w:sz="8"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二氧化硫</w:t>
                  </w:r>
                </w:p>
              </w:tc>
              <w:tc>
                <w:tcPr>
                  <w:tcW w:w="992" w:type="pct"/>
                  <w:tcBorders>
                    <w:top w:val="single" w:color="auto" w:sz="8"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英文名</w:t>
                  </w:r>
                </w:p>
              </w:tc>
              <w:tc>
                <w:tcPr>
                  <w:tcW w:w="1331" w:type="pct"/>
                  <w:tcBorders>
                    <w:top w:val="single" w:color="auto" w:sz="8" w:space="0"/>
                    <w:left w:val="single" w:color="auto" w:sz="6" w:space="0"/>
                    <w:bottom w:val="single" w:color="auto" w:sz="6" w:space="0"/>
                    <w:right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sulfur dioxide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878" w:type="dxa"/>
                  <w:vMerge w:val="continue"/>
                  <w:tcBorders>
                    <w:top w:val="single" w:color="auto" w:sz="8" w:space="0"/>
                    <w:left w:val="single" w:color="auto" w:sz="8" w:space="0"/>
                    <w:bottom w:val="single" w:color="auto" w:sz="6" w:space="0"/>
                    <w:right w:val="single" w:color="auto" w:sz="6"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p>
              </w:tc>
              <w:tc>
                <w:tcPr>
                  <w:tcW w:w="104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分子式</w:t>
                  </w:r>
                </w:p>
              </w:tc>
              <w:tc>
                <w:tcPr>
                  <w:tcW w:w="109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99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危规号</w:t>
                  </w:r>
                </w:p>
              </w:tc>
              <w:tc>
                <w:tcPr>
                  <w:tcW w:w="1331" w:type="pct"/>
                  <w:tcBorders>
                    <w:top w:val="single" w:color="auto" w:sz="6" w:space="0"/>
                    <w:left w:val="single" w:color="auto" w:sz="6" w:space="0"/>
                    <w:bottom w:val="single" w:color="auto" w:sz="6" w:space="0"/>
                    <w:right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23013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878" w:type="dxa"/>
                  <w:vMerge w:val="continue"/>
                  <w:tcBorders>
                    <w:top w:val="single" w:color="auto" w:sz="8" w:space="0"/>
                    <w:left w:val="single" w:color="auto" w:sz="8" w:space="0"/>
                    <w:bottom w:val="single" w:color="auto" w:sz="6" w:space="0"/>
                    <w:right w:val="single" w:color="auto" w:sz="6"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p>
              </w:tc>
              <w:tc>
                <w:tcPr>
                  <w:tcW w:w="104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分子量</w:t>
                  </w:r>
                </w:p>
              </w:tc>
              <w:tc>
                <w:tcPr>
                  <w:tcW w:w="109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64.06</w:t>
                  </w:r>
                </w:p>
              </w:tc>
              <w:tc>
                <w:tcPr>
                  <w:tcW w:w="99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危险性类别</w:t>
                  </w:r>
                </w:p>
              </w:tc>
              <w:tc>
                <w:tcPr>
                  <w:tcW w:w="1331" w:type="pct"/>
                  <w:tcBorders>
                    <w:top w:val="single" w:color="auto" w:sz="6" w:space="0"/>
                    <w:left w:val="single" w:color="auto" w:sz="6" w:space="0"/>
                    <w:bottom w:val="single" w:color="auto" w:sz="6" w:space="0"/>
                    <w:right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第2.3 类有毒气体</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542" w:type="pct"/>
                  <w:vMerge w:val="restart"/>
                  <w:tcBorders>
                    <w:top w:val="single" w:color="auto" w:sz="6" w:space="0"/>
                    <w:left w:val="single" w:color="auto" w:sz="8"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理化特性</w:t>
                  </w:r>
                </w:p>
              </w:tc>
              <w:tc>
                <w:tcPr>
                  <w:tcW w:w="104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熔点（℃）</w:t>
                  </w:r>
                </w:p>
              </w:tc>
              <w:tc>
                <w:tcPr>
                  <w:tcW w:w="109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-75.5</w:t>
                  </w:r>
                </w:p>
              </w:tc>
              <w:tc>
                <w:tcPr>
                  <w:tcW w:w="99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沸点（℃）</w:t>
                  </w:r>
                </w:p>
              </w:tc>
              <w:tc>
                <w:tcPr>
                  <w:tcW w:w="1331" w:type="pct"/>
                  <w:tcBorders>
                    <w:top w:val="single" w:color="auto" w:sz="6" w:space="0"/>
                    <w:left w:val="single" w:color="auto" w:sz="6" w:space="0"/>
                    <w:bottom w:val="single" w:color="auto" w:sz="6" w:space="0"/>
                    <w:right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78" w:type="dxa"/>
                  <w:vMerge w:val="continue"/>
                  <w:tcBorders>
                    <w:top w:val="single" w:color="auto" w:sz="6" w:space="0"/>
                    <w:left w:val="single" w:color="auto" w:sz="8" w:space="0"/>
                    <w:bottom w:val="single" w:color="auto" w:sz="6" w:space="0"/>
                    <w:right w:val="single" w:color="auto" w:sz="6"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p>
              </w:tc>
              <w:tc>
                <w:tcPr>
                  <w:tcW w:w="104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燃烧热（kJ/mol）</w:t>
                  </w:r>
                </w:p>
              </w:tc>
              <w:tc>
                <w:tcPr>
                  <w:tcW w:w="109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无意义</w:t>
                  </w:r>
                </w:p>
              </w:tc>
              <w:tc>
                <w:tcPr>
                  <w:tcW w:w="99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饱和蒸气压（kPa）</w:t>
                  </w:r>
                </w:p>
              </w:tc>
              <w:tc>
                <w:tcPr>
                  <w:tcW w:w="1331" w:type="pct"/>
                  <w:tcBorders>
                    <w:top w:val="single" w:color="auto" w:sz="6" w:space="0"/>
                    <w:left w:val="single" w:color="auto" w:sz="6" w:space="0"/>
                    <w:bottom w:val="single" w:color="auto" w:sz="6" w:space="0"/>
                    <w:right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338.42（21.1℃）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878" w:type="dxa"/>
                  <w:vMerge w:val="continue"/>
                  <w:tcBorders>
                    <w:top w:val="single" w:color="auto" w:sz="6" w:space="0"/>
                    <w:left w:val="single" w:color="auto" w:sz="8" w:space="0"/>
                    <w:bottom w:val="single" w:color="auto" w:sz="6" w:space="0"/>
                    <w:right w:val="single" w:color="auto" w:sz="6"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p>
              </w:tc>
              <w:tc>
                <w:tcPr>
                  <w:tcW w:w="104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临界温度（℃）</w:t>
                  </w:r>
                </w:p>
              </w:tc>
              <w:tc>
                <w:tcPr>
                  <w:tcW w:w="109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157.8</w:t>
                  </w:r>
                </w:p>
              </w:tc>
              <w:tc>
                <w:tcPr>
                  <w:tcW w:w="99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临界压力（MPa）</w:t>
                  </w:r>
                </w:p>
              </w:tc>
              <w:tc>
                <w:tcPr>
                  <w:tcW w:w="1331" w:type="pct"/>
                  <w:tcBorders>
                    <w:top w:val="single" w:color="auto" w:sz="6" w:space="0"/>
                    <w:left w:val="single" w:color="auto" w:sz="6" w:space="0"/>
                    <w:bottom w:val="single" w:color="auto" w:sz="6" w:space="0"/>
                    <w:right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7.87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878" w:type="dxa"/>
                  <w:vMerge w:val="continue"/>
                  <w:tcBorders>
                    <w:top w:val="single" w:color="auto" w:sz="6" w:space="0"/>
                    <w:left w:val="single" w:color="auto" w:sz="8" w:space="0"/>
                    <w:bottom w:val="single" w:color="auto" w:sz="6" w:space="0"/>
                    <w:right w:val="single" w:color="auto" w:sz="6"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p>
              </w:tc>
              <w:tc>
                <w:tcPr>
                  <w:tcW w:w="104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相对密度</w:t>
                  </w:r>
                </w:p>
              </w:tc>
              <w:tc>
                <w:tcPr>
                  <w:tcW w:w="3413" w:type="pct"/>
                  <w:gridSpan w:val="3"/>
                  <w:tcBorders>
                    <w:top w:val="single" w:color="auto" w:sz="6" w:space="0"/>
                    <w:left w:val="single" w:color="auto" w:sz="6" w:space="0"/>
                    <w:bottom w:val="single" w:color="auto" w:sz="6" w:space="0"/>
                    <w:right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（水=1）1.43        （空气=1）2.26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878" w:type="dxa"/>
                  <w:vMerge w:val="continue"/>
                  <w:tcBorders>
                    <w:top w:val="single" w:color="auto" w:sz="6" w:space="0"/>
                    <w:left w:val="single" w:color="auto" w:sz="8" w:space="0"/>
                    <w:bottom w:val="single" w:color="auto" w:sz="6" w:space="0"/>
                    <w:right w:val="single" w:color="auto" w:sz="6"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p>
              </w:tc>
              <w:tc>
                <w:tcPr>
                  <w:tcW w:w="104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外观性状</w:t>
                  </w:r>
                </w:p>
              </w:tc>
              <w:tc>
                <w:tcPr>
                  <w:tcW w:w="3413" w:type="pct"/>
                  <w:gridSpan w:val="3"/>
                  <w:tcBorders>
                    <w:top w:val="single" w:color="auto" w:sz="6" w:space="0"/>
                    <w:left w:val="single" w:color="auto" w:sz="6" w:space="0"/>
                    <w:bottom w:val="single" w:color="auto" w:sz="6" w:space="0"/>
                    <w:right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无色气体，特臭</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878" w:type="dxa"/>
                  <w:vMerge w:val="continue"/>
                  <w:tcBorders>
                    <w:top w:val="single" w:color="auto" w:sz="6" w:space="0"/>
                    <w:left w:val="single" w:color="auto" w:sz="8" w:space="0"/>
                    <w:bottom w:val="single" w:color="auto" w:sz="6" w:space="0"/>
                    <w:right w:val="single" w:color="auto" w:sz="6"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p>
              </w:tc>
              <w:tc>
                <w:tcPr>
                  <w:tcW w:w="104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溶解性</w:t>
                  </w:r>
                </w:p>
              </w:tc>
              <w:tc>
                <w:tcPr>
                  <w:tcW w:w="3413" w:type="pct"/>
                  <w:gridSpan w:val="3"/>
                  <w:tcBorders>
                    <w:top w:val="single" w:color="auto" w:sz="6" w:space="0"/>
                    <w:left w:val="single" w:color="auto" w:sz="6" w:space="0"/>
                    <w:bottom w:val="single" w:color="auto" w:sz="6" w:space="0"/>
                    <w:right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溶于水，乙醇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878" w:type="dxa"/>
                  <w:vMerge w:val="continue"/>
                  <w:tcBorders>
                    <w:top w:val="single" w:color="auto" w:sz="6" w:space="0"/>
                    <w:left w:val="single" w:color="auto" w:sz="8" w:space="0"/>
                    <w:bottom w:val="single" w:color="auto" w:sz="6" w:space="0"/>
                    <w:right w:val="single" w:color="auto" w:sz="6"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p>
              </w:tc>
              <w:tc>
                <w:tcPr>
                  <w:tcW w:w="104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稳定性</w:t>
                  </w:r>
                </w:p>
              </w:tc>
              <w:tc>
                <w:tcPr>
                  <w:tcW w:w="109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稳定</w:t>
                  </w:r>
                </w:p>
              </w:tc>
              <w:tc>
                <w:tcPr>
                  <w:tcW w:w="99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避免接触的条件</w:t>
                  </w:r>
                </w:p>
              </w:tc>
              <w:tc>
                <w:tcPr>
                  <w:tcW w:w="1331" w:type="pct"/>
                  <w:tcBorders>
                    <w:top w:val="single" w:color="auto" w:sz="6" w:space="0"/>
                    <w:left w:val="single" w:color="auto" w:sz="6" w:space="0"/>
                    <w:bottom w:val="single" w:color="auto" w:sz="6" w:space="0"/>
                    <w:right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878" w:type="dxa"/>
                  <w:vMerge w:val="continue"/>
                  <w:tcBorders>
                    <w:top w:val="single" w:color="auto" w:sz="6" w:space="0"/>
                    <w:left w:val="single" w:color="auto" w:sz="8" w:space="0"/>
                    <w:bottom w:val="single" w:color="auto" w:sz="6" w:space="0"/>
                    <w:right w:val="single" w:color="auto" w:sz="6"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p>
              </w:tc>
              <w:tc>
                <w:tcPr>
                  <w:tcW w:w="104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禁配物</w:t>
                  </w:r>
                </w:p>
              </w:tc>
              <w:tc>
                <w:tcPr>
                  <w:tcW w:w="109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强还原剂、强氧化剂、易燃或可燃物</w:t>
                  </w:r>
                </w:p>
              </w:tc>
              <w:tc>
                <w:tcPr>
                  <w:tcW w:w="99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燃烧产物</w:t>
                  </w:r>
                </w:p>
              </w:tc>
              <w:tc>
                <w:tcPr>
                  <w:tcW w:w="1331" w:type="pct"/>
                  <w:tcBorders>
                    <w:top w:val="single" w:color="auto" w:sz="6" w:space="0"/>
                    <w:left w:val="single" w:color="auto" w:sz="6" w:space="0"/>
                    <w:bottom w:val="single" w:color="auto" w:sz="6" w:space="0"/>
                    <w:right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氧化硫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878" w:type="dxa"/>
                  <w:vMerge w:val="continue"/>
                  <w:tcBorders>
                    <w:top w:val="single" w:color="auto" w:sz="6" w:space="0"/>
                    <w:left w:val="single" w:color="auto" w:sz="8" w:space="0"/>
                    <w:bottom w:val="single" w:color="auto" w:sz="6" w:space="0"/>
                    <w:right w:val="single" w:color="auto" w:sz="6"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p>
              </w:tc>
              <w:tc>
                <w:tcPr>
                  <w:tcW w:w="104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主要用途</w:t>
                  </w:r>
                </w:p>
              </w:tc>
              <w:tc>
                <w:tcPr>
                  <w:tcW w:w="3413" w:type="pct"/>
                  <w:gridSpan w:val="3"/>
                  <w:tcBorders>
                    <w:top w:val="single" w:color="auto" w:sz="6" w:space="0"/>
                    <w:left w:val="single" w:color="auto" w:sz="6" w:space="0"/>
                    <w:bottom w:val="single" w:color="auto" w:sz="6" w:space="0"/>
                    <w:right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用于制造硫酸和保险粉等。</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542" w:type="pct"/>
                  <w:vMerge w:val="restart"/>
                  <w:tcBorders>
                    <w:top w:val="single" w:color="auto" w:sz="6" w:space="0"/>
                    <w:left w:val="single" w:color="auto" w:sz="8"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燃爆特性</w:t>
                  </w:r>
                </w:p>
              </w:tc>
              <w:tc>
                <w:tcPr>
                  <w:tcW w:w="104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燃烧性</w:t>
                  </w:r>
                </w:p>
              </w:tc>
              <w:tc>
                <w:tcPr>
                  <w:tcW w:w="109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本品不燃，有毒，具强刺激性。</w:t>
                  </w:r>
                </w:p>
              </w:tc>
              <w:tc>
                <w:tcPr>
                  <w:tcW w:w="99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建规火险分级</w:t>
                  </w:r>
                </w:p>
              </w:tc>
              <w:tc>
                <w:tcPr>
                  <w:tcW w:w="1331" w:type="pct"/>
                  <w:tcBorders>
                    <w:top w:val="single" w:color="auto" w:sz="6" w:space="0"/>
                    <w:left w:val="single" w:color="auto" w:sz="6" w:space="0"/>
                    <w:bottom w:val="single" w:color="auto" w:sz="6" w:space="0"/>
                    <w:right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10" w:hRule="atLeast"/>
                <w:jc w:val="center"/>
              </w:trPr>
              <w:tc>
                <w:tcPr>
                  <w:tcW w:w="878" w:type="dxa"/>
                  <w:vMerge w:val="continue"/>
                  <w:tcBorders>
                    <w:top w:val="single" w:color="auto" w:sz="6" w:space="0"/>
                    <w:left w:val="single" w:color="auto" w:sz="8" w:space="0"/>
                    <w:bottom w:val="single" w:color="auto" w:sz="6" w:space="0"/>
                    <w:right w:val="single" w:color="auto" w:sz="6"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p>
              </w:tc>
              <w:tc>
                <w:tcPr>
                  <w:tcW w:w="104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闪点（℃）</w:t>
                  </w:r>
                </w:p>
              </w:tc>
              <w:tc>
                <w:tcPr>
                  <w:tcW w:w="109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无意义</w:t>
                  </w:r>
                </w:p>
              </w:tc>
              <w:tc>
                <w:tcPr>
                  <w:tcW w:w="99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引燃温度（℃）</w:t>
                  </w:r>
                </w:p>
              </w:tc>
              <w:tc>
                <w:tcPr>
                  <w:tcW w:w="1331" w:type="pct"/>
                  <w:tcBorders>
                    <w:top w:val="single" w:color="auto" w:sz="6" w:space="0"/>
                    <w:left w:val="single" w:color="auto" w:sz="6" w:space="0"/>
                    <w:bottom w:val="single" w:color="auto" w:sz="6" w:space="0"/>
                    <w:right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无意义</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878" w:type="dxa"/>
                  <w:vMerge w:val="continue"/>
                  <w:tcBorders>
                    <w:top w:val="single" w:color="auto" w:sz="6" w:space="0"/>
                    <w:left w:val="single" w:color="auto" w:sz="8" w:space="0"/>
                    <w:bottom w:val="single" w:color="auto" w:sz="6" w:space="0"/>
                    <w:right w:val="single" w:color="auto" w:sz="6"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p>
              </w:tc>
              <w:tc>
                <w:tcPr>
                  <w:tcW w:w="104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爆炸下限（V%）</w:t>
                  </w:r>
                </w:p>
              </w:tc>
              <w:tc>
                <w:tcPr>
                  <w:tcW w:w="109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无意义</w:t>
                  </w:r>
                </w:p>
              </w:tc>
              <w:tc>
                <w:tcPr>
                  <w:tcW w:w="99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爆炸上限（V%）</w:t>
                  </w:r>
                </w:p>
              </w:tc>
              <w:tc>
                <w:tcPr>
                  <w:tcW w:w="1331" w:type="pct"/>
                  <w:tcBorders>
                    <w:top w:val="single" w:color="auto" w:sz="6" w:space="0"/>
                    <w:left w:val="single" w:color="auto" w:sz="6" w:space="0"/>
                    <w:bottom w:val="single" w:color="auto" w:sz="6" w:space="0"/>
                    <w:right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无意义</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878" w:type="dxa"/>
                  <w:vMerge w:val="continue"/>
                  <w:tcBorders>
                    <w:top w:val="single" w:color="auto" w:sz="6" w:space="0"/>
                    <w:left w:val="single" w:color="auto" w:sz="8" w:space="0"/>
                    <w:bottom w:val="single" w:color="auto" w:sz="6" w:space="0"/>
                    <w:right w:val="single" w:color="auto" w:sz="6"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p>
              </w:tc>
              <w:tc>
                <w:tcPr>
                  <w:tcW w:w="104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危险特性</w:t>
                  </w:r>
                </w:p>
              </w:tc>
              <w:tc>
                <w:tcPr>
                  <w:tcW w:w="3413" w:type="pct"/>
                  <w:gridSpan w:val="3"/>
                  <w:tcBorders>
                    <w:top w:val="single" w:color="auto" w:sz="6" w:space="0"/>
                    <w:left w:val="single" w:color="auto" w:sz="6" w:space="0"/>
                    <w:bottom w:val="single" w:color="auto" w:sz="6" w:space="0"/>
                    <w:right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不燃。若遇高热，容器内压增大，有开裂和爆炸的危险。</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878" w:type="dxa"/>
                  <w:vMerge w:val="continue"/>
                  <w:tcBorders>
                    <w:top w:val="single" w:color="auto" w:sz="6" w:space="0"/>
                    <w:left w:val="single" w:color="auto" w:sz="8" w:space="0"/>
                    <w:bottom w:val="single" w:color="auto" w:sz="6" w:space="0"/>
                    <w:right w:val="single" w:color="auto" w:sz="6"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p>
              </w:tc>
              <w:tc>
                <w:tcPr>
                  <w:tcW w:w="104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灭火方法</w:t>
                  </w:r>
                </w:p>
              </w:tc>
              <w:tc>
                <w:tcPr>
                  <w:tcW w:w="3413" w:type="pct"/>
                  <w:gridSpan w:val="3"/>
                  <w:tcBorders>
                    <w:top w:val="single" w:color="auto" w:sz="6" w:space="0"/>
                    <w:left w:val="single" w:color="auto" w:sz="6" w:space="0"/>
                    <w:bottom w:val="single" w:color="auto" w:sz="6" w:space="0"/>
                    <w:right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本品不燃。消防人员必须佩戴过滤式防毒面具（全面罩）或隔离式呼吸器、穿全身防火防毒服，在上风向灭火。切断气源。喷水冷却容器，可能的话将容器从火场移至空旷处。灭火剂：雾状水、泡沫、二氧化碳。</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542" w:type="pct"/>
                  <w:vMerge w:val="restart"/>
                  <w:tcBorders>
                    <w:top w:val="single" w:color="auto" w:sz="4" w:space="0"/>
                    <w:left w:val="single" w:color="auto" w:sz="8" w:space="0"/>
                    <w:bottom w:val="single" w:color="auto" w:sz="6" w:space="0"/>
                    <w:right w:val="single" w:color="auto" w:sz="6"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毒性及健康危害</w:t>
                  </w:r>
                </w:p>
              </w:tc>
              <w:tc>
                <w:tcPr>
                  <w:tcW w:w="1044" w:type="pct"/>
                  <w:tcBorders>
                    <w:top w:val="single" w:color="auto" w:sz="4"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侵入途径</w:t>
                  </w:r>
                </w:p>
              </w:tc>
              <w:tc>
                <w:tcPr>
                  <w:tcW w:w="3413" w:type="pct"/>
                  <w:gridSpan w:val="3"/>
                  <w:tcBorders>
                    <w:top w:val="single" w:color="auto" w:sz="6" w:space="0"/>
                    <w:left w:val="single" w:color="auto" w:sz="6" w:space="0"/>
                    <w:bottom w:val="single" w:color="auto" w:sz="6" w:space="0"/>
                    <w:right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吸入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878" w:type="dxa"/>
                  <w:vMerge w:val="continue"/>
                  <w:tcBorders>
                    <w:top w:val="single" w:color="auto" w:sz="4" w:space="0"/>
                    <w:left w:val="single" w:color="auto" w:sz="8" w:space="0"/>
                    <w:bottom w:val="single" w:color="auto" w:sz="6" w:space="0"/>
                    <w:right w:val="single" w:color="auto" w:sz="6"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p>
              </w:tc>
              <w:tc>
                <w:tcPr>
                  <w:tcW w:w="104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急性毒性</w:t>
                  </w:r>
                </w:p>
              </w:tc>
              <w:tc>
                <w:tcPr>
                  <w:tcW w:w="3413" w:type="pct"/>
                  <w:gridSpan w:val="3"/>
                  <w:tcBorders>
                    <w:top w:val="single" w:color="auto" w:sz="6" w:space="0"/>
                    <w:left w:val="single" w:color="auto" w:sz="6" w:space="0"/>
                    <w:bottom w:val="single" w:color="auto" w:sz="6" w:space="0"/>
                    <w:right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LD</w:t>
                  </w:r>
                  <w:r>
                    <w:rPr>
                      <w:rFonts w:hint="default" w:ascii="Times New Roman" w:hAnsi="Times New Roman" w:eastAsia="宋体" w:cs="Times New Roman"/>
                      <w:color w:val="auto"/>
                      <w:sz w:val="21"/>
                      <w:szCs w:val="21"/>
                      <w:highlight w:val="none"/>
                      <w:vertAlign w:val="subscript"/>
                    </w:rPr>
                    <w:t>50</w:t>
                  </w:r>
                  <w:r>
                    <w:rPr>
                      <w:rFonts w:hint="default" w:ascii="Times New Roman" w:hAnsi="Times New Roman" w:eastAsia="宋体" w:cs="Times New Roman"/>
                      <w:color w:val="auto"/>
                      <w:sz w:val="21"/>
                      <w:szCs w:val="21"/>
                      <w:highlight w:val="none"/>
                    </w:rPr>
                    <w:t>：无资料</w:t>
                  </w:r>
                  <w:r>
                    <w:rPr>
                      <w:rFonts w:hint="default" w:ascii="Times New Roman" w:hAnsi="Times New Roman" w:eastAsia="宋体" w:cs="Times New Roman"/>
                      <w:color w:val="auto"/>
                      <w:sz w:val="21"/>
                      <w:szCs w:val="21"/>
                      <w:highlight w:val="none"/>
                    </w:rPr>
                    <w:br w:type="textWrapping"/>
                  </w:r>
                  <w:r>
                    <w:rPr>
                      <w:rFonts w:hint="default" w:ascii="Times New Roman" w:hAnsi="Times New Roman" w:eastAsia="宋体" w:cs="Times New Roman"/>
                      <w:color w:val="auto"/>
                      <w:sz w:val="21"/>
                      <w:szCs w:val="21"/>
                      <w:highlight w:val="none"/>
                    </w:rPr>
                    <w:t>LC</w:t>
                  </w:r>
                  <w:r>
                    <w:rPr>
                      <w:rFonts w:hint="default" w:ascii="Times New Roman" w:hAnsi="Times New Roman" w:eastAsia="宋体" w:cs="Times New Roman"/>
                      <w:color w:val="auto"/>
                      <w:sz w:val="21"/>
                      <w:szCs w:val="21"/>
                      <w:highlight w:val="none"/>
                      <w:vertAlign w:val="subscript"/>
                    </w:rPr>
                    <w:t>50</w:t>
                  </w:r>
                  <w:r>
                    <w:rPr>
                      <w:rFonts w:hint="default" w:ascii="Times New Roman" w:hAnsi="Times New Roman" w:eastAsia="宋体" w:cs="Times New Roman"/>
                      <w:color w:val="auto"/>
                      <w:sz w:val="21"/>
                      <w:szCs w:val="21"/>
                      <w:highlight w:val="none"/>
                    </w:rPr>
                    <w:t>：6600mg/m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，1小时（大鼠吸入）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878" w:type="dxa"/>
                  <w:vMerge w:val="continue"/>
                  <w:tcBorders>
                    <w:top w:val="single" w:color="auto" w:sz="4" w:space="0"/>
                    <w:left w:val="single" w:color="auto" w:sz="8" w:space="0"/>
                    <w:bottom w:val="single" w:color="auto" w:sz="6" w:space="0"/>
                    <w:right w:val="single" w:color="auto" w:sz="6"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p>
              </w:tc>
              <w:tc>
                <w:tcPr>
                  <w:tcW w:w="104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健康危害</w:t>
                  </w:r>
                </w:p>
              </w:tc>
              <w:tc>
                <w:tcPr>
                  <w:tcW w:w="3413" w:type="pct"/>
                  <w:gridSpan w:val="3"/>
                  <w:tcBorders>
                    <w:top w:val="single" w:color="auto" w:sz="6" w:space="0"/>
                    <w:left w:val="single" w:color="auto" w:sz="6" w:space="0"/>
                    <w:bottom w:val="single" w:color="auto" w:sz="6" w:space="0"/>
                    <w:right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易被湿润的粘膜表面吸收生成亚硫酸、硫酸，对眼及呼吸道粘膜有强烈的刺激作用。大量吸入可引起肺水肿、喉水肿、声带痉挛而致窒息。 急性中毒：轻度中毒时，发生流泪、畏光、咳嗽，咽、喉灼痛等；严重中毒可在数小时内发生肺水肿；极高浓度吸入可引起反射性声门痉挛而致窒息。皮肤或眼接触发生炎症或灼伤。 慢性影响：长期低浓度接触，可有头痛、头昏、乏力等全身症状以及慢性鼻炎、咽喉炎、支气管炎、嗅觉及味觉减退等。少数工人有牙齿酸蚀症。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542" w:type="pct"/>
                  <w:vMerge w:val="restart"/>
                  <w:tcBorders>
                    <w:top w:val="single" w:color="auto" w:sz="6" w:space="0"/>
                    <w:left w:val="single" w:color="auto" w:sz="8"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急救措施</w:t>
                  </w:r>
                </w:p>
              </w:tc>
              <w:tc>
                <w:tcPr>
                  <w:tcW w:w="104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眼睛接触</w:t>
                  </w:r>
                </w:p>
              </w:tc>
              <w:tc>
                <w:tcPr>
                  <w:tcW w:w="3413" w:type="pct"/>
                  <w:gridSpan w:val="3"/>
                  <w:tcBorders>
                    <w:top w:val="single" w:color="auto" w:sz="6" w:space="0"/>
                    <w:left w:val="single" w:color="auto" w:sz="6" w:space="0"/>
                    <w:bottom w:val="single" w:color="auto" w:sz="6" w:space="0"/>
                    <w:right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提起眼睑，用流动清水或生理盐水冲洗。就医。</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878" w:type="dxa"/>
                  <w:vMerge w:val="continue"/>
                  <w:tcBorders>
                    <w:top w:val="single" w:color="auto" w:sz="6" w:space="0"/>
                    <w:left w:val="single" w:color="auto" w:sz="8" w:space="0"/>
                    <w:bottom w:val="single" w:color="auto" w:sz="6" w:space="0"/>
                    <w:right w:val="single" w:color="auto" w:sz="6"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p>
              </w:tc>
              <w:tc>
                <w:tcPr>
                  <w:tcW w:w="104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皮肤接触</w:t>
                  </w:r>
                </w:p>
              </w:tc>
              <w:tc>
                <w:tcPr>
                  <w:tcW w:w="3413" w:type="pct"/>
                  <w:gridSpan w:val="3"/>
                  <w:tcBorders>
                    <w:top w:val="single" w:color="auto" w:sz="6" w:space="0"/>
                    <w:left w:val="single" w:color="auto" w:sz="6" w:space="0"/>
                    <w:bottom w:val="single" w:color="auto" w:sz="6" w:space="0"/>
                    <w:right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立即脱去污染的衣着，用大量流动清水冲洗。就医。</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878" w:type="dxa"/>
                  <w:vMerge w:val="continue"/>
                  <w:tcBorders>
                    <w:top w:val="single" w:color="auto" w:sz="6" w:space="0"/>
                    <w:left w:val="single" w:color="auto" w:sz="8" w:space="0"/>
                    <w:bottom w:val="single" w:color="auto" w:sz="6" w:space="0"/>
                    <w:right w:val="single" w:color="auto" w:sz="6"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p>
              </w:tc>
              <w:tc>
                <w:tcPr>
                  <w:tcW w:w="104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吸入</w:t>
                  </w:r>
                </w:p>
              </w:tc>
              <w:tc>
                <w:tcPr>
                  <w:tcW w:w="3413" w:type="pct"/>
                  <w:gridSpan w:val="3"/>
                  <w:tcBorders>
                    <w:top w:val="single" w:color="auto" w:sz="6" w:space="0"/>
                    <w:left w:val="single" w:color="auto" w:sz="6" w:space="0"/>
                    <w:bottom w:val="single" w:color="auto" w:sz="6" w:space="0"/>
                    <w:right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迅速脱离现场至空气新鲜处。保持呼吸道通畅。如呼吸困难，给输氧。如呼吸停止，立即进行人工呼吸。就医。</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542" w:type="pct"/>
                  <w:tcBorders>
                    <w:top w:val="single" w:color="auto" w:sz="6" w:space="0"/>
                    <w:left w:val="single" w:color="auto" w:sz="8"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泄漏应急处理</w:t>
                  </w:r>
                </w:p>
              </w:tc>
              <w:tc>
                <w:tcPr>
                  <w:tcW w:w="4457" w:type="pct"/>
                  <w:gridSpan w:val="4"/>
                  <w:tcBorders>
                    <w:top w:val="single" w:color="auto" w:sz="6" w:space="0"/>
                    <w:left w:val="single" w:color="auto" w:sz="6" w:space="0"/>
                    <w:bottom w:val="single" w:color="auto" w:sz="6" w:space="0"/>
                    <w:right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迅速撤离泄漏污染区人员至上风处，并立即进行隔离，小泄漏时隔离150m，大泄漏时隔离450m，严格限制出入。建议应急处理人员戴自给正压式呼吸器，穿防毒服。从上风处进入现场。尽可能切断泄漏源。用工业覆盖层或吸附/吸收剂盖住泄漏点附近的下水道等地方，防止气体进入。合理通风，加速扩散。喷雾状水稀释、溶解。构筑围堤或挖坑收容产生的大量废水。如有可能，用一捉捕器使气体通过次氯酸钠溶液。漏气容器要妥善处理，修复、检验后再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542" w:type="pct"/>
                  <w:tcBorders>
                    <w:top w:val="single" w:color="auto" w:sz="6" w:space="0"/>
                    <w:left w:val="single" w:color="auto" w:sz="8"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操作注意事项</w:t>
                  </w:r>
                </w:p>
              </w:tc>
              <w:tc>
                <w:tcPr>
                  <w:tcW w:w="4457" w:type="pct"/>
                  <w:gridSpan w:val="4"/>
                  <w:tcBorders>
                    <w:top w:val="single" w:color="auto" w:sz="6" w:space="0"/>
                    <w:left w:val="single" w:color="auto" w:sz="6" w:space="0"/>
                    <w:bottom w:val="single" w:color="auto" w:sz="6" w:space="0"/>
                    <w:right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加密闭，提供充分的局部排风和全面通风。操作人员必须经过专门培训，严格遵守操作规程。建议操作人员佩戴自吸过滤式防毒面具（全面罩），穿聚乙烯防毒服，戴橡胶手套。远离易燃、可燃物。防止气体泄漏到工作场所空气中。避免与氧化剂、还原剂接触。搬运时轻装轻卸，防止钢瓶及附件破损。配备泄漏应急处理设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542" w:type="pct"/>
                  <w:tcBorders>
                    <w:top w:val="single" w:color="auto" w:sz="6" w:space="0"/>
                    <w:left w:val="single" w:color="auto" w:sz="8"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包装方法</w:t>
                  </w:r>
                </w:p>
              </w:tc>
              <w:tc>
                <w:tcPr>
                  <w:tcW w:w="4457" w:type="pct"/>
                  <w:gridSpan w:val="4"/>
                  <w:tcBorders>
                    <w:top w:val="single" w:color="auto" w:sz="6" w:space="0"/>
                    <w:left w:val="single" w:color="auto" w:sz="6" w:space="0"/>
                    <w:bottom w:val="single" w:color="auto" w:sz="6" w:space="0"/>
                    <w:right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包装类别：O52</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包装方法：钢质气瓶；安瓿瓶外普通木箱。</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542" w:type="pct"/>
                  <w:tcBorders>
                    <w:top w:val="single" w:color="auto" w:sz="6" w:space="0"/>
                    <w:left w:val="single" w:color="auto" w:sz="8"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储存注意事项</w:t>
                  </w:r>
                </w:p>
              </w:tc>
              <w:tc>
                <w:tcPr>
                  <w:tcW w:w="4457" w:type="pct"/>
                  <w:gridSpan w:val="4"/>
                  <w:tcBorders>
                    <w:top w:val="single" w:color="auto" w:sz="6" w:space="0"/>
                    <w:left w:val="single" w:color="auto" w:sz="6" w:space="0"/>
                    <w:bottom w:val="single" w:color="auto" w:sz="6" w:space="0"/>
                    <w:right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储存于阴凉、通风的库房。远离火种、热源。库温不宜超过30℃。应与易（可）燃物、氧化剂、还原剂、食用化学品分开存放，切忌混储。储区应备有泄漏应急处理设备。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542" w:type="pct"/>
                  <w:tcBorders>
                    <w:top w:val="single" w:color="auto" w:sz="6" w:space="0"/>
                    <w:left w:val="single" w:color="auto" w:sz="8" w:space="0"/>
                    <w:bottom w:val="single" w:color="auto" w:sz="6"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运输注意事项</w:t>
                  </w:r>
                </w:p>
              </w:tc>
              <w:tc>
                <w:tcPr>
                  <w:tcW w:w="4457" w:type="pct"/>
                  <w:gridSpan w:val="4"/>
                  <w:tcBorders>
                    <w:top w:val="single" w:color="auto" w:sz="6" w:space="0"/>
                    <w:left w:val="single" w:color="auto" w:sz="6" w:space="0"/>
                    <w:bottom w:val="single" w:color="auto" w:sz="6" w:space="0"/>
                    <w:right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品铁路运输时限使用耐压液化气企业自备罐车装运，装运前需报有关部门批准。铁路运输时应严格按照铁道部《危险货物运输规则》中的危险货物配装表进行配装。采用刚瓶运输时必须戴好钢瓶上的安全帽。钢瓶一般平放，并应将瓶口朝同一方向，不可交叉；高度不得超过车辆的防护栏板，并用三角木垫卡牢，防止滚动。严禁与易燃物或可燃物、氧化剂、还原剂、食用化学品等混装混运。夏季应早晚运输，防止日光曝晒。公路运输时要按规定路线行驶，禁止在居民区和人口稠密区停留。铁路运输时要禁止溜放。</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542" w:type="pct"/>
                  <w:tcBorders>
                    <w:top w:val="single" w:color="auto" w:sz="6" w:space="0"/>
                    <w:left w:val="single" w:color="auto" w:sz="8" w:space="0"/>
                    <w:bottom w:val="single" w:color="auto" w:sz="8" w:space="0"/>
                    <w:right w:val="single" w:color="auto" w:sz="6"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防护措施</w:t>
                  </w:r>
                </w:p>
              </w:tc>
              <w:tc>
                <w:tcPr>
                  <w:tcW w:w="4457" w:type="pct"/>
                  <w:gridSpan w:val="4"/>
                  <w:tcBorders>
                    <w:top w:val="single" w:color="auto" w:sz="6" w:space="0"/>
                    <w:left w:val="single" w:color="auto" w:sz="6" w:space="0"/>
                    <w:bottom w:val="single" w:color="auto" w:sz="8" w:space="0"/>
                    <w:right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工程控制：严加密闭，提供充分的局部排风和全面通风。提供安全淋浴和洗眼设备。</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呼吸系统防护：空气中浓度超标时，佩戴自吸过滤式防毒面具（全面罩）。紧急事态抢救或撤离时，建议佩戴正压自给式呼吸器。眼睛防护：呼吸系统防护中已作防护。</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身体防护：穿聚乙烯防毒服。</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手防护：戴橡胶手套。</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其他防护：工作现场禁止吸烟、进食和饮水。工作完毕，淋浴更衣。保持良好的卫生习惯。</w:t>
                  </w:r>
                </w:p>
              </w:tc>
            </w:tr>
          </w:tbl>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 xml:space="preserve">表4.9-7  </w:t>
            </w:r>
            <w:r>
              <w:rPr>
                <w:rFonts w:hint="default" w:ascii="Times New Roman" w:hAnsi="Times New Roman" w:eastAsia="宋体" w:cs="Times New Roman"/>
                <w:b/>
                <w:bCs/>
                <w:color w:val="auto"/>
                <w:szCs w:val="21"/>
                <w:highlight w:val="none"/>
                <w:lang w:val="en-US" w:eastAsia="zh-CN"/>
              </w:rPr>
              <w:t>氢氧化钠</w:t>
            </w:r>
            <w:r>
              <w:rPr>
                <w:rFonts w:hint="default" w:ascii="Times New Roman" w:hAnsi="Times New Roman" w:eastAsia="宋体" w:cs="Times New Roman"/>
                <w:b/>
                <w:bCs/>
                <w:color w:val="auto"/>
                <w:szCs w:val="21"/>
                <w:highlight w:val="none"/>
              </w:rPr>
              <w:t>物化性质和危险性识别</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1320"/>
              <w:gridCol w:w="646"/>
              <w:gridCol w:w="530"/>
              <w:gridCol w:w="833"/>
              <w:gridCol w:w="884"/>
              <w:gridCol w:w="142"/>
              <w:gridCol w:w="788"/>
              <w:gridCol w:w="546"/>
              <w:gridCol w:w="724"/>
              <w:gridCol w:w="764"/>
              <w:gridCol w:w="286"/>
              <w:gridCol w:w="1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26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识</w:t>
                  </w:r>
                </w:p>
              </w:tc>
              <w:tc>
                <w:tcPr>
                  <w:tcW w:w="715"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中文名</w:t>
                  </w:r>
                </w:p>
              </w:tc>
              <w:tc>
                <w:tcPr>
                  <w:tcW w:w="637" w:type="pct"/>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氢氧化钠</w:t>
                  </w:r>
                </w:p>
              </w:tc>
              <w:tc>
                <w:tcPr>
                  <w:tcW w:w="451"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英文名</w:t>
                  </w:r>
                </w:p>
              </w:tc>
              <w:tc>
                <w:tcPr>
                  <w:tcW w:w="1279" w:type="pct"/>
                  <w:gridSpan w:val="4"/>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FFFFFF"/>
                    </w:rPr>
                    <w:t>Sodium hydroxide</w:t>
                  </w:r>
                </w:p>
              </w:tc>
              <w:tc>
                <w:tcPr>
                  <w:tcW w:w="961" w:type="pct"/>
                  <w:gridSpan w:val="3"/>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危险货物编号</w:t>
                  </w:r>
                </w:p>
              </w:tc>
              <w:tc>
                <w:tcPr>
                  <w:tcW w:w="694"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p>
              </w:tc>
              <w:tc>
                <w:tcPr>
                  <w:tcW w:w="715"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分子式</w:t>
                  </w:r>
                </w:p>
              </w:tc>
              <w:tc>
                <w:tcPr>
                  <w:tcW w:w="637" w:type="pct"/>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FFFFFF"/>
                    </w:rPr>
                    <w:t>NaOH</w:t>
                  </w:r>
                </w:p>
              </w:tc>
              <w:tc>
                <w:tcPr>
                  <w:tcW w:w="451"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分子量</w:t>
                  </w:r>
                </w:p>
              </w:tc>
              <w:tc>
                <w:tcPr>
                  <w:tcW w:w="556" w:type="pct"/>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FFFFFF"/>
                    </w:rPr>
                    <w:t>40.01</w:t>
                  </w:r>
                </w:p>
              </w:tc>
              <w:tc>
                <w:tcPr>
                  <w:tcW w:w="722" w:type="pct"/>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UN编号</w:t>
                  </w:r>
                </w:p>
              </w:tc>
              <w:tc>
                <w:tcPr>
                  <w:tcW w:w="392"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1823</w:t>
                  </w:r>
                </w:p>
              </w:tc>
              <w:tc>
                <w:tcPr>
                  <w:tcW w:w="569" w:type="pct"/>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CAS编号</w:t>
                  </w:r>
                </w:p>
              </w:tc>
              <w:tc>
                <w:tcPr>
                  <w:tcW w:w="694"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FFFFFF"/>
                    </w:rPr>
                    <w:t>1310-73-2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p>
              </w:tc>
              <w:tc>
                <w:tcPr>
                  <w:tcW w:w="715"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危险类别</w:t>
                  </w:r>
                </w:p>
              </w:tc>
              <w:tc>
                <w:tcPr>
                  <w:tcW w:w="4022" w:type="pct"/>
                  <w:gridSpan w:val="11"/>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3" w:type="pct"/>
                  <w:vMerge w:val="restart"/>
                  <w:tcBorders>
                    <w:top w:val="nil"/>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理</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化</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性</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质</w:t>
                  </w:r>
                </w:p>
              </w:tc>
              <w:tc>
                <w:tcPr>
                  <w:tcW w:w="715"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性状</w:t>
                  </w:r>
                </w:p>
              </w:tc>
              <w:tc>
                <w:tcPr>
                  <w:tcW w:w="4022" w:type="pct"/>
                  <w:gridSpan w:val="11"/>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油状液体，淡黄色至褐色，无气味或略带异味。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p>
              </w:tc>
              <w:tc>
                <w:tcPr>
                  <w:tcW w:w="1065" w:type="pct"/>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熔点（℃）</w:t>
                  </w:r>
                </w:p>
              </w:tc>
              <w:tc>
                <w:tcPr>
                  <w:tcW w:w="1294" w:type="pct"/>
                  <w:gridSpan w:val="4"/>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FFFFFF"/>
                    </w:rPr>
                    <w:t>318℃(591K)</w:t>
                  </w:r>
                </w:p>
              </w:tc>
              <w:tc>
                <w:tcPr>
                  <w:tcW w:w="1529" w:type="pct"/>
                  <w:gridSpan w:val="4"/>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临界压力（Mpa）</w:t>
                  </w:r>
                </w:p>
              </w:tc>
              <w:tc>
                <w:tcPr>
                  <w:tcW w:w="849" w:type="pct"/>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p>
              </w:tc>
              <w:tc>
                <w:tcPr>
                  <w:tcW w:w="1065" w:type="pct"/>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沸点（℃）</w:t>
                  </w:r>
                </w:p>
              </w:tc>
              <w:tc>
                <w:tcPr>
                  <w:tcW w:w="1294" w:type="pct"/>
                  <w:gridSpan w:val="4"/>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FFFFFF"/>
                    </w:rPr>
                    <w:t>1388℃(1663 K)</w:t>
                  </w:r>
                </w:p>
              </w:tc>
              <w:tc>
                <w:tcPr>
                  <w:tcW w:w="1529" w:type="pct"/>
                  <w:gridSpan w:val="4"/>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密度</w:t>
                  </w:r>
                </w:p>
              </w:tc>
              <w:tc>
                <w:tcPr>
                  <w:tcW w:w="849" w:type="pct"/>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FFFFFF"/>
                    </w:rPr>
                    <w:t>2.130g/cm³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p>
              </w:tc>
              <w:tc>
                <w:tcPr>
                  <w:tcW w:w="1065" w:type="pct"/>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闪点（℃）</w:t>
                  </w:r>
                </w:p>
              </w:tc>
              <w:tc>
                <w:tcPr>
                  <w:tcW w:w="1294" w:type="pct"/>
                  <w:gridSpan w:val="4"/>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FFFFFF"/>
                    </w:rPr>
                    <w:t>176-178</w:t>
                  </w:r>
                </w:p>
              </w:tc>
              <w:tc>
                <w:tcPr>
                  <w:tcW w:w="1529" w:type="pct"/>
                  <w:gridSpan w:val="4"/>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相对密度（空气＝1）</w:t>
                  </w:r>
                </w:p>
              </w:tc>
              <w:tc>
                <w:tcPr>
                  <w:tcW w:w="849" w:type="pct"/>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p>
              </w:tc>
              <w:tc>
                <w:tcPr>
                  <w:tcW w:w="1065" w:type="pct"/>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临界温度（℃）</w:t>
                  </w:r>
                </w:p>
              </w:tc>
              <w:tc>
                <w:tcPr>
                  <w:tcW w:w="1294" w:type="pct"/>
                  <w:gridSpan w:val="4"/>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529" w:type="pct"/>
                  <w:gridSpan w:val="4"/>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燃烧热（KJ·mol</w:t>
                  </w:r>
                  <w:r>
                    <w:rPr>
                      <w:rFonts w:hint="default" w:ascii="Times New Roman" w:hAnsi="Times New Roman" w:eastAsia="宋体" w:cs="Times New Roman"/>
                      <w:color w:val="auto"/>
                      <w:sz w:val="21"/>
                      <w:szCs w:val="21"/>
                      <w:highlight w:val="none"/>
                      <w:vertAlign w:val="superscript"/>
                    </w:rPr>
                    <w:t>-1</w:t>
                  </w:r>
                  <w:r>
                    <w:rPr>
                      <w:rFonts w:hint="default" w:ascii="Times New Roman" w:hAnsi="Times New Roman" w:eastAsia="宋体" w:cs="Times New Roman"/>
                      <w:color w:val="auto"/>
                      <w:sz w:val="21"/>
                      <w:szCs w:val="21"/>
                      <w:highlight w:val="none"/>
                    </w:rPr>
                    <w:t>）</w:t>
                  </w:r>
                </w:p>
              </w:tc>
              <w:tc>
                <w:tcPr>
                  <w:tcW w:w="849" w:type="pct"/>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3" w:type="pct"/>
                  <w:vMerge w:val="restart"/>
                  <w:tcBorders>
                    <w:top w:val="nil"/>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毒性及健康危害</w:t>
                  </w:r>
                </w:p>
              </w:tc>
              <w:tc>
                <w:tcPr>
                  <w:tcW w:w="1065" w:type="pct"/>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急性毒性</w:t>
                  </w:r>
                </w:p>
              </w:tc>
              <w:tc>
                <w:tcPr>
                  <w:tcW w:w="1217" w:type="pct"/>
                  <w:gridSpan w:val="3"/>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小鼠LD</w:t>
                  </w:r>
                  <w:r>
                    <w:rPr>
                      <w:rFonts w:hint="default" w:ascii="Times New Roman" w:hAnsi="Times New Roman" w:eastAsia="宋体" w:cs="Times New Roman"/>
                      <w:color w:val="auto"/>
                      <w:sz w:val="21"/>
                      <w:szCs w:val="21"/>
                      <w:highlight w:val="none"/>
                      <w:vertAlign w:val="subscript"/>
                    </w:rPr>
                    <w:t>50</w:t>
                  </w:r>
                  <w:r>
                    <w:rPr>
                      <w:rFonts w:hint="default" w:ascii="Times New Roman" w:hAnsi="Times New Roman" w:eastAsia="宋体" w:cs="Times New Roman"/>
                      <w:color w:val="auto"/>
                      <w:sz w:val="21"/>
                      <w:szCs w:val="21"/>
                      <w:highlight w:val="none"/>
                    </w:rPr>
                    <w:t>40mg/kg</w:t>
                  </w:r>
                </w:p>
              </w:tc>
              <w:tc>
                <w:tcPr>
                  <w:tcW w:w="504" w:type="pct"/>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无资料</w:t>
                  </w:r>
                </w:p>
              </w:tc>
              <w:tc>
                <w:tcPr>
                  <w:tcW w:w="1257" w:type="pct"/>
                  <w:gridSpan w:val="4"/>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LC</w:t>
                  </w:r>
                  <w:r>
                    <w:rPr>
                      <w:rFonts w:hint="default" w:ascii="Times New Roman" w:hAnsi="Times New Roman" w:eastAsia="宋体" w:cs="Times New Roman"/>
                      <w:color w:val="auto"/>
                      <w:sz w:val="21"/>
                      <w:szCs w:val="21"/>
                      <w:highlight w:val="none"/>
                      <w:vertAlign w:val="subscript"/>
                    </w:rPr>
                    <w:t>50</w:t>
                  </w:r>
                  <w:r>
                    <w:rPr>
                      <w:rFonts w:hint="default" w:ascii="Times New Roman" w:hAnsi="Times New Roman" w:eastAsia="宋体" w:cs="Times New Roman"/>
                      <w:color w:val="auto"/>
                      <w:sz w:val="21"/>
                      <w:szCs w:val="21"/>
                      <w:highlight w:val="none"/>
                    </w:rPr>
                    <w:t>（mg/kg）</w:t>
                  </w:r>
                </w:p>
              </w:tc>
              <w:tc>
                <w:tcPr>
                  <w:tcW w:w="694"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p>
              </w:tc>
              <w:tc>
                <w:tcPr>
                  <w:tcW w:w="1065" w:type="pct"/>
                  <w:gridSpan w:val="2"/>
                  <w:vMerge w:val="restart"/>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健康危害</w:t>
                  </w:r>
                </w:p>
              </w:tc>
              <w:tc>
                <w:tcPr>
                  <w:tcW w:w="1721" w:type="pct"/>
                  <w:gridSpan w:val="5"/>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51" w:type="pct"/>
                  <w:gridSpan w:val="5"/>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p>
              </w:tc>
              <w:tc>
                <w:tcPr>
                  <w:tcW w:w="1065" w:type="pct"/>
                  <w:gridSpan w:val="2"/>
                  <w:vMerge w:val="continue"/>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p>
              </w:tc>
              <w:tc>
                <w:tcPr>
                  <w:tcW w:w="3672" w:type="pct"/>
                  <w:gridSpan w:val="10"/>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有强烈刺激和腐蚀性。粉尘刺激眼和呼吸道，腐蚀鼻中隔；皮</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肤和眼直接接触可引起灼伤；误服可造成消化道灼伤，粘膜糜烂、出血和休克。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急</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救</w:t>
                  </w:r>
                </w:p>
              </w:tc>
              <w:tc>
                <w:tcPr>
                  <w:tcW w:w="4737" w:type="pct"/>
                  <w:gridSpan w:val="12"/>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皮肤接触</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先用水冲洗(稀液)/用布擦干(浓液)，再用5-10%硫酸镁、或3%硼酸溶液清洗并就医。</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眼睛接触</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立即提起眼睑，用3%</w:t>
                  </w:r>
                  <w:r>
                    <w:rPr>
                      <w:rFonts w:hint="default" w:ascii="Times New Roman" w:hAnsi="Times New Roman" w:eastAsia="宋体" w:cs="Times New Roman"/>
                      <w:color w:val="auto"/>
                      <w:kern w:val="0"/>
                      <w:sz w:val="21"/>
                      <w:szCs w:val="21"/>
                      <w:highlight w:val="none"/>
                    </w:rPr>
                    <w:fldChar w:fldCharType="begin"/>
                  </w:r>
                  <w:r>
                    <w:rPr>
                      <w:rFonts w:hint="default" w:ascii="Times New Roman" w:hAnsi="Times New Roman" w:eastAsia="宋体" w:cs="Times New Roman"/>
                      <w:color w:val="auto"/>
                      <w:kern w:val="0"/>
                      <w:sz w:val="21"/>
                      <w:szCs w:val="21"/>
                      <w:highlight w:val="none"/>
                    </w:rPr>
                    <w:instrText xml:space="preserve"> HYPERLINK "https://baike.so.com/doc/1341789-1418450.html" </w:instrText>
                  </w:r>
                  <w:r>
                    <w:rPr>
                      <w:rFonts w:hint="default" w:ascii="Times New Roman" w:hAnsi="Times New Roman" w:eastAsia="宋体" w:cs="Times New Roman"/>
                      <w:color w:val="auto"/>
                      <w:kern w:val="0"/>
                      <w:sz w:val="21"/>
                      <w:szCs w:val="21"/>
                      <w:highlight w:val="none"/>
                    </w:rPr>
                    <w:fldChar w:fldCharType="separate"/>
                  </w:r>
                  <w:r>
                    <w:rPr>
                      <w:rStyle w:val="33"/>
                      <w:rFonts w:hint="default" w:ascii="Times New Roman" w:hAnsi="Times New Roman" w:eastAsia="宋体" w:cs="Times New Roman"/>
                      <w:color w:val="auto"/>
                      <w:kern w:val="0"/>
                      <w:sz w:val="21"/>
                      <w:szCs w:val="21"/>
                      <w:highlight w:val="none"/>
                    </w:rPr>
                    <w:t>硼酸</w:t>
                  </w:r>
                  <w:r>
                    <w:rPr>
                      <w:rFonts w:hint="default" w:ascii="Times New Roman" w:hAnsi="Times New Roman" w:eastAsia="宋体" w:cs="Times New Roman"/>
                      <w:color w:val="auto"/>
                      <w:kern w:val="0"/>
                      <w:sz w:val="21"/>
                      <w:szCs w:val="21"/>
                      <w:highlight w:val="none"/>
                    </w:rPr>
                    <w:fldChar w:fldCharType="end"/>
                  </w:r>
                  <w:r>
                    <w:rPr>
                      <w:rFonts w:hint="default" w:ascii="Times New Roman" w:hAnsi="Times New Roman" w:eastAsia="宋体" w:cs="Times New Roman"/>
                      <w:color w:val="auto"/>
                      <w:sz w:val="21"/>
                      <w:szCs w:val="21"/>
                      <w:highlight w:val="none"/>
                    </w:rPr>
                    <w:t>溶液冲洗。就医。</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吸入</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迅速脱离现场至空气新鲜处。必要时进行人工呼吸。就医。</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食入</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少量误食时立即用食醋、3-5%醋酸或5%稀</w:t>
                  </w:r>
                  <w:r>
                    <w:rPr>
                      <w:rFonts w:hint="default" w:ascii="Times New Roman" w:hAnsi="Times New Roman" w:eastAsia="宋体" w:cs="Times New Roman"/>
                      <w:color w:val="auto"/>
                      <w:kern w:val="0"/>
                      <w:sz w:val="21"/>
                      <w:szCs w:val="21"/>
                      <w:highlight w:val="none"/>
                    </w:rPr>
                    <w:fldChar w:fldCharType="begin"/>
                  </w:r>
                  <w:r>
                    <w:rPr>
                      <w:rFonts w:hint="default" w:ascii="Times New Roman" w:hAnsi="Times New Roman" w:eastAsia="宋体" w:cs="Times New Roman"/>
                      <w:color w:val="auto"/>
                      <w:kern w:val="0"/>
                      <w:sz w:val="21"/>
                      <w:szCs w:val="21"/>
                      <w:highlight w:val="none"/>
                    </w:rPr>
                    <w:instrText xml:space="preserve"> HYPERLINK "https://baike.so.com/doc/1244651-7124863.html" </w:instrText>
                  </w:r>
                  <w:r>
                    <w:rPr>
                      <w:rFonts w:hint="default" w:ascii="Times New Roman" w:hAnsi="Times New Roman" w:eastAsia="宋体" w:cs="Times New Roman"/>
                      <w:color w:val="auto"/>
                      <w:kern w:val="0"/>
                      <w:sz w:val="21"/>
                      <w:szCs w:val="21"/>
                      <w:highlight w:val="none"/>
                    </w:rPr>
                    <w:fldChar w:fldCharType="separate"/>
                  </w:r>
                  <w:r>
                    <w:rPr>
                      <w:rStyle w:val="33"/>
                      <w:rFonts w:hint="default" w:ascii="Times New Roman" w:hAnsi="Times New Roman" w:eastAsia="宋体" w:cs="Times New Roman"/>
                      <w:color w:val="auto"/>
                      <w:kern w:val="0"/>
                      <w:sz w:val="21"/>
                      <w:szCs w:val="21"/>
                      <w:highlight w:val="none"/>
                    </w:rPr>
                    <w:t>盐酸</w:t>
                  </w:r>
                  <w:r>
                    <w:rPr>
                      <w:rFonts w:hint="default" w:ascii="Times New Roman" w:hAnsi="Times New Roman" w:eastAsia="宋体" w:cs="Times New Roman"/>
                      <w:color w:val="auto"/>
                      <w:kern w:val="0"/>
                      <w:sz w:val="21"/>
                      <w:szCs w:val="21"/>
                      <w:highlight w:val="none"/>
                    </w:rPr>
                    <w:fldChar w:fldCharType="end"/>
                  </w:r>
                  <w:r>
                    <w:rPr>
                      <w:rFonts w:hint="default" w:ascii="Times New Roman" w:hAnsi="Times New Roman" w:eastAsia="宋体" w:cs="Times New Roman"/>
                      <w:color w:val="auto"/>
                      <w:sz w:val="21"/>
                      <w:szCs w:val="21"/>
                      <w:highlight w:val="none"/>
                    </w:rPr>
                    <w:t>、大量橘汁或柠檬汁等中和；给饮蛋清、牛奶或植物油并迅速就医，禁忌催吐和洗胃。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防</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护</w:t>
                  </w:r>
                </w:p>
              </w:tc>
              <w:tc>
                <w:tcPr>
                  <w:tcW w:w="4737" w:type="pct"/>
                  <w:gridSpan w:val="12"/>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呼吸系统防护</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必要时佩带防毒口罩。</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眼睛防护</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戴化学安全防护眼镜。防护服</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穿工作服(防腐材料制作)。小心使用，小心溅落到衣物、口鼻中</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手防护</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戴橡皮手套。</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其它</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工作后，淋浴更衣。注意个人清洁卫生。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泄漏处理</w:t>
                  </w:r>
                </w:p>
              </w:tc>
              <w:tc>
                <w:tcPr>
                  <w:tcW w:w="4737" w:type="pct"/>
                  <w:gridSpan w:val="12"/>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隔离泄漏污染区，周围设警告标志，建议应急处理人员戴好防毒面具，穿化学防护服。不要直接接触泄漏物，用清洁的铲子收集于干燥洁净有盖的容器中，以少量NaOH加入大量水中，调节至中性，再放入废水系统。也可以用大量水冲洗，经稀释的洗水放入废水系统。如大量泄漏，收集回收或处理无害后废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储运</w:t>
                  </w:r>
                </w:p>
              </w:tc>
              <w:tc>
                <w:tcPr>
                  <w:tcW w:w="4737" w:type="pct"/>
                  <w:gridSpan w:val="12"/>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固体氢氧化钠装入0.5毫米厚的</w:t>
                  </w:r>
                  <w:r>
                    <w:rPr>
                      <w:rFonts w:hint="default" w:ascii="Times New Roman" w:hAnsi="Times New Roman" w:eastAsia="宋体" w:cs="Times New Roman"/>
                      <w:color w:val="auto"/>
                      <w:kern w:val="0"/>
                      <w:sz w:val="21"/>
                      <w:szCs w:val="21"/>
                      <w:highlight w:val="none"/>
                    </w:rPr>
                    <w:fldChar w:fldCharType="begin"/>
                  </w:r>
                  <w:r>
                    <w:rPr>
                      <w:rFonts w:hint="default" w:ascii="Times New Roman" w:hAnsi="Times New Roman" w:eastAsia="宋体" w:cs="Times New Roman"/>
                      <w:color w:val="auto"/>
                      <w:kern w:val="0"/>
                      <w:sz w:val="21"/>
                      <w:szCs w:val="21"/>
                      <w:highlight w:val="none"/>
                    </w:rPr>
                    <w:instrText xml:space="preserve"> HYPERLINK "https://baike.so.com/doc/4519088-4729028.html" </w:instrText>
                  </w:r>
                  <w:r>
                    <w:rPr>
                      <w:rFonts w:hint="default" w:ascii="Times New Roman" w:hAnsi="Times New Roman" w:eastAsia="宋体" w:cs="Times New Roman"/>
                      <w:color w:val="auto"/>
                      <w:kern w:val="0"/>
                      <w:sz w:val="21"/>
                      <w:szCs w:val="21"/>
                      <w:highlight w:val="none"/>
                    </w:rPr>
                    <w:fldChar w:fldCharType="separate"/>
                  </w:r>
                  <w:r>
                    <w:rPr>
                      <w:rStyle w:val="33"/>
                      <w:rFonts w:hint="default" w:ascii="Times New Roman" w:hAnsi="Times New Roman" w:eastAsia="宋体" w:cs="Times New Roman"/>
                      <w:color w:val="auto"/>
                      <w:kern w:val="0"/>
                      <w:sz w:val="21"/>
                      <w:szCs w:val="21"/>
                      <w:highlight w:val="none"/>
                    </w:rPr>
                    <w:t>钢桶</w:t>
                  </w:r>
                  <w:r>
                    <w:rPr>
                      <w:rFonts w:hint="default" w:ascii="Times New Roman" w:hAnsi="Times New Roman" w:eastAsia="宋体" w:cs="Times New Roman"/>
                      <w:color w:val="auto"/>
                      <w:kern w:val="0"/>
                      <w:sz w:val="21"/>
                      <w:szCs w:val="21"/>
                      <w:highlight w:val="none"/>
                    </w:rPr>
                    <w:fldChar w:fldCharType="end"/>
                  </w:r>
                  <w:r>
                    <w:rPr>
                      <w:rFonts w:hint="default" w:ascii="Times New Roman" w:hAnsi="Times New Roman" w:eastAsia="宋体" w:cs="Times New Roman"/>
                      <w:color w:val="auto"/>
                      <w:sz w:val="21"/>
                      <w:szCs w:val="21"/>
                      <w:highlight w:val="none"/>
                    </w:rPr>
                    <w:t>中严封，每桶净重不超过100公斤；塑料袋或二层牛皮纸袋外全开口或中开口钢桶；螺纹口</w:t>
                  </w:r>
                  <w:r>
                    <w:rPr>
                      <w:rFonts w:hint="default" w:ascii="Times New Roman" w:hAnsi="Times New Roman" w:eastAsia="宋体" w:cs="Times New Roman"/>
                      <w:color w:val="auto"/>
                      <w:kern w:val="0"/>
                      <w:sz w:val="21"/>
                      <w:szCs w:val="21"/>
                      <w:highlight w:val="none"/>
                    </w:rPr>
                    <w:fldChar w:fldCharType="begin"/>
                  </w:r>
                  <w:r>
                    <w:rPr>
                      <w:rFonts w:hint="default" w:ascii="Times New Roman" w:hAnsi="Times New Roman" w:eastAsia="宋体" w:cs="Times New Roman"/>
                      <w:color w:val="auto"/>
                      <w:kern w:val="0"/>
                      <w:sz w:val="21"/>
                      <w:szCs w:val="21"/>
                      <w:highlight w:val="none"/>
                    </w:rPr>
                    <w:instrText xml:space="preserve"> HYPERLINK "https://baike.so.com/doc/5335245-6006121.html" </w:instrText>
                  </w:r>
                  <w:r>
                    <w:rPr>
                      <w:rFonts w:hint="default" w:ascii="Times New Roman" w:hAnsi="Times New Roman" w:eastAsia="宋体" w:cs="Times New Roman"/>
                      <w:color w:val="auto"/>
                      <w:kern w:val="0"/>
                      <w:sz w:val="21"/>
                      <w:szCs w:val="21"/>
                      <w:highlight w:val="none"/>
                    </w:rPr>
                    <w:fldChar w:fldCharType="separate"/>
                  </w:r>
                  <w:r>
                    <w:rPr>
                      <w:rStyle w:val="33"/>
                      <w:rFonts w:hint="default" w:ascii="Times New Roman" w:hAnsi="Times New Roman" w:eastAsia="宋体" w:cs="Times New Roman"/>
                      <w:color w:val="auto"/>
                      <w:kern w:val="0"/>
                      <w:sz w:val="21"/>
                      <w:szCs w:val="21"/>
                      <w:highlight w:val="none"/>
                    </w:rPr>
                    <w:t>玻璃瓶</w:t>
                  </w:r>
                  <w:r>
                    <w:rPr>
                      <w:rFonts w:hint="default" w:ascii="Times New Roman" w:hAnsi="Times New Roman" w:eastAsia="宋体" w:cs="Times New Roman"/>
                      <w:color w:val="auto"/>
                      <w:kern w:val="0"/>
                      <w:sz w:val="21"/>
                      <w:szCs w:val="21"/>
                      <w:highlight w:val="none"/>
                    </w:rPr>
                    <w:fldChar w:fldCharType="end"/>
                  </w:r>
                  <w:r>
                    <w:rPr>
                      <w:rFonts w:hint="default" w:ascii="Times New Roman" w:hAnsi="Times New Roman" w:eastAsia="宋体" w:cs="Times New Roman"/>
                      <w:color w:val="auto"/>
                      <w:sz w:val="21"/>
                      <w:szCs w:val="21"/>
                      <w:highlight w:val="none"/>
                    </w:rPr>
                    <w:t>、铁盖压口玻璃瓶、塑料瓶或金属桶(罐)外普通木箱；螺纹口玻璃瓶、塑料瓶或镀锡薄钢板桶(罐)外满底板花格箱、纤维板箱或胶合板箱；镀锡薄钢板桶(罐)、金属桶(罐)、塑料瓶或金属软管外瓦楞纸箱。包装容器要完整、密封，有明显的"腐蚀性</w:t>
                  </w:r>
                  <w:r>
                    <w:rPr>
                      <w:rFonts w:hint="default" w:ascii="Times New Roman" w:hAnsi="Times New Roman" w:eastAsia="宋体" w:cs="Times New Roman"/>
                      <w:color w:val="auto"/>
                      <w:kern w:val="0"/>
                      <w:sz w:val="21"/>
                      <w:szCs w:val="21"/>
                      <w:highlight w:val="none"/>
                    </w:rPr>
                    <w:fldChar w:fldCharType="begin"/>
                  </w:r>
                  <w:r>
                    <w:rPr>
                      <w:rFonts w:hint="default" w:ascii="Times New Roman" w:hAnsi="Times New Roman" w:eastAsia="宋体" w:cs="Times New Roman"/>
                      <w:color w:val="auto"/>
                      <w:kern w:val="0"/>
                      <w:sz w:val="21"/>
                      <w:szCs w:val="21"/>
                      <w:highlight w:val="none"/>
                    </w:rPr>
                    <w:instrText xml:space="preserve"> HYPERLINK "https://baike.so.com/doc/5982685-6195650.html" </w:instrText>
                  </w:r>
                  <w:r>
                    <w:rPr>
                      <w:rFonts w:hint="default" w:ascii="Times New Roman" w:hAnsi="Times New Roman" w:eastAsia="宋体" w:cs="Times New Roman"/>
                      <w:color w:val="auto"/>
                      <w:kern w:val="0"/>
                      <w:sz w:val="21"/>
                      <w:szCs w:val="21"/>
                      <w:highlight w:val="none"/>
                    </w:rPr>
                    <w:fldChar w:fldCharType="separate"/>
                  </w:r>
                  <w:r>
                    <w:rPr>
                      <w:rStyle w:val="33"/>
                      <w:rFonts w:hint="default" w:ascii="Times New Roman" w:hAnsi="Times New Roman" w:eastAsia="宋体" w:cs="Times New Roman"/>
                      <w:color w:val="auto"/>
                      <w:kern w:val="0"/>
                      <w:sz w:val="21"/>
                      <w:szCs w:val="21"/>
                      <w:highlight w:val="none"/>
                    </w:rPr>
                    <w:t>物品</w:t>
                  </w:r>
                  <w:r>
                    <w:rPr>
                      <w:rFonts w:hint="default" w:ascii="Times New Roman" w:hAnsi="Times New Roman" w:eastAsia="宋体" w:cs="Times New Roman"/>
                      <w:color w:val="auto"/>
                      <w:kern w:val="0"/>
                      <w:sz w:val="21"/>
                      <w:szCs w:val="21"/>
                      <w:highlight w:val="none"/>
                    </w:rPr>
                    <w:fldChar w:fldCharType="end"/>
                  </w:r>
                  <w:r>
                    <w:rPr>
                      <w:rFonts w:hint="default" w:ascii="Times New Roman" w:hAnsi="Times New Roman" w:eastAsia="宋体" w:cs="Times New Roman"/>
                      <w:color w:val="auto"/>
                      <w:sz w:val="21"/>
                      <w:szCs w:val="21"/>
                      <w:highlight w:val="none"/>
                    </w:rPr>
                    <w:t>标志。</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铁路运输时，钢桶包装的可用敞车运输。起运时包装要完整，装载应稳妥。运输过程中要确保容器不泄漏、不倒塌、不坠落、不</w:t>
                  </w:r>
                  <w:r>
                    <w:rPr>
                      <w:rFonts w:hint="default" w:ascii="Times New Roman" w:hAnsi="Times New Roman" w:eastAsia="宋体" w:cs="Times New Roman"/>
                      <w:color w:val="auto"/>
                      <w:kern w:val="0"/>
                      <w:sz w:val="21"/>
                      <w:szCs w:val="21"/>
                      <w:highlight w:val="none"/>
                    </w:rPr>
                    <w:fldChar w:fldCharType="begin"/>
                  </w:r>
                  <w:r>
                    <w:rPr>
                      <w:rFonts w:hint="default" w:ascii="Times New Roman" w:hAnsi="Times New Roman" w:eastAsia="宋体" w:cs="Times New Roman"/>
                      <w:color w:val="auto"/>
                      <w:kern w:val="0"/>
                      <w:sz w:val="21"/>
                      <w:szCs w:val="21"/>
                      <w:highlight w:val="none"/>
                    </w:rPr>
                    <w:instrText xml:space="preserve"> HYPERLINK "https://baike.so.com/doc/4054511-4252742.html" </w:instrText>
                  </w:r>
                  <w:r>
                    <w:rPr>
                      <w:rFonts w:hint="default" w:ascii="Times New Roman" w:hAnsi="Times New Roman" w:eastAsia="宋体" w:cs="Times New Roman"/>
                      <w:color w:val="auto"/>
                      <w:kern w:val="0"/>
                      <w:sz w:val="21"/>
                      <w:szCs w:val="21"/>
                      <w:highlight w:val="none"/>
                    </w:rPr>
                    <w:fldChar w:fldCharType="separate"/>
                  </w:r>
                  <w:r>
                    <w:rPr>
                      <w:rStyle w:val="33"/>
                      <w:rFonts w:hint="default" w:ascii="Times New Roman" w:hAnsi="Times New Roman" w:eastAsia="宋体" w:cs="Times New Roman"/>
                      <w:color w:val="auto"/>
                      <w:kern w:val="0"/>
                      <w:sz w:val="21"/>
                      <w:szCs w:val="21"/>
                      <w:highlight w:val="none"/>
                    </w:rPr>
                    <w:t>损坏</w:t>
                  </w:r>
                  <w:r>
                    <w:rPr>
                      <w:rFonts w:hint="default" w:ascii="Times New Roman" w:hAnsi="Times New Roman" w:eastAsia="宋体" w:cs="Times New Roman"/>
                      <w:color w:val="auto"/>
                      <w:kern w:val="0"/>
                      <w:sz w:val="21"/>
                      <w:szCs w:val="21"/>
                      <w:highlight w:val="none"/>
                    </w:rPr>
                    <w:fldChar w:fldCharType="end"/>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kern w:val="0"/>
                      <w:sz w:val="21"/>
                      <w:szCs w:val="21"/>
                      <w:highlight w:val="none"/>
                    </w:rPr>
                    <w:fldChar w:fldCharType="begin"/>
                  </w:r>
                  <w:r>
                    <w:rPr>
                      <w:rFonts w:hint="default" w:ascii="Times New Roman" w:hAnsi="Times New Roman" w:eastAsia="宋体" w:cs="Times New Roman"/>
                      <w:color w:val="auto"/>
                      <w:kern w:val="0"/>
                      <w:sz w:val="21"/>
                      <w:szCs w:val="21"/>
                      <w:highlight w:val="none"/>
                    </w:rPr>
                    <w:instrText xml:space="preserve"> HYPERLINK "https://baike.so.com/doc/5631508-5844132.html" </w:instrText>
                  </w:r>
                  <w:r>
                    <w:rPr>
                      <w:rFonts w:hint="default" w:ascii="Times New Roman" w:hAnsi="Times New Roman" w:eastAsia="宋体" w:cs="Times New Roman"/>
                      <w:color w:val="auto"/>
                      <w:kern w:val="0"/>
                      <w:sz w:val="21"/>
                      <w:szCs w:val="21"/>
                      <w:highlight w:val="none"/>
                    </w:rPr>
                    <w:fldChar w:fldCharType="separate"/>
                  </w:r>
                  <w:r>
                    <w:rPr>
                      <w:rStyle w:val="33"/>
                      <w:rFonts w:hint="default" w:ascii="Times New Roman" w:hAnsi="Times New Roman" w:eastAsia="宋体" w:cs="Times New Roman"/>
                      <w:color w:val="auto"/>
                      <w:kern w:val="0"/>
                      <w:sz w:val="21"/>
                      <w:szCs w:val="21"/>
                      <w:highlight w:val="none"/>
                    </w:rPr>
                    <w:t>防潮</w:t>
                  </w:r>
                  <w:r>
                    <w:rPr>
                      <w:rFonts w:hint="default" w:ascii="Times New Roman" w:hAnsi="Times New Roman" w:eastAsia="宋体" w:cs="Times New Roman"/>
                      <w:color w:val="auto"/>
                      <w:kern w:val="0"/>
                      <w:sz w:val="21"/>
                      <w:szCs w:val="21"/>
                      <w:highlight w:val="none"/>
                    </w:rPr>
                    <w:fldChar w:fldCharType="end"/>
                  </w:r>
                  <w:r>
                    <w:rPr>
                      <w:rFonts w:hint="default" w:ascii="Times New Roman" w:hAnsi="Times New Roman" w:eastAsia="宋体" w:cs="Times New Roman"/>
                      <w:color w:val="auto"/>
                      <w:sz w:val="21"/>
                      <w:szCs w:val="21"/>
                      <w:highlight w:val="none"/>
                    </w:rPr>
                    <w:t>防雨。如发现包装容器发生锈蚀、破裂、孔洞、溶化淌水等现象时，应立即更换包装或及早发货使用，容器破损可用锡焊修补。严禁与易燃物或可燃物、酸类、食用化学品等混装混运。运输时运输车辆应配备泄漏应急处理设备。</w:t>
                  </w:r>
                </w:p>
              </w:tc>
            </w:tr>
          </w:tbl>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表4.9-</w:t>
            </w:r>
            <w:r>
              <w:rPr>
                <w:rFonts w:hint="default" w:ascii="Times New Roman" w:hAnsi="Times New Roman" w:eastAsia="宋体" w:cs="Times New Roman"/>
                <w:b/>
                <w:bCs/>
                <w:color w:val="auto"/>
                <w:szCs w:val="21"/>
                <w:highlight w:val="none"/>
                <w:lang w:val="en-US" w:eastAsia="zh-CN"/>
              </w:rPr>
              <w:t>8</w:t>
            </w:r>
            <w:r>
              <w:rPr>
                <w:rFonts w:hint="default" w:ascii="Times New Roman" w:hAnsi="Times New Roman" w:eastAsia="宋体" w:cs="Times New Roman"/>
                <w:b/>
                <w:bCs/>
                <w:color w:val="auto"/>
                <w:szCs w:val="21"/>
                <w:highlight w:val="none"/>
              </w:rPr>
              <w:t xml:space="preserve">  </w:t>
            </w:r>
            <w:r>
              <w:rPr>
                <w:rFonts w:hint="default" w:ascii="Times New Roman" w:hAnsi="Times New Roman" w:eastAsia="宋体" w:cs="Times New Roman"/>
                <w:b/>
                <w:bCs/>
                <w:color w:val="auto"/>
                <w:szCs w:val="21"/>
                <w:highlight w:val="none"/>
                <w:lang w:val="en-US" w:eastAsia="zh-CN"/>
              </w:rPr>
              <w:t>废机油</w:t>
            </w:r>
            <w:r>
              <w:rPr>
                <w:rFonts w:hint="default" w:ascii="Times New Roman" w:hAnsi="Times New Roman" w:eastAsia="宋体" w:cs="Times New Roman"/>
                <w:b/>
                <w:bCs/>
                <w:color w:val="auto"/>
                <w:szCs w:val="21"/>
                <w:highlight w:val="none"/>
              </w:rPr>
              <w:t>物化性质和危险性识别</w:t>
            </w:r>
          </w:p>
          <w:tbl>
            <w:tblPr>
              <w:tblStyle w:val="23"/>
              <w:tblW w:w="914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843"/>
              <w:gridCol w:w="1984"/>
              <w:gridCol w:w="2268"/>
              <w:gridCol w:w="20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9"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标识</w:t>
                  </w:r>
                </w:p>
              </w:tc>
              <w:tc>
                <w:tcPr>
                  <w:tcW w:w="8183" w:type="dxa"/>
                  <w:gridSpan w:val="4"/>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中文名：机油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9"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8183" w:type="dxa"/>
                  <w:gridSpan w:val="4"/>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主要成分：烃类和非烃类混合物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9"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理化</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性质</w:t>
                  </w:r>
                </w:p>
              </w:tc>
              <w:tc>
                <w:tcPr>
                  <w:tcW w:w="184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外观性质</w:t>
                  </w:r>
                </w:p>
              </w:tc>
              <w:tc>
                <w:tcPr>
                  <w:tcW w:w="6340" w:type="dxa"/>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油状液体，淡黄色至褐色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9"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84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溶解性</w:t>
                  </w:r>
                </w:p>
              </w:tc>
              <w:tc>
                <w:tcPr>
                  <w:tcW w:w="6340" w:type="dxa"/>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不溶于水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9"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84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凝固点（℃）</w:t>
                  </w:r>
                </w:p>
              </w:tc>
              <w:tc>
                <w:tcPr>
                  <w:tcW w:w="198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26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闪点（℃）</w:t>
                  </w:r>
                </w:p>
              </w:tc>
              <w:tc>
                <w:tcPr>
                  <w:tcW w:w="208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120~340℃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9"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84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相对密度（水=1）</w:t>
                  </w:r>
                </w:p>
              </w:tc>
              <w:tc>
                <w:tcPr>
                  <w:tcW w:w="198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0.85（20℃）</w:t>
                  </w:r>
                </w:p>
              </w:tc>
              <w:tc>
                <w:tcPr>
                  <w:tcW w:w="226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相对密度（空气=1）</w:t>
                  </w:r>
                </w:p>
              </w:tc>
              <w:tc>
                <w:tcPr>
                  <w:tcW w:w="208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&gt;1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9"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84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稳定性</w:t>
                  </w:r>
                </w:p>
              </w:tc>
              <w:tc>
                <w:tcPr>
                  <w:tcW w:w="198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稳定</w:t>
                  </w:r>
                </w:p>
              </w:tc>
              <w:tc>
                <w:tcPr>
                  <w:tcW w:w="226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聚合危害</w:t>
                  </w:r>
                </w:p>
              </w:tc>
              <w:tc>
                <w:tcPr>
                  <w:tcW w:w="208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不会发生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9"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84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禁忌物</w:t>
                  </w:r>
                </w:p>
              </w:tc>
              <w:tc>
                <w:tcPr>
                  <w:tcW w:w="6340" w:type="dxa"/>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强氧化剂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9"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毒性及健康危害</w:t>
                  </w:r>
                </w:p>
              </w:tc>
              <w:tc>
                <w:tcPr>
                  <w:tcW w:w="184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侵入途径</w:t>
                  </w:r>
                </w:p>
              </w:tc>
              <w:tc>
                <w:tcPr>
                  <w:tcW w:w="6340" w:type="dxa"/>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吸入、食入、经皮吸收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9"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84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接触限值</w:t>
                  </w:r>
                </w:p>
              </w:tc>
              <w:tc>
                <w:tcPr>
                  <w:tcW w:w="6340" w:type="dxa"/>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中国未制定标准、美国（ACGIH）无资料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9"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84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健康危害</w:t>
                  </w:r>
                </w:p>
              </w:tc>
              <w:tc>
                <w:tcPr>
                  <w:tcW w:w="6340" w:type="dxa"/>
                  <w:gridSpan w:val="3"/>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急性吸入，可出现乏力、头晕、头痛、恶心，严重者可引起油脂性肺炎。慢接触者， 暴露部位可发生油性痤疮和接触性皮炎。可引起神经衰弱综合征，呼吸道和眼刺激症状及慢性油脂性肺炎。有资料报道，接触石油润滑油类的工人，有致癌的病例报告。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9"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84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防护</w:t>
                  </w:r>
                </w:p>
              </w:tc>
              <w:tc>
                <w:tcPr>
                  <w:tcW w:w="6340" w:type="dxa"/>
                  <w:gridSpan w:val="3"/>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呼吸系统防护：空气中浓度超标时，必须佩戴自吸过滤式防毒面具（半面罩）。紧急事态抢救或撤离时，应该佩戴空气呼吸器</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身体防护：穿防毒物渗透工作服</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手防护：戴橡胶耐油手套</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眼睛防护：戴化学安全防护眼镜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9"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84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急救方法</w:t>
                  </w:r>
                </w:p>
              </w:tc>
              <w:tc>
                <w:tcPr>
                  <w:tcW w:w="6340" w:type="dxa"/>
                  <w:gridSpan w:val="3"/>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皮肤接触：脱去污染的衣着，用大量流动清水冲洗。</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眼睛接触：提起眼睑，用流动清水或生理盐水冲洗。</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吸入：迅速脱离现场至空气新鲜处。保持呼吸道通畅。</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食入：饮足量温水，催吐。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9"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燃烧爆炸危险性</w:t>
                  </w:r>
                </w:p>
              </w:tc>
              <w:tc>
                <w:tcPr>
                  <w:tcW w:w="184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燃烧性</w:t>
                  </w:r>
                </w:p>
              </w:tc>
              <w:tc>
                <w:tcPr>
                  <w:tcW w:w="198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可燃</w:t>
                  </w:r>
                </w:p>
              </w:tc>
              <w:tc>
                <w:tcPr>
                  <w:tcW w:w="226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有害燃烧产物</w:t>
                  </w:r>
                </w:p>
              </w:tc>
              <w:tc>
                <w:tcPr>
                  <w:tcW w:w="208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一氧化碳、二氧化碳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9"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84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引燃温度（℃）</w:t>
                  </w:r>
                </w:p>
              </w:tc>
              <w:tc>
                <w:tcPr>
                  <w:tcW w:w="198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w:t>
                  </w:r>
                </w:p>
              </w:tc>
              <w:tc>
                <w:tcPr>
                  <w:tcW w:w="226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爆炸极限（V/V％）</w:t>
                  </w:r>
                </w:p>
              </w:tc>
              <w:tc>
                <w:tcPr>
                  <w:tcW w:w="208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9"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84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火灾危险性</w:t>
                  </w:r>
                </w:p>
              </w:tc>
              <w:tc>
                <w:tcPr>
                  <w:tcW w:w="198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丙类</w:t>
                  </w:r>
                </w:p>
              </w:tc>
              <w:tc>
                <w:tcPr>
                  <w:tcW w:w="226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8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9"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84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危险特性</w:t>
                  </w:r>
                </w:p>
              </w:tc>
              <w:tc>
                <w:tcPr>
                  <w:tcW w:w="6340" w:type="dxa"/>
                  <w:gridSpan w:val="3"/>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遇明火、高热可燃。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9"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84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灭火方法</w:t>
                  </w:r>
                </w:p>
              </w:tc>
              <w:tc>
                <w:tcPr>
                  <w:tcW w:w="6340" w:type="dxa"/>
                  <w:gridSpan w:val="3"/>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消防人员须佩戴防毒面具、穿全身消防服，在上风向灭火。尽可能将容器从火场移至空旷处。喷水保持火场容器冷却，直至灭火结束。处在火场中的容器若已变色或从安全泄压装置中产生声音，必须马上撤离。灭火剂：雾状水、泡沫、干粉、二氧化碳、砂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9"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84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灭火剂</w:t>
                  </w:r>
                </w:p>
              </w:tc>
              <w:tc>
                <w:tcPr>
                  <w:tcW w:w="6340" w:type="dxa"/>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抗溶性泡沫、干粉、二氧化碳、砂土。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操作注意事项</w:t>
                  </w:r>
                </w:p>
              </w:tc>
              <w:tc>
                <w:tcPr>
                  <w:tcW w:w="8183" w:type="dxa"/>
                  <w:gridSpan w:val="4"/>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密闭操作，全面通风。操作人员必须经过专门培训，严格遵守操作规程。远离火种、热源，工作场所严禁吸烟。避免与氧化剂接触。在传送过程中容器必须接地，防止产生静电。配备相应品种和数量的消防器材及泄漏应急处理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应急泄露处理</w:t>
                  </w:r>
                </w:p>
              </w:tc>
              <w:tc>
                <w:tcPr>
                  <w:tcW w:w="8183" w:type="dxa"/>
                  <w:gridSpan w:val="4"/>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储存条件：储存于阴凉、通风的库房。远离火种、热源。应与氧化剂分开存放，切忌混储。配备相应品种和数量的消防器材。储区应备有泄漏应急处理设备和合适的收容材料。</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泄漏处理：迅速撤离泄漏污染区人员至安全区，并进行隔离，严格限制出入。切断火源。建议应急处理人员戴自给正压式呼吸器，穿防毒服。尽可能切断泄漏源。防止流入下水道、排洪沟等限制性空间。小量泄漏：用砂土或其它不燃材料吸附或吸收。大量泄漏：构筑围堤或挖坑收容。用泵转移至槽车或专用收集器内，回收或运至废物处理场所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废弃处置</w:t>
                  </w:r>
                </w:p>
              </w:tc>
              <w:tc>
                <w:tcPr>
                  <w:tcW w:w="8183" w:type="dxa"/>
                  <w:gridSpan w:val="4"/>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分类回收、符合相关规定的可进行重复利用，避免环境污染。</w:t>
                  </w:r>
                </w:p>
              </w:tc>
            </w:tr>
          </w:tbl>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p>
          <w:p>
            <w:pPr>
              <w:pStyle w:val="124"/>
              <w:keepNext w:val="0"/>
              <w:keepLines w:val="0"/>
              <w:suppressLineNumbers w:val="0"/>
              <w:spacing w:before="0" w:beforeAutospacing="0" w:after="0" w:afterAutospacing="0"/>
              <w:ind w:left="0" w:leftChars="0" w:right="0" w:firstLine="0" w:firstLineChars="0"/>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9.5环境风险影响分析</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9.5.1大气环境风险分析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二氧化硫属于刺激性有毒气体，若脱硫系统管线、法兰发生泄漏，二氧化硫会迅速扩散。高浓度下刺激人体呼吸道黏膜，引发咳嗽、肺水肿甚至窒息；同时在大气中可氧化为硫酸雾/硫酸盐，是酸雨和二次颗粒物的重要前驱物，影响周边空气质量</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因此脱硫系统管线、阀门、法兰采用密封设计，定期检漏；设置</w:t>
            </w:r>
            <w:r>
              <w:rPr>
                <w:rFonts w:hint="default" w:ascii="Times New Roman" w:hAnsi="Times New Roman" w:eastAsia="宋体" w:cs="Times New Roman"/>
                <w:color w:val="auto"/>
                <w:sz w:val="24"/>
                <w:szCs w:val="24"/>
                <w:highlight w:val="none"/>
              </w:rPr>
              <w:t>二氧化硫</w:t>
            </w:r>
            <w:r>
              <w:rPr>
                <w:rFonts w:hint="default" w:ascii="Times New Roman" w:hAnsi="Times New Roman" w:eastAsia="宋体" w:cs="Times New Roman"/>
                <w:color w:val="auto"/>
                <w:sz w:val="24"/>
                <w:szCs w:val="24"/>
                <w:highlight w:val="none"/>
                <w:lang w:val="en-US" w:eastAsia="zh-CN"/>
              </w:rPr>
              <w:t>泄漏报警器，发生泄漏时，立即疏散下风向人员，佩戴正压式空气呼吸器进入处置。</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②氢氧化钠的固态粉尘若大量扬散，会刺激眼、呼吸道，但通常在储存、投加过程中风险相对较小。因此操作人员需佩戴防尘口罩、防护眼镜、耐碱手套，且储存区保持干燥、密闭，避免扬尘。</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③废机油正常情况下液态不易挥发，但若泄漏后遇明火、高温发生燃烧，会产生含CO、NOₓ、SO₂及烟尘的废气，造成局部大气污染。因此危废贮存场所</w:t>
            </w:r>
            <w:r>
              <w:rPr>
                <w:rFonts w:hint="default" w:ascii="Times New Roman" w:hAnsi="Times New Roman" w:eastAsia="宋体" w:cs="Times New Roman"/>
                <w:color w:val="auto"/>
                <w:sz w:val="24"/>
                <w:szCs w:val="24"/>
                <w:highlight w:val="none"/>
              </w:rPr>
              <w:t>远离火源、热源，严禁明火</w:t>
            </w:r>
            <w:r>
              <w:rPr>
                <w:rFonts w:hint="default" w:ascii="Times New Roman" w:hAnsi="Times New Roman" w:eastAsia="宋体" w:cs="Times New Roman"/>
                <w:color w:val="auto"/>
                <w:sz w:val="24"/>
                <w:szCs w:val="24"/>
                <w:highlight w:val="none"/>
                <w:lang w:eastAsia="zh-CN"/>
              </w:rPr>
              <w:t>，配备灭火器材，发生火灾时，启动应急预案，对燃烧废气进行有组织排放或喷淋降尘。</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通过上述措施后，对环境影响较小。</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9.5.2水环境、土壤环境风险分析</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氢氧化钠泄漏或冲洗水进入雨水管网/污水管网，会使pH急剧升高；高pH废水对生化处理系统有抑制作用，并具腐蚀性。长期泄漏或渗滤可使局部土壤pH升高，破坏团粒结构，抑制作物生长</w:t>
            </w:r>
            <w:r>
              <w:rPr>
                <w:rFonts w:hint="default" w:ascii="Times New Roman" w:hAnsi="Times New Roman" w:eastAsia="宋体" w:cs="Times New Roman"/>
                <w:color w:val="auto"/>
                <w:sz w:val="24"/>
                <w:szCs w:val="24"/>
                <w:highlight w:val="none"/>
                <w:lang w:eastAsia="zh-CN"/>
              </w:rPr>
              <w:t>，碱性盐类累积可能影响土壤微生物活性。</w:t>
            </w:r>
            <w:r>
              <w:rPr>
                <w:rFonts w:hint="default" w:ascii="Times New Roman" w:hAnsi="Times New Roman" w:eastAsia="宋体" w:cs="Times New Roman"/>
                <w:color w:val="auto"/>
                <w:sz w:val="24"/>
                <w:szCs w:val="24"/>
                <w:highlight w:val="none"/>
                <w:lang w:val="en-US" w:eastAsia="zh-CN"/>
              </w:rPr>
              <w:t>因此堆放区应</w:t>
            </w:r>
            <w:r>
              <w:rPr>
                <w:rFonts w:hint="default" w:ascii="Times New Roman" w:hAnsi="Times New Roman" w:eastAsia="宋体" w:cs="Times New Roman"/>
                <w:color w:val="auto"/>
                <w:sz w:val="24"/>
                <w:szCs w:val="24"/>
                <w:highlight w:val="none"/>
              </w:rPr>
              <w:t>设防渗地面+围堰</w:t>
            </w:r>
            <w:r>
              <w:rPr>
                <w:rFonts w:hint="default" w:ascii="Times New Roman" w:hAnsi="Times New Roman" w:eastAsia="宋体" w:cs="Times New Roman"/>
                <w:color w:val="auto"/>
                <w:sz w:val="24"/>
                <w:szCs w:val="24"/>
                <w:highlight w:val="none"/>
                <w:lang w:val="en-US" w:eastAsia="zh-CN"/>
              </w:rPr>
              <w:t>措施</w:t>
            </w:r>
            <w:r>
              <w:rPr>
                <w:rFonts w:hint="default" w:ascii="Times New Roman" w:hAnsi="Times New Roman" w:eastAsia="宋体" w:cs="Times New Roman"/>
                <w:color w:val="auto"/>
                <w:sz w:val="24"/>
                <w:szCs w:val="24"/>
                <w:highlight w:val="none"/>
              </w:rPr>
              <w:t>，配套事故应急池；发现撒漏及时清扫，避免随雨水下渗</w:t>
            </w:r>
            <w:r>
              <w:rPr>
                <w:rFonts w:hint="default" w:ascii="Times New Roman" w:hAnsi="Times New Roman" w:eastAsia="宋体" w:cs="Times New Roman"/>
                <w:color w:val="auto"/>
                <w:sz w:val="24"/>
                <w:szCs w:val="24"/>
                <w:highlight w:val="none"/>
                <w:lang w:eastAsia="zh-CN"/>
              </w:rPr>
              <w:t>。</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油类密度小于水，易在水面形成油膜，阻断复氧，导致水体缺氧；油类难降解，可在环境中残留多年，对水生生物和饮用水源构成长期威胁。渗漏进入土壤后，油分吸附于土壤颗粒，堵塞孔隙，降低渗透性和通气性；并且可随淋溶迁移至浅层地下水，形成油类—有机物复合污染。因此，危废贮存场所应做防渗、防溢流设计，泄漏后立即挖除受污染土层，按危险废物管理处置，可以用吸油棉、沙土、围油栏围堵、吸附收集；所有危废均交由资质单位处置，不可随意处置。项目对危废贮存场所已</w:t>
            </w:r>
            <w:r>
              <w:rPr>
                <w:rFonts w:hint="default" w:ascii="Times New Roman" w:hAnsi="Times New Roman" w:eastAsia="宋体" w:cs="Times New Roman"/>
                <w:bCs/>
                <w:color w:val="auto"/>
                <w:sz w:val="24"/>
                <w:szCs w:val="24"/>
                <w:highlight w:val="none"/>
                <w:lang w:val="en-US" w:eastAsia="zh-CN"/>
              </w:rPr>
              <w:t>做了重点防渗</w:t>
            </w:r>
            <w:r>
              <w:rPr>
                <w:rFonts w:hint="default" w:ascii="Times New Roman" w:hAnsi="Times New Roman" w:eastAsia="宋体" w:cs="Times New Roman"/>
                <w:color w:val="auto"/>
                <w:sz w:val="24"/>
                <w:szCs w:val="24"/>
                <w:highlight w:val="none"/>
              </w:rPr>
              <w:t>渗透系数≤1.0×10</w:t>
            </w:r>
            <w:r>
              <w:rPr>
                <w:rFonts w:hint="default" w:ascii="Times New Roman" w:hAnsi="Times New Roman" w:eastAsia="宋体" w:cs="Times New Roman"/>
                <w:color w:val="auto"/>
                <w:sz w:val="24"/>
                <w:szCs w:val="24"/>
                <w:highlight w:val="none"/>
                <w:vertAlign w:val="superscript"/>
              </w:rPr>
              <w:t>-10</w:t>
            </w:r>
            <w:r>
              <w:rPr>
                <w:rFonts w:hint="default" w:ascii="Times New Roman" w:hAnsi="Times New Roman" w:eastAsia="宋体" w:cs="Times New Roman"/>
                <w:color w:val="auto"/>
                <w:sz w:val="24"/>
                <w:szCs w:val="24"/>
                <w:highlight w:val="none"/>
              </w:rPr>
              <w:t>cm/s</w:t>
            </w:r>
            <w:r>
              <w:rPr>
                <w:rFonts w:hint="default" w:ascii="Times New Roman" w:hAnsi="Times New Roman" w:eastAsia="宋体" w:cs="Times New Roman"/>
                <w:color w:val="auto"/>
                <w:sz w:val="24"/>
                <w:szCs w:val="24"/>
                <w:highlight w:val="none"/>
                <w:lang w:eastAsia="zh-CN"/>
              </w:rPr>
              <w:t>。</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rPr>
              <w:t>二氧化硫若泄漏后被消防水或雨水吸收，形成酸性废水</w:t>
            </w:r>
            <w:r>
              <w:rPr>
                <w:rFonts w:hint="default" w:ascii="Times New Roman" w:hAnsi="Times New Roman" w:eastAsia="宋体" w:cs="Times New Roman"/>
                <w:color w:val="auto"/>
                <w:sz w:val="24"/>
                <w:szCs w:val="24"/>
                <w:highlight w:val="none"/>
                <w:lang w:eastAsia="zh-CN"/>
              </w:rPr>
              <w:t>，直接进入地表水或下水道会造成pH下降，腐蚀管网并危害水生生态；气态</w:t>
            </w:r>
            <w:r>
              <w:rPr>
                <w:rFonts w:hint="default" w:ascii="Times New Roman" w:hAnsi="Times New Roman" w:eastAsia="宋体" w:cs="Times New Roman"/>
                <w:color w:val="auto"/>
                <w:sz w:val="24"/>
                <w:szCs w:val="24"/>
                <w:highlight w:val="none"/>
              </w:rPr>
              <w:t>二氧化硫</w:t>
            </w:r>
            <w:r>
              <w:rPr>
                <w:rFonts w:hint="default" w:ascii="Times New Roman" w:hAnsi="Times New Roman" w:eastAsia="宋体" w:cs="Times New Roman"/>
                <w:color w:val="auto"/>
                <w:sz w:val="24"/>
                <w:szCs w:val="24"/>
                <w:highlight w:val="none"/>
                <w:lang w:eastAsia="zh-CN"/>
              </w:rPr>
              <w:t>对土壤直接污染风险较小，但通过干湿沉降形成的酸沉降，</w:t>
            </w:r>
            <w:r>
              <w:rPr>
                <w:rFonts w:hint="default" w:ascii="Times New Roman" w:hAnsi="Times New Roman" w:eastAsia="宋体" w:cs="Times New Roman"/>
                <w:color w:val="auto"/>
                <w:sz w:val="24"/>
                <w:szCs w:val="24"/>
                <w:highlight w:val="none"/>
                <w:lang w:val="en-US" w:eastAsia="zh-CN"/>
              </w:rPr>
              <w:t>会使</w:t>
            </w:r>
            <w:r>
              <w:rPr>
                <w:rFonts w:hint="default" w:ascii="Times New Roman" w:hAnsi="Times New Roman" w:eastAsia="宋体" w:cs="Times New Roman"/>
                <w:color w:val="auto"/>
                <w:sz w:val="24"/>
                <w:szCs w:val="24"/>
                <w:highlight w:val="none"/>
                <w:lang w:eastAsia="zh-CN"/>
              </w:rPr>
              <w:t>土壤酸化，影响土壤养分。</w:t>
            </w:r>
            <w:r>
              <w:rPr>
                <w:rFonts w:hint="default" w:ascii="Times New Roman" w:hAnsi="Times New Roman" w:eastAsia="宋体" w:cs="Times New Roman"/>
                <w:color w:val="auto"/>
                <w:sz w:val="24"/>
                <w:szCs w:val="24"/>
                <w:highlight w:val="none"/>
                <w:lang w:val="en-US" w:eastAsia="zh-CN"/>
              </w:rPr>
              <w:t>因此需加强脱硫系统运行管理，减少非正常排放。</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因此，</w:t>
            </w:r>
            <w:r>
              <w:rPr>
                <w:rFonts w:hint="default" w:ascii="Times New Roman" w:hAnsi="Times New Roman" w:eastAsia="宋体" w:cs="Times New Roman"/>
                <w:color w:val="auto"/>
                <w:sz w:val="24"/>
                <w:szCs w:val="24"/>
                <w:highlight w:val="none"/>
                <w:lang w:val="en-US" w:eastAsia="zh-CN"/>
              </w:rPr>
              <w:t>通过上述措施，项目建设</w:t>
            </w:r>
            <w:r>
              <w:rPr>
                <w:rFonts w:hint="default" w:ascii="Times New Roman" w:hAnsi="Times New Roman" w:eastAsia="宋体" w:cs="Times New Roman"/>
                <w:color w:val="auto"/>
                <w:sz w:val="24"/>
                <w:szCs w:val="24"/>
                <w:highlight w:val="none"/>
              </w:rPr>
              <w:t>不会对周边地表水、地下水及土壤环境产生显著不利影响。</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9.5.3应急措施</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①二氧化硫泄露防范措施</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立即撤离污染区人员至上风处，设置隔离区（小泄漏约150m，大泄漏约450m）。</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应急人员佩戴正压自给式呼吸器、防毒服，从上风接近，切断泄漏源。</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喷雾状水稀释、吸收气体；可用碱液（如NaOH溶液）或次氯酸钠溶液喷淋吸收。</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w:t>
            </w:r>
            <w:r>
              <w:rPr>
                <w:rFonts w:hint="default" w:ascii="Times New Roman" w:hAnsi="Times New Roman" w:eastAsia="宋体" w:cs="Times New Roman"/>
                <w:color w:val="auto"/>
                <w:sz w:val="24"/>
                <w:szCs w:val="24"/>
                <w:highlight w:val="none"/>
                <w:lang w:val="en-US" w:eastAsia="zh-CN"/>
              </w:rPr>
              <w:t>废机油</w:t>
            </w:r>
            <w:r>
              <w:rPr>
                <w:rFonts w:hint="default" w:ascii="Times New Roman" w:hAnsi="Times New Roman" w:eastAsia="宋体" w:cs="Times New Roman"/>
                <w:color w:val="auto"/>
                <w:sz w:val="24"/>
                <w:szCs w:val="24"/>
                <w:highlight w:val="none"/>
              </w:rPr>
              <w:t>泄露防范措施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迅速用沙土、吸油棉、锯末等覆盖吸附，防止流散。</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收集废油及沾染物至专用容器，交由有资质单位处置。</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若流入水体，需用围油栏、吸油毡控制油膜扩散。</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·应指定专人对产生的危险废物及时收集，危废操作人员必须经过培训并具备相应知识。</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·废机油用密封容器进行装盛并存放在危险废物贮存</w:t>
            </w:r>
            <w:r>
              <w:rPr>
                <w:rFonts w:hint="default" w:ascii="Times New Roman" w:hAnsi="Times New Roman" w:eastAsia="宋体" w:cs="Times New Roman"/>
                <w:color w:val="auto"/>
                <w:sz w:val="24"/>
                <w:szCs w:val="24"/>
                <w:highlight w:val="none"/>
                <w:lang w:val="en-US" w:eastAsia="zh-CN"/>
              </w:rPr>
              <w:t>场所</w:t>
            </w:r>
            <w:r>
              <w:rPr>
                <w:rFonts w:hint="default" w:ascii="Times New Roman" w:hAnsi="Times New Roman" w:eastAsia="宋体" w:cs="Times New Roman"/>
                <w:color w:val="auto"/>
                <w:sz w:val="24"/>
                <w:szCs w:val="24"/>
                <w:highlight w:val="none"/>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·废机油用密封容器必须完好无损，没有腐蚀、污染、损毁或其他能导致其包装效能减弱的缺陷。</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·油桶在将油类注入时，须预留足够的空隙，以确保桶内油类在正常的处理、存放及运输时，不因温度或其他物理状况转变而膨胀，造成容器泄漏或永久变形。</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·危废贮存场所地面及裙角进行防渗，防渗要求需满足《危险废物贮存污染控制标准》（GB18597-2001）中的要求。危废贮存场所设置规范标识标牌。</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③氢氧化钠</w:t>
            </w:r>
            <w:r>
              <w:rPr>
                <w:rFonts w:hint="default" w:ascii="Times New Roman" w:hAnsi="Times New Roman" w:eastAsia="宋体" w:cs="Times New Roman"/>
                <w:color w:val="auto"/>
                <w:sz w:val="24"/>
                <w:szCs w:val="24"/>
                <w:highlight w:val="none"/>
              </w:rPr>
              <w:t>泄露防范措施</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·隔离泄漏区，应急人员戴防尘口罩、防化服、橡胶手套。</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·用洁净铲子收集至干燥容器，少量可缓慢加入大量水中，中和至中性后排入</w:t>
            </w:r>
            <w:r>
              <w:rPr>
                <w:rFonts w:hint="default" w:ascii="Times New Roman" w:hAnsi="Times New Roman" w:eastAsia="宋体" w:cs="Times New Roman"/>
                <w:color w:val="auto"/>
                <w:sz w:val="24"/>
                <w:szCs w:val="24"/>
                <w:highlight w:val="none"/>
                <w:lang w:val="en-US" w:eastAsia="zh-CN"/>
              </w:rPr>
              <w:t>循环</w:t>
            </w:r>
            <w:r>
              <w:rPr>
                <w:rFonts w:hint="default" w:ascii="Times New Roman" w:hAnsi="Times New Roman" w:eastAsia="宋体" w:cs="Times New Roman"/>
                <w:color w:val="auto"/>
                <w:sz w:val="24"/>
                <w:szCs w:val="24"/>
                <w:highlight w:val="none"/>
              </w:rPr>
              <w:t>系统。</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·大量泄漏时，收集回收或无害化处理；禁止将水直接倒入大量氢氧化钠中（防剧烈放热喷溅）</w:t>
            </w:r>
            <w:r>
              <w:rPr>
                <w:rFonts w:hint="default" w:ascii="Times New Roman" w:hAnsi="Times New Roman" w:eastAsia="宋体" w:cs="Times New Roman"/>
                <w:color w:val="auto"/>
                <w:sz w:val="24"/>
                <w:szCs w:val="24"/>
                <w:highlight w:val="none"/>
                <w:lang w:eastAsia="zh-CN"/>
              </w:rPr>
              <w:t>。</w:t>
            </w:r>
          </w:p>
          <w:p>
            <w:pPr>
              <w:keepNext w:val="0"/>
              <w:keepLines w:val="0"/>
              <w:suppressLineNumbers w:val="0"/>
              <w:autoSpaceDE w:val="0"/>
              <w:autoSpaceDN w:val="0"/>
              <w:spacing w:before="0" w:beforeAutospacing="0" w:after="0" w:afterAutospacing="0" w:line="360" w:lineRule="auto"/>
              <w:ind w:left="0" w:right="0" w:firstLine="482" w:firstLineChars="200"/>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9.6风险分析结论</w:t>
            </w:r>
          </w:p>
          <w:p>
            <w:pPr>
              <w:pStyle w:val="2"/>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rPr>
              <w:t>简单分析按照《建设项目环境风险评价技术导则》（HJ169-2018）附录A进行分析。</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表4.9-</w:t>
            </w:r>
            <w:r>
              <w:rPr>
                <w:rFonts w:hint="default" w:ascii="Times New Roman" w:hAnsi="Times New Roman" w:eastAsia="宋体" w:cs="Times New Roman"/>
                <w:b/>
                <w:bCs/>
                <w:color w:val="auto"/>
                <w:szCs w:val="21"/>
                <w:highlight w:val="none"/>
                <w:lang w:val="en-US" w:eastAsia="zh-CN"/>
              </w:rPr>
              <w:t>9</w:t>
            </w:r>
            <w:r>
              <w:rPr>
                <w:rFonts w:hint="default" w:ascii="Times New Roman" w:hAnsi="Times New Roman" w:eastAsia="宋体" w:cs="Times New Roman"/>
                <w:b/>
                <w:bCs/>
                <w:color w:val="auto"/>
                <w:szCs w:val="21"/>
                <w:highlight w:val="none"/>
              </w:rPr>
              <w:t xml:space="preserve">   简单分析内容表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0"/>
              <w:gridCol w:w="898"/>
              <w:gridCol w:w="2160"/>
              <w:gridCol w:w="1380"/>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8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建设项目名称</w:t>
                  </w:r>
                </w:p>
              </w:tc>
              <w:tc>
                <w:tcPr>
                  <w:tcW w:w="3613" w:type="pct"/>
                  <w:gridSpan w:val="4"/>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宜良前所月牙塘机制砖厂页岩砖污泥利用技改项目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38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建设地点</w:t>
                  </w:r>
                </w:p>
              </w:tc>
              <w:tc>
                <w:tcPr>
                  <w:tcW w:w="3613" w:type="pct"/>
                  <w:gridSpan w:val="4"/>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云南省昆明市宜良县北古城镇凤莱村委会下前所村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8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地理坐标</w:t>
                  </w:r>
                </w:p>
              </w:tc>
              <w:tc>
                <w:tcPr>
                  <w:tcW w:w="486" w:type="pct"/>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经度</w:t>
                  </w:r>
                </w:p>
              </w:tc>
              <w:tc>
                <w:tcPr>
                  <w:tcW w:w="1169" w:type="pct"/>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13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18.598</w:t>
                  </w:r>
                  <w:r>
                    <w:rPr>
                      <w:rFonts w:hint="default" w:ascii="Times New Roman" w:hAnsi="Times New Roman" w:eastAsia="宋体" w:cs="Times New Roman"/>
                      <w:color w:val="auto"/>
                      <w:sz w:val="21"/>
                      <w:szCs w:val="21"/>
                      <w:highlight w:val="none"/>
                    </w:rPr>
                    <w:t>"</w:t>
                  </w:r>
                </w:p>
              </w:tc>
              <w:tc>
                <w:tcPr>
                  <w:tcW w:w="747" w:type="pct"/>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纬度</w:t>
                  </w:r>
                </w:p>
              </w:tc>
              <w:tc>
                <w:tcPr>
                  <w:tcW w:w="1209" w:type="pct"/>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58</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29.699</w:t>
                  </w: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8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主要危险物质及分布</w:t>
                  </w:r>
                </w:p>
              </w:tc>
              <w:tc>
                <w:tcPr>
                  <w:tcW w:w="3613" w:type="pct"/>
                  <w:gridSpan w:val="4"/>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废机油收集于危废贮存场所</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氢氧化钠放置在辅料堆放区、二氧化硫为项目脱硫塔排放的气态物质</w:t>
                  </w: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8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环境影响途径及危害后果（大气、地表水、地下水等）</w:t>
                  </w:r>
                </w:p>
              </w:tc>
              <w:tc>
                <w:tcPr>
                  <w:tcW w:w="3613" w:type="pct"/>
                  <w:gridSpan w:val="4"/>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大气影响：①</w:t>
                  </w:r>
                  <w:r>
                    <w:rPr>
                      <w:rFonts w:hint="default" w:ascii="Times New Roman" w:hAnsi="Times New Roman" w:eastAsia="宋体" w:cs="Times New Roman"/>
                      <w:color w:val="auto"/>
                      <w:sz w:val="21"/>
                      <w:szCs w:val="21"/>
                      <w:highlight w:val="none"/>
                    </w:rPr>
                    <w:t>二氧化硫属于刺激性有毒气体，若脱硫系统管线、法兰发生泄漏，二氧化硫会迅速扩散。高浓度下刺激人体呼吸道黏膜，引发咳嗽、肺水肿甚至窒息；同时在大气中可氧化为硫酸雾/硫酸盐，是酸雨和二次颗粒物的重要前驱物，影响周边空气质量</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②氢氧化钠的固态粉尘若大量扬散，会刺激眼、呼吸道，但通常在储存、投加过程中风险相对较小。③废机油正常情况下液态不易挥发，但若泄漏后遇明火、高温发生燃烧，会产生含CO、NOₓ、SO₂及烟尘的废气，造成局部大气污染。</w:t>
                  </w:r>
                </w:p>
                <w:p>
                  <w:pPr>
                    <w:keepNext w:val="0"/>
                    <w:keepLines w:val="0"/>
                    <w:suppressLineNumbers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地表水、地下水</w:t>
                  </w:r>
                  <w:r>
                    <w:rPr>
                      <w:rFonts w:hint="default" w:ascii="Times New Roman" w:hAnsi="Times New Roman" w:eastAsia="宋体" w:cs="Times New Roman"/>
                      <w:color w:val="auto"/>
                      <w:sz w:val="21"/>
                      <w:szCs w:val="21"/>
                      <w:highlight w:val="none"/>
                      <w:lang w:val="en-US" w:eastAsia="zh-CN"/>
                    </w:rPr>
                    <w:t>影响：①</w:t>
                  </w:r>
                  <w:r>
                    <w:rPr>
                      <w:rFonts w:hint="default" w:ascii="Times New Roman" w:hAnsi="Times New Roman" w:eastAsia="宋体" w:cs="Times New Roman"/>
                      <w:color w:val="auto"/>
                      <w:sz w:val="21"/>
                      <w:szCs w:val="21"/>
                      <w:highlight w:val="none"/>
                    </w:rPr>
                    <w:t>氢氧化钠泄漏或冲洗水进入雨水管网/污水管网，会使pH急剧升高；高pH废水对生化处理系统有抑制作用，并具腐蚀性。长期泄漏或渗滤可使局部土壤pH升高，破坏团粒结构，抑制作物生长</w:t>
                  </w:r>
                  <w:r>
                    <w:rPr>
                      <w:rFonts w:hint="default" w:ascii="Times New Roman" w:hAnsi="Times New Roman" w:eastAsia="宋体" w:cs="Times New Roman"/>
                      <w:color w:val="auto"/>
                      <w:sz w:val="21"/>
                      <w:szCs w:val="21"/>
                      <w:highlight w:val="none"/>
                      <w:lang w:eastAsia="zh-CN"/>
                    </w:rPr>
                    <w:t>，碱性盐类累积可能影响土壤微生物活性。</w:t>
                  </w:r>
                  <w:r>
                    <w:rPr>
                      <w:rFonts w:hint="default" w:ascii="Times New Roman" w:hAnsi="Times New Roman" w:eastAsia="宋体" w:cs="Times New Roman"/>
                      <w:color w:val="auto"/>
                      <w:sz w:val="21"/>
                      <w:szCs w:val="21"/>
                      <w:highlight w:val="none"/>
                      <w:lang w:val="en-US" w:eastAsia="zh-CN"/>
                    </w:rPr>
                    <w:t>②油类密度小于水，易在水面形成油膜，阻断复氧，导致水体缺氧；油类难降解，可在环境中残留多年，对水生生物和饮用水源构成长期威胁。渗漏进入土壤后，油分吸附于土壤颗粒，堵塞孔隙，降低渗透性和通气性；并且可随淋溶迁移至浅层地下水，形成油类—有机物复合污染。③</w:t>
                  </w:r>
                  <w:r>
                    <w:rPr>
                      <w:rFonts w:hint="default" w:ascii="Times New Roman" w:hAnsi="Times New Roman" w:eastAsia="宋体" w:cs="Times New Roman"/>
                      <w:color w:val="auto"/>
                      <w:sz w:val="21"/>
                      <w:szCs w:val="21"/>
                      <w:highlight w:val="none"/>
                    </w:rPr>
                    <w:t>二氧化硫若泄漏后被消防水或雨水吸收，形成酸性废水</w:t>
                  </w:r>
                  <w:r>
                    <w:rPr>
                      <w:rFonts w:hint="default" w:ascii="Times New Roman" w:hAnsi="Times New Roman" w:eastAsia="宋体" w:cs="Times New Roman"/>
                      <w:color w:val="auto"/>
                      <w:sz w:val="21"/>
                      <w:szCs w:val="21"/>
                      <w:highlight w:val="none"/>
                      <w:lang w:eastAsia="zh-CN"/>
                    </w:rPr>
                    <w:t>，直接进入地表水或下水道会造成pH下降，腐蚀管网并危害水生生态；气态</w:t>
                  </w:r>
                  <w:r>
                    <w:rPr>
                      <w:rFonts w:hint="default" w:ascii="Times New Roman" w:hAnsi="Times New Roman" w:eastAsia="宋体" w:cs="Times New Roman"/>
                      <w:color w:val="auto"/>
                      <w:sz w:val="21"/>
                      <w:szCs w:val="21"/>
                      <w:highlight w:val="none"/>
                    </w:rPr>
                    <w:t>二氧化硫</w:t>
                  </w:r>
                  <w:r>
                    <w:rPr>
                      <w:rFonts w:hint="default" w:ascii="Times New Roman" w:hAnsi="Times New Roman" w:eastAsia="宋体" w:cs="Times New Roman"/>
                      <w:color w:val="auto"/>
                      <w:sz w:val="21"/>
                      <w:szCs w:val="21"/>
                      <w:highlight w:val="none"/>
                      <w:lang w:eastAsia="zh-CN"/>
                    </w:rPr>
                    <w:t>对土壤直接污染风险较小，但通过干湿沉降形成的酸沉降，</w:t>
                  </w:r>
                  <w:r>
                    <w:rPr>
                      <w:rFonts w:hint="default" w:ascii="Times New Roman" w:hAnsi="Times New Roman" w:eastAsia="宋体" w:cs="Times New Roman"/>
                      <w:color w:val="auto"/>
                      <w:sz w:val="21"/>
                      <w:szCs w:val="21"/>
                      <w:highlight w:val="none"/>
                      <w:lang w:val="en-US" w:eastAsia="zh-CN"/>
                    </w:rPr>
                    <w:t>会使</w:t>
                  </w:r>
                  <w:r>
                    <w:rPr>
                      <w:rFonts w:hint="default" w:ascii="Times New Roman" w:hAnsi="Times New Roman" w:eastAsia="宋体" w:cs="Times New Roman"/>
                      <w:color w:val="auto"/>
                      <w:sz w:val="21"/>
                      <w:szCs w:val="21"/>
                      <w:highlight w:val="none"/>
                      <w:lang w:eastAsia="zh-CN"/>
                    </w:rPr>
                    <w:t>土壤酸化，影响土壤养分。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1" w:hRule="atLeast"/>
              </w:trPr>
              <w:tc>
                <w:tcPr>
                  <w:tcW w:w="138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风险防范措施要求</w:t>
                  </w:r>
                </w:p>
              </w:tc>
              <w:tc>
                <w:tcPr>
                  <w:tcW w:w="3613" w:type="pct"/>
                  <w:gridSpan w:val="4"/>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①二氧化硫泄露防范措施</w:t>
                  </w:r>
                </w:p>
                <w:p>
                  <w:pPr>
                    <w:keepNext w:val="0"/>
                    <w:keepLines w:val="0"/>
                    <w:suppressLineNumbers w:val="0"/>
                    <w:adjustRightIn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立即撤离污染区人员至上风处，设置隔离区（小泄漏约150m，大泄漏约450m）。</w:t>
                  </w:r>
                </w:p>
                <w:p>
                  <w:pPr>
                    <w:keepNext w:val="0"/>
                    <w:keepLines w:val="0"/>
                    <w:suppressLineNumbers w:val="0"/>
                    <w:adjustRightIn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应急人员佩戴正压自给式呼吸器、防毒服，从上风接近，切断泄漏源。</w:t>
                  </w:r>
                </w:p>
                <w:p>
                  <w:pPr>
                    <w:keepNext w:val="0"/>
                    <w:keepLines w:val="0"/>
                    <w:suppressLineNumbers w:val="0"/>
                    <w:adjustRightIn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喷雾状水稀释、吸收气体；可用碱液（如NaOH溶液）或次氯酸钠溶液喷淋吸收。</w:t>
                  </w:r>
                </w:p>
                <w:p>
                  <w:pPr>
                    <w:keepNext w:val="0"/>
                    <w:keepLines w:val="0"/>
                    <w:suppressLineNumbers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w:t>
                  </w:r>
                  <w:r>
                    <w:rPr>
                      <w:rFonts w:hint="default" w:ascii="Times New Roman" w:hAnsi="Times New Roman" w:eastAsia="宋体" w:cs="Times New Roman"/>
                      <w:color w:val="auto"/>
                      <w:sz w:val="21"/>
                      <w:szCs w:val="21"/>
                      <w:highlight w:val="none"/>
                      <w:lang w:val="en-US" w:eastAsia="zh-CN"/>
                    </w:rPr>
                    <w:t>废机油</w:t>
                  </w:r>
                  <w:r>
                    <w:rPr>
                      <w:rFonts w:hint="default" w:ascii="Times New Roman" w:hAnsi="Times New Roman" w:eastAsia="宋体" w:cs="Times New Roman"/>
                      <w:color w:val="auto"/>
                      <w:sz w:val="21"/>
                      <w:szCs w:val="21"/>
                      <w:highlight w:val="none"/>
                    </w:rPr>
                    <w:t>泄露防范措施</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迅速用沙土、吸油棉、锯末等覆盖吸附，防止流散。</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收集废油及沾染物至专用容器，交由有资质单位处置。</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若流入水体，需用围油栏、吸油毡控制油膜扩散。</w:t>
                  </w:r>
                </w:p>
                <w:p>
                  <w:pPr>
                    <w:keepNext w:val="0"/>
                    <w:keepLines w:val="0"/>
                    <w:suppressLineNumbers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·应指定专人对产生的危险废物及时收集，危废操作人员必须经过培训并具备相应知识。</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·废机油用密封容器进行装盛并存放在危险废物贮存间。</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·废机油用密封容器必须完好无损，没有腐蚀、污染、损毁或其他能导致其包装效能减弱的缺陷。</w:t>
                  </w:r>
                </w:p>
                <w:p>
                  <w:pPr>
                    <w:keepNext w:val="0"/>
                    <w:keepLines w:val="0"/>
                    <w:suppressLineNumbers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·油桶在将油类注入时，须预留足够的空隙，以确保桶内油类在正常的处理、存放及运输时，不因温度或其他物理状况转变而膨胀，造成容器泄漏或永久变形。</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·危废贮存场所地面及裙角进行防渗，防渗要求需满足《危险废物贮存污染控制标准》（GB18597-2001）中的要求。危废贮存场所设置规范标识标牌。</w:t>
                  </w:r>
                </w:p>
                <w:p>
                  <w:pPr>
                    <w:keepNext w:val="0"/>
                    <w:keepLines w:val="0"/>
                    <w:suppressLineNumbers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③氢氧化钠</w:t>
                  </w:r>
                  <w:r>
                    <w:rPr>
                      <w:rFonts w:hint="default" w:ascii="Times New Roman" w:hAnsi="Times New Roman" w:eastAsia="宋体" w:cs="Times New Roman"/>
                      <w:color w:val="auto"/>
                      <w:sz w:val="21"/>
                      <w:szCs w:val="21"/>
                      <w:highlight w:val="none"/>
                    </w:rPr>
                    <w:t>泄露防范措施</w:t>
                  </w:r>
                </w:p>
                <w:p>
                  <w:pPr>
                    <w:keepNext w:val="0"/>
                    <w:keepLines w:val="0"/>
                    <w:suppressLineNumbers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·隔离泄漏区，应急人员戴防尘口罩、防化服、橡胶手套。</w:t>
                  </w:r>
                </w:p>
                <w:p>
                  <w:pPr>
                    <w:keepNext w:val="0"/>
                    <w:keepLines w:val="0"/>
                    <w:suppressLineNumbers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·用洁净铲子收集至干燥容器，少量可缓慢加入大量水中，中和至中性后排入</w:t>
                  </w:r>
                  <w:r>
                    <w:rPr>
                      <w:rFonts w:hint="default" w:ascii="Times New Roman" w:hAnsi="Times New Roman" w:eastAsia="宋体" w:cs="Times New Roman"/>
                      <w:color w:val="auto"/>
                      <w:sz w:val="21"/>
                      <w:szCs w:val="21"/>
                      <w:highlight w:val="none"/>
                      <w:lang w:val="en-US" w:eastAsia="zh-CN"/>
                    </w:rPr>
                    <w:t>循环</w:t>
                  </w:r>
                  <w:r>
                    <w:rPr>
                      <w:rFonts w:hint="default" w:ascii="Times New Roman" w:hAnsi="Times New Roman" w:eastAsia="宋体" w:cs="Times New Roman"/>
                      <w:color w:val="auto"/>
                      <w:sz w:val="21"/>
                      <w:szCs w:val="21"/>
                      <w:highlight w:val="none"/>
                    </w:rPr>
                    <w:t>系统。</w:t>
                  </w:r>
                </w:p>
                <w:p>
                  <w:pPr>
                    <w:keepNext w:val="0"/>
                    <w:keepLines w:val="0"/>
                    <w:suppressLineNumbers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·大量泄漏时，收集回收或无害化处理；禁止将水直接倒入大量氢氧化钠中（防剧烈放热喷溅）</w:t>
                  </w:r>
                  <w:r>
                    <w:rPr>
                      <w:rFonts w:hint="default" w:ascii="Times New Roman" w:hAnsi="Times New Roman" w:eastAsia="宋体"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1" w:hRule="atLeast"/>
              </w:trPr>
              <w:tc>
                <w:tcPr>
                  <w:tcW w:w="138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填表说明：</w:t>
                  </w:r>
                </w:p>
              </w:tc>
              <w:tc>
                <w:tcPr>
                  <w:tcW w:w="3613" w:type="pct"/>
                  <w:gridSpan w:val="4"/>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该项目环境风险在可接受的范围内</w:t>
                  </w:r>
                </w:p>
              </w:tc>
            </w:tr>
          </w:tbl>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4"/>
                <w:highlight w:val="none"/>
              </w:rPr>
            </w:pP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十、运营期环境管理要求</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10.1</w:t>
            </w:r>
            <w:r>
              <w:rPr>
                <w:rFonts w:hint="default" w:ascii="Times New Roman" w:hAnsi="Times New Roman" w:eastAsia="宋体" w:cs="Times New Roman"/>
                <w:b/>
                <w:bCs/>
                <w:color w:val="auto"/>
                <w:sz w:val="24"/>
                <w:highlight w:val="none"/>
              </w:rPr>
              <w:t>竣工环境验收要求</w:t>
            </w:r>
          </w:p>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表4.10-1   竣工验收监测计划一览表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841"/>
              <w:gridCol w:w="1070"/>
              <w:gridCol w:w="649"/>
              <w:gridCol w:w="1335"/>
              <w:gridCol w:w="1566"/>
              <w:gridCol w:w="3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349" w:type="pct"/>
                  <w:tcBorders>
                    <w:top w:val="single" w:color="auto" w:sz="4" w:space="0"/>
                    <w:left w:val="single" w:color="auto" w:sz="4" w:space="0"/>
                    <w:bottom w:val="single" w:color="auto" w:sz="4" w:space="0"/>
                    <w:right w:val="single" w:color="auto" w:sz="4" w:space="0"/>
                  </w:tcBorders>
                  <w:noWrap w:val="0"/>
                  <w:vAlign w:val="center"/>
                </w:tcPr>
                <w:p>
                  <w:pPr>
                    <w:pStyle w:val="125"/>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环保措施名称</w:t>
                  </w:r>
                </w:p>
              </w:tc>
              <w:tc>
                <w:tcPr>
                  <w:tcW w:w="1034" w:type="pct"/>
                  <w:gridSpan w:val="2"/>
                  <w:tcBorders>
                    <w:top w:val="single" w:color="auto" w:sz="4" w:space="0"/>
                    <w:left w:val="single" w:color="auto" w:sz="4" w:space="0"/>
                    <w:bottom w:val="single" w:color="auto" w:sz="4" w:space="0"/>
                    <w:right w:val="single" w:color="auto" w:sz="4" w:space="0"/>
                  </w:tcBorders>
                  <w:noWrap w:val="0"/>
                  <w:vAlign w:val="center"/>
                </w:tcPr>
                <w:p>
                  <w:pPr>
                    <w:pStyle w:val="125"/>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监测项目</w:t>
                  </w:r>
                </w:p>
              </w:tc>
              <w:tc>
                <w:tcPr>
                  <w:tcW w:w="351" w:type="pct"/>
                  <w:tcBorders>
                    <w:top w:val="single" w:color="auto" w:sz="4" w:space="0"/>
                    <w:left w:val="single" w:color="auto" w:sz="4" w:space="0"/>
                    <w:bottom w:val="single" w:color="auto" w:sz="4" w:space="0"/>
                    <w:right w:val="single" w:color="auto" w:sz="4" w:space="0"/>
                  </w:tcBorders>
                  <w:noWrap w:val="0"/>
                  <w:vAlign w:val="center"/>
                </w:tcPr>
                <w:p>
                  <w:pPr>
                    <w:pStyle w:val="125"/>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监控负责单位</w:t>
                  </w:r>
                </w:p>
              </w:tc>
              <w:tc>
                <w:tcPr>
                  <w:tcW w:w="722" w:type="pct"/>
                  <w:tcBorders>
                    <w:top w:val="single" w:color="auto" w:sz="4" w:space="0"/>
                    <w:left w:val="single" w:color="auto" w:sz="4" w:space="0"/>
                    <w:bottom w:val="single" w:color="auto" w:sz="4" w:space="0"/>
                    <w:right w:val="single" w:color="auto" w:sz="4" w:space="0"/>
                  </w:tcBorders>
                  <w:noWrap w:val="0"/>
                  <w:vAlign w:val="center"/>
                </w:tcPr>
                <w:p>
                  <w:pPr>
                    <w:pStyle w:val="125"/>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监测检查频次</w:t>
                  </w:r>
                </w:p>
              </w:tc>
              <w:tc>
                <w:tcPr>
                  <w:tcW w:w="847" w:type="pct"/>
                  <w:tcBorders>
                    <w:top w:val="single" w:color="auto" w:sz="4" w:space="0"/>
                    <w:left w:val="single" w:color="auto" w:sz="4" w:space="0"/>
                    <w:bottom w:val="single" w:color="auto" w:sz="4" w:space="0"/>
                    <w:right w:val="single" w:color="auto" w:sz="4" w:space="0"/>
                  </w:tcBorders>
                  <w:noWrap w:val="0"/>
                  <w:vAlign w:val="center"/>
                </w:tcPr>
                <w:p>
                  <w:pPr>
                    <w:pStyle w:val="125"/>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w:t>
                  </w:r>
                </w:p>
              </w:tc>
              <w:tc>
                <w:tcPr>
                  <w:tcW w:w="1693" w:type="pct"/>
                  <w:tcBorders>
                    <w:top w:val="single" w:color="auto" w:sz="4" w:space="0"/>
                    <w:left w:val="single" w:color="auto" w:sz="4" w:space="0"/>
                    <w:bottom w:val="single" w:color="auto" w:sz="4" w:space="0"/>
                    <w:right w:val="single" w:color="auto" w:sz="4" w:space="0"/>
                  </w:tcBorders>
                  <w:noWrap w:val="0"/>
                  <w:vAlign w:val="center"/>
                </w:tcPr>
                <w:p>
                  <w:pPr>
                    <w:pStyle w:val="125"/>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4" w:hRule="atLeast"/>
                <w:jc w:val="center"/>
              </w:trPr>
              <w:tc>
                <w:tcPr>
                  <w:tcW w:w="349" w:type="pct"/>
                  <w:tcBorders>
                    <w:top w:val="single" w:color="auto" w:sz="4" w:space="0"/>
                    <w:left w:val="single" w:color="auto" w:sz="4" w:space="0"/>
                    <w:bottom w:val="single" w:color="auto" w:sz="4" w:space="0"/>
                    <w:right w:val="single" w:color="auto" w:sz="4" w:space="0"/>
                  </w:tcBorders>
                  <w:noWrap w:val="0"/>
                  <w:vAlign w:val="center"/>
                </w:tcPr>
                <w:p>
                  <w:pPr>
                    <w:pStyle w:val="12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环境噪声监测</w:t>
                  </w:r>
                </w:p>
              </w:tc>
              <w:tc>
                <w:tcPr>
                  <w:tcW w:w="1034" w:type="pct"/>
                  <w:gridSpan w:val="2"/>
                  <w:tcBorders>
                    <w:top w:val="single" w:color="auto" w:sz="4" w:space="0"/>
                    <w:left w:val="single" w:color="auto" w:sz="4" w:space="0"/>
                    <w:bottom w:val="single" w:color="auto" w:sz="4" w:space="0"/>
                    <w:right w:val="single" w:color="auto" w:sz="4" w:space="0"/>
                  </w:tcBorders>
                  <w:noWrap w:val="0"/>
                  <w:vAlign w:val="center"/>
                </w:tcPr>
                <w:p>
                  <w:pPr>
                    <w:pStyle w:val="12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Leq(A)</w:t>
                  </w:r>
                </w:p>
              </w:tc>
              <w:tc>
                <w:tcPr>
                  <w:tcW w:w="351" w:type="pct"/>
                  <w:tcBorders>
                    <w:top w:val="single" w:color="auto" w:sz="4" w:space="0"/>
                    <w:left w:val="single" w:color="auto" w:sz="4" w:space="0"/>
                    <w:bottom w:val="single" w:color="auto" w:sz="4" w:space="0"/>
                    <w:right w:val="single" w:color="auto" w:sz="4" w:space="0"/>
                  </w:tcBorders>
                  <w:noWrap w:val="0"/>
                  <w:vAlign w:val="center"/>
                </w:tcPr>
                <w:p>
                  <w:pPr>
                    <w:pStyle w:val="12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环境管理机构</w:t>
                  </w:r>
                </w:p>
              </w:tc>
              <w:tc>
                <w:tcPr>
                  <w:tcW w:w="722" w:type="pct"/>
                  <w:tcBorders>
                    <w:top w:val="single" w:color="auto" w:sz="4" w:space="0"/>
                    <w:left w:val="single" w:color="auto" w:sz="4" w:space="0"/>
                    <w:bottom w:val="single" w:color="auto" w:sz="4" w:space="0"/>
                    <w:right w:val="single" w:color="auto" w:sz="4" w:space="0"/>
                  </w:tcBorders>
                  <w:noWrap w:val="0"/>
                  <w:vAlign w:val="center"/>
                </w:tcPr>
                <w:p>
                  <w:pPr>
                    <w:pStyle w:val="12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连续2天，2次/天，昼间、夜间1次</w:t>
                  </w:r>
                </w:p>
              </w:tc>
              <w:tc>
                <w:tcPr>
                  <w:tcW w:w="847" w:type="pct"/>
                  <w:tcBorders>
                    <w:top w:val="single" w:color="auto" w:sz="4" w:space="0"/>
                    <w:left w:val="single" w:color="auto" w:sz="4" w:space="0"/>
                    <w:bottom w:val="single" w:color="auto" w:sz="4" w:space="0"/>
                    <w:right w:val="single" w:color="auto" w:sz="4" w:space="0"/>
                  </w:tcBorders>
                  <w:noWrap w:val="0"/>
                  <w:vAlign w:val="center"/>
                </w:tcPr>
                <w:p>
                  <w:pPr>
                    <w:pStyle w:val="12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厂界外东、南、西、北1m处，</w:t>
                  </w:r>
                  <w:r>
                    <w:rPr>
                      <w:rFonts w:hint="default" w:ascii="Times New Roman" w:hAnsi="Times New Roman" w:eastAsia="宋体" w:cs="Times New Roman"/>
                      <w:color w:val="auto"/>
                      <w:sz w:val="21"/>
                      <w:szCs w:val="21"/>
                      <w:highlight w:val="none"/>
                    </w:rPr>
                    <w:t>4个点位</w:t>
                  </w:r>
                </w:p>
              </w:tc>
              <w:tc>
                <w:tcPr>
                  <w:tcW w:w="1693" w:type="pct"/>
                  <w:tcBorders>
                    <w:top w:val="single" w:color="auto" w:sz="4" w:space="0"/>
                    <w:left w:val="single" w:color="auto" w:sz="4" w:space="0"/>
                    <w:bottom w:val="single" w:color="auto" w:sz="4" w:space="0"/>
                    <w:right w:val="single" w:color="auto" w:sz="4" w:space="0"/>
                  </w:tcBorders>
                  <w:noWrap w:val="0"/>
                  <w:vAlign w:val="center"/>
                </w:tcPr>
                <w:p>
                  <w:pPr>
                    <w:pStyle w:val="12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《工业企业厂界环境噪声排放标准》（GB12348-2008）</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1" w:hRule="atLeast"/>
                <w:jc w:val="center"/>
              </w:trPr>
              <w:tc>
                <w:tcPr>
                  <w:tcW w:w="349" w:type="pct"/>
                  <w:vMerge w:val="restart"/>
                  <w:tcBorders>
                    <w:top w:val="single" w:color="auto" w:sz="4" w:space="0"/>
                    <w:left w:val="single" w:color="auto" w:sz="4" w:space="0"/>
                    <w:right w:val="single" w:color="auto" w:sz="4" w:space="0"/>
                  </w:tcBorders>
                  <w:noWrap w:val="0"/>
                  <w:vAlign w:val="center"/>
                </w:tcPr>
                <w:p>
                  <w:pPr>
                    <w:pStyle w:val="12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废气监测</w:t>
                  </w:r>
                </w:p>
              </w:tc>
              <w:tc>
                <w:tcPr>
                  <w:tcW w:w="455" w:type="pct"/>
                  <w:tcBorders>
                    <w:top w:val="single" w:color="auto" w:sz="4" w:space="0"/>
                    <w:left w:val="single" w:color="auto" w:sz="4" w:space="0"/>
                    <w:bottom w:val="single" w:color="auto" w:sz="4" w:space="0"/>
                    <w:right w:val="single" w:color="auto" w:sz="4" w:space="0"/>
                  </w:tcBorders>
                  <w:noWrap w:val="0"/>
                  <w:vAlign w:val="center"/>
                </w:tcPr>
                <w:p>
                  <w:pPr>
                    <w:pStyle w:val="12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DA001</w:t>
                  </w:r>
                </w:p>
              </w:tc>
              <w:tc>
                <w:tcPr>
                  <w:tcW w:w="5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X</w:t>
                  </w:r>
                  <w:r>
                    <w:rPr>
                      <w:rFonts w:hint="default" w:ascii="Times New Roman" w:hAnsi="Times New Roman" w:eastAsia="宋体" w:cs="Times New Roman"/>
                      <w:color w:val="auto"/>
                      <w:sz w:val="21"/>
                      <w:szCs w:val="21"/>
                      <w:highlight w:val="none"/>
                    </w:rPr>
                    <w:t>、颗粒物</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氟化物</w:t>
                  </w:r>
                </w:p>
              </w:tc>
              <w:tc>
                <w:tcPr>
                  <w:tcW w:w="351" w:type="pct"/>
                  <w:tcBorders>
                    <w:top w:val="single" w:color="auto" w:sz="4" w:space="0"/>
                    <w:left w:val="single" w:color="auto" w:sz="4" w:space="0"/>
                    <w:bottom w:val="single" w:color="auto" w:sz="4" w:space="0"/>
                    <w:right w:val="single" w:color="auto" w:sz="4" w:space="0"/>
                  </w:tcBorders>
                  <w:noWrap w:val="0"/>
                  <w:vAlign w:val="center"/>
                </w:tcPr>
                <w:p>
                  <w:pPr>
                    <w:pStyle w:val="12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环境管理机构</w:t>
                  </w:r>
                </w:p>
              </w:tc>
              <w:tc>
                <w:tcPr>
                  <w:tcW w:w="722" w:type="pct"/>
                  <w:tcBorders>
                    <w:top w:val="single" w:color="auto" w:sz="4" w:space="0"/>
                    <w:left w:val="single" w:color="auto" w:sz="4" w:space="0"/>
                    <w:bottom w:val="single" w:color="auto" w:sz="4" w:space="0"/>
                    <w:right w:val="single" w:color="auto" w:sz="4" w:space="0"/>
                  </w:tcBorders>
                  <w:noWrap w:val="0"/>
                  <w:vAlign w:val="center"/>
                </w:tcPr>
                <w:p>
                  <w:pPr>
                    <w:pStyle w:val="12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连续2天，4次/天</w:t>
                  </w:r>
                </w:p>
              </w:tc>
              <w:tc>
                <w:tcPr>
                  <w:tcW w:w="847" w:type="pct"/>
                  <w:tcBorders>
                    <w:top w:val="single" w:color="auto" w:sz="4" w:space="0"/>
                    <w:left w:val="single" w:color="auto" w:sz="4" w:space="0"/>
                    <w:bottom w:val="single" w:color="auto" w:sz="4" w:space="0"/>
                    <w:right w:val="single" w:color="auto" w:sz="4" w:space="0"/>
                  </w:tcBorders>
                  <w:noWrap w:val="0"/>
                  <w:vAlign w:val="center"/>
                </w:tcPr>
                <w:p>
                  <w:pPr>
                    <w:pStyle w:val="125"/>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环保设施进口、出口</w:t>
                  </w:r>
                </w:p>
              </w:tc>
              <w:tc>
                <w:tcPr>
                  <w:tcW w:w="1693" w:type="pct"/>
                  <w:tcBorders>
                    <w:top w:val="single" w:color="auto" w:sz="4" w:space="0"/>
                    <w:left w:val="single" w:color="auto" w:sz="4" w:space="0"/>
                    <w:bottom w:val="single" w:color="auto" w:sz="4" w:space="0"/>
                    <w:right w:val="single" w:color="auto" w:sz="4" w:space="0"/>
                  </w:tcBorders>
                  <w:noWrap w:val="0"/>
                  <w:vAlign w:val="center"/>
                </w:tcPr>
                <w:p>
                  <w:pPr>
                    <w:pStyle w:val="125"/>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《砖瓦工业大气污</w:t>
                  </w:r>
                  <w:r>
                    <w:rPr>
                      <w:rFonts w:hint="default" w:ascii="Times New Roman" w:hAnsi="Times New Roman" w:eastAsia="宋体" w:cs="Times New Roman"/>
                      <w:color w:val="auto"/>
                      <w:kern w:val="0"/>
                      <w:sz w:val="21"/>
                      <w:szCs w:val="21"/>
                      <w:highlight w:val="none"/>
                    </w:rPr>
                    <w:t>染物排放标准》（GB29620-2013）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1" w:hRule="atLeast"/>
                <w:jc w:val="center"/>
              </w:trPr>
              <w:tc>
                <w:tcPr>
                  <w:tcW w:w="349" w:type="pct"/>
                  <w:vMerge w:val="continue"/>
                  <w:tcBorders>
                    <w:left w:val="single" w:color="auto" w:sz="4" w:space="0"/>
                    <w:right w:val="single" w:color="auto" w:sz="4" w:space="0"/>
                  </w:tcBorders>
                  <w:noWrap w:val="0"/>
                  <w:vAlign w:val="center"/>
                </w:tcPr>
                <w:p>
                  <w:pPr>
                    <w:pStyle w:val="12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455" w:type="pct"/>
                  <w:tcBorders>
                    <w:top w:val="single" w:color="auto" w:sz="4" w:space="0"/>
                    <w:left w:val="single" w:color="auto" w:sz="4" w:space="0"/>
                    <w:bottom w:val="single" w:color="auto" w:sz="4" w:space="0"/>
                    <w:right w:val="single" w:color="auto" w:sz="4" w:space="0"/>
                  </w:tcBorders>
                  <w:noWrap w:val="0"/>
                  <w:vAlign w:val="center"/>
                </w:tcPr>
                <w:p>
                  <w:pPr>
                    <w:pStyle w:val="12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DA002</w:t>
                  </w:r>
                </w:p>
              </w:tc>
              <w:tc>
                <w:tcPr>
                  <w:tcW w:w="5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粉尘</w:t>
                  </w:r>
                </w:p>
              </w:tc>
              <w:tc>
                <w:tcPr>
                  <w:tcW w:w="351" w:type="pct"/>
                  <w:tcBorders>
                    <w:top w:val="single" w:color="auto" w:sz="4" w:space="0"/>
                    <w:left w:val="single" w:color="auto" w:sz="4" w:space="0"/>
                    <w:bottom w:val="single" w:color="auto" w:sz="4" w:space="0"/>
                    <w:right w:val="single" w:color="auto" w:sz="4" w:space="0"/>
                  </w:tcBorders>
                  <w:noWrap w:val="0"/>
                  <w:vAlign w:val="center"/>
                </w:tcPr>
                <w:p>
                  <w:pPr>
                    <w:pStyle w:val="12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环境管理机构</w:t>
                  </w:r>
                </w:p>
              </w:tc>
              <w:tc>
                <w:tcPr>
                  <w:tcW w:w="722" w:type="pct"/>
                  <w:tcBorders>
                    <w:top w:val="single" w:color="auto" w:sz="4" w:space="0"/>
                    <w:left w:val="single" w:color="auto" w:sz="4" w:space="0"/>
                    <w:bottom w:val="single" w:color="auto" w:sz="4" w:space="0"/>
                    <w:right w:val="single" w:color="auto" w:sz="4" w:space="0"/>
                  </w:tcBorders>
                  <w:noWrap w:val="0"/>
                  <w:vAlign w:val="center"/>
                </w:tcPr>
                <w:p>
                  <w:pPr>
                    <w:pStyle w:val="12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连续2天，4次/天</w:t>
                  </w:r>
                </w:p>
              </w:tc>
              <w:tc>
                <w:tcPr>
                  <w:tcW w:w="847" w:type="pct"/>
                  <w:tcBorders>
                    <w:top w:val="single" w:color="auto" w:sz="4" w:space="0"/>
                    <w:left w:val="single" w:color="auto" w:sz="4" w:space="0"/>
                    <w:bottom w:val="single" w:color="auto" w:sz="4" w:space="0"/>
                    <w:right w:val="single" w:color="auto" w:sz="4" w:space="0"/>
                  </w:tcBorders>
                  <w:noWrap w:val="0"/>
                  <w:vAlign w:val="center"/>
                </w:tcPr>
                <w:p>
                  <w:pPr>
                    <w:pStyle w:val="125"/>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环保设施进口、出口</w:t>
                  </w:r>
                </w:p>
              </w:tc>
              <w:tc>
                <w:tcPr>
                  <w:tcW w:w="1693" w:type="pct"/>
                  <w:tcBorders>
                    <w:top w:val="single" w:color="auto" w:sz="4" w:space="0"/>
                    <w:left w:val="single" w:color="auto" w:sz="4" w:space="0"/>
                    <w:bottom w:val="single" w:color="auto" w:sz="4" w:space="0"/>
                    <w:right w:val="single" w:color="auto" w:sz="4" w:space="0"/>
                  </w:tcBorders>
                  <w:noWrap w:val="0"/>
                  <w:vAlign w:val="center"/>
                </w:tcPr>
                <w:p>
                  <w:pPr>
                    <w:pStyle w:val="125"/>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《砖瓦工业大气污</w:t>
                  </w:r>
                  <w:r>
                    <w:rPr>
                      <w:rFonts w:hint="default" w:ascii="Times New Roman" w:hAnsi="Times New Roman" w:eastAsia="宋体" w:cs="Times New Roman"/>
                      <w:color w:val="auto"/>
                      <w:kern w:val="0"/>
                      <w:sz w:val="21"/>
                      <w:szCs w:val="21"/>
                      <w:highlight w:val="none"/>
                    </w:rPr>
                    <w:t>染物排放标准》（GB29620-2013）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0" w:hRule="atLeast"/>
                <w:jc w:val="center"/>
              </w:trPr>
              <w:tc>
                <w:tcPr>
                  <w:tcW w:w="349" w:type="pct"/>
                  <w:vMerge w:val="continue"/>
                  <w:tcBorders>
                    <w:left w:val="single" w:color="auto" w:sz="4" w:space="0"/>
                    <w:right w:val="single" w:color="auto" w:sz="4" w:space="0"/>
                  </w:tcBorders>
                  <w:noWrap w:val="0"/>
                  <w:vAlign w:val="center"/>
                </w:tcPr>
                <w:p>
                  <w:pPr>
                    <w:pStyle w:val="12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455" w:type="pct"/>
                  <w:vMerge w:val="restart"/>
                  <w:tcBorders>
                    <w:top w:val="single" w:color="auto" w:sz="4" w:space="0"/>
                    <w:left w:val="single" w:color="auto" w:sz="4" w:space="0"/>
                    <w:right w:val="single" w:color="auto" w:sz="4" w:space="0"/>
                  </w:tcBorders>
                  <w:noWrap w:val="0"/>
                  <w:vAlign w:val="center"/>
                </w:tcPr>
                <w:p>
                  <w:pPr>
                    <w:pStyle w:val="12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c>
                <w:tcPr>
                  <w:tcW w:w="579" w:type="pct"/>
                  <w:tcBorders>
                    <w:top w:val="single" w:color="auto" w:sz="4" w:space="0"/>
                    <w:left w:val="single" w:color="auto" w:sz="4" w:space="0"/>
                    <w:bottom w:val="single" w:color="auto" w:sz="4" w:space="0"/>
                    <w:right w:val="single" w:color="auto" w:sz="4" w:space="0"/>
                  </w:tcBorders>
                  <w:noWrap w:val="0"/>
                  <w:vAlign w:val="center"/>
                </w:tcPr>
                <w:p>
                  <w:pPr>
                    <w:pStyle w:val="12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w:t>
                  </w:r>
                  <w:r>
                    <w:rPr>
                      <w:rFonts w:hint="default" w:ascii="Times New Roman" w:hAnsi="Times New Roman" w:eastAsia="宋体" w:cs="Times New Roman"/>
                      <w:bCs/>
                      <w:color w:val="auto"/>
                      <w:sz w:val="21"/>
                      <w:szCs w:val="21"/>
                      <w:highlight w:val="none"/>
                    </w:rPr>
                    <w:t>硫化氢</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rPr>
                    <w:t>臭气浓度</w:t>
                  </w:r>
                </w:p>
              </w:tc>
              <w:tc>
                <w:tcPr>
                  <w:tcW w:w="351" w:type="pct"/>
                  <w:tcBorders>
                    <w:top w:val="single" w:color="auto" w:sz="4" w:space="0"/>
                    <w:left w:val="single" w:color="auto" w:sz="4" w:space="0"/>
                    <w:bottom w:val="single" w:color="auto" w:sz="4" w:space="0"/>
                    <w:right w:val="single" w:color="auto" w:sz="4" w:space="0"/>
                  </w:tcBorders>
                  <w:noWrap w:val="0"/>
                  <w:vAlign w:val="center"/>
                </w:tcPr>
                <w:p>
                  <w:pPr>
                    <w:pStyle w:val="12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环境管理机构</w:t>
                  </w:r>
                </w:p>
              </w:tc>
              <w:tc>
                <w:tcPr>
                  <w:tcW w:w="722" w:type="pct"/>
                  <w:tcBorders>
                    <w:top w:val="single" w:color="auto" w:sz="4" w:space="0"/>
                    <w:left w:val="single" w:color="auto" w:sz="4" w:space="0"/>
                    <w:bottom w:val="single" w:color="auto" w:sz="4" w:space="0"/>
                    <w:right w:val="single" w:color="auto" w:sz="4" w:space="0"/>
                  </w:tcBorders>
                  <w:noWrap w:val="0"/>
                  <w:vAlign w:val="center"/>
                </w:tcPr>
                <w:p>
                  <w:pPr>
                    <w:pStyle w:val="12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连续2天，4次/天</w:t>
                  </w:r>
                </w:p>
              </w:tc>
              <w:tc>
                <w:tcPr>
                  <w:tcW w:w="847" w:type="pct"/>
                  <w:tcBorders>
                    <w:top w:val="single" w:color="auto" w:sz="4" w:space="0"/>
                    <w:left w:val="single" w:color="auto" w:sz="4" w:space="0"/>
                    <w:bottom w:val="single" w:color="auto" w:sz="4" w:space="0"/>
                    <w:right w:val="single" w:color="auto" w:sz="4" w:space="0"/>
                  </w:tcBorders>
                  <w:noWrap w:val="0"/>
                  <w:vAlign w:val="center"/>
                </w:tcPr>
                <w:p>
                  <w:pPr>
                    <w:pStyle w:val="12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厂界上风向设1个参照点、下风向设3个监测点</w:t>
                  </w:r>
                </w:p>
              </w:tc>
              <w:tc>
                <w:tcPr>
                  <w:tcW w:w="1693" w:type="pct"/>
                  <w:tcBorders>
                    <w:top w:val="single" w:color="auto" w:sz="4" w:space="0"/>
                    <w:left w:val="single" w:color="auto" w:sz="4" w:space="0"/>
                    <w:bottom w:val="single" w:color="auto" w:sz="4" w:space="0"/>
                    <w:right w:val="single" w:color="auto" w:sz="4" w:space="0"/>
                  </w:tcBorders>
                  <w:noWrap w:val="0"/>
                  <w:vAlign w:val="center"/>
                </w:tcPr>
                <w:p>
                  <w:pPr>
                    <w:pStyle w:val="12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《恶臭污染物排放标准》（GB14554-93）中表1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0" w:hRule="atLeast"/>
                <w:jc w:val="center"/>
              </w:trPr>
              <w:tc>
                <w:tcPr>
                  <w:tcW w:w="349" w:type="pct"/>
                  <w:vMerge w:val="continue"/>
                  <w:tcBorders>
                    <w:left w:val="single" w:color="auto" w:sz="4" w:space="0"/>
                    <w:bottom w:val="single" w:color="auto" w:sz="4" w:space="0"/>
                    <w:right w:val="single" w:color="auto" w:sz="4" w:space="0"/>
                  </w:tcBorders>
                  <w:noWrap w:val="0"/>
                  <w:vAlign w:val="center"/>
                </w:tcPr>
                <w:p>
                  <w:pPr>
                    <w:pStyle w:val="12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455" w:type="pct"/>
                  <w:vMerge w:val="continue"/>
                  <w:tcBorders>
                    <w:left w:val="single" w:color="auto" w:sz="4" w:space="0"/>
                    <w:bottom w:val="single" w:color="auto" w:sz="4" w:space="0"/>
                    <w:right w:val="single" w:color="auto" w:sz="4" w:space="0"/>
                  </w:tcBorders>
                  <w:noWrap w:val="0"/>
                  <w:vAlign w:val="center"/>
                </w:tcPr>
                <w:p>
                  <w:pPr>
                    <w:pStyle w:val="12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579" w:type="pct"/>
                  <w:tcBorders>
                    <w:top w:val="single" w:color="auto" w:sz="4" w:space="0"/>
                    <w:left w:val="single" w:color="auto" w:sz="4" w:space="0"/>
                    <w:bottom w:val="single" w:color="auto" w:sz="4" w:space="0"/>
                    <w:right w:val="single" w:color="auto" w:sz="4" w:space="0"/>
                  </w:tcBorders>
                  <w:noWrap w:val="0"/>
                  <w:vAlign w:val="center"/>
                </w:tcPr>
                <w:p>
                  <w:pPr>
                    <w:pStyle w:val="12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、颗粒物</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氟化物</w:t>
                  </w:r>
                </w:p>
              </w:tc>
              <w:tc>
                <w:tcPr>
                  <w:tcW w:w="351" w:type="pct"/>
                  <w:tcBorders>
                    <w:top w:val="single" w:color="auto" w:sz="4" w:space="0"/>
                    <w:left w:val="single" w:color="auto" w:sz="4" w:space="0"/>
                    <w:bottom w:val="single" w:color="auto" w:sz="4" w:space="0"/>
                    <w:right w:val="single" w:color="auto" w:sz="4" w:space="0"/>
                  </w:tcBorders>
                  <w:noWrap w:val="0"/>
                  <w:vAlign w:val="center"/>
                </w:tcPr>
                <w:p>
                  <w:pPr>
                    <w:pStyle w:val="12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环境管理机构</w:t>
                  </w:r>
                </w:p>
              </w:tc>
              <w:tc>
                <w:tcPr>
                  <w:tcW w:w="722" w:type="pct"/>
                  <w:tcBorders>
                    <w:top w:val="single" w:color="auto" w:sz="4" w:space="0"/>
                    <w:left w:val="single" w:color="auto" w:sz="4" w:space="0"/>
                    <w:bottom w:val="single" w:color="auto" w:sz="4" w:space="0"/>
                    <w:right w:val="single" w:color="auto" w:sz="4" w:space="0"/>
                  </w:tcBorders>
                  <w:noWrap w:val="0"/>
                  <w:vAlign w:val="center"/>
                </w:tcPr>
                <w:p>
                  <w:pPr>
                    <w:pStyle w:val="12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连续2天，4次/天</w:t>
                  </w:r>
                </w:p>
              </w:tc>
              <w:tc>
                <w:tcPr>
                  <w:tcW w:w="847" w:type="pct"/>
                  <w:tcBorders>
                    <w:top w:val="single" w:color="auto" w:sz="4" w:space="0"/>
                    <w:left w:val="single" w:color="auto" w:sz="4" w:space="0"/>
                    <w:bottom w:val="single" w:color="auto" w:sz="4" w:space="0"/>
                    <w:right w:val="single" w:color="auto" w:sz="4" w:space="0"/>
                  </w:tcBorders>
                  <w:noWrap w:val="0"/>
                  <w:vAlign w:val="center"/>
                </w:tcPr>
                <w:p>
                  <w:pPr>
                    <w:pStyle w:val="12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厂界上风向设1个参照点、下风向设3个监测点</w:t>
                  </w:r>
                </w:p>
              </w:tc>
              <w:tc>
                <w:tcPr>
                  <w:tcW w:w="1693" w:type="pct"/>
                  <w:tcBorders>
                    <w:top w:val="single" w:color="auto" w:sz="4" w:space="0"/>
                    <w:left w:val="single" w:color="auto" w:sz="4" w:space="0"/>
                    <w:bottom w:val="single" w:color="auto" w:sz="4" w:space="0"/>
                    <w:right w:val="single" w:color="auto" w:sz="4" w:space="0"/>
                  </w:tcBorders>
                  <w:noWrap w:val="0"/>
                  <w:vAlign w:val="center"/>
                </w:tcPr>
                <w:p>
                  <w:pPr>
                    <w:pStyle w:val="12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《砖瓦工业大气污</w:t>
                  </w:r>
                  <w:r>
                    <w:rPr>
                      <w:rFonts w:hint="default" w:ascii="Times New Roman" w:hAnsi="Times New Roman" w:eastAsia="宋体" w:cs="Times New Roman"/>
                      <w:color w:val="auto"/>
                      <w:kern w:val="0"/>
                      <w:sz w:val="21"/>
                      <w:szCs w:val="21"/>
                      <w:highlight w:val="none"/>
                    </w:rPr>
                    <w:t>染物排放标准》（GB29620-2013）</w:t>
                  </w:r>
                </w:p>
              </w:tc>
            </w:tr>
          </w:tbl>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color w:val="auto"/>
                <w:sz w:val="24"/>
                <w:highlight w:val="none"/>
              </w:rPr>
              <w:t>10.2</w:t>
            </w:r>
            <w:r>
              <w:rPr>
                <w:rFonts w:hint="default" w:ascii="Times New Roman" w:hAnsi="Times New Roman" w:eastAsia="宋体" w:cs="Times New Roman"/>
                <w:b/>
                <w:bCs/>
                <w:color w:val="auto"/>
                <w:sz w:val="24"/>
                <w:highlight w:val="none"/>
              </w:rPr>
              <w:t>运营期环境管理</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（1）建立环境管理专业机构：组织人员的环境保护专业技术培训，组织、配合有资质环境监测部门开展污染源监测，编制环境保护验收报告，组织对工程竣工验收。</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（2）加强环保宣传，提高环境意识：加强对全厂职工环保法律、法规宣传，提高全厂职工的环保意识，在实际生产中能自觉遵守国家有关的环保法律、法规和企业内部制定的环保管理制度。</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（3）建立健全环保管理规章制度和监督机制：建立健全有约束力的、奖惩分明的环保管理规章制度，完善环保指标的监督和考核机制。要做到有规必行，违规必罚。</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（4）严格遵守环保“三同时”规定：建设项目环保设施必须与主体工程同时设计，同时施工，同时投入运行。</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加强对环保设施的运行管理：项目在生产过程中应定岗定职，培训上岗。要严格按操作规程进行操作，必须保证污染治理设施的正常运行，从而确保污染物浓度及总量达标排放。定期对污染治理设施进行检修和维护，以保证污染处理设施的正常运转。</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10.3、环境管理台账的要求</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环境管理台账及排污许可证执行报告技术规范总则（试行）》（HJ944-2018）及相关法律法规和规范要求，本项目在运行过程中应落实环境管理台账记录制度，明确责任人和人员工作职责，包括台账的记录、整理、维护和管理等，并对台账的真实性、完整性和规范性负责。</w:t>
            </w: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sz w:val="24"/>
                <w:highlight w:val="none"/>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highlight w:val="none"/>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sz w:val="24"/>
                <w:highlight w:val="none"/>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highlight w:val="none"/>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sz w:val="24"/>
                <w:highlight w:val="none"/>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highlight w:val="none"/>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sz w:val="24"/>
                <w:highlight w:val="none"/>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highlight w:val="none"/>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sz w:val="24"/>
                <w:highlight w:val="none"/>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highlight w:val="none"/>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r>
    </w:tbl>
    <w:p>
      <w:pPr>
        <w:pStyle w:val="8"/>
        <w:rPr>
          <w:rFonts w:hint="default" w:ascii="Times New Roman" w:hAnsi="Times New Roman" w:eastAsia="宋体" w:cs="Times New Roman"/>
          <w:color w:val="auto"/>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19"/>
        <w:jc w:val="center"/>
        <w:outlineLvl w:val="0"/>
        <w:rPr>
          <w:rFonts w:hint="default" w:ascii="Times New Roman" w:hAnsi="Times New Roman" w:eastAsia="宋体" w:cs="Times New Roman"/>
          <w:b/>
          <w:bCs/>
          <w:snapToGrid w:val="0"/>
          <w:color w:val="auto"/>
          <w:sz w:val="21"/>
          <w:szCs w:val="21"/>
          <w:highlight w:val="none"/>
        </w:rPr>
      </w:pPr>
      <w:bookmarkStart w:id="8" w:name="_Toc69726041"/>
      <w:r>
        <w:rPr>
          <w:rFonts w:hint="default" w:ascii="Times New Roman" w:hAnsi="Times New Roman" w:eastAsia="宋体" w:cs="Times New Roman"/>
          <w:b/>
          <w:bCs/>
          <w:snapToGrid w:val="0"/>
          <w:color w:val="auto"/>
          <w:sz w:val="21"/>
          <w:szCs w:val="21"/>
          <w:highlight w:val="none"/>
        </w:rPr>
        <w:t>五、</w:t>
      </w:r>
      <w:bookmarkStart w:id="9" w:name="_Hlk54167917"/>
      <w:r>
        <w:rPr>
          <w:rFonts w:hint="default" w:ascii="Times New Roman" w:hAnsi="Times New Roman" w:eastAsia="宋体" w:cs="Times New Roman"/>
          <w:b/>
          <w:bCs/>
          <w:snapToGrid w:val="0"/>
          <w:color w:val="auto"/>
          <w:sz w:val="21"/>
          <w:szCs w:val="21"/>
          <w:highlight w:val="none"/>
        </w:rPr>
        <w:t>环境保护措施监督检查清单</w:t>
      </w:r>
      <w:bookmarkEnd w:id="8"/>
      <w:bookmarkEnd w:id="9"/>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2029"/>
        <w:gridCol w:w="1483"/>
        <w:gridCol w:w="1594"/>
        <w:gridCol w:w="19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noWrap w:val="0"/>
            <w:vAlign w:val="top"/>
          </w:tcPr>
          <w:p>
            <w:pPr>
              <w:keepNext w:val="0"/>
              <w:keepLines w:val="0"/>
              <w:suppressLineNumbers w:val="0"/>
              <w:adjustRightInd w:val="0"/>
              <w:snapToGrid w:val="0"/>
              <w:spacing w:before="0" w:beforeAutospacing="0" w:after="0" w:afterAutospacing="0"/>
              <w:ind w:left="0" w:right="0" w:firstLine="84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w:t>
            </w:r>
          </w:p>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要素</w:t>
            </w:r>
          </w:p>
        </w:tc>
        <w:tc>
          <w:tcPr>
            <w:tcW w:w="202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排放口(编号、</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名称)/污染源</w:t>
            </w:r>
          </w:p>
        </w:tc>
        <w:tc>
          <w:tcPr>
            <w:tcW w:w="148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污染物项目</w:t>
            </w:r>
          </w:p>
        </w:tc>
        <w:tc>
          <w:tcPr>
            <w:tcW w:w="159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环境保护措施</w:t>
            </w:r>
          </w:p>
        </w:tc>
        <w:tc>
          <w:tcPr>
            <w:tcW w:w="191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802" w:type="dxa"/>
            <w:gridSpan w:val="5"/>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tc>
        <w:tc>
          <w:tcPr>
            <w:tcW w:w="202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c>
          <w:tcPr>
            <w:tcW w:w="148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粉尘</w:t>
            </w:r>
          </w:p>
        </w:tc>
        <w:tc>
          <w:tcPr>
            <w:tcW w:w="159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经厂房阻隔和大气稀释</w:t>
            </w:r>
          </w:p>
        </w:tc>
        <w:tc>
          <w:tcPr>
            <w:tcW w:w="191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《大气污染物综合排放标准》（GB16297-1996）表</w:t>
            </w:r>
            <w:r>
              <w:rPr>
                <w:rFonts w:hint="default" w:ascii="Times New Roman" w:hAnsi="Times New Roman" w:eastAsia="宋体" w:cs="Times New Roman"/>
                <w:color w:val="auto"/>
                <w:sz w:val="21"/>
                <w:szCs w:val="21"/>
                <w:highlight w:val="none"/>
              </w:rPr>
              <w:t>2标准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地表水环境</w:t>
            </w:r>
          </w:p>
        </w:tc>
        <w:tc>
          <w:tcPr>
            <w:tcW w:w="202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生活污水</w:t>
            </w:r>
          </w:p>
        </w:tc>
        <w:tc>
          <w:tcPr>
            <w:tcW w:w="148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生活污水</w:t>
            </w:r>
          </w:p>
        </w:tc>
        <w:tc>
          <w:tcPr>
            <w:tcW w:w="159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施工人员生活污水</w:t>
            </w:r>
            <w:r>
              <w:rPr>
                <w:rFonts w:hint="default" w:ascii="Times New Roman" w:hAnsi="Times New Roman" w:eastAsia="宋体" w:cs="Times New Roman"/>
                <w:bCs/>
                <w:color w:val="auto"/>
                <w:sz w:val="21"/>
                <w:szCs w:val="21"/>
                <w:highlight w:val="none"/>
                <w:lang w:val="en-US" w:eastAsia="zh-CN"/>
              </w:rPr>
              <w:t>通过化粪池处理后进入集水池回用于生产，废水</w:t>
            </w:r>
            <w:r>
              <w:rPr>
                <w:rFonts w:hint="default" w:ascii="Times New Roman" w:hAnsi="Times New Roman" w:eastAsia="宋体" w:cs="Times New Roman"/>
                <w:bCs/>
                <w:color w:val="auto"/>
                <w:sz w:val="21"/>
                <w:szCs w:val="21"/>
                <w:highlight w:val="none"/>
              </w:rPr>
              <w:t>不外排</w:t>
            </w:r>
            <w:r>
              <w:rPr>
                <w:rFonts w:hint="default" w:ascii="Times New Roman" w:hAnsi="Times New Roman" w:eastAsia="宋体" w:cs="Times New Roman"/>
                <w:bCs/>
                <w:color w:val="auto"/>
                <w:sz w:val="21"/>
                <w:szCs w:val="21"/>
                <w:highlight w:val="none"/>
                <w:lang w:eastAsia="zh-CN"/>
              </w:rPr>
              <w:t>。</w:t>
            </w:r>
          </w:p>
        </w:tc>
        <w:tc>
          <w:tcPr>
            <w:tcW w:w="191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val="en-US" w:eastAsia="zh-CN"/>
              </w:rPr>
              <w:t>废水</w:t>
            </w:r>
            <w:r>
              <w:rPr>
                <w:rFonts w:hint="default" w:ascii="Times New Roman" w:hAnsi="Times New Roman" w:eastAsia="宋体" w:cs="Times New Roman"/>
                <w:bCs/>
                <w:color w:val="auto"/>
                <w:sz w:val="21"/>
                <w:szCs w:val="21"/>
                <w:highlight w:val="none"/>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202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设备噪声</w:t>
            </w:r>
          </w:p>
        </w:tc>
        <w:tc>
          <w:tcPr>
            <w:tcW w:w="148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等效连续A声级</w:t>
            </w:r>
          </w:p>
        </w:tc>
        <w:tc>
          <w:tcPr>
            <w:tcW w:w="159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合理安排作业时间</w:t>
            </w:r>
          </w:p>
        </w:tc>
        <w:tc>
          <w:tcPr>
            <w:tcW w:w="191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《建筑施工噪声排放标准》（GB12523-2025）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202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一般固废</w:t>
            </w:r>
          </w:p>
        </w:tc>
        <w:tc>
          <w:tcPr>
            <w:tcW w:w="148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废包装材料、</w:t>
            </w:r>
            <w:r>
              <w:rPr>
                <w:rFonts w:hint="default" w:ascii="Times New Roman" w:hAnsi="Times New Roman" w:eastAsia="宋体" w:cs="Times New Roman"/>
                <w:color w:val="auto"/>
                <w:sz w:val="21"/>
                <w:szCs w:val="21"/>
                <w:highlight w:val="none"/>
              </w:rPr>
              <w:t>生活垃圾</w:t>
            </w:r>
          </w:p>
        </w:tc>
        <w:tc>
          <w:tcPr>
            <w:tcW w:w="159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废包装材料</w:t>
            </w:r>
            <w:r>
              <w:rPr>
                <w:rFonts w:hint="default" w:ascii="Times New Roman" w:hAnsi="Times New Roman" w:eastAsia="宋体" w:cs="Times New Roman"/>
                <w:color w:val="auto"/>
                <w:sz w:val="21"/>
                <w:szCs w:val="21"/>
                <w:highlight w:val="none"/>
              </w:rPr>
              <w:t>可回收部分外售废品收购站进行回收利用，不可回收部分交由环卫部门清运处理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生活垃圾</w:t>
            </w:r>
            <w:r>
              <w:rPr>
                <w:rFonts w:hint="default" w:ascii="Times New Roman" w:hAnsi="Times New Roman" w:eastAsia="宋体" w:cs="Times New Roman"/>
                <w:color w:val="auto"/>
                <w:sz w:val="21"/>
                <w:szCs w:val="21"/>
                <w:highlight w:val="none"/>
              </w:rPr>
              <w:t>统一收集后，委托当地环卫部门清运处理</w:t>
            </w:r>
            <w:r>
              <w:rPr>
                <w:rFonts w:hint="default" w:ascii="Times New Roman" w:hAnsi="Times New Roman" w:eastAsia="宋体" w:cs="Times New Roman"/>
                <w:color w:val="auto"/>
                <w:sz w:val="21"/>
                <w:szCs w:val="21"/>
                <w:highlight w:val="none"/>
                <w:lang w:eastAsia="zh-CN"/>
              </w:rPr>
              <w:t>。</w:t>
            </w:r>
          </w:p>
        </w:tc>
        <w:tc>
          <w:tcPr>
            <w:tcW w:w="191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《一般工业固体废物贮存和填埋污染控制标准》（GB18599-2020）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802" w:type="dxa"/>
            <w:gridSpan w:val="5"/>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tc>
        <w:tc>
          <w:tcPr>
            <w:tcW w:w="202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DA001</w:t>
            </w:r>
          </w:p>
        </w:tc>
        <w:tc>
          <w:tcPr>
            <w:tcW w:w="148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颗粒物、二氧化硫、氮氧化物、氟化物</w:t>
            </w:r>
          </w:p>
        </w:tc>
        <w:tc>
          <w:tcPr>
            <w:tcW w:w="159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双碱法脱硫除尘+15米的排气筒</w:t>
            </w:r>
          </w:p>
        </w:tc>
        <w:tc>
          <w:tcPr>
            <w:tcW w:w="191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《砖瓦工业大气污染物排放标准》（GB29620-2013）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2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DA00</w:t>
            </w:r>
            <w:r>
              <w:rPr>
                <w:rFonts w:hint="default" w:ascii="Times New Roman" w:hAnsi="Times New Roman" w:eastAsia="宋体" w:cs="Times New Roman"/>
                <w:color w:val="auto"/>
                <w:sz w:val="21"/>
                <w:szCs w:val="21"/>
                <w:highlight w:val="none"/>
                <w:lang w:val="en-US" w:eastAsia="zh-CN"/>
              </w:rPr>
              <w:t>2</w:t>
            </w:r>
          </w:p>
        </w:tc>
        <w:tc>
          <w:tcPr>
            <w:tcW w:w="148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颗粒物</w:t>
            </w:r>
          </w:p>
        </w:tc>
        <w:tc>
          <w:tcPr>
            <w:tcW w:w="159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布袋除尘器+15米的排气筒</w:t>
            </w:r>
          </w:p>
        </w:tc>
        <w:tc>
          <w:tcPr>
            <w:tcW w:w="191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《砖瓦工业大气污染物排放标准》（GB29620-2013）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2" w:hRule="atLeast"/>
          <w:jc w:val="center"/>
        </w:trPr>
        <w:tc>
          <w:tcPr>
            <w:tcW w:w="177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2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c>
          <w:tcPr>
            <w:tcW w:w="148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颗粒物、二氧化硫、氟化物</w:t>
            </w:r>
          </w:p>
        </w:tc>
        <w:tc>
          <w:tcPr>
            <w:tcW w:w="159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无组织排放</w:t>
            </w:r>
          </w:p>
        </w:tc>
        <w:tc>
          <w:tcPr>
            <w:tcW w:w="191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《砖瓦工业大气污染物排放标准》（GB29620-2013）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2" w:hRule="atLeast"/>
          <w:jc w:val="center"/>
        </w:trPr>
        <w:tc>
          <w:tcPr>
            <w:tcW w:w="177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2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48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氨、硫化氢、臭气浓度</w:t>
            </w:r>
          </w:p>
        </w:tc>
        <w:tc>
          <w:tcPr>
            <w:tcW w:w="159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无组织排放</w:t>
            </w:r>
          </w:p>
        </w:tc>
        <w:tc>
          <w:tcPr>
            <w:tcW w:w="191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《恶臭污染物排放标准》（GB14554-93）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地表水环境</w:t>
            </w:r>
          </w:p>
        </w:tc>
        <w:tc>
          <w:tcPr>
            <w:tcW w:w="202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48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生活污水</w:t>
            </w:r>
          </w:p>
        </w:tc>
        <w:tc>
          <w:tcPr>
            <w:tcW w:w="159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吸收液经过循环池循环使用；</w:t>
            </w:r>
            <w:r>
              <w:rPr>
                <w:rFonts w:hint="default" w:ascii="Times New Roman" w:hAnsi="Times New Roman" w:eastAsia="宋体" w:cs="Times New Roman"/>
                <w:color w:val="auto"/>
                <w:kern w:val="2"/>
                <w:sz w:val="21"/>
                <w:szCs w:val="21"/>
                <w:highlight w:val="none"/>
                <w:lang w:val="en-US" w:eastAsia="zh-CN" w:bidi="ar-SA"/>
              </w:rPr>
              <w:t>污泥渗滤液通过管道收集后回用于制砖过程</w:t>
            </w:r>
            <w:r>
              <w:rPr>
                <w:rFonts w:hint="default" w:ascii="Times New Roman" w:hAnsi="Times New Roman" w:eastAsia="宋体" w:cs="Times New Roman"/>
                <w:bCs/>
                <w:color w:val="auto"/>
                <w:sz w:val="21"/>
                <w:szCs w:val="21"/>
                <w:highlight w:val="none"/>
                <w:lang w:val="en-US" w:eastAsia="zh-CN"/>
              </w:rPr>
              <w:t>；食堂污水通过油水分离器处理后与其他生活污水共同进入化粪池处理，再排入集水池回用于生产，项目废水均不外排。</w:t>
            </w:r>
          </w:p>
        </w:tc>
        <w:tc>
          <w:tcPr>
            <w:tcW w:w="191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吸收液经过循环池循环使用；</w:t>
            </w:r>
            <w:r>
              <w:rPr>
                <w:rFonts w:hint="default" w:ascii="Times New Roman" w:hAnsi="Times New Roman" w:eastAsia="宋体" w:cs="Times New Roman"/>
                <w:color w:val="auto"/>
                <w:kern w:val="2"/>
                <w:sz w:val="21"/>
                <w:szCs w:val="21"/>
                <w:highlight w:val="none"/>
                <w:lang w:val="en-US" w:eastAsia="zh-CN" w:bidi="ar-SA"/>
              </w:rPr>
              <w:t>污泥渗滤液通过管道收集后回用于制砖过程</w:t>
            </w:r>
            <w:r>
              <w:rPr>
                <w:rFonts w:hint="default" w:ascii="Times New Roman" w:hAnsi="Times New Roman" w:eastAsia="宋体" w:cs="Times New Roman"/>
                <w:bCs/>
                <w:color w:val="auto"/>
                <w:sz w:val="21"/>
                <w:szCs w:val="21"/>
                <w:highlight w:val="none"/>
                <w:lang w:val="en-US" w:eastAsia="zh-CN"/>
              </w:rPr>
              <w:t>；食堂污水通过油水分离器处理后与其他生活污水共同进入化粪池处理，再排入集水池回用于生产，项目废水均不外排。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202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设备噪声</w:t>
            </w:r>
          </w:p>
        </w:tc>
        <w:tc>
          <w:tcPr>
            <w:tcW w:w="148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等效连续A声级</w:t>
            </w:r>
          </w:p>
        </w:tc>
        <w:tc>
          <w:tcPr>
            <w:tcW w:w="159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厂房隔音、距离衰减</w:t>
            </w:r>
          </w:p>
        </w:tc>
        <w:tc>
          <w:tcPr>
            <w:tcW w:w="191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《工业企业厂界环境噪声排放标准》（GB12348-2008）</w:t>
            </w:r>
            <w:r>
              <w:rPr>
                <w:rFonts w:hint="default" w:ascii="Times New Roman" w:hAnsi="Times New Roman" w:eastAsia="宋体"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8"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202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一般固废</w:t>
            </w:r>
          </w:p>
        </w:tc>
        <w:tc>
          <w:tcPr>
            <w:tcW w:w="1483" w:type="dxa"/>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废泥</w:t>
            </w:r>
            <w:r>
              <w:rPr>
                <w:rFonts w:hint="default" w:ascii="Times New Roman" w:hAnsi="Times New Roman" w:eastAsia="宋体" w:cs="Times New Roman"/>
                <w:color w:val="auto"/>
                <w:sz w:val="21"/>
                <w:szCs w:val="21"/>
                <w:highlight w:val="none"/>
                <w:lang w:val="zh-CN"/>
              </w:rPr>
              <w:t>坯、</w:t>
            </w:r>
            <w:r>
              <w:rPr>
                <w:rFonts w:hint="default" w:ascii="Times New Roman" w:hAnsi="Times New Roman" w:eastAsia="宋体" w:cs="Times New Roman"/>
                <w:color w:val="auto"/>
                <w:sz w:val="21"/>
                <w:szCs w:val="21"/>
                <w:highlight w:val="none"/>
              </w:rPr>
              <w:t>废砖</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脱硫渣</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除尘灰</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煤渣</w:t>
            </w:r>
          </w:p>
        </w:tc>
        <w:tc>
          <w:tcPr>
            <w:tcW w:w="1594" w:type="dxa"/>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统一</w:t>
            </w:r>
            <w:r>
              <w:rPr>
                <w:rFonts w:hint="default" w:ascii="Times New Roman" w:hAnsi="Times New Roman" w:eastAsia="宋体" w:cs="Times New Roman"/>
                <w:color w:val="auto"/>
                <w:sz w:val="21"/>
                <w:szCs w:val="21"/>
                <w:highlight w:val="none"/>
                <w:lang w:val="zh-CN"/>
              </w:rPr>
              <w:t>收集，回用于</w:t>
            </w:r>
            <w:r>
              <w:rPr>
                <w:rFonts w:hint="default" w:ascii="Times New Roman" w:hAnsi="Times New Roman" w:eastAsia="宋体" w:cs="Times New Roman"/>
                <w:color w:val="auto"/>
                <w:sz w:val="21"/>
                <w:szCs w:val="21"/>
                <w:highlight w:val="none"/>
                <w:lang w:val="en-US" w:eastAsia="zh-CN"/>
              </w:rPr>
              <w:t>生产</w:t>
            </w:r>
          </w:p>
        </w:tc>
        <w:tc>
          <w:tcPr>
            <w:tcW w:w="191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《一般工业固体废物贮存和填埋污染控制标准》（GB18599-2020）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77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2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w:t>
            </w:r>
          </w:p>
        </w:tc>
        <w:tc>
          <w:tcPr>
            <w:tcW w:w="1483"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废机油</w:t>
            </w:r>
          </w:p>
        </w:tc>
        <w:tc>
          <w:tcPr>
            <w:tcW w:w="1594"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统一收集后委托有资质的单位处置</w:t>
            </w:r>
          </w:p>
        </w:tc>
        <w:tc>
          <w:tcPr>
            <w:tcW w:w="191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rPr>
              <w:t>《危险废物贮存污染控制标准》（GB18597-2023）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177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2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148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159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统一收集后委托当地环卫部门清运处理</w:t>
            </w:r>
          </w:p>
        </w:tc>
        <w:tc>
          <w:tcPr>
            <w:tcW w:w="191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土壤及地下水</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污染防治措施</w:t>
            </w:r>
          </w:p>
        </w:tc>
        <w:tc>
          <w:tcPr>
            <w:tcW w:w="7024" w:type="dxa"/>
            <w:gridSpan w:val="4"/>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危废贮存场所</w:t>
            </w:r>
            <w:r>
              <w:rPr>
                <w:rFonts w:hint="default" w:ascii="Times New Roman" w:hAnsi="Times New Roman" w:eastAsia="宋体" w:cs="Times New Roman"/>
                <w:color w:val="auto"/>
                <w:sz w:val="21"/>
                <w:szCs w:val="21"/>
                <w:highlight w:val="none"/>
                <w:lang w:val="en-US" w:eastAsia="zh-CN"/>
              </w:rPr>
              <w:t>采用黏土夯实+混泥土+铺设防渗膜的措施，</w:t>
            </w:r>
            <w:r>
              <w:rPr>
                <w:rFonts w:hint="default" w:ascii="Times New Roman" w:hAnsi="Times New Roman" w:eastAsia="宋体" w:cs="Times New Roman"/>
                <w:color w:val="auto"/>
                <w:sz w:val="21"/>
                <w:szCs w:val="21"/>
                <w:highlight w:val="none"/>
              </w:rPr>
              <w:t>防渗层渗透系数≤10⁻¹⁰cm/s，防渗满足《危险废物贮存污染控制标准》（GB18597-2023）中的相关要求</w:t>
            </w:r>
            <w:r>
              <w:rPr>
                <w:rFonts w:hint="default" w:ascii="Times New Roman" w:hAnsi="Times New Roman" w:eastAsia="宋体" w:cs="Times New Roman"/>
                <w:color w:val="auto"/>
                <w:sz w:val="21"/>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生态保护措施</w:t>
            </w:r>
          </w:p>
        </w:tc>
        <w:tc>
          <w:tcPr>
            <w:tcW w:w="7024" w:type="dxa"/>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w:t>
            </w:r>
          </w:p>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防范措施</w:t>
            </w:r>
          </w:p>
        </w:tc>
        <w:tc>
          <w:tcPr>
            <w:tcW w:w="7024" w:type="dxa"/>
            <w:gridSpan w:val="4"/>
            <w:noWrap w:val="0"/>
            <w:vAlign w:val="top"/>
          </w:tcPr>
          <w:p>
            <w:pPr>
              <w:keepNext w:val="0"/>
              <w:keepLines w:val="0"/>
              <w:suppressLineNumbers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①二氧化硫泄露防范措施</w:t>
            </w:r>
          </w:p>
          <w:p>
            <w:pPr>
              <w:keepNext w:val="0"/>
              <w:keepLines w:val="0"/>
              <w:suppressLineNumbers w:val="0"/>
              <w:adjustRightIn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立即撤离污染区人员至上风处，设置隔离区（小泄漏约150m，大泄漏约450m）。</w:t>
            </w:r>
          </w:p>
          <w:p>
            <w:pPr>
              <w:keepNext w:val="0"/>
              <w:keepLines w:val="0"/>
              <w:suppressLineNumbers w:val="0"/>
              <w:adjustRightIn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应急人员佩戴正压自给式呼吸器、防毒服，从上风接近，切断泄漏源。</w:t>
            </w:r>
          </w:p>
          <w:p>
            <w:pPr>
              <w:keepNext w:val="0"/>
              <w:keepLines w:val="0"/>
              <w:suppressLineNumbers w:val="0"/>
              <w:adjustRightIn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喷雾状水稀释、吸收气体；可用碱液（如NaOH溶液）或次氯酸钠溶液喷淋吸收。</w:t>
            </w:r>
          </w:p>
          <w:p>
            <w:pPr>
              <w:keepNext w:val="0"/>
              <w:keepLines w:val="0"/>
              <w:suppressLineNumbers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w:t>
            </w:r>
            <w:r>
              <w:rPr>
                <w:rFonts w:hint="default" w:ascii="Times New Roman" w:hAnsi="Times New Roman" w:eastAsia="宋体" w:cs="Times New Roman"/>
                <w:color w:val="auto"/>
                <w:sz w:val="21"/>
                <w:szCs w:val="21"/>
                <w:highlight w:val="none"/>
                <w:lang w:val="en-US" w:eastAsia="zh-CN"/>
              </w:rPr>
              <w:t>废机油</w:t>
            </w:r>
            <w:r>
              <w:rPr>
                <w:rFonts w:hint="default" w:ascii="Times New Roman" w:hAnsi="Times New Roman" w:eastAsia="宋体" w:cs="Times New Roman"/>
                <w:color w:val="auto"/>
                <w:sz w:val="21"/>
                <w:szCs w:val="21"/>
                <w:highlight w:val="none"/>
              </w:rPr>
              <w:t>泄露防范措施</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迅速用沙土、吸油棉、锯末等覆盖吸附，防止流散。</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收集废油及沾染物至专用容器，交由有资质单位处置。</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若流入水体，需用围油栏、吸油毡控制油膜扩散。</w:t>
            </w:r>
          </w:p>
          <w:p>
            <w:pPr>
              <w:keepNext w:val="0"/>
              <w:keepLines w:val="0"/>
              <w:suppressLineNumbers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·应指定专人对产生的危险废物及时收集，危废操作人员必须经过培训并具备相应知识。</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·废机油用密封容器进行装盛并存放在危险废物贮存间。</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·废机油用密封容器必须完好无损，没有腐蚀、污染、损毁或其他能导致其包装效能减弱的缺陷。</w:t>
            </w:r>
          </w:p>
          <w:p>
            <w:pPr>
              <w:keepNext w:val="0"/>
              <w:keepLines w:val="0"/>
              <w:suppressLineNumbers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·油桶在将油类注入时，须预留足够的空隙，以确保桶内油类在正常的处理、存放及运输时，不因温度或其他物理状况转变而膨胀，造成容器泄漏或永久变形。</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·危废贮存场所地面及裙角进行防渗，防渗要求需满足《危险废物贮存污染控制标准》（GB18597-2001）中的要求。危废贮存场所设置规范标识标牌。</w:t>
            </w:r>
          </w:p>
          <w:p>
            <w:pPr>
              <w:keepNext w:val="0"/>
              <w:keepLines w:val="0"/>
              <w:suppressLineNumbers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③氢氧化钠</w:t>
            </w:r>
            <w:r>
              <w:rPr>
                <w:rFonts w:hint="default" w:ascii="Times New Roman" w:hAnsi="Times New Roman" w:eastAsia="宋体" w:cs="Times New Roman"/>
                <w:color w:val="auto"/>
                <w:sz w:val="21"/>
                <w:szCs w:val="21"/>
                <w:highlight w:val="none"/>
              </w:rPr>
              <w:t>泄露防范措施</w:t>
            </w:r>
          </w:p>
          <w:p>
            <w:pPr>
              <w:keepNext w:val="0"/>
              <w:keepLines w:val="0"/>
              <w:suppressLineNumbers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·隔离泄漏区，应急人员戴防尘口罩、防化服、橡胶手套。</w:t>
            </w:r>
          </w:p>
          <w:p>
            <w:pPr>
              <w:keepNext w:val="0"/>
              <w:keepLines w:val="0"/>
              <w:suppressLineNumbers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·用洁净铲子收集至干燥容器，少量可缓慢加入大量水中，中和至中性后排入</w:t>
            </w:r>
            <w:r>
              <w:rPr>
                <w:rFonts w:hint="default" w:ascii="Times New Roman" w:hAnsi="Times New Roman" w:eastAsia="宋体" w:cs="Times New Roman"/>
                <w:color w:val="auto"/>
                <w:sz w:val="21"/>
                <w:szCs w:val="21"/>
                <w:highlight w:val="none"/>
                <w:lang w:val="en-US" w:eastAsia="zh-CN"/>
              </w:rPr>
              <w:t>循环</w:t>
            </w:r>
            <w:r>
              <w:rPr>
                <w:rFonts w:hint="default" w:ascii="Times New Roman" w:hAnsi="Times New Roman" w:eastAsia="宋体" w:cs="Times New Roman"/>
                <w:color w:val="auto"/>
                <w:sz w:val="21"/>
                <w:szCs w:val="21"/>
                <w:highlight w:val="none"/>
              </w:rPr>
              <w:t>系统。</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·大量泄漏时，收集回收或无害化处理；禁止将水直接倒入大量氢氧化钠中（防剧烈放热喷溅）</w:t>
            </w:r>
            <w:r>
              <w:rPr>
                <w:rFonts w:hint="default" w:ascii="Times New Roman" w:hAnsi="Times New Roman" w:eastAsia="宋体" w:cs="Times New Roman"/>
                <w:color w:val="auto"/>
                <w:sz w:val="21"/>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其他环境</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管理要求</w:t>
            </w:r>
          </w:p>
        </w:tc>
        <w:tc>
          <w:tcPr>
            <w:tcW w:w="7024" w:type="dxa"/>
            <w:gridSpan w:val="4"/>
            <w:noWrap w:val="0"/>
            <w:vAlign w:val="center"/>
          </w:tcPr>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1、污许可证申报及排污口信息</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（1）排污许可证申报</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根据《固定污染源排污许可分类管理名录》（2019年版）第四条规定，新建排污单位应当在启动生产设施或者发生实际排污之前申请取得排污许可证或者填报排污登记表。</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项目需要申领排污许可证。</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（2）排污口设置及规范化管理</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根据《排污口规范化整治要求》（试行）的技术要求，企业所有排放口必须按照“便于采集样品、便于计量监测、便于日常现场监督检查”的原则和规范要求，设置与之相适应的环境保护图形标志。</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项目共设置</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个大气排污口。</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highlight w:val="none"/>
              </w:rPr>
            </w:pPr>
          </w:p>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color w:val="auto"/>
                <w:sz w:val="21"/>
                <w:szCs w:val="21"/>
                <w:highlight w:val="none"/>
              </w:rPr>
            </w:pPr>
          </w:p>
        </w:tc>
      </w:tr>
    </w:tbl>
    <w:p>
      <w:pPr>
        <w:pStyle w:val="19"/>
        <w:jc w:val="center"/>
        <w:outlineLvl w:val="0"/>
        <w:rPr>
          <w:rFonts w:hint="default" w:ascii="Times New Roman" w:hAnsi="Times New Roman" w:eastAsia="宋体" w:cs="Times New Roman"/>
          <w:b/>
          <w:bCs/>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br w:type="page"/>
      </w:r>
      <w:bookmarkStart w:id="10" w:name="_Toc69726042"/>
      <w:r>
        <w:rPr>
          <w:rFonts w:hint="default" w:ascii="Times New Roman" w:hAnsi="Times New Roman" w:eastAsia="宋体" w:cs="Times New Roman"/>
          <w:b/>
          <w:bCs/>
          <w:snapToGrid w:val="0"/>
          <w:color w:val="auto"/>
          <w:sz w:val="21"/>
          <w:szCs w:val="21"/>
          <w:highlight w:val="none"/>
        </w:rPr>
        <w:t>六、结论</w:t>
      </w:r>
      <w:bookmarkEnd w:id="10"/>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项目建设符合国家产业政策，选址合理。项目施工期和运营期排放的污染物处理处置措施可靠。污染物排放符合达标排放及总量控制原则，对环境影响较小。</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综上所述，评价认为在严格按照“三同时”要求，严格落实各项污染物处理处置措施的条件下，项目建设符合我国社会、经济、环境保护协调发展方针，符合评价原则，从环境保护的角度分析，项目的建设是可行的。</w:t>
            </w:r>
          </w:p>
          <w:p>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Cs w:val="21"/>
                <w:highlight w:val="none"/>
              </w:rPr>
            </w:pPr>
          </w:p>
          <w:p>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Cs w:val="21"/>
                <w:highlight w:val="none"/>
              </w:rPr>
            </w:pPr>
          </w:p>
          <w:p>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Cs w:val="21"/>
                <w:highlight w:val="none"/>
              </w:rPr>
            </w:pPr>
          </w:p>
          <w:p>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Cs w:val="21"/>
                <w:highlight w:val="none"/>
              </w:rPr>
            </w:pPr>
          </w:p>
          <w:p>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Cs w:val="21"/>
                <w:highlight w:val="none"/>
              </w:rPr>
            </w:pPr>
          </w:p>
          <w:p>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Cs w:val="21"/>
                <w:highlight w:val="none"/>
              </w:rPr>
            </w:pPr>
          </w:p>
          <w:p>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Cs w:val="21"/>
                <w:highlight w:val="none"/>
              </w:rPr>
            </w:pPr>
          </w:p>
          <w:p>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Cs w:val="21"/>
                <w:highlight w:val="none"/>
              </w:rPr>
            </w:pPr>
          </w:p>
          <w:p>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Cs w:val="21"/>
                <w:highlight w:val="none"/>
              </w:rPr>
            </w:pPr>
          </w:p>
          <w:p>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Cs w:val="21"/>
                <w:highlight w:val="none"/>
              </w:rPr>
            </w:pPr>
          </w:p>
          <w:p>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Cs w:val="21"/>
                <w:highlight w:val="none"/>
              </w:rPr>
            </w:pPr>
          </w:p>
          <w:p>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Cs w:val="21"/>
                <w:highlight w:val="none"/>
              </w:rPr>
            </w:pPr>
          </w:p>
          <w:p>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Cs w:val="21"/>
                <w:highlight w:val="none"/>
              </w:rPr>
            </w:pPr>
          </w:p>
          <w:p>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Cs w:val="21"/>
                <w:highlight w:val="none"/>
              </w:rPr>
            </w:pPr>
          </w:p>
          <w:p>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Cs w:val="21"/>
                <w:highlight w:val="none"/>
              </w:rPr>
            </w:pPr>
          </w:p>
          <w:p>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Cs w:val="21"/>
                <w:highlight w:val="none"/>
              </w:rPr>
            </w:pPr>
          </w:p>
          <w:p>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Cs w:val="21"/>
                <w:highlight w:val="none"/>
              </w:rPr>
            </w:pPr>
          </w:p>
          <w:p>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Cs w:val="21"/>
                <w:highlight w:val="none"/>
              </w:rPr>
            </w:pPr>
          </w:p>
          <w:p>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Cs w:val="21"/>
                <w:highlight w:val="none"/>
              </w:rPr>
            </w:pPr>
          </w:p>
          <w:p>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Cs w:val="21"/>
                <w:highlight w:val="none"/>
              </w:rPr>
            </w:pPr>
          </w:p>
          <w:p>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Cs w:val="21"/>
                <w:highlight w:val="none"/>
              </w:rPr>
            </w:pPr>
          </w:p>
          <w:p>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Cs w:val="21"/>
                <w:highlight w:val="none"/>
              </w:rPr>
            </w:pPr>
          </w:p>
          <w:p>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Cs w:val="21"/>
                <w:highlight w:val="none"/>
              </w:rPr>
            </w:pPr>
          </w:p>
          <w:p>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Cs w:val="21"/>
                <w:highlight w:val="none"/>
              </w:rPr>
            </w:pPr>
          </w:p>
          <w:p>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Cs w:val="21"/>
                <w:highlight w:val="none"/>
              </w:rPr>
            </w:pPr>
          </w:p>
          <w:p>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Cs w:val="21"/>
                <w:highlight w:val="none"/>
              </w:rPr>
            </w:pPr>
          </w:p>
          <w:p>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Cs w:val="21"/>
                <w:highlight w:val="none"/>
              </w:rPr>
            </w:pPr>
          </w:p>
          <w:p>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Cs w:val="21"/>
                <w:highlight w:val="none"/>
              </w:rPr>
            </w:pPr>
          </w:p>
          <w:p>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Cs w:val="21"/>
                <w:highlight w:val="none"/>
              </w:rPr>
            </w:pPr>
          </w:p>
          <w:p>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Cs w:val="21"/>
                <w:highlight w:val="none"/>
              </w:rPr>
            </w:pPr>
          </w:p>
          <w:p>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Cs w:val="21"/>
                <w:highlight w:val="none"/>
              </w:rPr>
            </w:pPr>
          </w:p>
          <w:p>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Cs w:val="21"/>
                <w:highlight w:val="none"/>
              </w:rPr>
            </w:pPr>
          </w:p>
          <w:p>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Cs w:val="21"/>
                <w:highlight w:val="none"/>
              </w:rPr>
            </w:pPr>
          </w:p>
          <w:p>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Cs w:val="21"/>
                <w:highlight w:val="none"/>
              </w:rPr>
            </w:pPr>
          </w:p>
          <w:p>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Cs w:val="21"/>
                <w:highlight w:val="none"/>
              </w:rPr>
            </w:pPr>
          </w:p>
          <w:p>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Cs w:val="21"/>
                <w:highlight w:val="none"/>
              </w:rPr>
            </w:pPr>
          </w:p>
          <w:p>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Cs w:val="21"/>
                <w:highlight w:val="none"/>
              </w:rPr>
            </w:pPr>
          </w:p>
          <w:p>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Cs w:val="21"/>
                <w:highlight w:val="none"/>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highlight w:val="none"/>
              </w:rPr>
            </w:pPr>
          </w:p>
        </w:tc>
      </w:tr>
    </w:tbl>
    <w:p>
      <w:pPr>
        <w:rPr>
          <w:rFonts w:hint="default" w:ascii="Times New Roman" w:hAnsi="Times New Roman" w:eastAsia="宋体" w:cs="Times New Roman"/>
          <w:color w:val="auto"/>
          <w:szCs w:val="21"/>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9"/>
        <w:adjustRightInd w:val="0"/>
        <w:snapToGrid w:val="0"/>
        <w:spacing w:before="0" w:beforeAutospacing="0" w:after="0" w:afterAutospacing="0" w:line="648" w:lineRule="auto"/>
        <w:outlineLvl w:val="0"/>
        <w:rPr>
          <w:rFonts w:hint="default" w:ascii="Times New Roman" w:hAnsi="Times New Roman" w:eastAsia="宋体" w:cs="Times New Roman"/>
          <w:snapToGrid w:val="0"/>
          <w:color w:val="auto"/>
          <w:sz w:val="21"/>
          <w:szCs w:val="21"/>
          <w:highlight w:val="none"/>
        </w:rPr>
      </w:pPr>
      <w:bookmarkStart w:id="11" w:name="_Toc69726043"/>
      <w:r>
        <w:rPr>
          <w:rFonts w:hint="default" w:ascii="Times New Roman" w:hAnsi="Times New Roman" w:eastAsia="宋体" w:cs="Times New Roman"/>
          <w:snapToGrid w:val="0"/>
          <w:color w:val="auto"/>
          <w:sz w:val="21"/>
          <w:szCs w:val="21"/>
          <w:highlight w:val="none"/>
        </w:rPr>
        <w:t>附表</w:t>
      </w:r>
      <w:bookmarkEnd w:id="11"/>
    </w:p>
    <w:p>
      <w:pPr>
        <w:pStyle w:val="19"/>
        <w:adjustRightInd w:val="0"/>
        <w:snapToGrid w:val="0"/>
        <w:spacing w:before="0" w:beforeAutospacing="0" w:after="0" w:afterAutospacing="0" w:line="552" w:lineRule="auto"/>
        <w:jc w:val="center"/>
        <w:outlineLvl w:val="0"/>
        <w:rPr>
          <w:rFonts w:hint="default" w:ascii="Times New Roman" w:hAnsi="Times New Roman" w:eastAsia="宋体" w:cs="Times New Roman"/>
          <w:b/>
          <w:bCs/>
          <w:snapToGrid w:val="0"/>
          <w:color w:val="auto"/>
          <w:sz w:val="21"/>
          <w:szCs w:val="21"/>
          <w:highlight w:val="none"/>
        </w:rPr>
      </w:pPr>
      <w:bookmarkStart w:id="12" w:name="_Toc69726044"/>
      <w:r>
        <w:rPr>
          <w:rFonts w:hint="default" w:ascii="Times New Roman" w:hAnsi="Times New Roman" w:eastAsia="宋体" w:cs="Times New Roman"/>
          <w:b/>
          <w:bCs/>
          <w:snapToGrid w:val="0"/>
          <w:color w:val="auto"/>
          <w:sz w:val="21"/>
          <w:szCs w:val="21"/>
          <w:highlight w:val="none"/>
        </w:rPr>
        <w:t>建设项目污染物排放量汇总表</w:t>
      </w:r>
      <w:bookmarkEnd w:id="12"/>
    </w:p>
    <w:tbl>
      <w:tblPr>
        <w:tblStyle w:val="23"/>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472"/>
        <w:gridCol w:w="1619"/>
        <w:gridCol w:w="1602"/>
        <w:gridCol w:w="1858"/>
        <w:gridCol w:w="12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tcBorders>
              <w:tl2br w:val="single" w:color="auto" w:sz="4" w:space="0"/>
            </w:tcBorders>
            <w:noWrap w:val="0"/>
            <w:tcMar>
              <w:left w:w="28" w:type="dxa"/>
              <w:right w:w="28" w:type="dxa"/>
            </w:tcMar>
            <w:vAlign w:val="center"/>
          </w:tcPr>
          <w:p>
            <w:pPr>
              <w:pStyle w:val="6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项目</w:t>
            </w:r>
          </w:p>
          <w:p>
            <w:pPr>
              <w:pStyle w:val="6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分类</w:t>
            </w:r>
          </w:p>
        </w:tc>
        <w:tc>
          <w:tcPr>
            <w:tcW w:w="1417" w:type="dxa"/>
            <w:noWrap w:val="0"/>
            <w:tcMar>
              <w:left w:w="28" w:type="dxa"/>
              <w:right w:w="28" w:type="dxa"/>
            </w:tcMar>
            <w:vAlign w:val="center"/>
          </w:tcPr>
          <w:p>
            <w:pPr>
              <w:pStyle w:val="6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污染物名称</w:t>
            </w:r>
          </w:p>
        </w:tc>
        <w:tc>
          <w:tcPr>
            <w:tcW w:w="1701" w:type="dxa"/>
            <w:noWrap w:val="0"/>
            <w:tcMar>
              <w:left w:w="28" w:type="dxa"/>
              <w:right w:w="28" w:type="dxa"/>
            </w:tcMar>
            <w:vAlign w:val="center"/>
          </w:tcPr>
          <w:p>
            <w:pPr>
              <w:pStyle w:val="6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现有工程</w:t>
            </w:r>
          </w:p>
          <w:p>
            <w:pPr>
              <w:pStyle w:val="6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排放量（固体废物产生量）</w:t>
            </w:r>
            <w:r>
              <w:rPr>
                <w:rFonts w:hint="default" w:ascii="Times New Roman" w:hAnsi="Times New Roman" w:eastAsia="宋体" w:cs="Times New Roman"/>
                <w:b/>
                <w:bCs/>
                <w:snapToGrid w:val="0"/>
                <w:color w:val="auto"/>
                <w:spacing w:val="-6"/>
                <w:kern w:val="21"/>
                <w:sz w:val="21"/>
                <w:szCs w:val="21"/>
                <w:highlight w:val="none"/>
              </w:rPr>
              <w:fldChar w:fldCharType="begin"/>
            </w:r>
            <w:r>
              <w:rPr>
                <w:rFonts w:hint="default" w:ascii="Times New Roman" w:hAnsi="Times New Roman" w:eastAsia="宋体" w:cs="Times New Roman"/>
                <w:b/>
                <w:bCs/>
                <w:snapToGrid w:val="0"/>
                <w:color w:val="auto"/>
                <w:spacing w:val="-6"/>
                <w:kern w:val="21"/>
                <w:sz w:val="21"/>
                <w:szCs w:val="21"/>
                <w:highlight w:val="none"/>
              </w:rPr>
              <w:instrText xml:space="preserve"> = 1 \* GB3 \* MERGEFORMAT </w:instrText>
            </w:r>
            <w:r>
              <w:rPr>
                <w:rFonts w:hint="default" w:ascii="Times New Roman" w:hAnsi="Times New Roman" w:eastAsia="宋体" w:cs="Times New Roman"/>
                <w:b/>
                <w:bCs/>
                <w:snapToGrid w:val="0"/>
                <w:color w:val="auto"/>
                <w:spacing w:val="-6"/>
                <w:kern w:val="21"/>
                <w:sz w:val="21"/>
                <w:szCs w:val="21"/>
                <w:highlight w:val="none"/>
              </w:rPr>
              <w:fldChar w:fldCharType="separate"/>
            </w:r>
            <w:r>
              <w:rPr>
                <w:rFonts w:hint="default" w:ascii="Times New Roman" w:hAnsi="Times New Roman" w:eastAsia="宋体" w:cs="Times New Roman"/>
                <w:b/>
                <w:bCs/>
                <w:color w:val="auto"/>
                <w:kern w:val="2"/>
                <w:sz w:val="21"/>
                <w:szCs w:val="21"/>
                <w:highlight w:val="none"/>
              </w:rPr>
              <w:t>①</w:t>
            </w:r>
            <w:r>
              <w:rPr>
                <w:rFonts w:hint="default" w:ascii="Times New Roman" w:hAnsi="Times New Roman" w:eastAsia="宋体" w:cs="Times New Roman"/>
                <w:b/>
                <w:bCs/>
                <w:snapToGrid w:val="0"/>
                <w:color w:val="auto"/>
                <w:spacing w:val="-6"/>
                <w:kern w:val="21"/>
                <w:sz w:val="21"/>
                <w:szCs w:val="21"/>
                <w:highlight w:val="none"/>
              </w:rPr>
              <w:fldChar w:fldCharType="end"/>
            </w:r>
          </w:p>
        </w:tc>
        <w:tc>
          <w:tcPr>
            <w:tcW w:w="1276" w:type="dxa"/>
            <w:noWrap w:val="0"/>
            <w:tcMar>
              <w:left w:w="28" w:type="dxa"/>
              <w:right w:w="28" w:type="dxa"/>
            </w:tcMar>
            <w:vAlign w:val="center"/>
          </w:tcPr>
          <w:p>
            <w:pPr>
              <w:pStyle w:val="6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现有工程</w:t>
            </w:r>
          </w:p>
          <w:p>
            <w:pPr>
              <w:pStyle w:val="6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许可排放量</w:t>
            </w:r>
          </w:p>
          <w:p>
            <w:pPr>
              <w:pStyle w:val="61"/>
              <w:keepNext w:val="0"/>
              <w:keepLines w:val="0"/>
              <w:suppressLineNumbers w:val="0"/>
              <w:spacing w:before="0" w:beforeLines="0" w:beforeAutospacing="0" w:after="0" w:afterLines="0" w:afterAutospacing="0"/>
              <w:ind w:left="0" w:right="0"/>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fldChar w:fldCharType="begin"/>
            </w:r>
            <w:r>
              <w:rPr>
                <w:rFonts w:hint="default" w:ascii="Times New Roman" w:hAnsi="Times New Roman" w:eastAsia="宋体" w:cs="Times New Roman"/>
                <w:b/>
                <w:bCs/>
                <w:snapToGrid w:val="0"/>
                <w:color w:val="auto"/>
                <w:spacing w:val="-6"/>
                <w:kern w:val="21"/>
                <w:sz w:val="21"/>
                <w:szCs w:val="21"/>
                <w:highlight w:val="none"/>
              </w:rPr>
              <w:instrText xml:space="preserve"> = 2 \* GB3 \* MERGEFORMAT </w:instrText>
            </w:r>
            <w:r>
              <w:rPr>
                <w:rFonts w:hint="default" w:ascii="Times New Roman" w:hAnsi="Times New Roman" w:eastAsia="宋体" w:cs="Times New Roman"/>
                <w:b/>
                <w:bCs/>
                <w:snapToGrid w:val="0"/>
                <w:color w:val="auto"/>
                <w:spacing w:val="-6"/>
                <w:kern w:val="21"/>
                <w:sz w:val="21"/>
                <w:szCs w:val="21"/>
                <w:highlight w:val="none"/>
              </w:rPr>
              <w:fldChar w:fldCharType="separate"/>
            </w:r>
            <w:r>
              <w:rPr>
                <w:rFonts w:hint="default" w:ascii="Times New Roman" w:hAnsi="Times New Roman" w:eastAsia="宋体" w:cs="Times New Roman"/>
                <w:b/>
                <w:bCs/>
                <w:snapToGrid w:val="0"/>
                <w:color w:val="auto"/>
                <w:spacing w:val="-6"/>
                <w:kern w:val="21"/>
                <w:sz w:val="21"/>
                <w:szCs w:val="21"/>
                <w:highlight w:val="none"/>
              </w:rPr>
              <w:t>②</w:t>
            </w:r>
            <w:r>
              <w:rPr>
                <w:rFonts w:hint="default" w:ascii="Times New Roman" w:hAnsi="Times New Roman" w:eastAsia="宋体" w:cs="Times New Roman"/>
                <w:b/>
                <w:bCs/>
                <w:snapToGrid w:val="0"/>
                <w:color w:val="auto"/>
                <w:spacing w:val="-6"/>
                <w:kern w:val="21"/>
                <w:sz w:val="21"/>
                <w:szCs w:val="21"/>
                <w:highlight w:val="none"/>
              </w:rPr>
              <w:fldChar w:fldCharType="end"/>
            </w:r>
          </w:p>
        </w:tc>
        <w:tc>
          <w:tcPr>
            <w:tcW w:w="1472" w:type="dxa"/>
            <w:noWrap w:val="0"/>
            <w:tcMar>
              <w:left w:w="28" w:type="dxa"/>
              <w:right w:w="28" w:type="dxa"/>
            </w:tcMar>
            <w:vAlign w:val="center"/>
          </w:tcPr>
          <w:p>
            <w:pPr>
              <w:pStyle w:val="6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在建工程</w:t>
            </w:r>
          </w:p>
          <w:p>
            <w:pPr>
              <w:pStyle w:val="6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排放量（固体废物产生量）</w:t>
            </w:r>
            <w:r>
              <w:rPr>
                <w:rFonts w:hint="default" w:ascii="Times New Roman" w:hAnsi="Times New Roman" w:eastAsia="宋体" w:cs="Times New Roman"/>
                <w:b/>
                <w:bCs/>
                <w:snapToGrid w:val="0"/>
                <w:color w:val="auto"/>
                <w:spacing w:val="-6"/>
                <w:kern w:val="21"/>
                <w:sz w:val="21"/>
                <w:szCs w:val="21"/>
                <w:highlight w:val="none"/>
              </w:rPr>
              <w:fldChar w:fldCharType="begin"/>
            </w:r>
            <w:r>
              <w:rPr>
                <w:rFonts w:hint="default" w:ascii="Times New Roman" w:hAnsi="Times New Roman" w:eastAsia="宋体" w:cs="Times New Roman"/>
                <w:b/>
                <w:bCs/>
                <w:snapToGrid w:val="0"/>
                <w:color w:val="auto"/>
                <w:spacing w:val="-6"/>
                <w:kern w:val="21"/>
                <w:sz w:val="21"/>
                <w:szCs w:val="21"/>
                <w:highlight w:val="none"/>
              </w:rPr>
              <w:instrText xml:space="preserve"> = 3 \* GB3 \* MERGEFORMAT </w:instrText>
            </w:r>
            <w:r>
              <w:rPr>
                <w:rFonts w:hint="default" w:ascii="Times New Roman" w:hAnsi="Times New Roman" w:eastAsia="宋体" w:cs="Times New Roman"/>
                <w:b/>
                <w:bCs/>
                <w:snapToGrid w:val="0"/>
                <w:color w:val="auto"/>
                <w:spacing w:val="-6"/>
                <w:kern w:val="21"/>
                <w:sz w:val="21"/>
                <w:szCs w:val="21"/>
                <w:highlight w:val="none"/>
              </w:rPr>
              <w:fldChar w:fldCharType="separate"/>
            </w:r>
            <w:r>
              <w:rPr>
                <w:rFonts w:hint="default" w:ascii="Times New Roman" w:hAnsi="Times New Roman" w:eastAsia="宋体" w:cs="Times New Roman"/>
                <w:b/>
                <w:bCs/>
                <w:color w:val="auto"/>
                <w:kern w:val="2"/>
                <w:sz w:val="21"/>
                <w:szCs w:val="21"/>
                <w:highlight w:val="none"/>
              </w:rPr>
              <w:t>③</w:t>
            </w:r>
            <w:r>
              <w:rPr>
                <w:rFonts w:hint="default" w:ascii="Times New Roman" w:hAnsi="Times New Roman" w:eastAsia="宋体" w:cs="Times New Roman"/>
                <w:b/>
                <w:bCs/>
                <w:snapToGrid w:val="0"/>
                <w:color w:val="auto"/>
                <w:spacing w:val="-6"/>
                <w:kern w:val="21"/>
                <w:sz w:val="21"/>
                <w:szCs w:val="21"/>
                <w:highlight w:val="none"/>
              </w:rPr>
              <w:fldChar w:fldCharType="end"/>
            </w:r>
          </w:p>
        </w:tc>
        <w:tc>
          <w:tcPr>
            <w:tcW w:w="1619" w:type="dxa"/>
            <w:noWrap w:val="0"/>
            <w:tcMar>
              <w:left w:w="28" w:type="dxa"/>
              <w:right w:w="28" w:type="dxa"/>
            </w:tcMar>
            <w:vAlign w:val="center"/>
          </w:tcPr>
          <w:p>
            <w:pPr>
              <w:pStyle w:val="6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本项目</w:t>
            </w:r>
          </w:p>
          <w:p>
            <w:pPr>
              <w:pStyle w:val="6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排放量（固体废物产生量）</w:t>
            </w:r>
            <w:r>
              <w:rPr>
                <w:rFonts w:hint="default" w:ascii="Times New Roman" w:hAnsi="Times New Roman" w:eastAsia="宋体" w:cs="Times New Roman"/>
                <w:b/>
                <w:bCs/>
                <w:snapToGrid w:val="0"/>
                <w:color w:val="auto"/>
                <w:spacing w:val="-6"/>
                <w:kern w:val="21"/>
                <w:sz w:val="21"/>
                <w:szCs w:val="21"/>
                <w:highlight w:val="none"/>
              </w:rPr>
              <w:fldChar w:fldCharType="begin"/>
            </w:r>
            <w:r>
              <w:rPr>
                <w:rFonts w:hint="default" w:ascii="Times New Roman" w:hAnsi="Times New Roman" w:eastAsia="宋体" w:cs="Times New Roman"/>
                <w:b/>
                <w:bCs/>
                <w:snapToGrid w:val="0"/>
                <w:color w:val="auto"/>
                <w:spacing w:val="-6"/>
                <w:kern w:val="21"/>
                <w:sz w:val="21"/>
                <w:szCs w:val="21"/>
                <w:highlight w:val="none"/>
              </w:rPr>
              <w:instrText xml:space="preserve"> = 4 \* GB3 \* MERGEFORMAT </w:instrText>
            </w:r>
            <w:r>
              <w:rPr>
                <w:rFonts w:hint="default" w:ascii="Times New Roman" w:hAnsi="Times New Roman" w:eastAsia="宋体" w:cs="Times New Roman"/>
                <w:b/>
                <w:bCs/>
                <w:snapToGrid w:val="0"/>
                <w:color w:val="auto"/>
                <w:spacing w:val="-6"/>
                <w:kern w:val="21"/>
                <w:sz w:val="21"/>
                <w:szCs w:val="21"/>
                <w:highlight w:val="none"/>
              </w:rPr>
              <w:fldChar w:fldCharType="separate"/>
            </w:r>
            <w:r>
              <w:rPr>
                <w:rFonts w:hint="default" w:ascii="Times New Roman" w:hAnsi="Times New Roman" w:eastAsia="宋体" w:cs="Times New Roman"/>
                <w:b/>
                <w:bCs/>
                <w:color w:val="auto"/>
                <w:kern w:val="2"/>
                <w:sz w:val="21"/>
                <w:szCs w:val="21"/>
                <w:highlight w:val="none"/>
              </w:rPr>
              <w:t>④</w:t>
            </w:r>
            <w:r>
              <w:rPr>
                <w:rFonts w:hint="default" w:ascii="Times New Roman" w:hAnsi="Times New Roman" w:eastAsia="宋体" w:cs="Times New Roman"/>
                <w:b/>
                <w:bCs/>
                <w:snapToGrid w:val="0"/>
                <w:color w:val="auto"/>
                <w:spacing w:val="-6"/>
                <w:kern w:val="21"/>
                <w:sz w:val="21"/>
                <w:szCs w:val="21"/>
                <w:highlight w:val="none"/>
              </w:rPr>
              <w:fldChar w:fldCharType="end"/>
            </w:r>
          </w:p>
        </w:tc>
        <w:tc>
          <w:tcPr>
            <w:tcW w:w="1602" w:type="dxa"/>
            <w:noWrap w:val="0"/>
            <w:tcMar>
              <w:left w:w="28" w:type="dxa"/>
              <w:right w:w="28" w:type="dxa"/>
            </w:tcMar>
            <w:vAlign w:val="center"/>
          </w:tcPr>
          <w:p>
            <w:pPr>
              <w:pStyle w:val="6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b/>
                <w:bCs/>
                <w:snapToGrid w:val="0"/>
                <w:color w:val="auto"/>
                <w:spacing w:val="-16"/>
                <w:kern w:val="21"/>
                <w:sz w:val="21"/>
                <w:szCs w:val="21"/>
                <w:highlight w:val="none"/>
              </w:rPr>
            </w:pPr>
            <w:r>
              <w:rPr>
                <w:rFonts w:hint="default" w:ascii="Times New Roman" w:hAnsi="Times New Roman" w:eastAsia="宋体" w:cs="Times New Roman"/>
                <w:b/>
                <w:bCs/>
                <w:snapToGrid w:val="0"/>
                <w:color w:val="auto"/>
                <w:spacing w:val="-16"/>
                <w:kern w:val="21"/>
                <w:sz w:val="21"/>
                <w:szCs w:val="21"/>
                <w:highlight w:val="none"/>
              </w:rPr>
              <w:t>以新带老削减量</w:t>
            </w:r>
          </w:p>
          <w:p>
            <w:pPr>
              <w:pStyle w:val="6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b/>
                <w:bCs/>
                <w:snapToGrid w:val="0"/>
                <w:color w:val="auto"/>
                <w:spacing w:val="-16"/>
                <w:kern w:val="21"/>
                <w:sz w:val="21"/>
                <w:szCs w:val="21"/>
                <w:highlight w:val="none"/>
              </w:rPr>
            </w:pPr>
            <w:r>
              <w:rPr>
                <w:rFonts w:hint="default" w:ascii="Times New Roman" w:hAnsi="Times New Roman" w:eastAsia="宋体" w:cs="Times New Roman"/>
                <w:b/>
                <w:bCs/>
                <w:snapToGrid w:val="0"/>
                <w:color w:val="auto"/>
                <w:spacing w:val="-16"/>
                <w:kern w:val="21"/>
                <w:sz w:val="21"/>
                <w:szCs w:val="21"/>
                <w:highlight w:val="none"/>
              </w:rPr>
              <w:t>（新建项目不填）</w:t>
            </w:r>
            <w:r>
              <w:rPr>
                <w:rFonts w:hint="default" w:ascii="Times New Roman" w:hAnsi="Times New Roman" w:eastAsia="宋体" w:cs="Times New Roman"/>
                <w:b/>
                <w:bCs/>
                <w:snapToGrid w:val="0"/>
                <w:color w:val="auto"/>
                <w:spacing w:val="-16"/>
                <w:kern w:val="21"/>
                <w:sz w:val="21"/>
                <w:szCs w:val="21"/>
                <w:highlight w:val="none"/>
              </w:rPr>
              <w:fldChar w:fldCharType="begin"/>
            </w:r>
            <w:r>
              <w:rPr>
                <w:rFonts w:hint="default" w:ascii="Times New Roman" w:hAnsi="Times New Roman" w:eastAsia="宋体" w:cs="Times New Roman"/>
                <w:b/>
                <w:bCs/>
                <w:snapToGrid w:val="0"/>
                <w:color w:val="auto"/>
                <w:spacing w:val="-16"/>
                <w:kern w:val="21"/>
                <w:sz w:val="21"/>
                <w:szCs w:val="21"/>
                <w:highlight w:val="none"/>
              </w:rPr>
              <w:instrText xml:space="preserve"> = 5 \* GB3 \* MERGEFORMAT </w:instrText>
            </w:r>
            <w:r>
              <w:rPr>
                <w:rFonts w:hint="default" w:ascii="Times New Roman" w:hAnsi="Times New Roman" w:eastAsia="宋体" w:cs="Times New Roman"/>
                <w:b/>
                <w:bCs/>
                <w:snapToGrid w:val="0"/>
                <w:color w:val="auto"/>
                <w:spacing w:val="-16"/>
                <w:kern w:val="21"/>
                <w:sz w:val="21"/>
                <w:szCs w:val="21"/>
                <w:highlight w:val="none"/>
              </w:rPr>
              <w:fldChar w:fldCharType="separate"/>
            </w:r>
            <w:r>
              <w:rPr>
                <w:rFonts w:hint="default" w:ascii="Times New Roman" w:hAnsi="Times New Roman" w:eastAsia="宋体" w:cs="Times New Roman"/>
                <w:b/>
                <w:bCs/>
                <w:color w:val="auto"/>
                <w:kern w:val="2"/>
                <w:sz w:val="21"/>
                <w:szCs w:val="21"/>
                <w:highlight w:val="none"/>
              </w:rPr>
              <w:t>⑤</w:t>
            </w:r>
            <w:r>
              <w:rPr>
                <w:rFonts w:hint="default" w:ascii="Times New Roman" w:hAnsi="Times New Roman" w:eastAsia="宋体" w:cs="Times New Roman"/>
                <w:b/>
                <w:bCs/>
                <w:snapToGrid w:val="0"/>
                <w:color w:val="auto"/>
                <w:spacing w:val="-16"/>
                <w:kern w:val="21"/>
                <w:sz w:val="21"/>
                <w:szCs w:val="21"/>
                <w:highlight w:val="none"/>
              </w:rPr>
              <w:fldChar w:fldCharType="end"/>
            </w:r>
          </w:p>
        </w:tc>
        <w:tc>
          <w:tcPr>
            <w:tcW w:w="1858" w:type="dxa"/>
            <w:noWrap w:val="0"/>
            <w:tcMar>
              <w:left w:w="28" w:type="dxa"/>
              <w:right w:w="28" w:type="dxa"/>
            </w:tcMar>
            <w:vAlign w:val="center"/>
          </w:tcPr>
          <w:p>
            <w:pPr>
              <w:pStyle w:val="6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b/>
                <w:bCs/>
                <w:snapToGrid w:val="0"/>
                <w:color w:val="auto"/>
                <w:spacing w:val="-16"/>
                <w:kern w:val="21"/>
                <w:sz w:val="21"/>
                <w:szCs w:val="21"/>
                <w:highlight w:val="none"/>
              </w:rPr>
            </w:pPr>
            <w:r>
              <w:rPr>
                <w:rFonts w:hint="default" w:ascii="Times New Roman" w:hAnsi="Times New Roman" w:eastAsia="宋体" w:cs="Times New Roman"/>
                <w:b/>
                <w:bCs/>
                <w:snapToGrid w:val="0"/>
                <w:color w:val="auto"/>
                <w:spacing w:val="-16"/>
                <w:kern w:val="21"/>
                <w:sz w:val="21"/>
                <w:szCs w:val="21"/>
                <w:highlight w:val="none"/>
              </w:rPr>
              <w:t>本项目建成后</w:t>
            </w:r>
          </w:p>
          <w:p>
            <w:pPr>
              <w:pStyle w:val="6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b/>
                <w:bCs/>
                <w:snapToGrid w:val="0"/>
                <w:color w:val="auto"/>
                <w:spacing w:val="-16"/>
                <w:kern w:val="21"/>
                <w:sz w:val="21"/>
                <w:szCs w:val="21"/>
                <w:highlight w:val="none"/>
              </w:rPr>
            </w:pPr>
            <w:r>
              <w:rPr>
                <w:rFonts w:hint="default" w:ascii="Times New Roman" w:hAnsi="Times New Roman" w:eastAsia="宋体" w:cs="Times New Roman"/>
                <w:b/>
                <w:bCs/>
                <w:snapToGrid w:val="0"/>
                <w:color w:val="auto"/>
                <w:spacing w:val="-16"/>
                <w:kern w:val="21"/>
                <w:sz w:val="21"/>
                <w:szCs w:val="21"/>
                <w:highlight w:val="none"/>
              </w:rPr>
              <w:t>全厂排放量（固体废物产生量）</w:t>
            </w:r>
            <w:r>
              <w:rPr>
                <w:rFonts w:hint="default" w:ascii="Times New Roman" w:hAnsi="Times New Roman" w:eastAsia="宋体" w:cs="Times New Roman"/>
                <w:b/>
                <w:bCs/>
                <w:snapToGrid w:val="0"/>
                <w:color w:val="auto"/>
                <w:spacing w:val="-16"/>
                <w:kern w:val="21"/>
                <w:sz w:val="21"/>
                <w:szCs w:val="21"/>
                <w:highlight w:val="none"/>
              </w:rPr>
              <w:fldChar w:fldCharType="begin"/>
            </w:r>
            <w:r>
              <w:rPr>
                <w:rFonts w:hint="default" w:ascii="Times New Roman" w:hAnsi="Times New Roman" w:eastAsia="宋体" w:cs="Times New Roman"/>
                <w:b/>
                <w:bCs/>
                <w:snapToGrid w:val="0"/>
                <w:color w:val="auto"/>
                <w:spacing w:val="-16"/>
                <w:kern w:val="21"/>
                <w:sz w:val="21"/>
                <w:szCs w:val="21"/>
                <w:highlight w:val="none"/>
              </w:rPr>
              <w:instrText xml:space="preserve"> = 6 \* GB3 \* MERGEFORMAT </w:instrText>
            </w:r>
            <w:r>
              <w:rPr>
                <w:rFonts w:hint="default" w:ascii="Times New Roman" w:hAnsi="Times New Roman" w:eastAsia="宋体" w:cs="Times New Roman"/>
                <w:b/>
                <w:bCs/>
                <w:snapToGrid w:val="0"/>
                <w:color w:val="auto"/>
                <w:spacing w:val="-16"/>
                <w:kern w:val="21"/>
                <w:sz w:val="21"/>
                <w:szCs w:val="21"/>
                <w:highlight w:val="none"/>
              </w:rPr>
              <w:fldChar w:fldCharType="separate"/>
            </w:r>
            <w:r>
              <w:rPr>
                <w:rFonts w:hint="default" w:ascii="Times New Roman" w:hAnsi="Times New Roman" w:eastAsia="宋体" w:cs="Times New Roman"/>
                <w:b/>
                <w:bCs/>
                <w:color w:val="auto"/>
                <w:kern w:val="2"/>
                <w:sz w:val="21"/>
                <w:szCs w:val="21"/>
                <w:highlight w:val="none"/>
              </w:rPr>
              <w:t>⑥</w:t>
            </w:r>
            <w:r>
              <w:rPr>
                <w:rFonts w:hint="default" w:ascii="Times New Roman" w:hAnsi="Times New Roman" w:eastAsia="宋体" w:cs="Times New Roman"/>
                <w:b/>
                <w:bCs/>
                <w:snapToGrid w:val="0"/>
                <w:color w:val="auto"/>
                <w:spacing w:val="-16"/>
                <w:kern w:val="21"/>
                <w:sz w:val="21"/>
                <w:szCs w:val="21"/>
                <w:highlight w:val="none"/>
              </w:rPr>
              <w:fldChar w:fldCharType="end"/>
            </w:r>
          </w:p>
        </w:tc>
        <w:tc>
          <w:tcPr>
            <w:tcW w:w="1255" w:type="dxa"/>
            <w:noWrap w:val="0"/>
            <w:tcMar>
              <w:left w:w="28" w:type="dxa"/>
              <w:right w:w="28" w:type="dxa"/>
            </w:tcMar>
            <w:vAlign w:val="center"/>
          </w:tcPr>
          <w:p>
            <w:pPr>
              <w:pStyle w:val="6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变化量</w:t>
            </w:r>
          </w:p>
          <w:p>
            <w:pPr>
              <w:pStyle w:val="6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fldChar w:fldCharType="begin"/>
            </w:r>
            <w:r>
              <w:rPr>
                <w:rFonts w:hint="default" w:ascii="Times New Roman" w:hAnsi="Times New Roman" w:eastAsia="宋体" w:cs="Times New Roman"/>
                <w:b/>
                <w:bCs/>
                <w:snapToGrid w:val="0"/>
                <w:color w:val="auto"/>
                <w:spacing w:val="-6"/>
                <w:kern w:val="21"/>
                <w:sz w:val="21"/>
                <w:szCs w:val="21"/>
                <w:highlight w:val="none"/>
              </w:rPr>
              <w:instrText xml:space="preserve"> = 7 \* GB3 \* MERGEFORMAT </w:instrText>
            </w:r>
            <w:r>
              <w:rPr>
                <w:rFonts w:hint="default" w:ascii="Times New Roman" w:hAnsi="Times New Roman" w:eastAsia="宋体" w:cs="Times New Roman"/>
                <w:b/>
                <w:bCs/>
                <w:snapToGrid w:val="0"/>
                <w:color w:val="auto"/>
                <w:spacing w:val="-6"/>
                <w:kern w:val="21"/>
                <w:sz w:val="21"/>
                <w:szCs w:val="21"/>
                <w:highlight w:val="none"/>
              </w:rPr>
              <w:fldChar w:fldCharType="separate"/>
            </w:r>
            <w:r>
              <w:rPr>
                <w:rFonts w:hint="default" w:ascii="Times New Roman" w:hAnsi="Times New Roman" w:eastAsia="宋体" w:cs="Times New Roman"/>
                <w:b/>
                <w:bCs/>
                <w:color w:val="auto"/>
                <w:kern w:val="2"/>
                <w:sz w:val="21"/>
                <w:szCs w:val="21"/>
                <w:highlight w:val="none"/>
              </w:rPr>
              <w:t>⑦</w:t>
            </w:r>
            <w:r>
              <w:rPr>
                <w:rFonts w:hint="default" w:ascii="Times New Roman" w:hAnsi="Times New Roman" w:eastAsia="宋体" w:cs="Times New Roman"/>
                <w:b/>
                <w:bCs/>
                <w:snapToGrid w:val="0"/>
                <w:color w:val="auto"/>
                <w:spacing w:val="-6"/>
                <w:kern w:val="21"/>
                <w:sz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noWrap w:val="0"/>
            <w:vAlign w:val="center"/>
          </w:tcPr>
          <w:p>
            <w:pPr>
              <w:pStyle w:val="6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废水</w:t>
            </w:r>
          </w:p>
        </w:tc>
        <w:tc>
          <w:tcPr>
            <w:tcW w:w="141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生活污水</w:t>
            </w:r>
          </w:p>
        </w:tc>
        <w:tc>
          <w:tcPr>
            <w:tcW w:w="1701"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504</w:t>
            </w:r>
          </w:p>
        </w:tc>
        <w:tc>
          <w:tcPr>
            <w:tcW w:w="1276" w:type="dxa"/>
            <w:noWrap w:val="0"/>
            <w:vAlign w:val="center"/>
          </w:tcPr>
          <w:p>
            <w:pPr>
              <w:pStyle w:val="6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472" w:type="dxa"/>
            <w:noWrap w:val="0"/>
            <w:vAlign w:val="center"/>
          </w:tcPr>
          <w:p>
            <w:pPr>
              <w:pStyle w:val="6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19"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504</w:t>
            </w:r>
          </w:p>
        </w:tc>
        <w:tc>
          <w:tcPr>
            <w:tcW w:w="1602"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504</w:t>
            </w:r>
          </w:p>
        </w:tc>
        <w:tc>
          <w:tcPr>
            <w:tcW w:w="1858"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504</w:t>
            </w:r>
          </w:p>
        </w:tc>
        <w:tc>
          <w:tcPr>
            <w:tcW w:w="1255"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restart"/>
            <w:noWrap w:val="0"/>
            <w:vAlign w:val="center"/>
          </w:tcPr>
          <w:p>
            <w:pPr>
              <w:pStyle w:val="6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废气</w:t>
            </w:r>
          </w:p>
        </w:tc>
        <w:tc>
          <w:tcPr>
            <w:tcW w:w="141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烟尘</w:t>
            </w:r>
          </w:p>
        </w:tc>
        <w:tc>
          <w:tcPr>
            <w:tcW w:w="1701"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12.1621</w:t>
            </w:r>
          </w:p>
        </w:tc>
        <w:tc>
          <w:tcPr>
            <w:tcW w:w="1276" w:type="dxa"/>
            <w:noWrap w:val="0"/>
            <w:vAlign w:val="center"/>
          </w:tcPr>
          <w:p>
            <w:pPr>
              <w:pStyle w:val="6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472" w:type="dxa"/>
            <w:noWrap w:val="0"/>
            <w:vAlign w:val="center"/>
          </w:tcPr>
          <w:p>
            <w:pPr>
              <w:pStyle w:val="6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619"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5.6544</w:t>
            </w:r>
          </w:p>
        </w:tc>
        <w:tc>
          <w:tcPr>
            <w:tcW w:w="1602"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12.1621</w:t>
            </w:r>
          </w:p>
        </w:tc>
        <w:tc>
          <w:tcPr>
            <w:tcW w:w="1858"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5.6544</w:t>
            </w:r>
          </w:p>
        </w:tc>
        <w:tc>
          <w:tcPr>
            <w:tcW w:w="1255"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-6.5077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noWrap w:val="0"/>
            <w:vAlign w:val="center"/>
          </w:tcPr>
          <w:p>
            <w:pPr>
              <w:pStyle w:val="6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highlight w:val="none"/>
              </w:rPr>
            </w:pPr>
          </w:p>
        </w:tc>
        <w:tc>
          <w:tcPr>
            <w:tcW w:w="141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1701"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43.588</w:t>
            </w:r>
          </w:p>
        </w:tc>
        <w:tc>
          <w:tcPr>
            <w:tcW w:w="1276" w:type="dxa"/>
            <w:noWrap w:val="0"/>
            <w:vAlign w:val="center"/>
          </w:tcPr>
          <w:p>
            <w:pPr>
              <w:pStyle w:val="6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472" w:type="dxa"/>
            <w:noWrap w:val="0"/>
            <w:vAlign w:val="center"/>
          </w:tcPr>
          <w:p>
            <w:pPr>
              <w:pStyle w:val="6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619"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10.416</w:t>
            </w:r>
          </w:p>
        </w:tc>
        <w:tc>
          <w:tcPr>
            <w:tcW w:w="1602"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43.5880</w:t>
            </w:r>
          </w:p>
        </w:tc>
        <w:tc>
          <w:tcPr>
            <w:tcW w:w="1858"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10.416</w:t>
            </w:r>
          </w:p>
        </w:tc>
        <w:tc>
          <w:tcPr>
            <w:tcW w:w="1255"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-33.172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noWrap w:val="0"/>
            <w:vAlign w:val="center"/>
          </w:tcPr>
          <w:p>
            <w:pPr>
              <w:pStyle w:val="6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highlight w:val="none"/>
              </w:rPr>
            </w:pPr>
          </w:p>
        </w:tc>
        <w:tc>
          <w:tcPr>
            <w:tcW w:w="141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X</w:t>
            </w:r>
          </w:p>
        </w:tc>
        <w:tc>
          <w:tcPr>
            <w:tcW w:w="1701"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68.6742</w:t>
            </w:r>
          </w:p>
        </w:tc>
        <w:tc>
          <w:tcPr>
            <w:tcW w:w="1276" w:type="dxa"/>
            <w:noWrap w:val="0"/>
            <w:vAlign w:val="center"/>
          </w:tcPr>
          <w:p>
            <w:pPr>
              <w:pStyle w:val="6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472" w:type="dxa"/>
            <w:noWrap w:val="0"/>
            <w:vAlign w:val="center"/>
          </w:tcPr>
          <w:p>
            <w:pPr>
              <w:pStyle w:val="6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619"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20.212</w:t>
            </w:r>
          </w:p>
        </w:tc>
        <w:tc>
          <w:tcPr>
            <w:tcW w:w="1602"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68.6742</w:t>
            </w:r>
          </w:p>
        </w:tc>
        <w:tc>
          <w:tcPr>
            <w:tcW w:w="1858"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20.212</w:t>
            </w:r>
          </w:p>
        </w:tc>
        <w:tc>
          <w:tcPr>
            <w:tcW w:w="1255"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-48.4622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noWrap w:val="0"/>
            <w:vAlign w:val="center"/>
          </w:tcPr>
          <w:p>
            <w:pPr>
              <w:pStyle w:val="6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highlight w:val="none"/>
              </w:rPr>
            </w:pPr>
          </w:p>
        </w:tc>
        <w:tc>
          <w:tcPr>
            <w:tcW w:w="141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氟化物</w:t>
            </w:r>
          </w:p>
        </w:tc>
        <w:tc>
          <w:tcPr>
            <w:tcW w:w="1701"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0.7828</w:t>
            </w:r>
          </w:p>
        </w:tc>
        <w:tc>
          <w:tcPr>
            <w:tcW w:w="1276" w:type="dxa"/>
            <w:noWrap w:val="0"/>
            <w:vAlign w:val="center"/>
          </w:tcPr>
          <w:p>
            <w:pPr>
              <w:pStyle w:val="6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472" w:type="dxa"/>
            <w:noWrap w:val="0"/>
            <w:vAlign w:val="center"/>
          </w:tcPr>
          <w:p>
            <w:pPr>
              <w:pStyle w:val="6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619"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0.9688</w:t>
            </w:r>
          </w:p>
        </w:tc>
        <w:tc>
          <w:tcPr>
            <w:tcW w:w="1602"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0.7828</w:t>
            </w:r>
          </w:p>
        </w:tc>
        <w:tc>
          <w:tcPr>
            <w:tcW w:w="1858"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0.9688</w:t>
            </w:r>
          </w:p>
        </w:tc>
        <w:tc>
          <w:tcPr>
            <w:tcW w:w="1255"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+0.1859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noWrap w:val="0"/>
            <w:vAlign w:val="center"/>
          </w:tcPr>
          <w:p>
            <w:pPr>
              <w:pStyle w:val="6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highlight w:val="none"/>
              </w:rPr>
            </w:pPr>
          </w:p>
        </w:tc>
        <w:tc>
          <w:tcPr>
            <w:tcW w:w="141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粉尘</w:t>
            </w:r>
          </w:p>
        </w:tc>
        <w:tc>
          <w:tcPr>
            <w:tcW w:w="1701"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5.2907</w:t>
            </w:r>
          </w:p>
        </w:tc>
        <w:tc>
          <w:tcPr>
            <w:tcW w:w="1276" w:type="dxa"/>
            <w:noWrap w:val="0"/>
            <w:vAlign w:val="center"/>
          </w:tcPr>
          <w:p>
            <w:pPr>
              <w:pStyle w:val="6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472" w:type="dxa"/>
            <w:noWrap w:val="0"/>
            <w:vAlign w:val="center"/>
          </w:tcPr>
          <w:p>
            <w:pPr>
              <w:pStyle w:val="6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619"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3.1449</w:t>
            </w:r>
          </w:p>
        </w:tc>
        <w:tc>
          <w:tcPr>
            <w:tcW w:w="1602"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5.2907</w:t>
            </w:r>
          </w:p>
        </w:tc>
        <w:tc>
          <w:tcPr>
            <w:tcW w:w="1858"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3.1449</w:t>
            </w:r>
          </w:p>
        </w:tc>
        <w:tc>
          <w:tcPr>
            <w:tcW w:w="1255"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-2.1458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noWrap w:val="0"/>
            <w:vAlign w:val="center"/>
          </w:tcPr>
          <w:p>
            <w:pPr>
              <w:pStyle w:val="6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highlight w:val="none"/>
              </w:rPr>
            </w:pPr>
          </w:p>
        </w:tc>
        <w:tc>
          <w:tcPr>
            <w:tcW w:w="141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硫化氢</w:t>
            </w:r>
          </w:p>
        </w:tc>
        <w:tc>
          <w:tcPr>
            <w:tcW w:w="1701"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w:t>
            </w:r>
          </w:p>
        </w:tc>
        <w:tc>
          <w:tcPr>
            <w:tcW w:w="1276" w:type="dxa"/>
            <w:noWrap w:val="0"/>
            <w:vAlign w:val="center"/>
          </w:tcPr>
          <w:p>
            <w:pPr>
              <w:pStyle w:val="6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472" w:type="dxa"/>
            <w:noWrap w:val="0"/>
            <w:vAlign w:val="center"/>
          </w:tcPr>
          <w:p>
            <w:pPr>
              <w:pStyle w:val="6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619"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4.75*10</w:t>
            </w:r>
            <w:r>
              <w:rPr>
                <w:rFonts w:hint="default" w:ascii="Times New Roman" w:hAnsi="Times New Roman" w:eastAsia="宋体" w:cs="Times New Roman"/>
                <w:bCs/>
                <w:color w:val="auto"/>
                <w:sz w:val="21"/>
                <w:szCs w:val="21"/>
                <w:highlight w:val="none"/>
                <w:vertAlign w:val="superscript"/>
                <w:lang w:val="en-US" w:eastAsia="zh-CN"/>
              </w:rPr>
              <w:t>-5</w:t>
            </w:r>
          </w:p>
        </w:tc>
        <w:tc>
          <w:tcPr>
            <w:tcW w:w="1602"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w:t>
            </w:r>
          </w:p>
        </w:tc>
        <w:tc>
          <w:tcPr>
            <w:tcW w:w="1858"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4.75*10</w:t>
            </w:r>
            <w:r>
              <w:rPr>
                <w:rFonts w:hint="default" w:ascii="Times New Roman" w:hAnsi="Times New Roman" w:eastAsia="宋体" w:cs="Times New Roman"/>
                <w:bCs/>
                <w:color w:val="auto"/>
                <w:sz w:val="21"/>
                <w:szCs w:val="21"/>
                <w:highlight w:val="none"/>
                <w:vertAlign w:val="superscript"/>
                <w:lang w:val="en-US" w:eastAsia="zh-CN"/>
              </w:rPr>
              <w:t>-5</w:t>
            </w:r>
          </w:p>
        </w:tc>
        <w:tc>
          <w:tcPr>
            <w:tcW w:w="1255"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+4.75*10</w:t>
            </w:r>
            <w:r>
              <w:rPr>
                <w:rFonts w:hint="default" w:ascii="Times New Roman" w:hAnsi="Times New Roman" w:eastAsia="宋体" w:cs="Times New Roman"/>
                <w:bCs/>
                <w:color w:val="auto"/>
                <w:sz w:val="21"/>
                <w:szCs w:val="21"/>
                <w:highlight w:val="none"/>
                <w:vertAlign w:val="superscript"/>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noWrap w:val="0"/>
            <w:vAlign w:val="center"/>
          </w:tcPr>
          <w:p>
            <w:pPr>
              <w:pStyle w:val="6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highlight w:val="none"/>
              </w:rPr>
            </w:pPr>
          </w:p>
        </w:tc>
        <w:tc>
          <w:tcPr>
            <w:tcW w:w="141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氨</w:t>
            </w:r>
          </w:p>
        </w:tc>
        <w:tc>
          <w:tcPr>
            <w:tcW w:w="1701"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w:t>
            </w:r>
          </w:p>
        </w:tc>
        <w:tc>
          <w:tcPr>
            <w:tcW w:w="1276" w:type="dxa"/>
            <w:noWrap w:val="0"/>
            <w:vAlign w:val="center"/>
          </w:tcPr>
          <w:p>
            <w:pPr>
              <w:pStyle w:val="6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472" w:type="dxa"/>
            <w:noWrap w:val="0"/>
            <w:vAlign w:val="center"/>
          </w:tcPr>
          <w:p>
            <w:pPr>
              <w:pStyle w:val="6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619"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6.8*10</w:t>
            </w:r>
            <w:r>
              <w:rPr>
                <w:rFonts w:hint="default" w:ascii="Times New Roman" w:hAnsi="Times New Roman" w:eastAsia="宋体" w:cs="Times New Roman"/>
                <w:bCs/>
                <w:color w:val="auto"/>
                <w:sz w:val="21"/>
                <w:szCs w:val="21"/>
                <w:highlight w:val="none"/>
                <w:vertAlign w:val="superscript"/>
                <w:lang w:val="en-US" w:eastAsia="zh-CN"/>
              </w:rPr>
              <w:t>-4</w:t>
            </w:r>
          </w:p>
        </w:tc>
        <w:tc>
          <w:tcPr>
            <w:tcW w:w="1602"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w:t>
            </w:r>
          </w:p>
        </w:tc>
        <w:tc>
          <w:tcPr>
            <w:tcW w:w="1858"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6.8*10</w:t>
            </w:r>
            <w:r>
              <w:rPr>
                <w:rFonts w:hint="default" w:ascii="Times New Roman" w:hAnsi="Times New Roman" w:eastAsia="宋体" w:cs="Times New Roman"/>
                <w:bCs/>
                <w:color w:val="auto"/>
                <w:sz w:val="21"/>
                <w:szCs w:val="21"/>
                <w:highlight w:val="none"/>
                <w:vertAlign w:val="superscript"/>
                <w:lang w:val="en-US" w:eastAsia="zh-CN"/>
              </w:rPr>
              <w:t>-4</w:t>
            </w:r>
          </w:p>
        </w:tc>
        <w:tc>
          <w:tcPr>
            <w:tcW w:w="1255"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+6.8*10</w:t>
            </w:r>
            <w:r>
              <w:rPr>
                <w:rFonts w:hint="default" w:ascii="Times New Roman" w:hAnsi="Times New Roman" w:eastAsia="宋体" w:cs="Times New Roman"/>
                <w:bCs/>
                <w:color w:val="auto"/>
                <w:sz w:val="21"/>
                <w:szCs w:val="21"/>
                <w:highlight w:val="none"/>
                <w:vertAlign w:val="superscript"/>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restart"/>
            <w:noWrap w:val="0"/>
            <w:vAlign w:val="center"/>
          </w:tcPr>
          <w:p>
            <w:pPr>
              <w:pStyle w:val="6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固体废物</w:t>
            </w:r>
          </w:p>
        </w:tc>
        <w:tc>
          <w:tcPr>
            <w:tcW w:w="141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废泥坯</w:t>
            </w:r>
          </w:p>
        </w:tc>
        <w:tc>
          <w:tcPr>
            <w:tcW w:w="1701"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18.52</w:t>
            </w:r>
          </w:p>
        </w:tc>
        <w:tc>
          <w:tcPr>
            <w:tcW w:w="1276" w:type="dxa"/>
            <w:noWrap w:val="0"/>
            <w:vAlign w:val="center"/>
          </w:tcPr>
          <w:p>
            <w:pPr>
              <w:pStyle w:val="6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472" w:type="dxa"/>
            <w:noWrap w:val="0"/>
            <w:vAlign w:val="center"/>
          </w:tcPr>
          <w:p>
            <w:pPr>
              <w:pStyle w:val="6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619"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22.9648</w:t>
            </w:r>
          </w:p>
        </w:tc>
        <w:tc>
          <w:tcPr>
            <w:tcW w:w="1602"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18.52</w:t>
            </w:r>
          </w:p>
        </w:tc>
        <w:tc>
          <w:tcPr>
            <w:tcW w:w="1858"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22.9648</w:t>
            </w:r>
          </w:p>
        </w:tc>
        <w:tc>
          <w:tcPr>
            <w:tcW w:w="1255"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+4.4448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noWrap w:val="0"/>
            <w:vAlign w:val="center"/>
          </w:tcPr>
          <w:p>
            <w:pPr>
              <w:pStyle w:val="6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highlight w:val="none"/>
              </w:rPr>
            </w:pPr>
          </w:p>
        </w:tc>
        <w:tc>
          <w:tcPr>
            <w:tcW w:w="141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废砖</w:t>
            </w:r>
          </w:p>
        </w:tc>
        <w:tc>
          <w:tcPr>
            <w:tcW w:w="1701"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236.8</w:t>
            </w:r>
          </w:p>
        </w:tc>
        <w:tc>
          <w:tcPr>
            <w:tcW w:w="1276" w:type="dxa"/>
            <w:noWrap w:val="0"/>
            <w:vAlign w:val="center"/>
          </w:tcPr>
          <w:p>
            <w:pPr>
              <w:pStyle w:val="6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472" w:type="dxa"/>
            <w:noWrap w:val="0"/>
            <w:vAlign w:val="center"/>
          </w:tcPr>
          <w:p>
            <w:pPr>
              <w:pStyle w:val="6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619"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236.8</w:t>
            </w:r>
          </w:p>
        </w:tc>
        <w:tc>
          <w:tcPr>
            <w:tcW w:w="1602"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236.8</w:t>
            </w:r>
          </w:p>
        </w:tc>
        <w:tc>
          <w:tcPr>
            <w:tcW w:w="1858"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236.8</w:t>
            </w:r>
          </w:p>
        </w:tc>
        <w:tc>
          <w:tcPr>
            <w:tcW w:w="1255"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noWrap w:val="0"/>
            <w:vAlign w:val="center"/>
          </w:tcPr>
          <w:p>
            <w:pPr>
              <w:pStyle w:val="6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highlight w:val="none"/>
              </w:rPr>
            </w:pPr>
          </w:p>
        </w:tc>
        <w:tc>
          <w:tcPr>
            <w:tcW w:w="141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煤渣</w:t>
            </w:r>
          </w:p>
        </w:tc>
        <w:tc>
          <w:tcPr>
            <w:tcW w:w="1701"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1565.55</w:t>
            </w:r>
          </w:p>
        </w:tc>
        <w:tc>
          <w:tcPr>
            <w:tcW w:w="1276" w:type="dxa"/>
            <w:noWrap w:val="0"/>
            <w:vAlign w:val="center"/>
          </w:tcPr>
          <w:p>
            <w:pPr>
              <w:pStyle w:val="6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472" w:type="dxa"/>
            <w:noWrap w:val="0"/>
            <w:vAlign w:val="center"/>
          </w:tcPr>
          <w:p>
            <w:pPr>
              <w:pStyle w:val="6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619"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1714.65</w:t>
            </w:r>
          </w:p>
        </w:tc>
        <w:tc>
          <w:tcPr>
            <w:tcW w:w="1602"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1565.55</w:t>
            </w:r>
          </w:p>
        </w:tc>
        <w:tc>
          <w:tcPr>
            <w:tcW w:w="1858"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1714.65</w:t>
            </w:r>
          </w:p>
        </w:tc>
        <w:tc>
          <w:tcPr>
            <w:tcW w:w="1255"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149.1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noWrap w:val="0"/>
            <w:vAlign w:val="center"/>
          </w:tcPr>
          <w:p>
            <w:pPr>
              <w:pStyle w:val="6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highlight w:val="none"/>
              </w:rPr>
            </w:pPr>
          </w:p>
        </w:tc>
        <w:tc>
          <w:tcPr>
            <w:tcW w:w="141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除尘灰</w:t>
            </w:r>
          </w:p>
        </w:tc>
        <w:tc>
          <w:tcPr>
            <w:tcW w:w="1701"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6.16</w:t>
            </w:r>
          </w:p>
        </w:tc>
        <w:tc>
          <w:tcPr>
            <w:tcW w:w="1276" w:type="dxa"/>
            <w:noWrap w:val="0"/>
            <w:vAlign w:val="center"/>
          </w:tcPr>
          <w:p>
            <w:pPr>
              <w:pStyle w:val="6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472" w:type="dxa"/>
            <w:noWrap w:val="0"/>
            <w:vAlign w:val="center"/>
          </w:tcPr>
          <w:p>
            <w:pPr>
              <w:pStyle w:val="6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619"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7.626</w:t>
            </w:r>
          </w:p>
        </w:tc>
        <w:tc>
          <w:tcPr>
            <w:tcW w:w="1602"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6.16</w:t>
            </w:r>
          </w:p>
        </w:tc>
        <w:tc>
          <w:tcPr>
            <w:tcW w:w="1858"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7.626</w:t>
            </w:r>
          </w:p>
        </w:tc>
        <w:tc>
          <w:tcPr>
            <w:tcW w:w="1255"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1.466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noWrap w:val="0"/>
            <w:vAlign w:val="center"/>
          </w:tcPr>
          <w:p>
            <w:pPr>
              <w:pStyle w:val="6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highlight w:val="none"/>
              </w:rPr>
            </w:pPr>
          </w:p>
        </w:tc>
        <w:tc>
          <w:tcPr>
            <w:tcW w:w="141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脱硫除尘渣</w:t>
            </w:r>
          </w:p>
        </w:tc>
        <w:tc>
          <w:tcPr>
            <w:tcW w:w="1701"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213.8349</w:t>
            </w:r>
          </w:p>
        </w:tc>
        <w:tc>
          <w:tcPr>
            <w:tcW w:w="1276" w:type="dxa"/>
            <w:noWrap w:val="0"/>
            <w:vAlign w:val="center"/>
          </w:tcPr>
          <w:p>
            <w:pPr>
              <w:pStyle w:val="6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472" w:type="dxa"/>
            <w:noWrap w:val="0"/>
            <w:vAlign w:val="center"/>
          </w:tcPr>
          <w:p>
            <w:pPr>
              <w:pStyle w:val="6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619"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253.6296</w:t>
            </w:r>
          </w:p>
        </w:tc>
        <w:tc>
          <w:tcPr>
            <w:tcW w:w="1602"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213.8349</w:t>
            </w:r>
          </w:p>
        </w:tc>
        <w:tc>
          <w:tcPr>
            <w:tcW w:w="1858"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253.6296</w:t>
            </w:r>
          </w:p>
        </w:tc>
        <w:tc>
          <w:tcPr>
            <w:tcW w:w="1255"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39.7947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noWrap w:val="0"/>
            <w:vAlign w:val="center"/>
          </w:tcPr>
          <w:p>
            <w:pPr>
              <w:pStyle w:val="6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highlight w:val="none"/>
              </w:rPr>
            </w:pPr>
          </w:p>
        </w:tc>
        <w:tc>
          <w:tcPr>
            <w:tcW w:w="141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废机油</w:t>
            </w:r>
          </w:p>
        </w:tc>
        <w:tc>
          <w:tcPr>
            <w:tcW w:w="1701"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0.1</w:t>
            </w:r>
          </w:p>
        </w:tc>
        <w:tc>
          <w:tcPr>
            <w:tcW w:w="1276" w:type="dxa"/>
            <w:noWrap w:val="0"/>
            <w:vAlign w:val="center"/>
          </w:tcPr>
          <w:p>
            <w:pPr>
              <w:pStyle w:val="6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472" w:type="dxa"/>
            <w:noWrap w:val="0"/>
            <w:vAlign w:val="center"/>
          </w:tcPr>
          <w:p>
            <w:pPr>
              <w:pStyle w:val="6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19"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0.1</w:t>
            </w:r>
          </w:p>
        </w:tc>
        <w:tc>
          <w:tcPr>
            <w:tcW w:w="1602"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0.1</w:t>
            </w:r>
          </w:p>
        </w:tc>
        <w:tc>
          <w:tcPr>
            <w:tcW w:w="1858"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0.1</w:t>
            </w:r>
          </w:p>
        </w:tc>
        <w:tc>
          <w:tcPr>
            <w:tcW w:w="1255"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w:t>
            </w:r>
          </w:p>
        </w:tc>
      </w:tr>
    </w:tbl>
    <w:p>
      <w:pPr>
        <w:pStyle w:val="61"/>
        <w:spacing w:before="192" w:beforeLines="80" w:after="24"/>
        <w:jc w:val="left"/>
        <w:rPr>
          <w:rFonts w:hint="default" w:ascii="Times New Roman" w:hAnsi="Times New Roman" w:eastAsia="宋体" w:cs="Times New Roman"/>
          <w:snapToGrid w:val="0"/>
          <w:color w:val="auto"/>
          <w:spacing w:val="-6"/>
          <w:kern w:val="21"/>
          <w:szCs w:val="21"/>
          <w:highlight w:val="none"/>
        </w:rPr>
      </w:pPr>
      <w:r>
        <w:rPr>
          <w:rFonts w:hint="default" w:ascii="Times New Roman" w:hAnsi="Times New Roman" w:eastAsia="宋体" w:cs="Times New Roman"/>
          <w:snapToGrid w:val="0"/>
          <w:color w:val="auto"/>
          <w:kern w:val="21"/>
          <w:szCs w:val="21"/>
          <w:highlight w:val="none"/>
        </w:rPr>
        <w:t>注：</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③</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④</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⑤</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⑦</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p>
    <w:p>
      <w:pPr>
        <w:rPr>
          <w:rFonts w:hint="default" w:ascii="Times New Roman" w:hAnsi="Times New Roman" w:eastAsia="宋体" w:cs="Times New Roman"/>
          <w:color w:val="auto"/>
          <w:szCs w:val="21"/>
          <w:highlight w:val="none"/>
        </w:rPr>
      </w:pPr>
    </w:p>
    <w:sectPr>
      <w:footerReference r:id="rId4"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Wingdings 2">
    <w:altName w:val="Wingdings"/>
    <w:panose1 w:val="05020102010507070707"/>
    <w:charset w:val="00"/>
    <w:family w:val="roman"/>
    <w:pitch w:val="default"/>
    <w:sig w:usb0="00000000" w:usb1="00000000" w:usb2="00000000" w:usb3="00000000" w:csb0="80000000" w:csb1="00000000"/>
  </w:font>
  <w:font w:name="Cambria Math">
    <w:panose1 w:val="02040503050406030204"/>
    <w:charset w:val="00"/>
    <w:family w:val="auto"/>
    <w:pitch w:val="default"/>
    <w:sig w:usb0="E00006FF" w:usb1="420024FF" w:usb2="02000000" w:usb3="00000000" w:csb0="2000019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hint="eastAsia"/>
      </w:rPr>
    </w:pPr>
    <w:r>
      <w:fldChar w:fldCharType="begin"/>
    </w:r>
    <w:r>
      <w:instrText xml:space="preserve">PAGE   \* MERGEFORMAT</w:instrText>
    </w:r>
    <w:r>
      <w:fldChar w:fldCharType="separate"/>
    </w:r>
    <w:r>
      <w:rPr>
        <w:lang w:val="zh-CN"/>
      </w:rPr>
      <w:t>57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page" w:x="13800" w:y="-241"/>
      <w:rPr>
        <w:rStyle w:val="27"/>
        <w:rFonts w:ascii="宋体" w:hAnsi="宋体"/>
        <w:sz w:val="28"/>
        <w:szCs w:val="28"/>
      </w:rPr>
    </w:pPr>
    <w:r>
      <w:rPr>
        <w:rStyle w:val="27"/>
        <w:rFonts w:hint="eastAsia" w:ascii="宋体" w:hAnsi="宋体"/>
        <w:sz w:val="28"/>
        <w:szCs w:val="28"/>
      </w:rPr>
      <w:t>—</w:t>
    </w:r>
    <w:r>
      <w:rPr>
        <w:rStyle w:val="27"/>
        <w:rFonts w:hint="eastAsia" w:ascii="宋体" w:hAnsi="宋体"/>
        <w:sz w:val="20"/>
      </w:rPr>
      <w:t xml:space="preserve">  </w:t>
    </w:r>
    <w:r>
      <w:rPr>
        <w:rFonts w:ascii="宋体" w:hAnsi="宋体"/>
        <w:sz w:val="26"/>
        <w:szCs w:val="26"/>
      </w:rPr>
      <w:fldChar w:fldCharType="begin"/>
    </w:r>
    <w:r>
      <w:rPr>
        <w:rStyle w:val="27"/>
        <w:rFonts w:ascii="宋体" w:hAnsi="宋体"/>
        <w:sz w:val="26"/>
        <w:szCs w:val="26"/>
      </w:rPr>
      <w:instrText xml:space="preserve">PAGE  </w:instrText>
    </w:r>
    <w:r>
      <w:rPr>
        <w:rFonts w:ascii="宋体" w:hAnsi="宋体"/>
        <w:sz w:val="26"/>
        <w:szCs w:val="26"/>
      </w:rPr>
      <w:fldChar w:fldCharType="separate"/>
    </w:r>
    <w:r>
      <w:rPr>
        <w:rStyle w:val="27"/>
        <w:rFonts w:ascii="宋体" w:hAnsi="宋体"/>
        <w:sz w:val="26"/>
        <w:szCs w:val="26"/>
      </w:rPr>
      <w:t>82</w:t>
    </w:r>
    <w:r>
      <w:rPr>
        <w:rFonts w:ascii="宋体" w:hAnsi="宋体"/>
        <w:sz w:val="26"/>
        <w:szCs w:val="26"/>
      </w:rPr>
      <w:fldChar w:fldCharType="end"/>
    </w:r>
    <w:r>
      <w:rPr>
        <w:rStyle w:val="27"/>
        <w:rFonts w:hint="eastAsia" w:ascii="宋体" w:hAnsi="宋体"/>
        <w:sz w:val="20"/>
      </w:rPr>
      <w:t xml:space="preserve">  </w:t>
    </w:r>
    <w:r>
      <w:rPr>
        <w:rStyle w:val="27"/>
        <w:rFonts w:hint="eastAsia" w:ascii="宋体" w:hAnsi="宋体"/>
        <w:sz w:val="28"/>
        <w:szCs w:val="28"/>
      </w:rPr>
      <w:t>—</w:t>
    </w:r>
  </w:p>
  <w:p>
    <w:pPr>
      <w:pStyle w:val="13"/>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4D72DB"/>
    <w:multiLevelType w:val="singleLevel"/>
    <w:tmpl w:val="444D72DB"/>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52C2"/>
    <w:rsid w:val="000060B3"/>
    <w:rsid w:val="00007FEC"/>
    <w:rsid w:val="0001092E"/>
    <w:rsid w:val="00010BE6"/>
    <w:rsid w:val="00011B85"/>
    <w:rsid w:val="00013157"/>
    <w:rsid w:val="000169B5"/>
    <w:rsid w:val="00024598"/>
    <w:rsid w:val="00025B0C"/>
    <w:rsid w:val="00031DF4"/>
    <w:rsid w:val="00034142"/>
    <w:rsid w:val="000355C9"/>
    <w:rsid w:val="0004364B"/>
    <w:rsid w:val="00043F26"/>
    <w:rsid w:val="00050ABB"/>
    <w:rsid w:val="0005104A"/>
    <w:rsid w:val="00054978"/>
    <w:rsid w:val="00054B7F"/>
    <w:rsid w:val="00060A46"/>
    <w:rsid w:val="00061B1F"/>
    <w:rsid w:val="00063C1A"/>
    <w:rsid w:val="00064E50"/>
    <w:rsid w:val="000655D3"/>
    <w:rsid w:val="000659F7"/>
    <w:rsid w:val="00066326"/>
    <w:rsid w:val="00066ECA"/>
    <w:rsid w:val="0007211F"/>
    <w:rsid w:val="00072E73"/>
    <w:rsid w:val="000733C4"/>
    <w:rsid w:val="00074783"/>
    <w:rsid w:val="000774F3"/>
    <w:rsid w:val="00080130"/>
    <w:rsid w:val="0008070B"/>
    <w:rsid w:val="000810AC"/>
    <w:rsid w:val="00081A02"/>
    <w:rsid w:val="00082231"/>
    <w:rsid w:val="00087927"/>
    <w:rsid w:val="00087C28"/>
    <w:rsid w:val="0009223F"/>
    <w:rsid w:val="00092D38"/>
    <w:rsid w:val="0009377B"/>
    <w:rsid w:val="00096D56"/>
    <w:rsid w:val="0009793A"/>
    <w:rsid w:val="000A0F74"/>
    <w:rsid w:val="000A1BCF"/>
    <w:rsid w:val="000A20C9"/>
    <w:rsid w:val="000A5855"/>
    <w:rsid w:val="000A6143"/>
    <w:rsid w:val="000B058F"/>
    <w:rsid w:val="000B233E"/>
    <w:rsid w:val="000B3A15"/>
    <w:rsid w:val="000B4467"/>
    <w:rsid w:val="000B464D"/>
    <w:rsid w:val="000B4DB9"/>
    <w:rsid w:val="000B56AC"/>
    <w:rsid w:val="000C09AC"/>
    <w:rsid w:val="000C0FEF"/>
    <w:rsid w:val="000C38E6"/>
    <w:rsid w:val="000C4686"/>
    <w:rsid w:val="000C6F8F"/>
    <w:rsid w:val="000C767F"/>
    <w:rsid w:val="000D3383"/>
    <w:rsid w:val="000D5A44"/>
    <w:rsid w:val="000D7401"/>
    <w:rsid w:val="000E29AC"/>
    <w:rsid w:val="000E3ED2"/>
    <w:rsid w:val="000E5AF8"/>
    <w:rsid w:val="000F41D4"/>
    <w:rsid w:val="000F6BB3"/>
    <w:rsid w:val="000F6C8E"/>
    <w:rsid w:val="000F711F"/>
    <w:rsid w:val="001007FF"/>
    <w:rsid w:val="00101225"/>
    <w:rsid w:val="00101652"/>
    <w:rsid w:val="00101A86"/>
    <w:rsid w:val="00105D47"/>
    <w:rsid w:val="00112DA5"/>
    <w:rsid w:val="00112DF6"/>
    <w:rsid w:val="00120F97"/>
    <w:rsid w:val="00121125"/>
    <w:rsid w:val="00123A7B"/>
    <w:rsid w:val="00124282"/>
    <w:rsid w:val="00125DDC"/>
    <w:rsid w:val="00127485"/>
    <w:rsid w:val="00131F42"/>
    <w:rsid w:val="00134237"/>
    <w:rsid w:val="001356CD"/>
    <w:rsid w:val="001357F1"/>
    <w:rsid w:val="00140FA8"/>
    <w:rsid w:val="00142BA9"/>
    <w:rsid w:val="00142FEB"/>
    <w:rsid w:val="00143A2D"/>
    <w:rsid w:val="0014400F"/>
    <w:rsid w:val="00145A41"/>
    <w:rsid w:val="00151675"/>
    <w:rsid w:val="00151A74"/>
    <w:rsid w:val="00157435"/>
    <w:rsid w:val="0016007F"/>
    <w:rsid w:val="00161112"/>
    <w:rsid w:val="001617B5"/>
    <w:rsid w:val="00161968"/>
    <w:rsid w:val="001625C6"/>
    <w:rsid w:val="00167127"/>
    <w:rsid w:val="0016797C"/>
    <w:rsid w:val="00172E9D"/>
    <w:rsid w:val="00174F78"/>
    <w:rsid w:val="0017504D"/>
    <w:rsid w:val="0017671A"/>
    <w:rsid w:val="00177422"/>
    <w:rsid w:val="00180366"/>
    <w:rsid w:val="001803CE"/>
    <w:rsid w:val="00184590"/>
    <w:rsid w:val="00185F4D"/>
    <w:rsid w:val="001870C6"/>
    <w:rsid w:val="001870D1"/>
    <w:rsid w:val="0018781E"/>
    <w:rsid w:val="00187989"/>
    <w:rsid w:val="0019262D"/>
    <w:rsid w:val="00193942"/>
    <w:rsid w:val="001A0C85"/>
    <w:rsid w:val="001A1B35"/>
    <w:rsid w:val="001A48A2"/>
    <w:rsid w:val="001A4EB6"/>
    <w:rsid w:val="001A620A"/>
    <w:rsid w:val="001A6F61"/>
    <w:rsid w:val="001B0D02"/>
    <w:rsid w:val="001B251C"/>
    <w:rsid w:val="001B72B8"/>
    <w:rsid w:val="001C69B3"/>
    <w:rsid w:val="001D4F85"/>
    <w:rsid w:val="001D5595"/>
    <w:rsid w:val="001D7874"/>
    <w:rsid w:val="001D7F22"/>
    <w:rsid w:val="001E4929"/>
    <w:rsid w:val="001E5224"/>
    <w:rsid w:val="001F0F17"/>
    <w:rsid w:val="001F3347"/>
    <w:rsid w:val="001F4FE6"/>
    <w:rsid w:val="001F69E4"/>
    <w:rsid w:val="00200D57"/>
    <w:rsid w:val="002125B4"/>
    <w:rsid w:val="00212F72"/>
    <w:rsid w:val="00213F32"/>
    <w:rsid w:val="00214872"/>
    <w:rsid w:val="002155B8"/>
    <w:rsid w:val="00215C08"/>
    <w:rsid w:val="002233F3"/>
    <w:rsid w:val="00223B9A"/>
    <w:rsid w:val="00224164"/>
    <w:rsid w:val="00224839"/>
    <w:rsid w:val="002249B2"/>
    <w:rsid w:val="00226574"/>
    <w:rsid w:val="002278EC"/>
    <w:rsid w:val="00230C6D"/>
    <w:rsid w:val="0023280E"/>
    <w:rsid w:val="00236A86"/>
    <w:rsid w:val="002377D1"/>
    <w:rsid w:val="0024349B"/>
    <w:rsid w:val="0024440D"/>
    <w:rsid w:val="00244938"/>
    <w:rsid w:val="00244BDF"/>
    <w:rsid w:val="00246AE2"/>
    <w:rsid w:val="002506BC"/>
    <w:rsid w:val="002511A6"/>
    <w:rsid w:val="00251B25"/>
    <w:rsid w:val="00253953"/>
    <w:rsid w:val="00254345"/>
    <w:rsid w:val="00264557"/>
    <w:rsid w:val="00264A64"/>
    <w:rsid w:val="00266DD0"/>
    <w:rsid w:val="00272078"/>
    <w:rsid w:val="002805AB"/>
    <w:rsid w:val="00283989"/>
    <w:rsid w:val="00284204"/>
    <w:rsid w:val="002849D8"/>
    <w:rsid w:val="00287C1A"/>
    <w:rsid w:val="002903F1"/>
    <w:rsid w:val="002907C1"/>
    <w:rsid w:val="00291773"/>
    <w:rsid w:val="00295D40"/>
    <w:rsid w:val="002A168C"/>
    <w:rsid w:val="002A3DC7"/>
    <w:rsid w:val="002B16BF"/>
    <w:rsid w:val="002B2AEA"/>
    <w:rsid w:val="002B49E2"/>
    <w:rsid w:val="002B759B"/>
    <w:rsid w:val="002B7B00"/>
    <w:rsid w:val="002B7C44"/>
    <w:rsid w:val="002C2B17"/>
    <w:rsid w:val="002C351D"/>
    <w:rsid w:val="002C6AD8"/>
    <w:rsid w:val="002D2D3C"/>
    <w:rsid w:val="002D3DD0"/>
    <w:rsid w:val="002E1F3A"/>
    <w:rsid w:val="002E298A"/>
    <w:rsid w:val="002E5C31"/>
    <w:rsid w:val="002E718C"/>
    <w:rsid w:val="002F3E5E"/>
    <w:rsid w:val="00300167"/>
    <w:rsid w:val="003008D0"/>
    <w:rsid w:val="00300DFC"/>
    <w:rsid w:val="00300F36"/>
    <w:rsid w:val="00301978"/>
    <w:rsid w:val="0030332C"/>
    <w:rsid w:val="00304F39"/>
    <w:rsid w:val="003051C2"/>
    <w:rsid w:val="00306E4C"/>
    <w:rsid w:val="0031164E"/>
    <w:rsid w:val="00312296"/>
    <w:rsid w:val="00314F0E"/>
    <w:rsid w:val="00321D8E"/>
    <w:rsid w:val="00325928"/>
    <w:rsid w:val="0032658B"/>
    <w:rsid w:val="00332224"/>
    <w:rsid w:val="00332863"/>
    <w:rsid w:val="0033684D"/>
    <w:rsid w:val="00337B42"/>
    <w:rsid w:val="00340EA3"/>
    <w:rsid w:val="00341B42"/>
    <w:rsid w:val="00341CE7"/>
    <w:rsid w:val="0034348F"/>
    <w:rsid w:val="00345943"/>
    <w:rsid w:val="00346A58"/>
    <w:rsid w:val="00350928"/>
    <w:rsid w:val="00351115"/>
    <w:rsid w:val="00352ECE"/>
    <w:rsid w:val="003550FC"/>
    <w:rsid w:val="00356653"/>
    <w:rsid w:val="003569ED"/>
    <w:rsid w:val="0035743F"/>
    <w:rsid w:val="00357BE2"/>
    <w:rsid w:val="0036170C"/>
    <w:rsid w:val="00366E0F"/>
    <w:rsid w:val="00370084"/>
    <w:rsid w:val="00373E24"/>
    <w:rsid w:val="00374590"/>
    <w:rsid w:val="00381A72"/>
    <w:rsid w:val="00382659"/>
    <w:rsid w:val="00384676"/>
    <w:rsid w:val="00384B5A"/>
    <w:rsid w:val="00390857"/>
    <w:rsid w:val="0039716A"/>
    <w:rsid w:val="003A3561"/>
    <w:rsid w:val="003A4BF3"/>
    <w:rsid w:val="003B016F"/>
    <w:rsid w:val="003B2EB1"/>
    <w:rsid w:val="003B420D"/>
    <w:rsid w:val="003B567E"/>
    <w:rsid w:val="003C08B7"/>
    <w:rsid w:val="003C6C16"/>
    <w:rsid w:val="003C7BA7"/>
    <w:rsid w:val="003D035C"/>
    <w:rsid w:val="003D652F"/>
    <w:rsid w:val="003D6E59"/>
    <w:rsid w:val="003D794D"/>
    <w:rsid w:val="003E0B52"/>
    <w:rsid w:val="003E3058"/>
    <w:rsid w:val="003E5253"/>
    <w:rsid w:val="003E5B88"/>
    <w:rsid w:val="003E76A9"/>
    <w:rsid w:val="003E79AC"/>
    <w:rsid w:val="003F0809"/>
    <w:rsid w:val="003F08F6"/>
    <w:rsid w:val="003F5D1A"/>
    <w:rsid w:val="003F6A8C"/>
    <w:rsid w:val="003F755C"/>
    <w:rsid w:val="00403712"/>
    <w:rsid w:val="00403AEC"/>
    <w:rsid w:val="00405D82"/>
    <w:rsid w:val="00406F01"/>
    <w:rsid w:val="00416D50"/>
    <w:rsid w:val="00416FD5"/>
    <w:rsid w:val="00417772"/>
    <w:rsid w:val="00420E6A"/>
    <w:rsid w:val="004239FA"/>
    <w:rsid w:val="00425A9E"/>
    <w:rsid w:val="00426D6B"/>
    <w:rsid w:val="00427051"/>
    <w:rsid w:val="00431E6C"/>
    <w:rsid w:val="004327A2"/>
    <w:rsid w:val="00433CE7"/>
    <w:rsid w:val="00436885"/>
    <w:rsid w:val="004379C2"/>
    <w:rsid w:val="004435FF"/>
    <w:rsid w:val="00446D09"/>
    <w:rsid w:val="00447463"/>
    <w:rsid w:val="00452738"/>
    <w:rsid w:val="00454287"/>
    <w:rsid w:val="00456091"/>
    <w:rsid w:val="00460D17"/>
    <w:rsid w:val="00461F93"/>
    <w:rsid w:val="004644F8"/>
    <w:rsid w:val="00466321"/>
    <w:rsid w:val="0046652A"/>
    <w:rsid w:val="004739EF"/>
    <w:rsid w:val="004829A8"/>
    <w:rsid w:val="00482F9B"/>
    <w:rsid w:val="0048414E"/>
    <w:rsid w:val="00484B9B"/>
    <w:rsid w:val="004855F6"/>
    <w:rsid w:val="00486022"/>
    <w:rsid w:val="0048661E"/>
    <w:rsid w:val="00492AFC"/>
    <w:rsid w:val="00492BA6"/>
    <w:rsid w:val="00492D77"/>
    <w:rsid w:val="00493119"/>
    <w:rsid w:val="00493EEB"/>
    <w:rsid w:val="00494670"/>
    <w:rsid w:val="004A0933"/>
    <w:rsid w:val="004A3823"/>
    <w:rsid w:val="004A4A58"/>
    <w:rsid w:val="004A6B0C"/>
    <w:rsid w:val="004A6C29"/>
    <w:rsid w:val="004B147A"/>
    <w:rsid w:val="004B2283"/>
    <w:rsid w:val="004B4E8F"/>
    <w:rsid w:val="004B7E4E"/>
    <w:rsid w:val="004C0228"/>
    <w:rsid w:val="004C1922"/>
    <w:rsid w:val="004C6FBD"/>
    <w:rsid w:val="004C7AB8"/>
    <w:rsid w:val="004D0924"/>
    <w:rsid w:val="004D3C50"/>
    <w:rsid w:val="004D3EA8"/>
    <w:rsid w:val="004D7DF7"/>
    <w:rsid w:val="004E3049"/>
    <w:rsid w:val="004E4104"/>
    <w:rsid w:val="004E5FF7"/>
    <w:rsid w:val="004E6946"/>
    <w:rsid w:val="004F1AD8"/>
    <w:rsid w:val="004F785A"/>
    <w:rsid w:val="005013B7"/>
    <w:rsid w:val="00501F10"/>
    <w:rsid w:val="005039CB"/>
    <w:rsid w:val="0050558F"/>
    <w:rsid w:val="00505D0B"/>
    <w:rsid w:val="00506286"/>
    <w:rsid w:val="00506556"/>
    <w:rsid w:val="00506EFB"/>
    <w:rsid w:val="00510813"/>
    <w:rsid w:val="00511990"/>
    <w:rsid w:val="00511DE0"/>
    <w:rsid w:val="00514870"/>
    <w:rsid w:val="00514B9B"/>
    <w:rsid w:val="00517F02"/>
    <w:rsid w:val="0052082B"/>
    <w:rsid w:val="00522DAD"/>
    <w:rsid w:val="005235C0"/>
    <w:rsid w:val="00523883"/>
    <w:rsid w:val="00524303"/>
    <w:rsid w:val="00524AB7"/>
    <w:rsid w:val="00525748"/>
    <w:rsid w:val="005258A2"/>
    <w:rsid w:val="00526D76"/>
    <w:rsid w:val="00527DE3"/>
    <w:rsid w:val="00537557"/>
    <w:rsid w:val="005401AE"/>
    <w:rsid w:val="005428AF"/>
    <w:rsid w:val="00542E07"/>
    <w:rsid w:val="005431BB"/>
    <w:rsid w:val="00543F68"/>
    <w:rsid w:val="00545424"/>
    <w:rsid w:val="00554A7B"/>
    <w:rsid w:val="0055572C"/>
    <w:rsid w:val="00556608"/>
    <w:rsid w:val="00556B80"/>
    <w:rsid w:val="005574FC"/>
    <w:rsid w:val="0056104C"/>
    <w:rsid w:val="0056106A"/>
    <w:rsid w:val="00561540"/>
    <w:rsid w:val="00564C8F"/>
    <w:rsid w:val="0056549D"/>
    <w:rsid w:val="005720AE"/>
    <w:rsid w:val="0058018B"/>
    <w:rsid w:val="0058284B"/>
    <w:rsid w:val="00585BC7"/>
    <w:rsid w:val="00586738"/>
    <w:rsid w:val="00594D77"/>
    <w:rsid w:val="005969E4"/>
    <w:rsid w:val="005A06B7"/>
    <w:rsid w:val="005A1759"/>
    <w:rsid w:val="005A2219"/>
    <w:rsid w:val="005A32C4"/>
    <w:rsid w:val="005A37AE"/>
    <w:rsid w:val="005A68A7"/>
    <w:rsid w:val="005B26D8"/>
    <w:rsid w:val="005B331A"/>
    <w:rsid w:val="005B360B"/>
    <w:rsid w:val="005B6B78"/>
    <w:rsid w:val="005C0DA9"/>
    <w:rsid w:val="005C1CE1"/>
    <w:rsid w:val="005C5030"/>
    <w:rsid w:val="005C561E"/>
    <w:rsid w:val="005C640E"/>
    <w:rsid w:val="005C69AB"/>
    <w:rsid w:val="005D1820"/>
    <w:rsid w:val="005D36AB"/>
    <w:rsid w:val="005E407E"/>
    <w:rsid w:val="005E54CF"/>
    <w:rsid w:val="005F3A74"/>
    <w:rsid w:val="00601759"/>
    <w:rsid w:val="006067CE"/>
    <w:rsid w:val="00612FCA"/>
    <w:rsid w:val="00617203"/>
    <w:rsid w:val="00617CC3"/>
    <w:rsid w:val="0062165B"/>
    <w:rsid w:val="006263B8"/>
    <w:rsid w:val="006304FE"/>
    <w:rsid w:val="00633526"/>
    <w:rsid w:val="00636F80"/>
    <w:rsid w:val="006377A6"/>
    <w:rsid w:val="00637A3D"/>
    <w:rsid w:val="00640298"/>
    <w:rsid w:val="006411EF"/>
    <w:rsid w:val="0064538D"/>
    <w:rsid w:val="00651270"/>
    <w:rsid w:val="00661136"/>
    <w:rsid w:val="006704E8"/>
    <w:rsid w:val="006725B0"/>
    <w:rsid w:val="006748B8"/>
    <w:rsid w:val="00676161"/>
    <w:rsid w:val="006775C3"/>
    <w:rsid w:val="00681905"/>
    <w:rsid w:val="0068321B"/>
    <w:rsid w:val="0069023A"/>
    <w:rsid w:val="0069290A"/>
    <w:rsid w:val="00693615"/>
    <w:rsid w:val="006945CD"/>
    <w:rsid w:val="0069775A"/>
    <w:rsid w:val="00697813"/>
    <w:rsid w:val="00697B18"/>
    <w:rsid w:val="006A07AD"/>
    <w:rsid w:val="006A2B76"/>
    <w:rsid w:val="006A3EE8"/>
    <w:rsid w:val="006A72BF"/>
    <w:rsid w:val="006B03F2"/>
    <w:rsid w:val="006B2CB8"/>
    <w:rsid w:val="006B37DC"/>
    <w:rsid w:val="006B4F68"/>
    <w:rsid w:val="006C0592"/>
    <w:rsid w:val="006C0750"/>
    <w:rsid w:val="006C272E"/>
    <w:rsid w:val="006C5479"/>
    <w:rsid w:val="006C61C1"/>
    <w:rsid w:val="006D04A0"/>
    <w:rsid w:val="006D08E1"/>
    <w:rsid w:val="006D13B5"/>
    <w:rsid w:val="006E12FF"/>
    <w:rsid w:val="006E344F"/>
    <w:rsid w:val="006E607E"/>
    <w:rsid w:val="006F371A"/>
    <w:rsid w:val="00704AB9"/>
    <w:rsid w:val="00705A6F"/>
    <w:rsid w:val="007065EA"/>
    <w:rsid w:val="00706C5D"/>
    <w:rsid w:val="00707D12"/>
    <w:rsid w:val="0072676B"/>
    <w:rsid w:val="00732922"/>
    <w:rsid w:val="007337BE"/>
    <w:rsid w:val="00735044"/>
    <w:rsid w:val="00736F4E"/>
    <w:rsid w:val="00743D5D"/>
    <w:rsid w:val="0075162E"/>
    <w:rsid w:val="007529B7"/>
    <w:rsid w:val="00754034"/>
    <w:rsid w:val="00756556"/>
    <w:rsid w:val="00756B91"/>
    <w:rsid w:val="007618C4"/>
    <w:rsid w:val="00761BDD"/>
    <w:rsid w:val="00765DAE"/>
    <w:rsid w:val="00767980"/>
    <w:rsid w:val="00767A9E"/>
    <w:rsid w:val="007701E9"/>
    <w:rsid w:val="00770B19"/>
    <w:rsid w:val="0077463F"/>
    <w:rsid w:val="00781815"/>
    <w:rsid w:val="007836EA"/>
    <w:rsid w:val="00783F48"/>
    <w:rsid w:val="00784535"/>
    <w:rsid w:val="00784CDA"/>
    <w:rsid w:val="007906C4"/>
    <w:rsid w:val="00792149"/>
    <w:rsid w:val="007940EA"/>
    <w:rsid w:val="007967E8"/>
    <w:rsid w:val="007A2170"/>
    <w:rsid w:val="007A22BF"/>
    <w:rsid w:val="007A3323"/>
    <w:rsid w:val="007A3F3A"/>
    <w:rsid w:val="007A5DBB"/>
    <w:rsid w:val="007B35EE"/>
    <w:rsid w:val="007B4B0C"/>
    <w:rsid w:val="007B72B8"/>
    <w:rsid w:val="007B7A58"/>
    <w:rsid w:val="007C0198"/>
    <w:rsid w:val="007C08AA"/>
    <w:rsid w:val="007C1282"/>
    <w:rsid w:val="007C21B5"/>
    <w:rsid w:val="007C3D2E"/>
    <w:rsid w:val="007C54E3"/>
    <w:rsid w:val="007D13AF"/>
    <w:rsid w:val="007D4881"/>
    <w:rsid w:val="007D7651"/>
    <w:rsid w:val="007E44CE"/>
    <w:rsid w:val="007E4AB3"/>
    <w:rsid w:val="007E4BD2"/>
    <w:rsid w:val="007E5CEA"/>
    <w:rsid w:val="007F07F6"/>
    <w:rsid w:val="007F41A1"/>
    <w:rsid w:val="007F444B"/>
    <w:rsid w:val="00801393"/>
    <w:rsid w:val="00802F88"/>
    <w:rsid w:val="00803B53"/>
    <w:rsid w:val="00805EDA"/>
    <w:rsid w:val="0080698D"/>
    <w:rsid w:val="008102FD"/>
    <w:rsid w:val="0081293E"/>
    <w:rsid w:val="00815465"/>
    <w:rsid w:val="00816705"/>
    <w:rsid w:val="00817E9A"/>
    <w:rsid w:val="0082018B"/>
    <w:rsid w:val="00821D82"/>
    <w:rsid w:val="00826672"/>
    <w:rsid w:val="00827752"/>
    <w:rsid w:val="00827E45"/>
    <w:rsid w:val="008303FF"/>
    <w:rsid w:val="008306BD"/>
    <w:rsid w:val="008306F5"/>
    <w:rsid w:val="00831A80"/>
    <w:rsid w:val="00833743"/>
    <w:rsid w:val="008340A4"/>
    <w:rsid w:val="00844B28"/>
    <w:rsid w:val="00846C19"/>
    <w:rsid w:val="00852EBE"/>
    <w:rsid w:val="008609D9"/>
    <w:rsid w:val="00864321"/>
    <w:rsid w:val="00864D20"/>
    <w:rsid w:val="00867D4A"/>
    <w:rsid w:val="0087135F"/>
    <w:rsid w:val="008726CE"/>
    <w:rsid w:val="00872D94"/>
    <w:rsid w:val="00873FF7"/>
    <w:rsid w:val="00875DC3"/>
    <w:rsid w:val="008779C1"/>
    <w:rsid w:val="00877B35"/>
    <w:rsid w:val="00880364"/>
    <w:rsid w:val="00880367"/>
    <w:rsid w:val="0088152E"/>
    <w:rsid w:val="00884370"/>
    <w:rsid w:val="00891592"/>
    <w:rsid w:val="00891E9E"/>
    <w:rsid w:val="008948EB"/>
    <w:rsid w:val="008A1E74"/>
    <w:rsid w:val="008A2F68"/>
    <w:rsid w:val="008A6AD1"/>
    <w:rsid w:val="008B3ADF"/>
    <w:rsid w:val="008B4FA6"/>
    <w:rsid w:val="008B5282"/>
    <w:rsid w:val="008B7C17"/>
    <w:rsid w:val="008C2D01"/>
    <w:rsid w:val="008C40E6"/>
    <w:rsid w:val="008D0786"/>
    <w:rsid w:val="008D0F7A"/>
    <w:rsid w:val="008D1C1B"/>
    <w:rsid w:val="008D68E4"/>
    <w:rsid w:val="008E0506"/>
    <w:rsid w:val="008E0CFF"/>
    <w:rsid w:val="008E5662"/>
    <w:rsid w:val="008E5D6B"/>
    <w:rsid w:val="008E6A0B"/>
    <w:rsid w:val="008E76F0"/>
    <w:rsid w:val="008F15FE"/>
    <w:rsid w:val="008F2D29"/>
    <w:rsid w:val="008F5187"/>
    <w:rsid w:val="008F5B1B"/>
    <w:rsid w:val="008F5BDA"/>
    <w:rsid w:val="008F60D8"/>
    <w:rsid w:val="00900436"/>
    <w:rsid w:val="00902727"/>
    <w:rsid w:val="0090312B"/>
    <w:rsid w:val="00905281"/>
    <w:rsid w:val="00905DC1"/>
    <w:rsid w:val="009073F1"/>
    <w:rsid w:val="00907D56"/>
    <w:rsid w:val="00910616"/>
    <w:rsid w:val="009113D5"/>
    <w:rsid w:val="00916B91"/>
    <w:rsid w:val="0091736D"/>
    <w:rsid w:val="00921059"/>
    <w:rsid w:val="0092262B"/>
    <w:rsid w:val="0092425D"/>
    <w:rsid w:val="0093037A"/>
    <w:rsid w:val="0093064F"/>
    <w:rsid w:val="009334B0"/>
    <w:rsid w:val="009350BA"/>
    <w:rsid w:val="00940F9A"/>
    <w:rsid w:val="0094154D"/>
    <w:rsid w:val="00942E8D"/>
    <w:rsid w:val="0095155F"/>
    <w:rsid w:val="00954429"/>
    <w:rsid w:val="009563CE"/>
    <w:rsid w:val="00956E88"/>
    <w:rsid w:val="009612EB"/>
    <w:rsid w:val="0096396A"/>
    <w:rsid w:val="00963C40"/>
    <w:rsid w:val="00964E45"/>
    <w:rsid w:val="0097051F"/>
    <w:rsid w:val="0097571C"/>
    <w:rsid w:val="00976328"/>
    <w:rsid w:val="0097680D"/>
    <w:rsid w:val="009777F5"/>
    <w:rsid w:val="00982118"/>
    <w:rsid w:val="00982438"/>
    <w:rsid w:val="0098404C"/>
    <w:rsid w:val="00985283"/>
    <w:rsid w:val="00987251"/>
    <w:rsid w:val="0099049A"/>
    <w:rsid w:val="009952C1"/>
    <w:rsid w:val="00995992"/>
    <w:rsid w:val="00995BD1"/>
    <w:rsid w:val="009966DF"/>
    <w:rsid w:val="009A03E5"/>
    <w:rsid w:val="009A0F3B"/>
    <w:rsid w:val="009A1BB4"/>
    <w:rsid w:val="009A2628"/>
    <w:rsid w:val="009A3126"/>
    <w:rsid w:val="009A3200"/>
    <w:rsid w:val="009A37B4"/>
    <w:rsid w:val="009A3D39"/>
    <w:rsid w:val="009B0897"/>
    <w:rsid w:val="009B143F"/>
    <w:rsid w:val="009B5250"/>
    <w:rsid w:val="009B7853"/>
    <w:rsid w:val="009B7BD9"/>
    <w:rsid w:val="009C7DD5"/>
    <w:rsid w:val="009D1D13"/>
    <w:rsid w:val="009D2F39"/>
    <w:rsid w:val="009E15B1"/>
    <w:rsid w:val="009E227D"/>
    <w:rsid w:val="009E5019"/>
    <w:rsid w:val="009E632F"/>
    <w:rsid w:val="009E724E"/>
    <w:rsid w:val="009E7F64"/>
    <w:rsid w:val="009F20DB"/>
    <w:rsid w:val="009F2C21"/>
    <w:rsid w:val="009F7C63"/>
    <w:rsid w:val="00A04F1B"/>
    <w:rsid w:val="00A0501B"/>
    <w:rsid w:val="00A0525F"/>
    <w:rsid w:val="00A05940"/>
    <w:rsid w:val="00A0664D"/>
    <w:rsid w:val="00A118BB"/>
    <w:rsid w:val="00A139CE"/>
    <w:rsid w:val="00A14947"/>
    <w:rsid w:val="00A219BC"/>
    <w:rsid w:val="00A24C48"/>
    <w:rsid w:val="00A32A83"/>
    <w:rsid w:val="00A3647F"/>
    <w:rsid w:val="00A368DB"/>
    <w:rsid w:val="00A423AA"/>
    <w:rsid w:val="00A53EC6"/>
    <w:rsid w:val="00A55C0F"/>
    <w:rsid w:val="00A57927"/>
    <w:rsid w:val="00A60FA2"/>
    <w:rsid w:val="00A6106F"/>
    <w:rsid w:val="00A61B8B"/>
    <w:rsid w:val="00A63E33"/>
    <w:rsid w:val="00A6422E"/>
    <w:rsid w:val="00A71B78"/>
    <w:rsid w:val="00A732FA"/>
    <w:rsid w:val="00A76FB6"/>
    <w:rsid w:val="00A82C3C"/>
    <w:rsid w:val="00A832CE"/>
    <w:rsid w:val="00A859A6"/>
    <w:rsid w:val="00A8713F"/>
    <w:rsid w:val="00A9093E"/>
    <w:rsid w:val="00A90BA1"/>
    <w:rsid w:val="00A93D29"/>
    <w:rsid w:val="00A97A9A"/>
    <w:rsid w:val="00AA0671"/>
    <w:rsid w:val="00AA2531"/>
    <w:rsid w:val="00AA2868"/>
    <w:rsid w:val="00AB1E09"/>
    <w:rsid w:val="00AB5330"/>
    <w:rsid w:val="00AB53E9"/>
    <w:rsid w:val="00AB5F9D"/>
    <w:rsid w:val="00AB7747"/>
    <w:rsid w:val="00AC14CE"/>
    <w:rsid w:val="00AC2A56"/>
    <w:rsid w:val="00AC5C98"/>
    <w:rsid w:val="00AD055E"/>
    <w:rsid w:val="00AD274B"/>
    <w:rsid w:val="00AD47A7"/>
    <w:rsid w:val="00AE1816"/>
    <w:rsid w:val="00AE1936"/>
    <w:rsid w:val="00AF0CBF"/>
    <w:rsid w:val="00AF1385"/>
    <w:rsid w:val="00AF257F"/>
    <w:rsid w:val="00AF33CF"/>
    <w:rsid w:val="00AF43B2"/>
    <w:rsid w:val="00AF4D50"/>
    <w:rsid w:val="00AF6179"/>
    <w:rsid w:val="00AF6A11"/>
    <w:rsid w:val="00B04B56"/>
    <w:rsid w:val="00B12197"/>
    <w:rsid w:val="00B1295A"/>
    <w:rsid w:val="00B148BD"/>
    <w:rsid w:val="00B15329"/>
    <w:rsid w:val="00B15E7E"/>
    <w:rsid w:val="00B20A45"/>
    <w:rsid w:val="00B22C5C"/>
    <w:rsid w:val="00B23A6B"/>
    <w:rsid w:val="00B24F30"/>
    <w:rsid w:val="00B312DA"/>
    <w:rsid w:val="00B31ABF"/>
    <w:rsid w:val="00B33373"/>
    <w:rsid w:val="00B33BE3"/>
    <w:rsid w:val="00B36DBD"/>
    <w:rsid w:val="00B4069F"/>
    <w:rsid w:val="00B53B5D"/>
    <w:rsid w:val="00B57E91"/>
    <w:rsid w:val="00B6047C"/>
    <w:rsid w:val="00B6055E"/>
    <w:rsid w:val="00B6089D"/>
    <w:rsid w:val="00B6317D"/>
    <w:rsid w:val="00B63444"/>
    <w:rsid w:val="00B71305"/>
    <w:rsid w:val="00B767B7"/>
    <w:rsid w:val="00B7723F"/>
    <w:rsid w:val="00B80534"/>
    <w:rsid w:val="00B8106D"/>
    <w:rsid w:val="00B8433C"/>
    <w:rsid w:val="00B85362"/>
    <w:rsid w:val="00B87491"/>
    <w:rsid w:val="00B87878"/>
    <w:rsid w:val="00B87C40"/>
    <w:rsid w:val="00B91083"/>
    <w:rsid w:val="00B91D42"/>
    <w:rsid w:val="00B9291B"/>
    <w:rsid w:val="00B96F25"/>
    <w:rsid w:val="00BA29E9"/>
    <w:rsid w:val="00BA5F66"/>
    <w:rsid w:val="00BA7142"/>
    <w:rsid w:val="00BB0EC9"/>
    <w:rsid w:val="00BB237C"/>
    <w:rsid w:val="00BB261F"/>
    <w:rsid w:val="00BB2A47"/>
    <w:rsid w:val="00BB41A3"/>
    <w:rsid w:val="00BB5FF4"/>
    <w:rsid w:val="00BB6222"/>
    <w:rsid w:val="00BC0CB4"/>
    <w:rsid w:val="00BC262A"/>
    <w:rsid w:val="00BC281D"/>
    <w:rsid w:val="00BC32DC"/>
    <w:rsid w:val="00BC35B6"/>
    <w:rsid w:val="00BC45E5"/>
    <w:rsid w:val="00BD1B51"/>
    <w:rsid w:val="00BD4596"/>
    <w:rsid w:val="00BE0137"/>
    <w:rsid w:val="00BE1405"/>
    <w:rsid w:val="00BE1E0D"/>
    <w:rsid w:val="00BE312D"/>
    <w:rsid w:val="00BF1C20"/>
    <w:rsid w:val="00BF3A75"/>
    <w:rsid w:val="00BF3DF5"/>
    <w:rsid w:val="00BF6AF1"/>
    <w:rsid w:val="00C10048"/>
    <w:rsid w:val="00C10578"/>
    <w:rsid w:val="00C107FC"/>
    <w:rsid w:val="00C10EB4"/>
    <w:rsid w:val="00C135BC"/>
    <w:rsid w:val="00C14E46"/>
    <w:rsid w:val="00C15C95"/>
    <w:rsid w:val="00C16751"/>
    <w:rsid w:val="00C2596A"/>
    <w:rsid w:val="00C263BA"/>
    <w:rsid w:val="00C27537"/>
    <w:rsid w:val="00C328FE"/>
    <w:rsid w:val="00C33507"/>
    <w:rsid w:val="00C41FF2"/>
    <w:rsid w:val="00C44009"/>
    <w:rsid w:val="00C4409D"/>
    <w:rsid w:val="00C44E72"/>
    <w:rsid w:val="00C453C5"/>
    <w:rsid w:val="00C45A06"/>
    <w:rsid w:val="00C47E5B"/>
    <w:rsid w:val="00C5697A"/>
    <w:rsid w:val="00C57449"/>
    <w:rsid w:val="00C57860"/>
    <w:rsid w:val="00C61184"/>
    <w:rsid w:val="00C61E4B"/>
    <w:rsid w:val="00C627B4"/>
    <w:rsid w:val="00C64BFF"/>
    <w:rsid w:val="00C704E9"/>
    <w:rsid w:val="00C71987"/>
    <w:rsid w:val="00C72D02"/>
    <w:rsid w:val="00C753F1"/>
    <w:rsid w:val="00C763C9"/>
    <w:rsid w:val="00C768FA"/>
    <w:rsid w:val="00C80057"/>
    <w:rsid w:val="00C81D16"/>
    <w:rsid w:val="00C82232"/>
    <w:rsid w:val="00C82913"/>
    <w:rsid w:val="00C84A40"/>
    <w:rsid w:val="00C84A6E"/>
    <w:rsid w:val="00C87909"/>
    <w:rsid w:val="00C9122C"/>
    <w:rsid w:val="00C92AEC"/>
    <w:rsid w:val="00C972B1"/>
    <w:rsid w:val="00CA03D5"/>
    <w:rsid w:val="00CA2CCE"/>
    <w:rsid w:val="00CA43FD"/>
    <w:rsid w:val="00CA7EF8"/>
    <w:rsid w:val="00CB07BD"/>
    <w:rsid w:val="00CB4930"/>
    <w:rsid w:val="00CB63D6"/>
    <w:rsid w:val="00CB7B39"/>
    <w:rsid w:val="00CC1843"/>
    <w:rsid w:val="00CC489B"/>
    <w:rsid w:val="00CC7735"/>
    <w:rsid w:val="00CD2BCD"/>
    <w:rsid w:val="00CD3A4C"/>
    <w:rsid w:val="00CD7B70"/>
    <w:rsid w:val="00CE10E9"/>
    <w:rsid w:val="00CE2910"/>
    <w:rsid w:val="00CE5393"/>
    <w:rsid w:val="00CE6BE4"/>
    <w:rsid w:val="00CE7B9A"/>
    <w:rsid w:val="00CF07B9"/>
    <w:rsid w:val="00CF1098"/>
    <w:rsid w:val="00CF2AD5"/>
    <w:rsid w:val="00CF309A"/>
    <w:rsid w:val="00CF36BE"/>
    <w:rsid w:val="00CF4A37"/>
    <w:rsid w:val="00CF6000"/>
    <w:rsid w:val="00CF7AD9"/>
    <w:rsid w:val="00D003F3"/>
    <w:rsid w:val="00D0364F"/>
    <w:rsid w:val="00D06834"/>
    <w:rsid w:val="00D10A66"/>
    <w:rsid w:val="00D11076"/>
    <w:rsid w:val="00D14492"/>
    <w:rsid w:val="00D15A30"/>
    <w:rsid w:val="00D16C72"/>
    <w:rsid w:val="00D209EF"/>
    <w:rsid w:val="00D22AA9"/>
    <w:rsid w:val="00D23B39"/>
    <w:rsid w:val="00D308ED"/>
    <w:rsid w:val="00D35CCD"/>
    <w:rsid w:val="00D36D86"/>
    <w:rsid w:val="00D428AA"/>
    <w:rsid w:val="00D45D39"/>
    <w:rsid w:val="00D46256"/>
    <w:rsid w:val="00D479F3"/>
    <w:rsid w:val="00D502C5"/>
    <w:rsid w:val="00D50A34"/>
    <w:rsid w:val="00D53EFA"/>
    <w:rsid w:val="00D601BC"/>
    <w:rsid w:val="00D64C79"/>
    <w:rsid w:val="00D655A6"/>
    <w:rsid w:val="00D74CF6"/>
    <w:rsid w:val="00D75B1A"/>
    <w:rsid w:val="00D7779A"/>
    <w:rsid w:val="00D77A32"/>
    <w:rsid w:val="00D8647F"/>
    <w:rsid w:val="00D914DD"/>
    <w:rsid w:val="00D9173F"/>
    <w:rsid w:val="00D94A7C"/>
    <w:rsid w:val="00D94F3E"/>
    <w:rsid w:val="00D95896"/>
    <w:rsid w:val="00D95C21"/>
    <w:rsid w:val="00DA07A6"/>
    <w:rsid w:val="00DA7AD1"/>
    <w:rsid w:val="00DB01DA"/>
    <w:rsid w:val="00DB1F15"/>
    <w:rsid w:val="00DB2983"/>
    <w:rsid w:val="00DC0DE1"/>
    <w:rsid w:val="00DC1257"/>
    <w:rsid w:val="00DC3DC0"/>
    <w:rsid w:val="00DC5B2B"/>
    <w:rsid w:val="00DC7645"/>
    <w:rsid w:val="00DC7DC6"/>
    <w:rsid w:val="00DD1D29"/>
    <w:rsid w:val="00DD2E1C"/>
    <w:rsid w:val="00DD318D"/>
    <w:rsid w:val="00DD3DEA"/>
    <w:rsid w:val="00DD6AD9"/>
    <w:rsid w:val="00DD76D9"/>
    <w:rsid w:val="00DE2BAE"/>
    <w:rsid w:val="00DE3849"/>
    <w:rsid w:val="00DE3995"/>
    <w:rsid w:val="00DE3EFE"/>
    <w:rsid w:val="00DE78D4"/>
    <w:rsid w:val="00DF10D0"/>
    <w:rsid w:val="00DF2E12"/>
    <w:rsid w:val="00DF325B"/>
    <w:rsid w:val="00DF514A"/>
    <w:rsid w:val="00DF6690"/>
    <w:rsid w:val="00DF6804"/>
    <w:rsid w:val="00E0188E"/>
    <w:rsid w:val="00E018BA"/>
    <w:rsid w:val="00E0358D"/>
    <w:rsid w:val="00E04323"/>
    <w:rsid w:val="00E06805"/>
    <w:rsid w:val="00E070A2"/>
    <w:rsid w:val="00E070B2"/>
    <w:rsid w:val="00E12E7B"/>
    <w:rsid w:val="00E1399F"/>
    <w:rsid w:val="00E15C88"/>
    <w:rsid w:val="00E20170"/>
    <w:rsid w:val="00E233B5"/>
    <w:rsid w:val="00E2656A"/>
    <w:rsid w:val="00E3451B"/>
    <w:rsid w:val="00E34FD6"/>
    <w:rsid w:val="00E35972"/>
    <w:rsid w:val="00E3611B"/>
    <w:rsid w:val="00E412D0"/>
    <w:rsid w:val="00E43C26"/>
    <w:rsid w:val="00E47EBD"/>
    <w:rsid w:val="00E528BD"/>
    <w:rsid w:val="00E53E25"/>
    <w:rsid w:val="00E54BF4"/>
    <w:rsid w:val="00E56322"/>
    <w:rsid w:val="00E60982"/>
    <w:rsid w:val="00E62C62"/>
    <w:rsid w:val="00E654C1"/>
    <w:rsid w:val="00E65D97"/>
    <w:rsid w:val="00E7289C"/>
    <w:rsid w:val="00E72A5A"/>
    <w:rsid w:val="00E73354"/>
    <w:rsid w:val="00E82252"/>
    <w:rsid w:val="00E85416"/>
    <w:rsid w:val="00E9242D"/>
    <w:rsid w:val="00E95DE0"/>
    <w:rsid w:val="00EA002F"/>
    <w:rsid w:val="00EA21B5"/>
    <w:rsid w:val="00EA3A8C"/>
    <w:rsid w:val="00EB0BA7"/>
    <w:rsid w:val="00EB1563"/>
    <w:rsid w:val="00EB18C7"/>
    <w:rsid w:val="00EB5255"/>
    <w:rsid w:val="00EB5C47"/>
    <w:rsid w:val="00EB6A7B"/>
    <w:rsid w:val="00EC3ACC"/>
    <w:rsid w:val="00EC550B"/>
    <w:rsid w:val="00ED0639"/>
    <w:rsid w:val="00ED1A95"/>
    <w:rsid w:val="00ED2E8E"/>
    <w:rsid w:val="00ED374E"/>
    <w:rsid w:val="00ED4BA0"/>
    <w:rsid w:val="00ED732E"/>
    <w:rsid w:val="00EE279D"/>
    <w:rsid w:val="00EE2ADD"/>
    <w:rsid w:val="00EE3875"/>
    <w:rsid w:val="00EE4AEE"/>
    <w:rsid w:val="00EE75D5"/>
    <w:rsid w:val="00EF19B6"/>
    <w:rsid w:val="00EF2718"/>
    <w:rsid w:val="00EF4332"/>
    <w:rsid w:val="00EF4755"/>
    <w:rsid w:val="00EF4D74"/>
    <w:rsid w:val="00EF7135"/>
    <w:rsid w:val="00F027DB"/>
    <w:rsid w:val="00F14A7A"/>
    <w:rsid w:val="00F14E1D"/>
    <w:rsid w:val="00F1554E"/>
    <w:rsid w:val="00F202A7"/>
    <w:rsid w:val="00F21105"/>
    <w:rsid w:val="00F22985"/>
    <w:rsid w:val="00F23187"/>
    <w:rsid w:val="00F26E54"/>
    <w:rsid w:val="00F304B1"/>
    <w:rsid w:val="00F3383E"/>
    <w:rsid w:val="00F34812"/>
    <w:rsid w:val="00F35473"/>
    <w:rsid w:val="00F465A7"/>
    <w:rsid w:val="00F50B7C"/>
    <w:rsid w:val="00F550E6"/>
    <w:rsid w:val="00F638DC"/>
    <w:rsid w:val="00F639D3"/>
    <w:rsid w:val="00F6593C"/>
    <w:rsid w:val="00F662D6"/>
    <w:rsid w:val="00F66410"/>
    <w:rsid w:val="00F739DD"/>
    <w:rsid w:val="00F74345"/>
    <w:rsid w:val="00F80A0A"/>
    <w:rsid w:val="00F82B19"/>
    <w:rsid w:val="00F84D34"/>
    <w:rsid w:val="00F84EC7"/>
    <w:rsid w:val="00F85844"/>
    <w:rsid w:val="00F920D1"/>
    <w:rsid w:val="00F9212D"/>
    <w:rsid w:val="00F923EB"/>
    <w:rsid w:val="00F94A6A"/>
    <w:rsid w:val="00F965DA"/>
    <w:rsid w:val="00F96B29"/>
    <w:rsid w:val="00FA24C2"/>
    <w:rsid w:val="00FA406A"/>
    <w:rsid w:val="00FB0442"/>
    <w:rsid w:val="00FB3AA0"/>
    <w:rsid w:val="00FB503A"/>
    <w:rsid w:val="00FB516C"/>
    <w:rsid w:val="00FB6269"/>
    <w:rsid w:val="00FB6FFC"/>
    <w:rsid w:val="00FB7768"/>
    <w:rsid w:val="00FB7BCC"/>
    <w:rsid w:val="00FC34B8"/>
    <w:rsid w:val="00FC6B19"/>
    <w:rsid w:val="00FC6EAD"/>
    <w:rsid w:val="00FD0236"/>
    <w:rsid w:val="00FD18F4"/>
    <w:rsid w:val="00FD2D66"/>
    <w:rsid w:val="00FD50A9"/>
    <w:rsid w:val="00FD54DB"/>
    <w:rsid w:val="00FD619F"/>
    <w:rsid w:val="00FE0AFC"/>
    <w:rsid w:val="00FE12D2"/>
    <w:rsid w:val="00FE5415"/>
    <w:rsid w:val="00FE5DB4"/>
    <w:rsid w:val="00FF04BA"/>
    <w:rsid w:val="00FF1215"/>
    <w:rsid w:val="00FF7184"/>
    <w:rsid w:val="010A29DC"/>
    <w:rsid w:val="01290F7E"/>
    <w:rsid w:val="01426932"/>
    <w:rsid w:val="015D1E09"/>
    <w:rsid w:val="0164175C"/>
    <w:rsid w:val="017A4E3C"/>
    <w:rsid w:val="018E7AF0"/>
    <w:rsid w:val="01BF20E7"/>
    <w:rsid w:val="01F81002"/>
    <w:rsid w:val="02225B04"/>
    <w:rsid w:val="02377801"/>
    <w:rsid w:val="023A109F"/>
    <w:rsid w:val="02477318"/>
    <w:rsid w:val="0250441F"/>
    <w:rsid w:val="025C3483"/>
    <w:rsid w:val="025F37F9"/>
    <w:rsid w:val="02697903"/>
    <w:rsid w:val="028B47C0"/>
    <w:rsid w:val="02974358"/>
    <w:rsid w:val="029876DE"/>
    <w:rsid w:val="029A38EC"/>
    <w:rsid w:val="029B71C0"/>
    <w:rsid w:val="029E3FF9"/>
    <w:rsid w:val="02A705C7"/>
    <w:rsid w:val="02AD37FC"/>
    <w:rsid w:val="02B84A45"/>
    <w:rsid w:val="02D84C0B"/>
    <w:rsid w:val="02DB1849"/>
    <w:rsid w:val="02F96569"/>
    <w:rsid w:val="036803EB"/>
    <w:rsid w:val="03A74EB6"/>
    <w:rsid w:val="03AA3D0E"/>
    <w:rsid w:val="03B02BE9"/>
    <w:rsid w:val="03B978B9"/>
    <w:rsid w:val="03EA7B21"/>
    <w:rsid w:val="042E0790"/>
    <w:rsid w:val="043E7102"/>
    <w:rsid w:val="04626190"/>
    <w:rsid w:val="046C4C99"/>
    <w:rsid w:val="04766953"/>
    <w:rsid w:val="052851DF"/>
    <w:rsid w:val="05A86174"/>
    <w:rsid w:val="05B60993"/>
    <w:rsid w:val="05DB34F9"/>
    <w:rsid w:val="05DD3E83"/>
    <w:rsid w:val="05E01F5E"/>
    <w:rsid w:val="05F41565"/>
    <w:rsid w:val="05F83EAE"/>
    <w:rsid w:val="06141C07"/>
    <w:rsid w:val="06291D9F"/>
    <w:rsid w:val="063E7D85"/>
    <w:rsid w:val="06406019"/>
    <w:rsid w:val="06484D2A"/>
    <w:rsid w:val="066C2D01"/>
    <w:rsid w:val="06927843"/>
    <w:rsid w:val="06D06275"/>
    <w:rsid w:val="06D91FE6"/>
    <w:rsid w:val="06E97720"/>
    <w:rsid w:val="070D5D7A"/>
    <w:rsid w:val="07293586"/>
    <w:rsid w:val="07295285"/>
    <w:rsid w:val="072B7208"/>
    <w:rsid w:val="074E7F8C"/>
    <w:rsid w:val="07636392"/>
    <w:rsid w:val="07770C56"/>
    <w:rsid w:val="07A07BF6"/>
    <w:rsid w:val="07B76CEE"/>
    <w:rsid w:val="07EB072B"/>
    <w:rsid w:val="07F71E6A"/>
    <w:rsid w:val="08020CAE"/>
    <w:rsid w:val="080E22CD"/>
    <w:rsid w:val="08440E74"/>
    <w:rsid w:val="086D0AD3"/>
    <w:rsid w:val="08961326"/>
    <w:rsid w:val="08A02A86"/>
    <w:rsid w:val="08CF1E16"/>
    <w:rsid w:val="08E458C1"/>
    <w:rsid w:val="092217DD"/>
    <w:rsid w:val="092B16B4"/>
    <w:rsid w:val="093A7294"/>
    <w:rsid w:val="09714782"/>
    <w:rsid w:val="098552F6"/>
    <w:rsid w:val="09892607"/>
    <w:rsid w:val="0A1F04EE"/>
    <w:rsid w:val="0A263993"/>
    <w:rsid w:val="0A2D3AC2"/>
    <w:rsid w:val="0A534AFF"/>
    <w:rsid w:val="0AA755DF"/>
    <w:rsid w:val="0AAD20F7"/>
    <w:rsid w:val="0ABB54E5"/>
    <w:rsid w:val="0AE02AD0"/>
    <w:rsid w:val="0AEB1EBE"/>
    <w:rsid w:val="0B120D44"/>
    <w:rsid w:val="0B2E75A5"/>
    <w:rsid w:val="0B552AA6"/>
    <w:rsid w:val="0B5539B8"/>
    <w:rsid w:val="0B787D8C"/>
    <w:rsid w:val="0B7F5D75"/>
    <w:rsid w:val="0B840C6D"/>
    <w:rsid w:val="0BAA5D2C"/>
    <w:rsid w:val="0BBA30F8"/>
    <w:rsid w:val="0BD27BF6"/>
    <w:rsid w:val="0BE37935"/>
    <w:rsid w:val="0BF84391"/>
    <w:rsid w:val="0BFA6987"/>
    <w:rsid w:val="0C0B13B7"/>
    <w:rsid w:val="0C2A0E82"/>
    <w:rsid w:val="0C352A96"/>
    <w:rsid w:val="0C3B3C7D"/>
    <w:rsid w:val="0C632FA1"/>
    <w:rsid w:val="0C664EE3"/>
    <w:rsid w:val="0C6F7B97"/>
    <w:rsid w:val="0C9177BE"/>
    <w:rsid w:val="0C935725"/>
    <w:rsid w:val="0C974A6B"/>
    <w:rsid w:val="0CA211D5"/>
    <w:rsid w:val="0CAB2EAE"/>
    <w:rsid w:val="0CDA001F"/>
    <w:rsid w:val="0CEA36C2"/>
    <w:rsid w:val="0D621C7D"/>
    <w:rsid w:val="0D721764"/>
    <w:rsid w:val="0D7E381F"/>
    <w:rsid w:val="0DA90096"/>
    <w:rsid w:val="0DBC06EF"/>
    <w:rsid w:val="0DE94E8E"/>
    <w:rsid w:val="0DF56526"/>
    <w:rsid w:val="0E126A88"/>
    <w:rsid w:val="0E173248"/>
    <w:rsid w:val="0E2A021A"/>
    <w:rsid w:val="0E2D1AB8"/>
    <w:rsid w:val="0E4108EA"/>
    <w:rsid w:val="0E613E04"/>
    <w:rsid w:val="0E653000"/>
    <w:rsid w:val="0E73034D"/>
    <w:rsid w:val="0E780D95"/>
    <w:rsid w:val="0EF52D80"/>
    <w:rsid w:val="0F0E548B"/>
    <w:rsid w:val="0F13775A"/>
    <w:rsid w:val="0F1467D4"/>
    <w:rsid w:val="0F26281D"/>
    <w:rsid w:val="0F3F1AA3"/>
    <w:rsid w:val="0F423C63"/>
    <w:rsid w:val="0F5D2259"/>
    <w:rsid w:val="0F5F45FE"/>
    <w:rsid w:val="0F742729"/>
    <w:rsid w:val="0F8F1193"/>
    <w:rsid w:val="0F9A112B"/>
    <w:rsid w:val="0F9D36DE"/>
    <w:rsid w:val="0FF42A61"/>
    <w:rsid w:val="10234F21"/>
    <w:rsid w:val="104770C4"/>
    <w:rsid w:val="105900A5"/>
    <w:rsid w:val="106D2F64"/>
    <w:rsid w:val="108E6992"/>
    <w:rsid w:val="10B63710"/>
    <w:rsid w:val="10B93604"/>
    <w:rsid w:val="10EC5FAD"/>
    <w:rsid w:val="10F10820"/>
    <w:rsid w:val="10FA0ECA"/>
    <w:rsid w:val="10FA3FF7"/>
    <w:rsid w:val="11120014"/>
    <w:rsid w:val="111C2F7A"/>
    <w:rsid w:val="113B44EC"/>
    <w:rsid w:val="11665CA1"/>
    <w:rsid w:val="116C7574"/>
    <w:rsid w:val="11D86C85"/>
    <w:rsid w:val="11EF7262"/>
    <w:rsid w:val="11F159D6"/>
    <w:rsid w:val="123258EF"/>
    <w:rsid w:val="125B54BC"/>
    <w:rsid w:val="126320F8"/>
    <w:rsid w:val="12766C5A"/>
    <w:rsid w:val="127A580F"/>
    <w:rsid w:val="12BF3CEB"/>
    <w:rsid w:val="12E6389C"/>
    <w:rsid w:val="1302762B"/>
    <w:rsid w:val="13557860"/>
    <w:rsid w:val="1364342A"/>
    <w:rsid w:val="13951726"/>
    <w:rsid w:val="13A256FD"/>
    <w:rsid w:val="13BC70A7"/>
    <w:rsid w:val="13D2292A"/>
    <w:rsid w:val="13FE4312"/>
    <w:rsid w:val="13FE50AC"/>
    <w:rsid w:val="1404264F"/>
    <w:rsid w:val="14396509"/>
    <w:rsid w:val="143C1A54"/>
    <w:rsid w:val="143F0AEC"/>
    <w:rsid w:val="144B052E"/>
    <w:rsid w:val="146F095D"/>
    <w:rsid w:val="14A82204"/>
    <w:rsid w:val="14AF1E47"/>
    <w:rsid w:val="14AF76CB"/>
    <w:rsid w:val="14B10F02"/>
    <w:rsid w:val="14B46A8F"/>
    <w:rsid w:val="14BC76F2"/>
    <w:rsid w:val="14CD6AB9"/>
    <w:rsid w:val="14DD2C3C"/>
    <w:rsid w:val="1522269D"/>
    <w:rsid w:val="152B0E0B"/>
    <w:rsid w:val="1531716A"/>
    <w:rsid w:val="15425706"/>
    <w:rsid w:val="156C0552"/>
    <w:rsid w:val="15EB4733"/>
    <w:rsid w:val="16087E1D"/>
    <w:rsid w:val="16101EB6"/>
    <w:rsid w:val="16244EE0"/>
    <w:rsid w:val="16505471"/>
    <w:rsid w:val="16520E20"/>
    <w:rsid w:val="166804F5"/>
    <w:rsid w:val="1686001C"/>
    <w:rsid w:val="16BC7BC5"/>
    <w:rsid w:val="16CF02A2"/>
    <w:rsid w:val="16D76A65"/>
    <w:rsid w:val="16F75359"/>
    <w:rsid w:val="170F2CC2"/>
    <w:rsid w:val="171657DF"/>
    <w:rsid w:val="17362092"/>
    <w:rsid w:val="17461AB8"/>
    <w:rsid w:val="17683B61"/>
    <w:rsid w:val="176E561B"/>
    <w:rsid w:val="17701D14"/>
    <w:rsid w:val="17716EB9"/>
    <w:rsid w:val="17724EAA"/>
    <w:rsid w:val="17735226"/>
    <w:rsid w:val="178E56CD"/>
    <w:rsid w:val="17A202F8"/>
    <w:rsid w:val="17AC1CA0"/>
    <w:rsid w:val="17C52D61"/>
    <w:rsid w:val="17DF2A99"/>
    <w:rsid w:val="17E1680B"/>
    <w:rsid w:val="18506018"/>
    <w:rsid w:val="185E4CC5"/>
    <w:rsid w:val="18786026"/>
    <w:rsid w:val="18811B0F"/>
    <w:rsid w:val="189F624C"/>
    <w:rsid w:val="18CB25F9"/>
    <w:rsid w:val="18D46EE9"/>
    <w:rsid w:val="19024434"/>
    <w:rsid w:val="19637D9B"/>
    <w:rsid w:val="196E7A55"/>
    <w:rsid w:val="19721E43"/>
    <w:rsid w:val="19AC0B32"/>
    <w:rsid w:val="19C06CAA"/>
    <w:rsid w:val="19CC107A"/>
    <w:rsid w:val="19D52A0C"/>
    <w:rsid w:val="19E673A7"/>
    <w:rsid w:val="1A0B6BC9"/>
    <w:rsid w:val="1A1C66C0"/>
    <w:rsid w:val="1A412481"/>
    <w:rsid w:val="1A42393B"/>
    <w:rsid w:val="1A4356BC"/>
    <w:rsid w:val="1A4E703E"/>
    <w:rsid w:val="1A9A7C01"/>
    <w:rsid w:val="1AAD45DE"/>
    <w:rsid w:val="1ADF7D5A"/>
    <w:rsid w:val="1AE076BB"/>
    <w:rsid w:val="1AE51583"/>
    <w:rsid w:val="1AED2809"/>
    <w:rsid w:val="1B046F80"/>
    <w:rsid w:val="1B124FDE"/>
    <w:rsid w:val="1B3267B5"/>
    <w:rsid w:val="1B40161D"/>
    <w:rsid w:val="1B441859"/>
    <w:rsid w:val="1B6606B1"/>
    <w:rsid w:val="1B9724FE"/>
    <w:rsid w:val="1BA43ED6"/>
    <w:rsid w:val="1BCA2F8C"/>
    <w:rsid w:val="1BD5214F"/>
    <w:rsid w:val="1BFF647E"/>
    <w:rsid w:val="1C00504F"/>
    <w:rsid w:val="1C1A68EB"/>
    <w:rsid w:val="1C2F2E9F"/>
    <w:rsid w:val="1C365FDC"/>
    <w:rsid w:val="1C5E7925"/>
    <w:rsid w:val="1C63205A"/>
    <w:rsid w:val="1C8D681B"/>
    <w:rsid w:val="1C90180A"/>
    <w:rsid w:val="1C961170"/>
    <w:rsid w:val="1CC21F65"/>
    <w:rsid w:val="1CC8408F"/>
    <w:rsid w:val="1CCA6530"/>
    <w:rsid w:val="1CF2667B"/>
    <w:rsid w:val="1CF73540"/>
    <w:rsid w:val="1CFD070F"/>
    <w:rsid w:val="1D0F1E7B"/>
    <w:rsid w:val="1D1B3EE1"/>
    <w:rsid w:val="1D33076D"/>
    <w:rsid w:val="1D37025D"/>
    <w:rsid w:val="1D373DFD"/>
    <w:rsid w:val="1D5F6196"/>
    <w:rsid w:val="1D6132A5"/>
    <w:rsid w:val="1D8E56D5"/>
    <w:rsid w:val="1DAB4F2B"/>
    <w:rsid w:val="1DC854C7"/>
    <w:rsid w:val="1DD12460"/>
    <w:rsid w:val="1E2E54FE"/>
    <w:rsid w:val="1E5906A7"/>
    <w:rsid w:val="1E7A2AF8"/>
    <w:rsid w:val="1E7A43DA"/>
    <w:rsid w:val="1E85324A"/>
    <w:rsid w:val="1EA717C5"/>
    <w:rsid w:val="1EB42209"/>
    <w:rsid w:val="1ED32208"/>
    <w:rsid w:val="1ED514ED"/>
    <w:rsid w:val="1EDA6012"/>
    <w:rsid w:val="1EFD50D7"/>
    <w:rsid w:val="1EFE7B68"/>
    <w:rsid w:val="1F327D4A"/>
    <w:rsid w:val="1F360E9C"/>
    <w:rsid w:val="1F446D63"/>
    <w:rsid w:val="1F526A6D"/>
    <w:rsid w:val="1F8A3B16"/>
    <w:rsid w:val="1FBF3E05"/>
    <w:rsid w:val="1FD44489"/>
    <w:rsid w:val="1FE7539E"/>
    <w:rsid w:val="1FEA4D3A"/>
    <w:rsid w:val="200054D9"/>
    <w:rsid w:val="20230F6D"/>
    <w:rsid w:val="2028475E"/>
    <w:rsid w:val="20574252"/>
    <w:rsid w:val="20646772"/>
    <w:rsid w:val="20671BE0"/>
    <w:rsid w:val="207D5442"/>
    <w:rsid w:val="20855784"/>
    <w:rsid w:val="20905E5B"/>
    <w:rsid w:val="20921EE6"/>
    <w:rsid w:val="20963CB8"/>
    <w:rsid w:val="20A81A1B"/>
    <w:rsid w:val="20B07FB6"/>
    <w:rsid w:val="20B646FB"/>
    <w:rsid w:val="20BD452B"/>
    <w:rsid w:val="20DA5ACF"/>
    <w:rsid w:val="20F649A3"/>
    <w:rsid w:val="212A6CE1"/>
    <w:rsid w:val="2134429E"/>
    <w:rsid w:val="213B74B1"/>
    <w:rsid w:val="215A2310"/>
    <w:rsid w:val="216B497A"/>
    <w:rsid w:val="21935C7E"/>
    <w:rsid w:val="219C7A82"/>
    <w:rsid w:val="21C75A6D"/>
    <w:rsid w:val="21C806DA"/>
    <w:rsid w:val="21DE318A"/>
    <w:rsid w:val="21E83A2C"/>
    <w:rsid w:val="21EF5B80"/>
    <w:rsid w:val="221B2C1C"/>
    <w:rsid w:val="22287087"/>
    <w:rsid w:val="2236613B"/>
    <w:rsid w:val="22455FBD"/>
    <w:rsid w:val="22576990"/>
    <w:rsid w:val="226D6F8A"/>
    <w:rsid w:val="2274785E"/>
    <w:rsid w:val="229C4F28"/>
    <w:rsid w:val="22C72448"/>
    <w:rsid w:val="22D64422"/>
    <w:rsid w:val="22F47480"/>
    <w:rsid w:val="230E510B"/>
    <w:rsid w:val="23195ED5"/>
    <w:rsid w:val="23687545"/>
    <w:rsid w:val="23A14CF8"/>
    <w:rsid w:val="23AB72AF"/>
    <w:rsid w:val="23CE6C7A"/>
    <w:rsid w:val="23D36806"/>
    <w:rsid w:val="23DE1C48"/>
    <w:rsid w:val="240210CD"/>
    <w:rsid w:val="243343E0"/>
    <w:rsid w:val="24522A25"/>
    <w:rsid w:val="246A0F18"/>
    <w:rsid w:val="246D0A09"/>
    <w:rsid w:val="2485348A"/>
    <w:rsid w:val="248B0E8F"/>
    <w:rsid w:val="24A3442A"/>
    <w:rsid w:val="24AD349C"/>
    <w:rsid w:val="24BF09F7"/>
    <w:rsid w:val="24E355C6"/>
    <w:rsid w:val="25022000"/>
    <w:rsid w:val="25154207"/>
    <w:rsid w:val="251D75D9"/>
    <w:rsid w:val="25263AD4"/>
    <w:rsid w:val="252D53FE"/>
    <w:rsid w:val="25A64834"/>
    <w:rsid w:val="25B20DC9"/>
    <w:rsid w:val="25C92416"/>
    <w:rsid w:val="25D15B27"/>
    <w:rsid w:val="25D36ADE"/>
    <w:rsid w:val="25E1345C"/>
    <w:rsid w:val="25EB7E37"/>
    <w:rsid w:val="25EC2D81"/>
    <w:rsid w:val="25ED6EF0"/>
    <w:rsid w:val="25F70FFE"/>
    <w:rsid w:val="26062EC3"/>
    <w:rsid w:val="260F3E27"/>
    <w:rsid w:val="262E5F76"/>
    <w:rsid w:val="269D6A8C"/>
    <w:rsid w:val="271635D9"/>
    <w:rsid w:val="277057A2"/>
    <w:rsid w:val="27B150B0"/>
    <w:rsid w:val="27C20290"/>
    <w:rsid w:val="27D4284E"/>
    <w:rsid w:val="27E17441"/>
    <w:rsid w:val="27FE44BC"/>
    <w:rsid w:val="280478D6"/>
    <w:rsid w:val="28101530"/>
    <w:rsid w:val="28582037"/>
    <w:rsid w:val="287304DD"/>
    <w:rsid w:val="28830A83"/>
    <w:rsid w:val="28B05A8E"/>
    <w:rsid w:val="28C03078"/>
    <w:rsid w:val="28F33BD2"/>
    <w:rsid w:val="28FD7C26"/>
    <w:rsid w:val="29206EB8"/>
    <w:rsid w:val="292514D8"/>
    <w:rsid w:val="2927387C"/>
    <w:rsid w:val="29313F2E"/>
    <w:rsid w:val="29595666"/>
    <w:rsid w:val="296C6763"/>
    <w:rsid w:val="29874881"/>
    <w:rsid w:val="29AC3D81"/>
    <w:rsid w:val="29D826AE"/>
    <w:rsid w:val="29E325E0"/>
    <w:rsid w:val="29E72052"/>
    <w:rsid w:val="2A0E67EA"/>
    <w:rsid w:val="2A145C9D"/>
    <w:rsid w:val="2A452503"/>
    <w:rsid w:val="2A571FB8"/>
    <w:rsid w:val="2A66770C"/>
    <w:rsid w:val="2ABC4498"/>
    <w:rsid w:val="2AE019F6"/>
    <w:rsid w:val="2AFC6642"/>
    <w:rsid w:val="2B0E0E8F"/>
    <w:rsid w:val="2B125589"/>
    <w:rsid w:val="2B200B14"/>
    <w:rsid w:val="2B222782"/>
    <w:rsid w:val="2B4E3E18"/>
    <w:rsid w:val="2B567095"/>
    <w:rsid w:val="2B632FFB"/>
    <w:rsid w:val="2B9D4554"/>
    <w:rsid w:val="2BA32F62"/>
    <w:rsid w:val="2BA936A8"/>
    <w:rsid w:val="2BB10CE6"/>
    <w:rsid w:val="2BBC4B53"/>
    <w:rsid w:val="2BC20A49"/>
    <w:rsid w:val="2BDD7903"/>
    <w:rsid w:val="2BDE26F8"/>
    <w:rsid w:val="2C012296"/>
    <w:rsid w:val="2C177154"/>
    <w:rsid w:val="2C3047F5"/>
    <w:rsid w:val="2C315A5A"/>
    <w:rsid w:val="2C3D6B1C"/>
    <w:rsid w:val="2C4B1C25"/>
    <w:rsid w:val="2C632F7C"/>
    <w:rsid w:val="2C641CB4"/>
    <w:rsid w:val="2CAA2A2D"/>
    <w:rsid w:val="2CBF5CFD"/>
    <w:rsid w:val="2CD0422B"/>
    <w:rsid w:val="2CD75C5E"/>
    <w:rsid w:val="2CF013FE"/>
    <w:rsid w:val="2CF113EA"/>
    <w:rsid w:val="2D320E26"/>
    <w:rsid w:val="2D9E56F5"/>
    <w:rsid w:val="2DAD00C8"/>
    <w:rsid w:val="2DD107E2"/>
    <w:rsid w:val="2DDE64D3"/>
    <w:rsid w:val="2E2831C7"/>
    <w:rsid w:val="2E2C790E"/>
    <w:rsid w:val="2E400F3C"/>
    <w:rsid w:val="2E650546"/>
    <w:rsid w:val="2E667F96"/>
    <w:rsid w:val="2E6A3710"/>
    <w:rsid w:val="2E8226AB"/>
    <w:rsid w:val="2EE4043B"/>
    <w:rsid w:val="2F037114"/>
    <w:rsid w:val="2F06562C"/>
    <w:rsid w:val="2F136787"/>
    <w:rsid w:val="2F1E277E"/>
    <w:rsid w:val="2F3702D2"/>
    <w:rsid w:val="2F475EBF"/>
    <w:rsid w:val="2F6D35D7"/>
    <w:rsid w:val="2FA03C59"/>
    <w:rsid w:val="2FAD1B1D"/>
    <w:rsid w:val="2FAD46B3"/>
    <w:rsid w:val="2FCF47FC"/>
    <w:rsid w:val="2FD065E6"/>
    <w:rsid w:val="2FD96870"/>
    <w:rsid w:val="30285C65"/>
    <w:rsid w:val="30305F25"/>
    <w:rsid w:val="303348B4"/>
    <w:rsid w:val="30350295"/>
    <w:rsid w:val="30580BC9"/>
    <w:rsid w:val="305A7FF3"/>
    <w:rsid w:val="30767B5B"/>
    <w:rsid w:val="30955CD4"/>
    <w:rsid w:val="30FC62F5"/>
    <w:rsid w:val="311E2ED7"/>
    <w:rsid w:val="31213A03"/>
    <w:rsid w:val="3140197F"/>
    <w:rsid w:val="315619EE"/>
    <w:rsid w:val="315C449C"/>
    <w:rsid w:val="316B7BA1"/>
    <w:rsid w:val="319D5D89"/>
    <w:rsid w:val="31B82709"/>
    <w:rsid w:val="31D05482"/>
    <w:rsid w:val="31F36BF1"/>
    <w:rsid w:val="323B38FD"/>
    <w:rsid w:val="32400B34"/>
    <w:rsid w:val="32672F3B"/>
    <w:rsid w:val="329E6876"/>
    <w:rsid w:val="32A73B05"/>
    <w:rsid w:val="32AC57EA"/>
    <w:rsid w:val="32D94AD1"/>
    <w:rsid w:val="330B6ACF"/>
    <w:rsid w:val="33240E2C"/>
    <w:rsid w:val="333015F2"/>
    <w:rsid w:val="334B6320"/>
    <w:rsid w:val="334D4743"/>
    <w:rsid w:val="335E4B37"/>
    <w:rsid w:val="33984010"/>
    <w:rsid w:val="33B348E1"/>
    <w:rsid w:val="33D934D4"/>
    <w:rsid w:val="33FE2F6A"/>
    <w:rsid w:val="3406655E"/>
    <w:rsid w:val="340E07E5"/>
    <w:rsid w:val="34235BF7"/>
    <w:rsid w:val="34360538"/>
    <w:rsid w:val="34835757"/>
    <w:rsid w:val="34D818EA"/>
    <w:rsid w:val="34F75D34"/>
    <w:rsid w:val="3509652C"/>
    <w:rsid w:val="350B4C3A"/>
    <w:rsid w:val="351349E7"/>
    <w:rsid w:val="356A29ED"/>
    <w:rsid w:val="358378D4"/>
    <w:rsid w:val="358C5FA8"/>
    <w:rsid w:val="358E6477"/>
    <w:rsid w:val="35C15DF1"/>
    <w:rsid w:val="35EE5151"/>
    <w:rsid w:val="360062A6"/>
    <w:rsid w:val="360311CD"/>
    <w:rsid w:val="36074A7F"/>
    <w:rsid w:val="363242E6"/>
    <w:rsid w:val="36494F6C"/>
    <w:rsid w:val="36923549"/>
    <w:rsid w:val="369C07AC"/>
    <w:rsid w:val="36A04C6E"/>
    <w:rsid w:val="36AE738B"/>
    <w:rsid w:val="36B75FBF"/>
    <w:rsid w:val="36BD0C45"/>
    <w:rsid w:val="36CB72F8"/>
    <w:rsid w:val="36D85572"/>
    <w:rsid w:val="37305FF2"/>
    <w:rsid w:val="375867C6"/>
    <w:rsid w:val="37732382"/>
    <w:rsid w:val="3785642B"/>
    <w:rsid w:val="37CE3417"/>
    <w:rsid w:val="37D4739F"/>
    <w:rsid w:val="37DB2752"/>
    <w:rsid w:val="37DB66F2"/>
    <w:rsid w:val="37E00298"/>
    <w:rsid w:val="382B1499"/>
    <w:rsid w:val="38327B47"/>
    <w:rsid w:val="38382C45"/>
    <w:rsid w:val="38815141"/>
    <w:rsid w:val="388D1222"/>
    <w:rsid w:val="38B302F9"/>
    <w:rsid w:val="38B7600A"/>
    <w:rsid w:val="38BB389E"/>
    <w:rsid w:val="38BE2B57"/>
    <w:rsid w:val="38DD7404"/>
    <w:rsid w:val="38E4672D"/>
    <w:rsid w:val="38F12CD3"/>
    <w:rsid w:val="38F94775"/>
    <w:rsid w:val="390F4B99"/>
    <w:rsid w:val="390F7E89"/>
    <w:rsid w:val="392971ED"/>
    <w:rsid w:val="392F4087"/>
    <w:rsid w:val="39325651"/>
    <w:rsid w:val="39581830"/>
    <w:rsid w:val="39671DD3"/>
    <w:rsid w:val="39757BCA"/>
    <w:rsid w:val="397A070E"/>
    <w:rsid w:val="398A7FCA"/>
    <w:rsid w:val="3995213C"/>
    <w:rsid w:val="399569AF"/>
    <w:rsid w:val="39A607ED"/>
    <w:rsid w:val="39A90E79"/>
    <w:rsid w:val="39B50A30"/>
    <w:rsid w:val="39C47CF3"/>
    <w:rsid w:val="3A0C6D1A"/>
    <w:rsid w:val="3A331955"/>
    <w:rsid w:val="3A3C0EF2"/>
    <w:rsid w:val="3A5427CD"/>
    <w:rsid w:val="3A661973"/>
    <w:rsid w:val="3A872856"/>
    <w:rsid w:val="3AB160E9"/>
    <w:rsid w:val="3AB51D54"/>
    <w:rsid w:val="3AC3717D"/>
    <w:rsid w:val="3AC37D1A"/>
    <w:rsid w:val="3B1D063B"/>
    <w:rsid w:val="3B3763D1"/>
    <w:rsid w:val="3B3F2CA7"/>
    <w:rsid w:val="3B52400F"/>
    <w:rsid w:val="3B6E533A"/>
    <w:rsid w:val="3BB0325D"/>
    <w:rsid w:val="3BB9266A"/>
    <w:rsid w:val="3BBE00A6"/>
    <w:rsid w:val="3BD42E4E"/>
    <w:rsid w:val="3BE64ED1"/>
    <w:rsid w:val="3BF45059"/>
    <w:rsid w:val="3C074E47"/>
    <w:rsid w:val="3C07719C"/>
    <w:rsid w:val="3C090BBF"/>
    <w:rsid w:val="3C110145"/>
    <w:rsid w:val="3C2F6E1E"/>
    <w:rsid w:val="3C4A30C0"/>
    <w:rsid w:val="3C4F64BA"/>
    <w:rsid w:val="3C8B5A78"/>
    <w:rsid w:val="3C99353E"/>
    <w:rsid w:val="3CA05008"/>
    <w:rsid w:val="3CBE0765"/>
    <w:rsid w:val="3CDA245A"/>
    <w:rsid w:val="3CDD2778"/>
    <w:rsid w:val="3CDF4CEB"/>
    <w:rsid w:val="3D1E06B7"/>
    <w:rsid w:val="3D2739C8"/>
    <w:rsid w:val="3D373645"/>
    <w:rsid w:val="3D4B5469"/>
    <w:rsid w:val="3D982D0D"/>
    <w:rsid w:val="3DA15133"/>
    <w:rsid w:val="3DA401CB"/>
    <w:rsid w:val="3DAE25AD"/>
    <w:rsid w:val="3DBE7B90"/>
    <w:rsid w:val="3DC41242"/>
    <w:rsid w:val="3E062C7F"/>
    <w:rsid w:val="3E09673D"/>
    <w:rsid w:val="3E115E6E"/>
    <w:rsid w:val="3E186278"/>
    <w:rsid w:val="3E1B0D02"/>
    <w:rsid w:val="3E7D7E30"/>
    <w:rsid w:val="3E9B7684"/>
    <w:rsid w:val="3EA57093"/>
    <w:rsid w:val="3EDA0523"/>
    <w:rsid w:val="3EF45B57"/>
    <w:rsid w:val="3F201AE9"/>
    <w:rsid w:val="3F250AEF"/>
    <w:rsid w:val="3F724B89"/>
    <w:rsid w:val="3F9A45A3"/>
    <w:rsid w:val="3FB47094"/>
    <w:rsid w:val="3FBA21CE"/>
    <w:rsid w:val="3FC245D2"/>
    <w:rsid w:val="3FFF4431"/>
    <w:rsid w:val="40004E92"/>
    <w:rsid w:val="40304BC0"/>
    <w:rsid w:val="404956B3"/>
    <w:rsid w:val="405D6458"/>
    <w:rsid w:val="40742103"/>
    <w:rsid w:val="40791CC0"/>
    <w:rsid w:val="407A6407"/>
    <w:rsid w:val="40941F35"/>
    <w:rsid w:val="411D039E"/>
    <w:rsid w:val="411D2774"/>
    <w:rsid w:val="41483F38"/>
    <w:rsid w:val="414B0714"/>
    <w:rsid w:val="415822AF"/>
    <w:rsid w:val="416168A9"/>
    <w:rsid w:val="41AE573E"/>
    <w:rsid w:val="41D303F5"/>
    <w:rsid w:val="41D37168"/>
    <w:rsid w:val="4200449D"/>
    <w:rsid w:val="42084341"/>
    <w:rsid w:val="42187CD6"/>
    <w:rsid w:val="42227D8C"/>
    <w:rsid w:val="42274C2A"/>
    <w:rsid w:val="423A3BCC"/>
    <w:rsid w:val="424E57D2"/>
    <w:rsid w:val="425326E8"/>
    <w:rsid w:val="42657B2A"/>
    <w:rsid w:val="42752198"/>
    <w:rsid w:val="42762887"/>
    <w:rsid w:val="42765AD5"/>
    <w:rsid w:val="428B149C"/>
    <w:rsid w:val="42AB29D0"/>
    <w:rsid w:val="42B26C49"/>
    <w:rsid w:val="42BC1743"/>
    <w:rsid w:val="430566D8"/>
    <w:rsid w:val="433A6FE6"/>
    <w:rsid w:val="43480868"/>
    <w:rsid w:val="4350713C"/>
    <w:rsid w:val="436056DF"/>
    <w:rsid w:val="436653E0"/>
    <w:rsid w:val="43702016"/>
    <w:rsid w:val="43BC275F"/>
    <w:rsid w:val="43C4431A"/>
    <w:rsid w:val="43D6439A"/>
    <w:rsid w:val="43D95AC7"/>
    <w:rsid w:val="4454273D"/>
    <w:rsid w:val="447B1723"/>
    <w:rsid w:val="447D214A"/>
    <w:rsid w:val="448C608F"/>
    <w:rsid w:val="449851D6"/>
    <w:rsid w:val="44B32010"/>
    <w:rsid w:val="44B41810"/>
    <w:rsid w:val="44B951CC"/>
    <w:rsid w:val="44BC3597"/>
    <w:rsid w:val="44CD14E0"/>
    <w:rsid w:val="44DC001D"/>
    <w:rsid w:val="44F159D7"/>
    <w:rsid w:val="44F20B0B"/>
    <w:rsid w:val="44FB6B58"/>
    <w:rsid w:val="450E6169"/>
    <w:rsid w:val="452E5F4C"/>
    <w:rsid w:val="4545107A"/>
    <w:rsid w:val="45612018"/>
    <w:rsid w:val="456D5D7B"/>
    <w:rsid w:val="458946E9"/>
    <w:rsid w:val="459E05CA"/>
    <w:rsid w:val="45A27F5B"/>
    <w:rsid w:val="45A47C0E"/>
    <w:rsid w:val="45F56F89"/>
    <w:rsid w:val="45F91CA4"/>
    <w:rsid w:val="45FD7753"/>
    <w:rsid w:val="45FE6750"/>
    <w:rsid w:val="46577FD6"/>
    <w:rsid w:val="46803449"/>
    <w:rsid w:val="46A95479"/>
    <w:rsid w:val="46AD2AE3"/>
    <w:rsid w:val="46B81B60"/>
    <w:rsid w:val="46C95A27"/>
    <w:rsid w:val="46D955A7"/>
    <w:rsid w:val="46F5246C"/>
    <w:rsid w:val="46FC7C9E"/>
    <w:rsid w:val="46FF6B16"/>
    <w:rsid w:val="47133957"/>
    <w:rsid w:val="471A0124"/>
    <w:rsid w:val="472573A6"/>
    <w:rsid w:val="47306EFC"/>
    <w:rsid w:val="4741063B"/>
    <w:rsid w:val="474131A7"/>
    <w:rsid w:val="47783C39"/>
    <w:rsid w:val="47A07E0C"/>
    <w:rsid w:val="47A4115D"/>
    <w:rsid w:val="47B40591"/>
    <w:rsid w:val="47D1012A"/>
    <w:rsid w:val="47F40B3E"/>
    <w:rsid w:val="47F70466"/>
    <w:rsid w:val="4812704D"/>
    <w:rsid w:val="48247617"/>
    <w:rsid w:val="482E1898"/>
    <w:rsid w:val="48526B30"/>
    <w:rsid w:val="4857481B"/>
    <w:rsid w:val="4868286F"/>
    <w:rsid w:val="4870272E"/>
    <w:rsid w:val="487446A9"/>
    <w:rsid w:val="489873C9"/>
    <w:rsid w:val="48B86D37"/>
    <w:rsid w:val="48EB0DE5"/>
    <w:rsid w:val="491A62F4"/>
    <w:rsid w:val="49346D31"/>
    <w:rsid w:val="493F2815"/>
    <w:rsid w:val="494D658F"/>
    <w:rsid w:val="49BC54C3"/>
    <w:rsid w:val="49C90124"/>
    <w:rsid w:val="49DC7715"/>
    <w:rsid w:val="4A023139"/>
    <w:rsid w:val="4A2F3EE7"/>
    <w:rsid w:val="4A505B3A"/>
    <w:rsid w:val="4A7B576F"/>
    <w:rsid w:val="4A8E04B4"/>
    <w:rsid w:val="4A941E22"/>
    <w:rsid w:val="4A9C6F8B"/>
    <w:rsid w:val="4ADF3B5F"/>
    <w:rsid w:val="4ADF53D0"/>
    <w:rsid w:val="4AF561A9"/>
    <w:rsid w:val="4B0E0065"/>
    <w:rsid w:val="4B0E4176"/>
    <w:rsid w:val="4B2C6CC2"/>
    <w:rsid w:val="4B57095B"/>
    <w:rsid w:val="4B5A6F5C"/>
    <w:rsid w:val="4B5A6F67"/>
    <w:rsid w:val="4B7908C3"/>
    <w:rsid w:val="4BB35D82"/>
    <w:rsid w:val="4BBE31C1"/>
    <w:rsid w:val="4BC4638C"/>
    <w:rsid w:val="4C147300"/>
    <w:rsid w:val="4C263D95"/>
    <w:rsid w:val="4C2E37C9"/>
    <w:rsid w:val="4C404189"/>
    <w:rsid w:val="4C4A0649"/>
    <w:rsid w:val="4C72630D"/>
    <w:rsid w:val="4C7E5ECA"/>
    <w:rsid w:val="4C857785"/>
    <w:rsid w:val="4C876AA5"/>
    <w:rsid w:val="4CA21C8B"/>
    <w:rsid w:val="4CF5377F"/>
    <w:rsid w:val="4CF701BB"/>
    <w:rsid w:val="4CF730CA"/>
    <w:rsid w:val="4D0E00FB"/>
    <w:rsid w:val="4D176606"/>
    <w:rsid w:val="4D245859"/>
    <w:rsid w:val="4D687F7B"/>
    <w:rsid w:val="4D9B187D"/>
    <w:rsid w:val="4DA92202"/>
    <w:rsid w:val="4DEC4FB0"/>
    <w:rsid w:val="4E006B95"/>
    <w:rsid w:val="4E075D8A"/>
    <w:rsid w:val="4E2552CD"/>
    <w:rsid w:val="4E3F0871"/>
    <w:rsid w:val="4E6D76D3"/>
    <w:rsid w:val="4E784AAD"/>
    <w:rsid w:val="4E7A7C2F"/>
    <w:rsid w:val="4E874708"/>
    <w:rsid w:val="4E9F0568"/>
    <w:rsid w:val="4EC00FAD"/>
    <w:rsid w:val="4EE47996"/>
    <w:rsid w:val="4EFF657E"/>
    <w:rsid w:val="4F0C0D5D"/>
    <w:rsid w:val="4F1E3B19"/>
    <w:rsid w:val="4F4F373F"/>
    <w:rsid w:val="4F652159"/>
    <w:rsid w:val="4F7D74A2"/>
    <w:rsid w:val="4F923D20"/>
    <w:rsid w:val="4F9843DC"/>
    <w:rsid w:val="4FC62A8C"/>
    <w:rsid w:val="4FE20F0D"/>
    <w:rsid w:val="4FE51552"/>
    <w:rsid w:val="4FF3309D"/>
    <w:rsid w:val="50113FAD"/>
    <w:rsid w:val="502C325A"/>
    <w:rsid w:val="50504C4B"/>
    <w:rsid w:val="505E74B0"/>
    <w:rsid w:val="50837782"/>
    <w:rsid w:val="509C6E7C"/>
    <w:rsid w:val="50A76ECD"/>
    <w:rsid w:val="50B93052"/>
    <w:rsid w:val="50CC2809"/>
    <w:rsid w:val="50CC5E28"/>
    <w:rsid w:val="50D6330E"/>
    <w:rsid w:val="51051E45"/>
    <w:rsid w:val="51281DF1"/>
    <w:rsid w:val="51396E83"/>
    <w:rsid w:val="51545BD4"/>
    <w:rsid w:val="5162104E"/>
    <w:rsid w:val="518E4675"/>
    <w:rsid w:val="51AD2EA3"/>
    <w:rsid w:val="51D913EF"/>
    <w:rsid w:val="51DE2E7B"/>
    <w:rsid w:val="52007E97"/>
    <w:rsid w:val="520C6D3A"/>
    <w:rsid w:val="52326C6A"/>
    <w:rsid w:val="524E4A89"/>
    <w:rsid w:val="524F47EA"/>
    <w:rsid w:val="52742DDF"/>
    <w:rsid w:val="52990E28"/>
    <w:rsid w:val="52AB7845"/>
    <w:rsid w:val="52AE4D91"/>
    <w:rsid w:val="52C83664"/>
    <w:rsid w:val="52F60C57"/>
    <w:rsid w:val="532F5C37"/>
    <w:rsid w:val="53452CE2"/>
    <w:rsid w:val="53640E6B"/>
    <w:rsid w:val="53664812"/>
    <w:rsid w:val="53712FE3"/>
    <w:rsid w:val="5379601D"/>
    <w:rsid w:val="53857928"/>
    <w:rsid w:val="53876E78"/>
    <w:rsid w:val="53A039CC"/>
    <w:rsid w:val="53A1505A"/>
    <w:rsid w:val="53B36CF6"/>
    <w:rsid w:val="53B86CFB"/>
    <w:rsid w:val="53B9348D"/>
    <w:rsid w:val="53D20279"/>
    <w:rsid w:val="53D43F85"/>
    <w:rsid w:val="53F35539"/>
    <w:rsid w:val="53F76052"/>
    <w:rsid w:val="54063E08"/>
    <w:rsid w:val="543437E8"/>
    <w:rsid w:val="543F741C"/>
    <w:rsid w:val="54585213"/>
    <w:rsid w:val="547747FB"/>
    <w:rsid w:val="549D42D9"/>
    <w:rsid w:val="549F626A"/>
    <w:rsid w:val="54EB3A7C"/>
    <w:rsid w:val="54ED312D"/>
    <w:rsid w:val="54F161F2"/>
    <w:rsid w:val="54F73313"/>
    <w:rsid w:val="54F80955"/>
    <w:rsid w:val="54F91E80"/>
    <w:rsid w:val="55067F3A"/>
    <w:rsid w:val="55161B5E"/>
    <w:rsid w:val="554E3DBB"/>
    <w:rsid w:val="555170A7"/>
    <w:rsid w:val="55531DE7"/>
    <w:rsid w:val="55740D24"/>
    <w:rsid w:val="55770A92"/>
    <w:rsid w:val="55793A1C"/>
    <w:rsid w:val="55794FC6"/>
    <w:rsid w:val="5587536D"/>
    <w:rsid w:val="559968AF"/>
    <w:rsid w:val="559B174B"/>
    <w:rsid w:val="55C73951"/>
    <w:rsid w:val="55CE0CF4"/>
    <w:rsid w:val="55F13448"/>
    <w:rsid w:val="55F84CE8"/>
    <w:rsid w:val="56002BDB"/>
    <w:rsid w:val="5616363B"/>
    <w:rsid w:val="56290384"/>
    <w:rsid w:val="563107FF"/>
    <w:rsid w:val="56864BF8"/>
    <w:rsid w:val="56B22A9C"/>
    <w:rsid w:val="56BF65F2"/>
    <w:rsid w:val="56E878F7"/>
    <w:rsid w:val="572B0E3B"/>
    <w:rsid w:val="57326A9E"/>
    <w:rsid w:val="57391EF4"/>
    <w:rsid w:val="57A63B4B"/>
    <w:rsid w:val="57B72A76"/>
    <w:rsid w:val="57B974E6"/>
    <w:rsid w:val="57BD18A7"/>
    <w:rsid w:val="57C3426C"/>
    <w:rsid w:val="57CE1F93"/>
    <w:rsid w:val="57D2749C"/>
    <w:rsid w:val="57FB04B2"/>
    <w:rsid w:val="580619A4"/>
    <w:rsid w:val="58162FBF"/>
    <w:rsid w:val="58251DB7"/>
    <w:rsid w:val="582F7751"/>
    <w:rsid w:val="58421289"/>
    <w:rsid w:val="587D49B7"/>
    <w:rsid w:val="588743D1"/>
    <w:rsid w:val="5887701A"/>
    <w:rsid w:val="589C4E3D"/>
    <w:rsid w:val="58DD0FB2"/>
    <w:rsid w:val="58E32A6C"/>
    <w:rsid w:val="5901727C"/>
    <w:rsid w:val="59295183"/>
    <w:rsid w:val="593C217C"/>
    <w:rsid w:val="594F3C5E"/>
    <w:rsid w:val="597B7C72"/>
    <w:rsid w:val="59832B94"/>
    <w:rsid w:val="598D0473"/>
    <w:rsid w:val="599124C8"/>
    <w:rsid w:val="5991461A"/>
    <w:rsid w:val="599E5348"/>
    <w:rsid w:val="59AB78F8"/>
    <w:rsid w:val="59C0439F"/>
    <w:rsid w:val="59CC7769"/>
    <w:rsid w:val="5A457E3E"/>
    <w:rsid w:val="5A5E1B7E"/>
    <w:rsid w:val="5A6978B4"/>
    <w:rsid w:val="5A9A1850"/>
    <w:rsid w:val="5ABE2233"/>
    <w:rsid w:val="5ACC12DE"/>
    <w:rsid w:val="5B195A0A"/>
    <w:rsid w:val="5B24111A"/>
    <w:rsid w:val="5B500161"/>
    <w:rsid w:val="5B6927F2"/>
    <w:rsid w:val="5B9E5829"/>
    <w:rsid w:val="5BC44D23"/>
    <w:rsid w:val="5BCB6CFF"/>
    <w:rsid w:val="5BDF5D95"/>
    <w:rsid w:val="5BFE7528"/>
    <w:rsid w:val="5C702D84"/>
    <w:rsid w:val="5C7B7392"/>
    <w:rsid w:val="5C8252C2"/>
    <w:rsid w:val="5CA226B5"/>
    <w:rsid w:val="5CE57A72"/>
    <w:rsid w:val="5D016D97"/>
    <w:rsid w:val="5D1351D7"/>
    <w:rsid w:val="5D1F7DEB"/>
    <w:rsid w:val="5D3C16A8"/>
    <w:rsid w:val="5D4178F4"/>
    <w:rsid w:val="5D46056D"/>
    <w:rsid w:val="5D685938"/>
    <w:rsid w:val="5D7357FE"/>
    <w:rsid w:val="5D890870"/>
    <w:rsid w:val="5DEE4AF6"/>
    <w:rsid w:val="5E2467F1"/>
    <w:rsid w:val="5E324CBD"/>
    <w:rsid w:val="5E446D0A"/>
    <w:rsid w:val="5E4C08FB"/>
    <w:rsid w:val="5E4F6EC8"/>
    <w:rsid w:val="5E68756F"/>
    <w:rsid w:val="5E880503"/>
    <w:rsid w:val="5E9F43BD"/>
    <w:rsid w:val="5EB83EC4"/>
    <w:rsid w:val="5ECD7406"/>
    <w:rsid w:val="5ED6097D"/>
    <w:rsid w:val="5EE07D16"/>
    <w:rsid w:val="5EFC7379"/>
    <w:rsid w:val="5EFD5653"/>
    <w:rsid w:val="5F0C4A11"/>
    <w:rsid w:val="5F1A2B43"/>
    <w:rsid w:val="5F2B3E04"/>
    <w:rsid w:val="5F390831"/>
    <w:rsid w:val="5F3E3FB8"/>
    <w:rsid w:val="5F993E84"/>
    <w:rsid w:val="5FB837BB"/>
    <w:rsid w:val="5FCF5AF8"/>
    <w:rsid w:val="5FDF027F"/>
    <w:rsid w:val="6029717B"/>
    <w:rsid w:val="6037369D"/>
    <w:rsid w:val="607A129E"/>
    <w:rsid w:val="60B17228"/>
    <w:rsid w:val="60CC405A"/>
    <w:rsid w:val="60E46711"/>
    <w:rsid w:val="60F5577F"/>
    <w:rsid w:val="610572F8"/>
    <w:rsid w:val="6116564E"/>
    <w:rsid w:val="61310FFC"/>
    <w:rsid w:val="613113D7"/>
    <w:rsid w:val="613A00F7"/>
    <w:rsid w:val="615F221E"/>
    <w:rsid w:val="61722012"/>
    <w:rsid w:val="61771342"/>
    <w:rsid w:val="618925DC"/>
    <w:rsid w:val="618D7A19"/>
    <w:rsid w:val="61A41DBB"/>
    <w:rsid w:val="61BC0067"/>
    <w:rsid w:val="61E215D8"/>
    <w:rsid w:val="61EC781D"/>
    <w:rsid w:val="621B3775"/>
    <w:rsid w:val="62321E27"/>
    <w:rsid w:val="62364782"/>
    <w:rsid w:val="627C139F"/>
    <w:rsid w:val="6280036F"/>
    <w:rsid w:val="62A414BE"/>
    <w:rsid w:val="62BB1AF9"/>
    <w:rsid w:val="62C834DA"/>
    <w:rsid w:val="62CA07F9"/>
    <w:rsid w:val="62E05364"/>
    <w:rsid w:val="63185A08"/>
    <w:rsid w:val="631D427E"/>
    <w:rsid w:val="631E4199"/>
    <w:rsid w:val="63422A85"/>
    <w:rsid w:val="634A38E1"/>
    <w:rsid w:val="63524FC7"/>
    <w:rsid w:val="63730E90"/>
    <w:rsid w:val="63827583"/>
    <w:rsid w:val="638D5C5B"/>
    <w:rsid w:val="6394356A"/>
    <w:rsid w:val="63AD5C13"/>
    <w:rsid w:val="63BA7E99"/>
    <w:rsid w:val="63C61B2C"/>
    <w:rsid w:val="63D40BE9"/>
    <w:rsid w:val="640E6B59"/>
    <w:rsid w:val="64102431"/>
    <w:rsid w:val="642A3C32"/>
    <w:rsid w:val="644B1A3D"/>
    <w:rsid w:val="64526654"/>
    <w:rsid w:val="645E4E66"/>
    <w:rsid w:val="647F035E"/>
    <w:rsid w:val="64815483"/>
    <w:rsid w:val="64852C29"/>
    <w:rsid w:val="649472D4"/>
    <w:rsid w:val="64954856"/>
    <w:rsid w:val="649E018F"/>
    <w:rsid w:val="64A5243A"/>
    <w:rsid w:val="64B147AF"/>
    <w:rsid w:val="64BC23C3"/>
    <w:rsid w:val="64C179D9"/>
    <w:rsid w:val="64EA6F30"/>
    <w:rsid w:val="64F531DE"/>
    <w:rsid w:val="64F65311"/>
    <w:rsid w:val="652B723C"/>
    <w:rsid w:val="65317BE8"/>
    <w:rsid w:val="65373578"/>
    <w:rsid w:val="65423E64"/>
    <w:rsid w:val="656442F0"/>
    <w:rsid w:val="656767D3"/>
    <w:rsid w:val="656B62C3"/>
    <w:rsid w:val="659012DA"/>
    <w:rsid w:val="65922853"/>
    <w:rsid w:val="65A44062"/>
    <w:rsid w:val="65A510FD"/>
    <w:rsid w:val="65D80B7F"/>
    <w:rsid w:val="65F00576"/>
    <w:rsid w:val="65F9570F"/>
    <w:rsid w:val="660255C6"/>
    <w:rsid w:val="660E5D08"/>
    <w:rsid w:val="661D73F8"/>
    <w:rsid w:val="664A36FF"/>
    <w:rsid w:val="66501E1D"/>
    <w:rsid w:val="66754F1F"/>
    <w:rsid w:val="66796B71"/>
    <w:rsid w:val="667B707D"/>
    <w:rsid w:val="66844C29"/>
    <w:rsid w:val="66A10559"/>
    <w:rsid w:val="66B941C2"/>
    <w:rsid w:val="66D63C10"/>
    <w:rsid w:val="66EA2112"/>
    <w:rsid w:val="6703596B"/>
    <w:rsid w:val="67087CA7"/>
    <w:rsid w:val="671251E6"/>
    <w:rsid w:val="671F124A"/>
    <w:rsid w:val="67390FA9"/>
    <w:rsid w:val="67546AF2"/>
    <w:rsid w:val="677A33C6"/>
    <w:rsid w:val="67880147"/>
    <w:rsid w:val="67996764"/>
    <w:rsid w:val="679F5492"/>
    <w:rsid w:val="67A17C72"/>
    <w:rsid w:val="67B210CD"/>
    <w:rsid w:val="67C535D3"/>
    <w:rsid w:val="67E410EC"/>
    <w:rsid w:val="67F00D02"/>
    <w:rsid w:val="67F4442E"/>
    <w:rsid w:val="68016A6B"/>
    <w:rsid w:val="681D7005"/>
    <w:rsid w:val="681F6961"/>
    <w:rsid w:val="68202BF5"/>
    <w:rsid w:val="682E590A"/>
    <w:rsid w:val="6832131A"/>
    <w:rsid w:val="68332651"/>
    <w:rsid w:val="68610A2F"/>
    <w:rsid w:val="686B161F"/>
    <w:rsid w:val="687874D2"/>
    <w:rsid w:val="68805514"/>
    <w:rsid w:val="68835179"/>
    <w:rsid w:val="68A15A72"/>
    <w:rsid w:val="68EC771B"/>
    <w:rsid w:val="69316E2F"/>
    <w:rsid w:val="69322F7F"/>
    <w:rsid w:val="694E2071"/>
    <w:rsid w:val="69550A1C"/>
    <w:rsid w:val="696F20FA"/>
    <w:rsid w:val="69766163"/>
    <w:rsid w:val="697A3B33"/>
    <w:rsid w:val="697C3D03"/>
    <w:rsid w:val="69981651"/>
    <w:rsid w:val="699E6C88"/>
    <w:rsid w:val="69AC1E1E"/>
    <w:rsid w:val="69B12FFE"/>
    <w:rsid w:val="69B525D7"/>
    <w:rsid w:val="69C441F4"/>
    <w:rsid w:val="69D33BE7"/>
    <w:rsid w:val="69D44760"/>
    <w:rsid w:val="69D72179"/>
    <w:rsid w:val="69DB153D"/>
    <w:rsid w:val="69EF296F"/>
    <w:rsid w:val="69FB6D5F"/>
    <w:rsid w:val="69FF18A4"/>
    <w:rsid w:val="6A0E4958"/>
    <w:rsid w:val="6A2A361C"/>
    <w:rsid w:val="6A400271"/>
    <w:rsid w:val="6A520EC7"/>
    <w:rsid w:val="6A6B28C1"/>
    <w:rsid w:val="6A805B74"/>
    <w:rsid w:val="6A87341E"/>
    <w:rsid w:val="6A924CC7"/>
    <w:rsid w:val="6A95793E"/>
    <w:rsid w:val="6AF02436"/>
    <w:rsid w:val="6AF87E20"/>
    <w:rsid w:val="6B0D6EF1"/>
    <w:rsid w:val="6B1139A5"/>
    <w:rsid w:val="6B322639"/>
    <w:rsid w:val="6B4C5738"/>
    <w:rsid w:val="6B5D0B97"/>
    <w:rsid w:val="6B7B3B2E"/>
    <w:rsid w:val="6BC26DB2"/>
    <w:rsid w:val="6BD8718C"/>
    <w:rsid w:val="6BF0181F"/>
    <w:rsid w:val="6BF32DAE"/>
    <w:rsid w:val="6BF33E43"/>
    <w:rsid w:val="6C0F0DFC"/>
    <w:rsid w:val="6C16685D"/>
    <w:rsid w:val="6C4B4B3C"/>
    <w:rsid w:val="6C4D4027"/>
    <w:rsid w:val="6C636C38"/>
    <w:rsid w:val="6C74510B"/>
    <w:rsid w:val="6C766CFC"/>
    <w:rsid w:val="6C9E41CB"/>
    <w:rsid w:val="6CAC562D"/>
    <w:rsid w:val="6CB127DF"/>
    <w:rsid w:val="6CC94A75"/>
    <w:rsid w:val="6CCD0DFB"/>
    <w:rsid w:val="6CD0069E"/>
    <w:rsid w:val="6CD26C28"/>
    <w:rsid w:val="6CFA5DCC"/>
    <w:rsid w:val="6CFE31D3"/>
    <w:rsid w:val="6D237483"/>
    <w:rsid w:val="6D294BE9"/>
    <w:rsid w:val="6D4228CF"/>
    <w:rsid w:val="6D4670E7"/>
    <w:rsid w:val="6D4F2026"/>
    <w:rsid w:val="6D5B09CB"/>
    <w:rsid w:val="6D853C9A"/>
    <w:rsid w:val="6DB34098"/>
    <w:rsid w:val="6DB545B6"/>
    <w:rsid w:val="6DBD25F1"/>
    <w:rsid w:val="6DE02FB4"/>
    <w:rsid w:val="6DFE5F8C"/>
    <w:rsid w:val="6E104395"/>
    <w:rsid w:val="6E1443B5"/>
    <w:rsid w:val="6E1A6AD8"/>
    <w:rsid w:val="6E2A2FE8"/>
    <w:rsid w:val="6E475D66"/>
    <w:rsid w:val="6E514CED"/>
    <w:rsid w:val="6E5F44BF"/>
    <w:rsid w:val="6E65394E"/>
    <w:rsid w:val="6E6F1AD5"/>
    <w:rsid w:val="6EB563D5"/>
    <w:rsid w:val="6ED92677"/>
    <w:rsid w:val="6EFE15CA"/>
    <w:rsid w:val="6F225983"/>
    <w:rsid w:val="6F286FD3"/>
    <w:rsid w:val="6F2A709B"/>
    <w:rsid w:val="6F2D7B0D"/>
    <w:rsid w:val="6F3947B4"/>
    <w:rsid w:val="6F5C522C"/>
    <w:rsid w:val="6F6C632A"/>
    <w:rsid w:val="6F6E1089"/>
    <w:rsid w:val="6F7C5E36"/>
    <w:rsid w:val="6F7F61C7"/>
    <w:rsid w:val="6F7FD013"/>
    <w:rsid w:val="6F887A72"/>
    <w:rsid w:val="6F9D65B5"/>
    <w:rsid w:val="6FAE7F49"/>
    <w:rsid w:val="6FC8621E"/>
    <w:rsid w:val="6FFC5590"/>
    <w:rsid w:val="700C436B"/>
    <w:rsid w:val="706109EE"/>
    <w:rsid w:val="706D1DD0"/>
    <w:rsid w:val="7071142C"/>
    <w:rsid w:val="70790513"/>
    <w:rsid w:val="70856B87"/>
    <w:rsid w:val="7087301D"/>
    <w:rsid w:val="708F3705"/>
    <w:rsid w:val="70AE5DB9"/>
    <w:rsid w:val="70D527EE"/>
    <w:rsid w:val="711564BA"/>
    <w:rsid w:val="714E0847"/>
    <w:rsid w:val="715B5300"/>
    <w:rsid w:val="71690F03"/>
    <w:rsid w:val="716A5647"/>
    <w:rsid w:val="718E3B9C"/>
    <w:rsid w:val="71981F27"/>
    <w:rsid w:val="71CC633B"/>
    <w:rsid w:val="71D27F8A"/>
    <w:rsid w:val="71D60F68"/>
    <w:rsid w:val="71E304AF"/>
    <w:rsid w:val="722872EA"/>
    <w:rsid w:val="72553024"/>
    <w:rsid w:val="726E72F5"/>
    <w:rsid w:val="728946EE"/>
    <w:rsid w:val="7298420E"/>
    <w:rsid w:val="72C74D55"/>
    <w:rsid w:val="72F778E2"/>
    <w:rsid w:val="730C7F30"/>
    <w:rsid w:val="73122968"/>
    <w:rsid w:val="731F5D5E"/>
    <w:rsid w:val="73351C7E"/>
    <w:rsid w:val="736305DA"/>
    <w:rsid w:val="738D50A9"/>
    <w:rsid w:val="738F7621"/>
    <w:rsid w:val="73A274B8"/>
    <w:rsid w:val="73A55A9C"/>
    <w:rsid w:val="73C1341A"/>
    <w:rsid w:val="73C51AD5"/>
    <w:rsid w:val="73E85406"/>
    <w:rsid w:val="73EA4857"/>
    <w:rsid w:val="73FD2714"/>
    <w:rsid w:val="740B0DF6"/>
    <w:rsid w:val="741E793C"/>
    <w:rsid w:val="74327ACF"/>
    <w:rsid w:val="743E609F"/>
    <w:rsid w:val="74424136"/>
    <w:rsid w:val="744D3038"/>
    <w:rsid w:val="745E3944"/>
    <w:rsid w:val="747A4177"/>
    <w:rsid w:val="747D311F"/>
    <w:rsid w:val="74A52E74"/>
    <w:rsid w:val="74AC668C"/>
    <w:rsid w:val="74C1255F"/>
    <w:rsid w:val="74C4154C"/>
    <w:rsid w:val="74D835BF"/>
    <w:rsid w:val="74E31AB7"/>
    <w:rsid w:val="751A0EF3"/>
    <w:rsid w:val="751F2C26"/>
    <w:rsid w:val="752725BA"/>
    <w:rsid w:val="75385547"/>
    <w:rsid w:val="754363A7"/>
    <w:rsid w:val="75544A03"/>
    <w:rsid w:val="75680B5F"/>
    <w:rsid w:val="75927256"/>
    <w:rsid w:val="75AC07FE"/>
    <w:rsid w:val="75B73ED4"/>
    <w:rsid w:val="75DF2239"/>
    <w:rsid w:val="76065B94"/>
    <w:rsid w:val="7635099D"/>
    <w:rsid w:val="76370BCC"/>
    <w:rsid w:val="763B3A90"/>
    <w:rsid w:val="765441C3"/>
    <w:rsid w:val="7666412E"/>
    <w:rsid w:val="766C6642"/>
    <w:rsid w:val="767825EE"/>
    <w:rsid w:val="767B0863"/>
    <w:rsid w:val="76982C90"/>
    <w:rsid w:val="76992564"/>
    <w:rsid w:val="770964AB"/>
    <w:rsid w:val="77404C59"/>
    <w:rsid w:val="7755292F"/>
    <w:rsid w:val="776D2CDF"/>
    <w:rsid w:val="77762421"/>
    <w:rsid w:val="778F713D"/>
    <w:rsid w:val="77992D9C"/>
    <w:rsid w:val="77B56B1F"/>
    <w:rsid w:val="77C6382D"/>
    <w:rsid w:val="77D01D58"/>
    <w:rsid w:val="77DA1086"/>
    <w:rsid w:val="77DD29F5"/>
    <w:rsid w:val="77FA7033"/>
    <w:rsid w:val="780F09F4"/>
    <w:rsid w:val="78301780"/>
    <w:rsid w:val="78405FDD"/>
    <w:rsid w:val="7899684C"/>
    <w:rsid w:val="78A90480"/>
    <w:rsid w:val="78B83176"/>
    <w:rsid w:val="78BE4504"/>
    <w:rsid w:val="78C338C8"/>
    <w:rsid w:val="78CF226D"/>
    <w:rsid w:val="78D14237"/>
    <w:rsid w:val="78EA0147"/>
    <w:rsid w:val="7913601E"/>
    <w:rsid w:val="791A1E16"/>
    <w:rsid w:val="79206B3C"/>
    <w:rsid w:val="79471B2B"/>
    <w:rsid w:val="798E6DBF"/>
    <w:rsid w:val="79916A00"/>
    <w:rsid w:val="79A7505D"/>
    <w:rsid w:val="7A3126BD"/>
    <w:rsid w:val="7A364017"/>
    <w:rsid w:val="7A627363"/>
    <w:rsid w:val="7A68460E"/>
    <w:rsid w:val="7A7A6011"/>
    <w:rsid w:val="7A8265E1"/>
    <w:rsid w:val="7A8C2B0C"/>
    <w:rsid w:val="7AAA4D40"/>
    <w:rsid w:val="7AD20159"/>
    <w:rsid w:val="7B0A23A1"/>
    <w:rsid w:val="7B1E5870"/>
    <w:rsid w:val="7B30793B"/>
    <w:rsid w:val="7B451825"/>
    <w:rsid w:val="7B6178E1"/>
    <w:rsid w:val="7B686D42"/>
    <w:rsid w:val="7B841746"/>
    <w:rsid w:val="7B8A1C81"/>
    <w:rsid w:val="7BA908FD"/>
    <w:rsid w:val="7BB106E1"/>
    <w:rsid w:val="7BC3285F"/>
    <w:rsid w:val="7BD17C9F"/>
    <w:rsid w:val="7C0B7A60"/>
    <w:rsid w:val="7C487F84"/>
    <w:rsid w:val="7C5E4034"/>
    <w:rsid w:val="7C6C2B2C"/>
    <w:rsid w:val="7C6C5AC7"/>
    <w:rsid w:val="7C8E41ED"/>
    <w:rsid w:val="7CC6544B"/>
    <w:rsid w:val="7D0239FF"/>
    <w:rsid w:val="7D2C7760"/>
    <w:rsid w:val="7D3A0BD5"/>
    <w:rsid w:val="7D5E40CD"/>
    <w:rsid w:val="7DC013D7"/>
    <w:rsid w:val="7DCD56F2"/>
    <w:rsid w:val="7DD81189"/>
    <w:rsid w:val="7E0A4FAB"/>
    <w:rsid w:val="7E453A01"/>
    <w:rsid w:val="7E676927"/>
    <w:rsid w:val="7E6873EC"/>
    <w:rsid w:val="7E9D5497"/>
    <w:rsid w:val="7EA20EF1"/>
    <w:rsid w:val="7EA91176"/>
    <w:rsid w:val="7EB2189A"/>
    <w:rsid w:val="7EB63B18"/>
    <w:rsid w:val="7EB75C7D"/>
    <w:rsid w:val="7EC97E4D"/>
    <w:rsid w:val="7ECB0608"/>
    <w:rsid w:val="7EE42DF0"/>
    <w:rsid w:val="7F001CE7"/>
    <w:rsid w:val="7F1430D0"/>
    <w:rsid w:val="7F2A46A1"/>
    <w:rsid w:val="7F4840D7"/>
    <w:rsid w:val="7F4D1701"/>
    <w:rsid w:val="7F5867C0"/>
    <w:rsid w:val="7F804476"/>
    <w:rsid w:val="7F8B73C1"/>
    <w:rsid w:val="7F8E0244"/>
    <w:rsid w:val="7FD36AE7"/>
    <w:rsid w:val="7FE47E50"/>
    <w:rsid w:val="7FE9455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3"/>
    <w:basedOn w:val="1"/>
    <w:next w:val="1"/>
    <w:unhideWhenUsed/>
    <w:qFormat/>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paragraph" w:styleId="5">
    <w:name w:val="heading 4"/>
    <w:basedOn w:val="1"/>
    <w:next w:val="1"/>
    <w:link w:val="39"/>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25">
    <w:name w:val="Default Paragraph Font"/>
    <w:semiHidden/>
    <w:uiPriority w:val="0"/>
  </w:style>
  <w:style w:type="table" w:default="1" w:styleId="23">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Plain Text"/>
    <w:basedOn w:val="1"/>
    <w:next w:val="1"/>
    <w:link w:val="38"/>
    <w:qFormat/>
    <w:uiPriority w:val="99"/>
    <w:rPr>
      <w:rFonts w:ascii="宋体" w:hAnsi="Courier New"/>
      <w:szCs w:val="20"/>
    </w:rPr>
  </w:style>
  <w:style w:type="paragraph" w:styleId="6">
    <w:name w:val="Normal Indent"/>
    <w:basedOn w:val="1"/>
    <w:qFormat/>
    <w:uiPriority w:val="0"/>
    <w:pPr>
      <w:spacing w:before="60" w:after="60" w:line="400" w:lineRule="exact"/>
      <w:ind w:firstLine="420"/>
    </w:pPr>
    <w:rPr>
      <w:szCs w:val="20"/>
    </w:rPr>
  </w:style>
  <w:style w:type="paragraph" w:styleId="7">
    <w:name w:val="annotation text"/>
    <w:basedOn w:val="1"/>
    <w:link w:val="40"/>
    <w:qFormat/>
    <w:uiPriority w:val="99"/>
    <w:pPr>
      <w:jc w:val="left"/>
    </w:pPr>
    <w:rPr>
      <w:kern w:val="0"/>
      <w:sz w:val="24"/>
      <w:szCs w:val="20"/>
    </w:rPr>
  </w:style>
  <w:style w:type="paragraph" w:styleId="8">
    <w:name w:val="Body Text"/>
    <w:basedOn w:val="1"/>
    <w:link w:val="41"/>
    <w:qFormat/>
    <w:uiPriority w:val="0"/>
    <w:pPr>
      <w:widowControl/>
      <w:snapToGrid w:val="0"/>
      <w:spacing w:before="60" w:after="160" w:line="259" w:lineRule="auto"/>
      <w:ind w:right="113"/>
    </w:pPr>
    <w:rPr>
      <w:kern w:val="0"/>
      <w:sz w:val="18"/>
      <w:szCs w:val="20"/>
    </w:rPr>
  </w:style>
  <w:style w:type="paragraph" w:styleId="9">
    <w:name w:val="Body Text Indent"/>
    <w:basedOn w:val="1"/>
    <w:link w:val="42"/>
    <w:qFormat/>
    <w:uiPriority w:val="0"/>
    <w:pPr>
      <w:spacing w:after="120"/>
      <w:ind w:left="420" w:leftChars="200"/>
    </w:pPr>
    <w:rPr>
      <w:kern w:val="0"/>
      <w:sz w:val="24"/>
      <w:szCs w:val="20"/>
    </w:rPr>
  </w:style>
  <w:style w:type="paragraph" w:styleId="10">
    <w:name w:val="Date"/>
    <w:basedOn w:val="1"/>
    <w:next w:val="1"/>
    <w:link w:val="43"/>
    <w:qFormat/>
    <w:uiPriority w:val="0"/>
    <w:pPr>
      <w:ind w:left="100" w:leftChars="2500"/>
    </w:pPr>
    <w:rPr>
      <w:kern w:val="0"/>
      <w:sz w:val="24"/>
      <w:szCs w:val="20"/>
    </w:rPr>
  </w:style>
  <w:style w:type="paragraph" w:styleId="11">
    <w:name w:val="Body Text Indent 2"/>
    <w:basedOn w:val="1"/>
    <w:link w:val="44"/>
    <w:qFormat/>
    <w:uiPriority w:val="0"/>
    <w:pPr>
      <w:spacing w:after="120" w:line="480" w:lineRule="auto"/>
      <w:ind w:left="420" w:leftChars="200"/>
    </w:pPr>
  </w:style>
  <w:style w:type="paragraph" w:styleId="12">
    <w:name w:val="Balloon Text"/>
    <w:basedOn w:val="1"/>
    <w:link w:val="45"/>
    <w:semiHidden/>
    <w:qFormat/>
    <w:uiPriority w:val="0"/>
    <w:rPr>
      <w:kern w:val="0"/>
      <w:sz w:val="18"/>
      <w:szCs w:val="20"/>
    </w:rPr>
  </w:style>
  <w:style w:type="paragraph" w:styleId="13">
    <w:name w:val="footer"/>
    <w:basedOn w:val="1"/>
    <w:link w:val="46"/>
    <w:qFormat/>
    <w:uiPriority w:val="99"/>
    <w:pPr>
      <w:tabs>
        <w:tab w:val="center" w:pos="4153"/>
        <w:tab w:val="right" w:pos="8306"/>
      </w:tabs>
      <w:snapToGrid w:val="0"/>
      <w:jc w:val="left"/>
    </w:pPr>
    <w:rPr>
      <w:kern w:val="0"/>
      <w:sz w:val="18"/>
      <w:szCs w:val="20"/>
    </w:rPr>
  </w:style>
  <w:style w:type="paragraph" w:styleId="14">
    <w:name w:val="header"/>
    <w:basedOn w:val="1"/>
    <w:next w:val="15"/>
    <w:link w:val="47"/>
    <w:qFormat/>
    <w:uiPriority w:val="99"/>
    <w:pPr>
      <w:pBdr>
        <w:bottom w:val="single" w:color="auto" w:sz="6" w:space="1"/>
      </w:pBdr>
      <w:tabs>
        <w:tab w:val="center" w:pos="4153"/>
        <w:tab w:val="right" w:pos="8306"/>
      </w:tabs>
      <w:snapToGrid w:val="0"/>
      <w:jc w:val="center"/>
    </w:pPr>
    <w:rPr>
      <w:kern w:val="0"/>
      <w:sz w:val="18"/>
      <w:szCs w:val="20"/>
    </w:rPr>
  </w:style>
  <w:style w:type="paragraph" w:styleId="15">
    <w:name w:val="index heading"/>
    <w:basedOn w:val="1"/>
    <w:next w:val="16"/>
    <w:qFormat/>
    <w:uiPriority w:val="0"/>
    <w:rPr>
      <w:rFonts w:ascii="宋体"/>
      <w:bCs/>
      <w:sz w:val="24"/>
    </w:rPr>
  </w:style>
  <w:style w:type="paragraph" w:styleId="16">
    <w:name w:val="index 1"/>
    <w:basedOn w:val="1"/>
    <w:next w:val="1"/>
    <w:qFormat/>
    <w:uiPriority w:val="0"/>
    <w:pPr>
      <w:adjustRightInd/>
      <w:spacing w:line="240" w:lineRule="auto"/>
      <w:ind w:left="560" w:hanging="560"/>
      <w:jc w:val="both"/>
      <w:textAlignment w:val="auto"/>
    </w:pPr>
    <w:rPr>
      <w:rFonts w:hAnsi="宋体"/>
      <w:spacing w:val="10"/>
      <w:kern w:val="2"/>
      <w:sz w:val="21"/>
      <w:szCs w:val="24"/>
    </w:rPr>
  </w:style>
  <w:style w:type="paragraph" w:styleId="17">
    <w:name w:val="toc 1"/>
    <w:basedOn w:val="1"/>
    <w:next w:val="1"/>
    <w:qFormat/>
    <w:uiPriority w:val="39"/>
  </w:style>
  <w:style w:type="paragraph" w:styleId="18">
    <w:name w:val="footnote text"/>
    <w:basedOn w:val="1"/>
    <w:qFormat/>
    <w:uiPriority w:val="0"/>
    <w:pPr>
      <w:snapToGrid w:val="0"/>
      <w:jc w:val="left"/>
    </w:pPr>
    <w:rPr>
      <w:sz w:val="18"/>
    </w:rPr>
  </w:style>
  <w:style w:type="paragraph" w:styleId="19">
    <w:name w:val="Normal (Web)"/>
    <w:basedOn w:val="1"/>
    <w:link w:val="48"/>
    <w:qFormat/>
    <w:uiPriority w:val="0"/>
    <w:pPr>
      <w:widowControl/>
      <w:spacing w:before="100" w:beforeAutospacing="1" w:after="100" w:afterAutospacing="1"/>
      <w:jc w:val="left"/>
    </w:pPr>
    <w:rPr>
      <w:rFonts w:ascii="宋体" w:hAnsi="宋体"/>
      <w:kern w:val="0"/>
      <w:sz w:val="24"/>
      <w:szCs w:val="20"/>
    </w:rPr>
  </w:style>
  <w:style w:type="paragraph" w:styleId="20">
    <w:name w:val="annotation subject"/>
    <w:basedOn w:val="7"/>
    <w:next w:val="7"/>
    <w:link w:val="49"/>
    <w:semiHidden/>
    <w:qFormat/>
    <w:uiPriority w:val="0"/>
    <w:rPr>
      <w:b/>
      <w:sz w:val="24"/>
      <w:szCs w:val="20"/>
    </w:rPr>
  </w:style>
  <w:style w:type="paragraph" w:styleId="21">
    <w:name w:val="Body Text First Indent"/>
    <w:basedOn w:val="8"/>
    <w:next w:val="1"/>
    <w:link w:val="50"/>
    <w:qFormat/>
    <w:uiPriority w:val="0"/>
    <w:pPr>
      <w:widowControl w:val="0"/>
      <w:snapToGrid/>
      <w:spacing w:before="0" w:after="120" w:line="240" w:lineRule="auto"/>
      <w:ind w:right="0" w:firstLine="420" w:firstLineChars="100"/>
    </w:pPr>
    <w:rPr>
      <w:kern w:val="2"/>
      <w:sz w:val="21"/>
      <w:szCs w:val="24"/>
    </w:rPr>
  </w:style>
  <w:style w:type="paragraph" w:styleId="22">
    <w:name w:val="Body Text First Indent 2"/>
    <w:basedOn w:val="9"/>
    <w:next w:val="21"/>
    <w:link w:val="51"/>
    <w:qFormat/>
    <w:uiPriority w:val="0"/>
    <w:pPr>
      <w:ind w:firstLine="420" w:firstLineChars="200"/>
    </w:pPr>
    <w:rPr>
      <w:kern w:val="2"/>
      <w:sz w:val="21"/>
    </w:rPr>
  </w:style>
  <w:style w:type="table" w:styleId="24">
    <w:name w:val="Table Grid"/>
    <w:basedOn w:val="23"/>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0"/>
    <w:rPr>
      <w:b/>
    </w:rPr>
  </w:style>
  <w:style w:type="character" w:styleId="27">
    <w:name w:val="page number"/>
    <w:qFormat/>
    <w:uiPriority w:val="0"/>
  </w:style>
  <w:style w:type="character" w:styleId="28">
    <w:name w:val="FollowedHyperlink"/>
    <w:basedOn w:val="25"/>
    <w:qFormat/>
    <w:uiPriority w:val="0"/>
    <w:rPr>
      <w:color w:val="000000"/>
      <w:u w:val="none"/>
    </w:rPr>
  </w:style>
  <w:style w:type="character" w:styleId="29">
    <w:name w:val="Emphasis"/>
    <w:basedOn w:val="25"/>
    <w:qFormat/>
    <w:uiPriority w:val="0"/>
  </w:style>
  <w:style w:type="character" w:styleId="30">
    <w:name w:val="HTML Definition"/>
    <w:basedOn w:val="25"/>
    <w:qFormat/>
    <w:uiPriority w:val="0"/>
  </w:style>
  <w:style w:type="character" w:styleId="31">
    <w:name w:val="HTML Acronym"/>
    <w:basedOn w:val="25"/>
    <w:qFormat/>
    <w:uiPriority w:val="0"/>
  </w:style>
  <w:style w:type="character" w:styleId="32">
    <w:name w:val="HTML Variable"/>
    <w:basedOn w:val="25"/>
    <w:qFormat/>
    <w:uiPriority w:val="0"/>
  </w:style>
  <w:style w:type="character" w:styleId="33">
    <w:name w:val="Hyperlink"/>
    <w:basedOn w:val="25"/>
    <w:unhideWhenUsed/>
    <w:qFormat/>
    <w:uiPriority w:val="99"/>
    <w:rPr>
      <w:color w:val="000000"/>
      <w:u w:val="none"/>
    </w:rPr>
  </w:style>
  <w:style w:type="character" w:styleId="34">
    <w:name w:val="HTML Code"/>
    <w:basedOn w:val="25"/>
    <w:qFormat/>
    <w:uiPriority w:val="0"/>
    <w:rPr>
      <w:rFonts w:ascii="Courier New" w:hAnsi="Courier New"/>
      <w:sz w:val="20"/>
    </w:rPr>
  </w:style>
  <w:style w:type="character" w:styleId="35">
    <w:name w:val="annotation reference"/>
    <w:qFormat/>
    <w:uiPriority w:val="0"/>
    <w:rPr>
      <w:sz w:val="21"/>
    </w:rPr>
  </w:style>
  <w:style w:type="character" w:styleId="36">
    <w:name w:val="HTML Cite"/>
    <w:basedOn w:val="25"/>
    <w:qFormat/>
    <w:uiPriority w:val="0"/>
  </w:style>
  <w:style w:type="character" w:styleId="37">
    <w:name w:val="footnote reference"/>
    <w:basedOn w:val="25"/>
    <w:qFormat/>
    <w:uiPriority w:val="0"/>
    <w:rPr>
      <w:vertAlign w:val="superscript"/>
    </w:rPr>
  </w:style>
  <w:style w:type="character" w:customStyle="1" w:styleId="38">
    <w:name w:val="纯文本 字符"/>
    <w:link w:val="2"/>
    <w:qFormat/>
    <w:uiPriority w:val="99"/>
    <w:rPr>
      <w:rFonts w:ascii="宋体" w:hAnsi="Courier New"/>
      <w:kern w:val="2"/>
      <w:sz w:val="21"/>
    </w:rPr>
  </w:style>
  <w:style w:type="character" w:customStyle="1" w:styleId="39">
    <w:name w:val="标题 4 字符"/>
    <w:link w:val="5"/>
    <w:semiHidden/>
    <w:qFormat/>
    <w:uiPriority w:val="0"/>
    <w:rPr>
      <w:rFonts w:ascii="等线 Light" w:hAnsi="等线 Light" w:eastAsia="等线 Light" w:cs="Times New Roman"/>
      <w:b/>
      <w:bCs/>
      <w:kern w:val="2"/>
      <w:sz w:val="28"/>
      <w:szCs w:val="28"/>
    </w:rPr>
  </w:style>
  <w:style w:type="character" w:customStyle="1" w:styleId="40">
    <w:name w:val="批注文字 字符"/>
    <w:link w:val="7"/>
    <w:qFormat/>
    <w:uiPriority w:val="99"/>
    <w:rPr>
      <w:rFonts w:ascii="Times New Roman" w:hAnsi="Times New Roman" w:eastAsia="宋体"/>
      <w:sz w:val="24"/>
    </w:rPr>
  </w:style>
  <w:style w:type="character" w:customStyle="1" w:styleId="41">
    <w:name w:val="正文文本 字符"/>
    <w:link w:val="8"/>
    <w:qFormat/>
    <w:uiPriority w:val="0"/>
    <w:rPr>
      <w:sz w:val="18"/>
    </w:rPr>
  </w:style>
  <w:style w:type="character" w:customStyle="1" w:styleId="42">
    <w:name w:val="正文文本缩进 字符"/>
    <w:link w:val="9"/>
    <w:semiHidden/>
    <w:qFormat/>
    <w:uiPriority w:val="0"/>
    <w:rPr>
      <w:rFonts w:ascii="Times New Roman" w:hAnsi="Times New Roman" w:eastAsia="宋体"/>
      <w:sz w:val="24"/>
    </w:rPr>
  </w:style>
  <w:style w:type="character" w:customStyle="1" w:styleId="43">
    <w:name w:val="日期 字符1"/>
    <w:link w:val="10"/>
    <w:qFormat/>
    <w:uiPriority w:val="0"/>
    <w:rPr>
      <w:rFonts w:ascii="Times New Roman" w:hAnsi="Times New Roman" w:eastAsia="宋体"/>
      <w:sz w:val="24"/>
    </w:rPr>
  </w:style>
  <w:style w:type="character" w:customStyle="1" w:styleId="44">
    <w:name w:val="正文文本缩进 2 字符"/>
    <w:link w:val="11"/>
    <w:qFormat/>
    <w:uiPriority w:val="0"/>
    <w:rPr>
      <w:kern w:val="2"/>
      <w:sz w:val="21"/>
      <w:szCs w:val="24"/>
    </w:rPr>
  </w:style>
  <w:style w:type="character" w:customStyle="1" w:styleId="45">
    <w:name w:val="批注框文本 字符"/>
    <w:link w:val="12"/>
    <w:semiHidden/>
    <w:uiPriority w:val="0"/>
    <w:rPr>
      <w:rFonts w:ascii="Times New Roman" w:hAnsi="Times New Roman" w:eastAsia="宋体"/>
      <w:sz w:val="18"/>
    </w:rPr>
  </w:style>
  <w:style w:type="character" w:customStyle="1" w:styleId="46">
    <w:name w:val="页脚 字符1"/>
    <w:link w:val="13"/>
    <w:qFormat/>
    <w:uiPriority w:val="99"/>
    <w:rPr>
      <w:sz w:val="18"/>
    </w:rPr>
  </w:style>
  <w:style w:type="character" w:customStyle="1" w:styleId="47">
    <w:name w:val="页眉 字符"/>
    <w:link w:val="14"/>
    <w:qFormat/>
    <w:uiPriority w:val="99"/>
    <w:rPr>
      <w:sz w:val="18"/>
    </w:rPr>
  </w:style>
  <w:style w:type="character" w:customStyle="1" w:styleId="48">
    <w:name w:val="普通(网站) 字符"/>
    <w:link w:val="19"/>
    <w:uiPriority w:val="0"/>
    <w:rPr>
      <w:rFonts w:ascii="宋体" w:hAnsi="宋体" w:eastAsia="宋体"/>
      <w:sz w:val="24"/>
    </w:rPr>
  </w:style>
  <w:style w:type="character" w:customStyle="1" w:styleId="49">
    <w:name w:val="批注主题 字符"/>
    <w:link w:val="20"/>
    <w:semiHidden/>
    <w:qFormat/>
    <w:uiPriority w:val="0"/>
    <w:rPr>
      <w:rFonts w:ascii="Times New Roman" w:hAnsi="Times New Roman" w:eastAsia="宋体"/>
      <w:b/>
      <w:kern w:val="2"/>
      <w:sz w:val="24"/>
    </w:rPr>
  </w:style>
  <w:style w:type="character" w:customStyle="1" w:styleId="50">
    <w:name w:val="正文文本首行缩进 字符"/>
    <w:link w:val="21"/>
    <w:qFormat/>
    <w:uiPriority w:val="0"/>
    <w:rPr>
      <w:kern w:val="2"/>
      <w:sz w:val="21"/>
      <w:szCs w:val="24"/>
    </w:rPr>
  </w:style>
  <w:style w:type="character" w:customStyle="1" w:styleId="51">
    <w:name w:val="正文文本首行缩进 2 字符"/>
    <w:link w:val="22"/>
    <w:qFormat/>
    <w:uiPriority w:val="0"/>
    <w:rPr>
      <w:kern w:val="2"/>
      <w:sz w:val="21"/>
    </w:rPr>
  </w:style>
  <w:style w:type="paragraph" w:customStyle="1" w:styleId="52">
    <w:name w:val="报告正文"/>
    <w:basedOn w:val="1"/>
    <w:qFormat/>
    <w:uiPriority w:val="0"/>
    <w:pPr>
      <w:ind w:firstLine="536"/>
    </w:pPr>
    <w:rPr>
      <w:spacing w:val="14"/>
      <w:kern w:val="0"/>
      <w:szCs w:val="20"/>
    </w:rPr>
  </w:style>
  <w:style w:type="character" w:customStyle="1" w:styleId="53">
    <w:name w:val="页脚 字符"/>
    <w:qFormat/>
    <w:uiPriority w:val="99"/>
  </w:style>
  <w:style w:type="character" w:customStyle="1" w:styleId="54">
    <w:name w:val="15"/>
    <w:qFormat/>
    <w:uiPriority w:val="0"/>
    <w:rPr>
      <w:rFonts w:hint="default" w:ascii="Calibri" w:hAnsi="Calibri"/>
      <w:sz w:val="21"/>
      <w:szCs w:val="21"/>
    </w:rPr>
  </w:style>
  <w:style w:type="character" w:customStyle="1" w:styleId="55">
    <w:name w:val="正文文本首行缩进 2 字符1"/>
    <w:uiPriority w:val="0"/>
    <w:rPr>
      <w:rFonts w:ascii="Times New Roman" w:hAnsi="Times New Roman" w:eastAsia="宋体"/>
      <w:kern w:val="2"/>
      <w:sz w:val="21"/>
      <w:szCs w:val="24"/>
    </w:rPr>
  </w:style>
  <w:style w:type="character" w:customStyle="1" w:styleId="56">
    <w:name w:val="日期 字符"/>
    <w:semiHidden/>
    <w:uiPriority w:val="0"/>
    <w:rPr>
      <w:rFonts w:ascii="Times New Roman" w:hAnsi="Times New Roman" w:eastAsia="宋体"/>
      <w:sz w:val="24"/>
    </w:rPr>
  </w:style>
  <w:style w:type="character" w:customStyle="1" w:styleId="57">
    <w:name w:val="正文文本 字符1"/>
    <w:semiHidden/>
    <w:qFormat/>
    <w:uiPriority w:val="0"/>
    <w:rPr>
      <w:rFonts w:ascii="Times New Roman" w:hAnsi="Times New Roman" w:eastAsia="宋体"/>
      <w:sz w:val="24"/>
    </w:rPr>
  </w:style>
  <w:style w:type="character" w:customStyle="1" w:styleId="58">
    <w:name w:val="批注文字 字符1"/>
    <w:semiHidden/>
    <w:uiPriority w:val="0"/>
    <w:rPr>
      <w:rFonts w:ascii="Times New Roman" w:hAnsi="Times New Roman" w:eastAsia="宋体"/>
      <w:sz w:val="24"/>
    </w:rPr>
  </w:style>
  <w:style w:type="character" w:customStyle="1" w:styleId="59">
    <w:name w:val="表格 Char Char"/>
    <w:uiPriority w:val="0"/>
    <w:rPr>
      <w:rFonts w:ascii="楷体_GB2312" w:eastAsia="新宋体"/>
      <w:kern w:val="2"/>
      <w:sz w:val="21"/>
    </w:rPr>
  </w:style>
  <w:style w:type="character" w:customStyle="1" w:styleId="60">
    <w:name w:val="表格 Char"/>
    <w:link w:val="61"/>
    <w:uiPriority w:val="0"/>
    <w:rPr>
      <w:rFonts w:ascii="宋体"/>
      <w:sz w:val="21"/>
    </w:rPr>
  </w:style>
  <w:style w:type="paragraph" w:customStyle="1" w:styleId="61">
    <w:name w:val="表格"/>
    <w:basedOn w:val="1"/>
    <w:next w:val="1"/>
    <w:link w:val="60"/>
    <w:uiPriority w:val="0"/>
    <w:pPr>
      <w:adjustRightInd w:val="0"/>
      <w:snapToGrid w:val="0"/>
      <w:spacing w:beforeLines="10" w:afterLines="10" w:line="259" w:lineRule="auto"/>
      <w:jc w:val="center"/>
    </w:pPr>
    <w:rPr>
      <w:rFonts w:ascii="宋体"/>
      <w:kern w:val="0"/>
      <w:szCs w:val="20"/>
    </w:rPr>
  </w:style>
  <w:style w:type="character" w:customStyle="1" w:styleId="62">
    <w:name w:val="纯文本 字符1"/>
    <w:qFormat/>
    <w:uiPriority w:val="0"/>
    <w:rPr>
      <w:rFonts w:ascii="宋体" w:hAnsi="Courier New" w:cs="Courier New"/>
      <w:kern w:val="2"/>
      <w:sz w:val="21"/>
      <w:szCs w:val="21"/>
    </w:rPr>
  </w:style>
  <w:style w:type="paragraph" w:customStyle="1" w:styleId="63">
    <w:name w:val="表格文字"/>
    <w:basedOn w:val="1"/>
    <w:next w:val="1"/>
    <w:qFormat/>
    <w:uiPriority w:val="0"/>
    <w:pPr>
      <w:adjustRightInd w:val="0"/>
      <w:jc w:val="center"/>
    </w:pPr>
    <w:rPr>
      <w:szCs w:val="21"/>
    </w:rPr>
  </w:style>
  <w:style w:type="paragraph" w:customStyle="1" w:styleId="64">
    <w:name w:val="样式8"/>
    <w:basedOn w:val="1"/>
    <w:qFormat/>
    <w:uiPriority w:val="0"/>
    <w:pPr>
      <w:adjustRightInd w:val="0"/>
      <w:snapToGrid w:val="0"/>
      <w:jc w:val="center"/>
    </w:pPr>
    <w:rPr>
      <w:rFonts w:ascii="仿宋" w:hAnsi="仿宋" w:eastAsia="仿宋"/>
      <w:szCs w:val="21"/>
    </w:rPr>
  </w:style>
  <w:style w:type="paragraph" w:customStyle="1" w:styleId="65">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6">
    <w:name w:val="样式9"/>
    <w:basedOn w:val="1"/>
    <w:qFormat/>
    <w:uiPriority w:val="0"/>
    <w:pPr>
      <w:jc w:val="center"/>
    </w:pPr>
    <w:rPr>
      <w:rFonts w:ascii="黑体" w:hAnsi="黑体" w:eastAsia="黑体"/>
      <w:b/>
      <w:szCs w:val="21"/>
    </w:rPr>
  </w:style>
  <w:style w:type="paragraph" w:customStyle="1" w:styleId="67">
    <w:name w:val="列出段落1"/>
    <w:basedOn w:val="1"/>
    <w:uiPriority w:val="0"/>
    <w:pPr>
      <w:ind w:firstLine="420" w:firstLineChars="200"/>
    </w:pPr>
    <w:rPr>
      <w:rFonts w:cs="Calibri"/>
      <w:szCs w:val="21"/>
    </w:rPr>
  </w:style>
  <w:style w:type="paragraph" w:customStyle="1" w:styleId="68">
    <w:name w:val="Normal"/>
    <w:basedOn w:val="1"/>
    <w:uiPriority w:val="0"/>
    <w:pPr>
      <w:widowControl/>
    </w:pPr>
    <w:rPr>
      <w:rFonts w:ascii="Calibri" w:hAnsi="Calibri" w:cs="宋体"/>
      <w:szCs w:val="21"/>
    </w:rPr>
  </w:style>
  <w:style w:type="paragraph" w:customStyle="1" w:styleId="69">
    <w:name w:val="三级标题"/>
    <w:basedOn w:val="1"/>
    <w:uiPriority w:val="0"/>
    <w:pPr>
      <w:spacing w:line="360" w:lineRule="auto"/>
      <w:ind w:firstLine="480" w:firstLineChars="200"/>
      <w:jc w:val="left"/>
    </w:pPr>
    <w:rPr>
      <w:b/>
      <w:sz w:val="24"/>
      <w:szCs w:val="21"/>
    </w:rPr>
  </w:style>
  <w:style w:type="paragraph" w:customStyle="1" w:styleId="70">
    <w:name w:val="正文a"/>
    <w:basedOn w:val="1"/>
    <w:qFormat/>
    <w:uiPriority w:val="0"/>
    <w:pPr>
      <w:spacing w:line="360" w:lineRule="auto"/>
      <w:ind w:firstLine="200" w:firstLineChars="200"/>
    </w:pPr>
    <w:rPr>
      <w:rFonts w:ascii="宋体" w:hAnsi="宋体"/>
      <w:b/>
      <w:sz w:val="24"/>
      <w:szCs w:val="21"/>
    </w:rPr>
  </w:style>
  <w:style w:type="paragraph" w:customStyle="1" w:styleId="71">
    <w:name w:val="Table Paragraph"/>
    <w:basedOn w:val="1"/>
    <w:semiHidden/>
    <w:uiPriority w:val="0"/>
    <w:pPr>
      <w:widowControl/>
      <w:jc w:val="left"/>
    </w:pPr>
    <w:rPr>
      <w:rFonts w:cs="宋体"/>
      <w:kern w:val="0"/>
      <w:sz w:val="22"/>
      <w:szCs w:val="22"/>
    </w:rPr>
  </w:style>
  <w:style w:type="paragraph" w:customStyle="1" w:styleId="72">
    <w:name w:val="表中值"/>
    <w:basedOn w:val="1"/>
    <w:uiPriority w:val="0"/>
    <w:pPr>
      <w:keepLines/>
      <w:widowControl/>
      <w:spacing w:line="360" w:lineRule="exact"/>
      <w:jc w:val="center"/>
    </w:pPr>
    <w:rPr>
      <w:spacing w:val="4"/>
      <w:szCs w:val="21"/>
    </w:rPr>
  </w:style>
  <w:style w:type="paragraph" w:customStyle="1" w:styleId="73">
    <w:name w:val="0"/>
    <w:basedOn w:val="1"/>
    <w:uiPriority w:val="0"/>
    <w:pPr>
      <w:widowControl/>
      <w:snapToGrid w:val="0"/>
    </w:pPr>
    <w:rPr>
      <w:kern w:val="0"/>
      <w:szCs w:val="21"/>
    </w:rPr>
  </w:style>
  <w:style w:type="paragraph" w:customStyle="1" w:styleId="74">
    <w:name w:val="样式7"/>
    <w:basedOn w:val="1"/>
    <w:qFormat/>
    <w:uiPriority w:val="0"/>
    <w:pPr>
      <w:autoSpaceDE w:val="0"/>
      <w:autoSpaceDN w:val="0"/>
      <w:adjustRightInd w:val="0"/>
      <w:spacing w:line="360" w:lineRule="auto"/>
      <w:ind w:firstLine="480" w:firstLineChars="200"/>
      <w:jc w:val="left"/>
      <w:textAlignment w:val="baseline"/>
    </w:pPr>
    <w:rPr>
      <w:rFonts w:hAnsi="宋体"/>
      <w:kern w:val="0"/>
      <w:sz w:val="24"/>
      <w:szCs w:val="21"/>
    </w:rPr>
  </w:style>
  <w:style w:type="paragraph" w:customStyle="1" w:styleId="75">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
    <w:name w:val="环报告正文"/>
    <w:basedOn w:val="1"/>
    <w:qFormat/>
    <w:uiPriority w:val="0"/>
    <w:pPr>
      <w:spacing w:line="360" w:lineRule="auto"/>
      <w:ind w:firstLine="480" w:firstLineChars="200"/>
      <w:jc w:val="left"/>
    </w:pPr>
    <w:rPr>
      <w:sz w:val="24"/>
    </w:rPr>
  </w:style>
  <w:style w:type="paragraph" w:customStyle="1" w:styleId="77">
    <w:name w:val="表头"/>
    <w:basedOn w:val="1"/>
    <w:next w:val="1"/>
    <w:uiPriority w:val="0"/>
    <w:pPr>
      <w:jc w:val="center"/>
    </w:pPr>
    <w:rPr>
      <w:b/>
      <w:bCs/>
      <w:szCs w:val="21"/>
    </w:rPr>
  </w:style>
  <w:style w:type="paragraph" w:customStyle="1" w:styleId="78">
    <w:name w:val="Default"/>
    <w:basedOn w:val="79"/>
    <w:unhideWhenUsed/>
    <w:qFormat/>
    <w:uiPriority w:val="0"/>
    <w:pPr>
      <w:widowControl w:val="0"/>
      <w:autoSpaceDE w:val="0"/>
      <w:autoSpaceDN w:val="0"/>
      <w:adjustRightInd w:val="0"/>
    </w:pPr>
    <w:rPr>
      <w:rFonts w:ascii="宋体" w:hAnsi="宋体" w:eastAsia="等线"/>
      <w:color w:val="000000"/>
      <w:sz w:val="24"/>
      <w:lang w:val="en-US" w:eastAsia="zh-CN" w:bidi="ar-SA"/>
    </w:rPr>
  </w:style>
  <w:style w:type="paragraph" w:customStyle="1" w:styleId="79">
    <w:name w:val="纯文本1"/>
    <w:basedOn w:val="1"/>
    <w:qFormat/>
    <w:uiPriority w:val="0"/>
    <w:pPr>
      <w:adjustRightInd w:val="0"/>
    </w:pPr>
    <w:rPr>
      <w:rFonts w:ascii="宋体" w:hAnsi="Courier New"/>
      <w:szCs w:val="20"/>
    </w:rPr>
  </w:style>
  <w:style w:type="paragraph" w:customStyle="1" w:styleId="80">
    <w:name w:val="msonormal"/>
    <w:basedOn w:val="1"/>
    <w:uiPriority w:val="0"/>
    <w:pPr>
      <w:widowControl/>
      <w:spacing w:before="100" w:beforeAutospacing="1" w:after="100" w:afterAutospacing="1"/>
      <w:jc w:val="left"/>
    </w:pPr>
    <w:rPr>
      <w:rFonts w:ascii="宋体" w:hAnsi="宋体" w:cs="宋体"/>
      <w:kern w:val="0"/>
      <w:sz w:val="24"/>
    </w:rPr>
  </w:style>
  <w:style w:type="paragraph" w:customStyle="1" w:styleId="81">
    <w:name w:val="文本文字"/>
    <w:basedOn w:val="1"/>
    <w:qFormat/>
    <w:uiPriority w:val="0"/>
    <w:pPr>
      <w:spacing w:line="360" w:lineRule="auto"/>
      <w:ind w:firstLine="960" w:firstLineChars="200"/>
    </w:pPr>
    <w:rPr>
      <w:sz w:val="24"/>
      <w:szCs w:val="21"/>
    </w:rPr>
  </w:style>
  <w:style w:type="paragraph" w:customStyle="1" w:styleId="82">
    <w:name w:val="Char Char Char Char"/>
    <w:basedOn w:val="1"/>
    <w:uiPriority w:val="0"/>
    <w:rPr>
      <w:szCs w:val="21"/>
    </w:rPr>
  </w:style>
  <w:style w:type="paragraph" w:customStyle="1" w:styleId="83">
    <w:name w:val="正文文字"/>
    <w:basedOn w:val="1"/>
    <w:qFormat/>
    <w:uiPriority w:val="0"/>
    <w:pPr>
      <w:spacing w:line="360" w:lineRule="auto"/>
      <w:ind w:firstLine="480" w:firstLineChars="200"/>
      <w:jc w:val="left"/>
    </w:pPr>
    <w:rPr>
      <w:sz w:val="24"/>
      <w:szCs w:val="21"/>
    </w:rPr>
  </w:style>
  <w:style w:type="paragraph" w:customStyle="1" w:styleId="84">
    <w:name w:val="_Style 83"/>
    <w:basedOn w:val="3"/>
    <w:next w:val="1"/>
    <w:qFormat/>
    <w:uiPriority w:val="39"/>
    <w:pPr>
      <w:keepLines/>
      <w:widowControl/>
      <w:overflowPunct/>
      <w:snapToGrid/>
      <w:spacing w:before="240" w:after="0"/>
      <w:ind w:left="0" w:firstLine="0"/>
      <w:jc w:val="left"/>
      <w:outlineLvl w:val="9"/>
    </w:pPr>
    <w:rPr>
      <w:rFonts w:ascii="等线 Light" w:hAnsi="等线 Light" w:eastAsia="等线 Light" w:cs="Times New Roman"/>
      <w:b w:val="0"/>
      <w:bCs w:val="0"/>
      <w:color w:val="2F5496"/>
      <w:kern w:val="0"/>
      <w:sz w:val="32"/>
      <w:szCs w:val="32"/>
    </w:rPr>
  </w:style>
  <w:style w:type="character" w:customStyle="1" w:styleId="85">
    <w:name w:val="font11"/>
    <w:uiPriority w:val="0"/>
    <w:rPr>
      <w:rFonts w:hint="eastAsia" w:ascii="宋体" w:hAnsi="宋体" w:eastAsia="宋体"/>
      <w:color w:val="000000"/>
      <w:sz w:val="21"/>
      <w:szCs w:val="21"/>
      <w:u w:val="none"/>
    </w:rPr>
  </w:style>
  <w:style w:type="character" w:customStyle="1" w:styleId="86">
    <w:name w:val="font21"/>
    <w:uiPriority w:val="0"/>
    <w:rPr>
      <w:rFonts w:hint="default" w:ascii="Times New Roman" w:hAnsi="Times New Roman" w:cs="Times New Roman"/>
      <w:color w:val="000000"/>
      <w:sz w:val="21"/>
      <w:szCs w:val="21"/>
      <w:u w:val="none"/>
    </w:rPr>
  </w:style>
  <w:style w:type="character" w:customStyle="1" w:styleId="87">
    <w:name w:val="font31"/>
    <w:uiPriority w:val="0"/>
    <w:rPr>
      <w:rFonts w:hint="default" w:ascii="Times New Roman" w:hAnsi="Times New Roman" w:cs="Times New Roman"/>
      <w:color w:val="000000"/>
      <w:sz w:val="21"/>
      <w:szCs w:val="21"/>
      <w:u w:val="none"/>
      <w:vertAlign w:val="superscript"/>
    </w:rPr>
  </w:style>
  <w:style w:type="paragraph" w:customStyle="1" w:styleId="88">
    <w:name w:val="样式 标题 1 + 四号 段前: 0 磅 段后: 0 磅 行距: 1.5 倍行距"/>
    <w:basedOn w:val="89"/>
    <w:next w:val="90"/>
    <w:qFormat/>
    <w:uiPriority w:val="0"/>
    <w:pPr>
      <w:keepLines/>
      <w:overflowPunct/>
      <w:adjustRightInd w:val="0"/>
      <w:spacing w:before="100" w:after="120" w:line="360" w:lineRule="auto"/>
      <w:ind w:left="0" w:firstLine="0"/>
      <w:jc w:val="center"/>
    </w:pPr>
    <w:rPr>
      <w:rFonts w:eastAsia="宋体"/>
      <w:bCs/>
      <w:color w:val="auto"/>
    </w:rPr>
  </w:style>
  <w:style w:type="paragraph" w:customStyle="1" w:styleId="89">
    <w:name w:val="1正文"/>
    <w:basedOn w:val="1"/>
    <w:qFormat/>
    <w:uiPriority w:val="0"/>
    <w:pPr>
      <w:spacing w:line="500" w:lineRule="exact"/>
      <w:ind w:firstLine="588" w:firstLineChars="196"/>
    </w:pPr>
    <w:rPr>
      <w:rFonts w:eastAsia="楷体_GB2312"/>
      <w:sz w:val="30"/>
      <w:szCs w:val="30"/>
    </w:rPr>
  </w:style>
  <w:style w:type="paragraph" w:customStyle="1" w:styleId="90">
    <w:name w:val="文本正文"/>
    <w:basedOn w:val="1"/>
    <w:qFormat/>
    <w:uiPriority w:val="0"/>
    <w:pPr>
      <w:snapToGrid w:val="0"/>
      <w:spacing w:line="360" w:lineRule="auto"/>
      <w:ind w:firstLine="510"/>
      <w:jc w:val="left"/>
    </w:pPr>
    <w:rPr>
      <w:spacing w:val="4"/>
      <w:kern w:val="24"/>
      <w:szCs w:val="24"/>
      <w:lang w:val="zh-CN"/>
    </w:rPr>
  </w:style>
  <w:style w:type="paragraph" w:customStyle="1" w:styleId="91">
    <w:name w:val="表格中内容"/>
    <w:basedOn w:val="1"/>
    <w:qFormat/>
    <w:uiPriority w:val="0"/>
    <w:pPr>
      <w:widowControl/>
      <w:tabs>
        <w:tab w:val="left" w:pos="-2400"/>
        <w:tab w:val="left" w:pos="1320"/>
        <w:tab w:val="left" w:pos="3878"/>
        <w:tab w:val="left" w:pos="6080"/>
        <w:tab w:val="left" w:pos="6580"/>
        <w:tab w:val="left" w:pos="8137"/>
      </w:tabs>
      <w:adjustRightInd w:val="0"/>
      <w:spacing w:line="240" w:lineRule="auto"/>
      <w:ind w:firstLine="0" w:firstLineChars="0"/>
      <w:jc w:val="center"/>
    </w:pPr>
    <w:rPr>
      <w:rFonts w:ascii="Times New Roman" w:hAnsi="Times New Roman" w:eastAsia="宋体"/>
      <w:kern w:val="0"/>
      <w:sz w:val="21"/>
      <w:szCs w:val="21"/>
    </w:rPr>
  </w:style>
  <w:style w:type="paragraph" w:customStyle="1" w:styleId="92">
    <w:name w:val="LZ表头、图尾"/>
    <w:basedOn w:val="1"/>
    <w:unhideWhenUsed/>
    <w:qFormat/>
    <w:uiPriority w:val="0"/>
    <w:pPr>
      <w:kinsoku w:val="0"/>
      <w:overflowPunct w:val="0"/>
      <w:autoSpaceDE w:val="0"/>
      <w:autoSpaceDN w:val="0"/>
      <w:adjustRightInd w:val="0"/>
      <w:spacing w:beforeLines="0" w:afterLines="0" w:line="240" w:lineRule="auto"/>
      <w:ind w:firstLine="0" w:firstLineChars="0"/>
      <w:jc w:val="center"/>
    </w:pPr>
    <w:rPr>
      <w:rFonts w:hint="eastAsia" w:ascii="Times New Roman" w:hAnsi="Times New Roman" w:eastAsia="宋体"/>
      <w:b/>
      <w:kern w:val="0"/>
      <w:sz w:val="24"/>
      <w:szCs w:val="20"/>
      <w:lang w:bidi="ar"/>
    </w:rPr>
  </w:style>
  <w:style w:type="character" w:customStyle="1" w:styleId="93">
    <w:name w:val="ti"/>
    <w:basedOn w:val="25"/>
    <w:qFormat/>
    <w:uiPriority w:val="0"/>
    <w:rPr>
      <w:sz w:val="18"/>
      <w:szCs w:val="18"/>
    </w:rPr>
  </w:style>
  <w:style w:type="character" w:customStyle="1" w:styleId="94">
    <w:name w:val="t"/>
    <w:basedOn w:val="25"/>
    <w:uiPriority w:val="0"/>
    <w:rPr>
      <w:color w:val="1C3E9D"/>
      <w:sz w:val="27"/>
      <w:szCs w:val="27"/>
    </w:rPr>
  </w:style>
  <w:style w:type="character" w:customStyle="1" w:styleId="95">
    <w:name w:val="t1"/>
    <w:basedOn w:val="25"/>
    <w:uiPriority w:val="0"/>
    <w:rPr>
      <w:b/>
      <w:bCs/>
    </w:rPr>
  </w:style>
  <w:style w:type="character" w:customStyle="1" w:styleId="96">
    <w:name w:val="t2"/>
    <w:basedOn w:val="25"/>
    <w:qFormat/>
    <w:uiPriority w:val="0"/>
    <w:rPr>
      <w:color w:val="213F93"/>
      <w:sz w:val="42"/>
      <w:szCs w:val="42"/>
    </w:rPr>
  </w:style>
  <w:style w:type="character" w:customStyle="1" w:styleId="97">
    <w:name w:val="t3"/>
    <w:basedOn w:val="25"/>
    <w:uiPriority w:val="0"/>
    <w:rPr>
      <w:color w:val="FFFFFF"/>
      <w:spacing w:val="75"/>
      <w:sz w:val="48"/>
      <w:szCs w:val="48"/>
    </w:rPr>
  </w:style>
  <w:style w:type="character" w:customStyle="1" w:styleId="98">
    <w:name w:val="t4"/>
    <w:basedOn w:val="25"/>
    <w:uiPriority w:val="0"/>
    <w:rPr>
      <w:sz w:val="27"/>
      <w:szCs w:val="27"/>
    </w:rPr>
  </w:style>
  <w:style w:type="character" w:customStyle="1" w:styleId="99">
    <w:name w:val="t5"/>
    <w:basedOn w:val="25"/>
    <w:uiPriority w:val="0"/>
    <w:rPr>
      <w:sz w:val="27"/>
      <w:szCs w:val="27"/>
    </w:rPr>
  </w:style>
  <w:style w:type="character" w:customStyle="1" w:styleId="100">
    <w:name w:val="t6"/>
    <w:basedOn w:val="25"/>
    <w:uiPriority w:val="0"/>
    <w:rPr>
      <w:sz w:val="27"/>
      <w:szCs w:val="27"/>
    </w:rPr>
  </w:style>
  <w:style w:type="character" w:customStyle="1" w:styleId="101">
    <w:name w:val="t7"/>
    <w:basedOn w:val="25"/>
    <w:uiPriority w:val="0"/>
    <w:rPr>
      <w:sz w:val="27"/>
      <w:szCs w:val="27"/>
    </w:rPr>
  </w:style>
  <w:style w:type="character" w:customStyle="1" w:styleId="102">
    <w:name w:val="t8"/>
    <w:basedOn w:val="25"/>
    <w:uiPriority w:val="0"/>
  </w:style>
  <w:style w:type="character" w:customStyle="1" w:styleId="103">
    <w:name w:val="t9"/>
    <w:basedOn w:val="25"/>
    <w:uiPriority w:val="0"/>
    <w:rPr>
      <w:color w:val="207393"/>
      <w:sz w:val="24"/>
      <w:szCs w:val="24"/>
    </w:rPr>
  </w:style>
  <w:style w:type="character" w:customStyle="1" w:styleId="104">
    <w:name w:val="fr"/>
    <w:basedOn w:val="25"/>
    <w:uiPriority w:val="0"/>
    <w:rPr>
      <w:color w:val="999999"/>
    </w:rPr>
  </w:style>
  <w:style w:type="character" w:customStyle="1" w:styleId="105">
    <w:name w:val="a_p_3"/>
    <w:basedOn w:val="25"/>
    <w:uiPriority w:val="0"/>
    <w:rPr>
      <w:sz w:val="27"/>
      <w:szCs w:val="27"/>
    </w:rPr>
  </w:style>
  <w:style w:type="character" w:customStyle="1" w:styleId="106">
    <w:name w:val="active"/>
    <w:basedOn w:val="25"/>
    <w:qFormat/>
    <w:uiPriority w:val="0"/>
    <w:rPr>
      <w:color w:val="FFFFFF"/>
      <w:shd w:val="clear" w:color="auto" w:fill="547EC2"/>
    </w:rPr>
  </w:style>
  <w:style w:type="character" w:customStyle="1" w:styleId="107">
    <w:name w:val="active1"/>
    <w:basedOn w:val="25"/>
    <w:uiPriority w:val="0"/>
    <w:rPr>
      <w:shd w:val="clear" w:color="auto" w:fill="527DC4"/>
    </w:rPr>
  </w:style>
  <w:style w:type="character" w:customStyle="1" w:styleId="108">
    <w:name w:val="active2"/>
    <w:basedOn w:val="25"/>
    <w:uiPriority w:val="0"/>
    <w:rPr>
      <w:color w:val="FFFFFF"/>
      <w:bdr w:val="single" w:color="FFFFFF" w:sz="6" w:space="0"/>
      <w:shd w:val="clear" w:color="auto" w:fill="244FAC"/>
    </w:rPr>
  </w:style>
  <w:style w:type="character" w:customStyle="1" w:styleId="109">
    <w:name w:val="la"/>
    <w:basedOn w:val="25"/>
    <w:uiPriority w:val="0"/>
    <w:rPr>
      <w:color w:val="FFFFFF"/>
      <w:sz w:val="27"/>
      <w:szCs w:val="27"/>
      <w:shd w:val="clear" w:color="auto" w:fill="4062C1"/>
    </w:rPr>
  </w:style>
  <w:style w:type="character" w:customStyle="1" w:styleId="110">
    <w:name w:val="ul_li_a_1"/>
    <w:basedOn w:val="25"/>
    <w:uiPriority w:val="0"/>
    <w:rPr>
      <w:b/>
      <w:bCs/>
      <w:color w:val="FFFFFF"/>
    </w:rPr>
  </w:style>
  <w:style w:type="character" w:customStyle="1" w:styleId="111">
    <w:name w:val="qw"/>
    <w:basedOn w:val="25"/>
    <w:uiPriority w:val="0"/>
    <w:rPr>
      <w:color w:val="5786C8"/>
      <w:sz w:val="21"/>
      <w:szCs w:val="21"/>
    </w:rPr>
  </w:style>
  <w:style w:type="character" w:customStyle="1" w:styleId="112">
    <w:name w:val="exap"/>
    <w:basedOn w:val="25"/>
    <w:uiPriority w:val="0"/>
    <w:rPr>
      <w:sz w:val="27"/>
      <w:szCs w:val="27"/>
    </w:rPr>
  </w:style>
  <w:style w:type="character" w:customStyle="1" w:styleId="113">
    <w:name w:val="active3"/>
    <w:basedOn w:val="25"/>
    <w:uiPriority w:val="0"/>
    <w:rPr>
      <w:shd w:val="clear" w:color="auto" w:fill="F6F6F6"/>
    </w:rPr>
  </w:style>
  <w:style w:type="character" w:customStyle="1" w:styleId="114">
    <w:name w:val="a_p_2"/>
    <w:basedOn w:val="25"/>
    <w:qFormat/>
    <w:uiPriority w:val="0"/>
  </w:style>
  <w:style w:type="character" w:customStyle="1" w:styleId="115">
    <w:name w:val="a_p_21"/>
    <w:basedOn w:val="25"/>
    <w:uiPriority w:val="0"/>
    <w:rPr>
      <w:sz w:val="27"/>
      <w:szCs w:val="27"/>
    </w:rPr>
  </w:style>
  <w:style w:type="character" w:customStyle="1" w:styleId="116">
    <w:name w:val="subt"/>
    <w:basedOn w:val="25"/>
    <w:uiPriority w:val="0"/>
    <w:rPr>
      <w:rFonts w:ascii="宋体" w:hAnsi="宋体" w:eastAsia="宋体" w:cs="宋体"/>
      <w:color w:val="333333"/>
      <w:sz w:val="39"/>
      <w:szCs w:val="39"/>
    </w:rPr>
  </w:style>
  <w:style w:type="character" w:customStyle="1" w:styleId="117">
    <w:name w:val="a_p_1"/>
    <w:basedOn w:val="25"/>
    <w:uiPriority w:val="0"/>
    <w:rPr>
      <w:sz w:val="27"/>
      <w:szCs w:val="27"/>
    </w:rPr>
  </w:style>
  <w:style w:type="character" w:customStyle="1" w:styleId="118">
    <w:name w:val="tm"/>
    <w:basedOn w:val="25"/>
    <w:uiPriority w:val="0"/>
    <w:rPr>
      <w:color w:val="999999"/>
    </w:rPr>
  </w:style>
  <w:style w:type="character" w:customStyle="1" w:styleId="119">
    <w:name w:val="rt"/>
    <w:basedOn w:val="25"/>
    <w:uiPriority w:val="0"/>
    <w:rPr>
      <w:color w:val="999999"/>
    </w:rPr>
  </w:style>
  <w:style w:type="character" w:customStyle="1" w:styleId="120">
    <w:name w:val="ly"/>
    <w:basedOn w:val="25"/>
    <w:qFormat/>
    <w:uiPriority w:val="0"/>
    <w:rPr>
      <w:color w:val="999999"/>
    </w:rPr>
  </w:style>
  <w:style w:type="character" w:customStyle="1" w:styleId="121">
    <w:name w:val="zj"/>
    <w:basedOn w:val="25"/>
    <w:qFormat/>
    <w:uiPriority w:val="0"/>
    <w:rPr>
      <w:color w:val="FFFFFF"/>
      <w:sz w:val="18"/>
      <w:szCs w:val="18"/>
      <w:shd w:val="clear" w:color="auto" w:fill="C33B51"/>
    </w:rPr>
  </w:style>
  <w:style w:type="character" w:customStyle="1" w:styleId="122">
    <w:name w:val="rm"/>
    <w:basedOn w:val="25"/>
    <w:qFormat/>
    <w:uiPriority w:val="0"/>
    <w:rPr>
      <w:color w:val="D86C1D"/>
      <w:sz w:val="18"/>
      <w:szCs w:val="18"/>
    </w:rPr>
  </w:style>
  <w:style w:type="character" w:customStyle="1" w:styleId="123">
    <w:name w:val="fr2"/>
    <w:basedOn w:val="25"/>
    <w:qFormat/>
    <w:uiPriority w:val="0"/>
    <w:rPr>
      <w:color w:val="999999"/>
    </w:rPr>
  </w:style>
  <w:style w:type="paragraph" w:customStyle="1" w:styleId="124">
    <w:name w:val="正文3"/>
    <w:basedOn w:val="1"/>
    <w:qFormat/>
    <w:uiPriority w:val="0"/>
    <w:pPr>
      <w:wordWrap w:val="0"/>
      <w:spacing w:line="360" w:lineRule="auto"/>
      <w:ind w:firstLine="480" w:firstLineChars="200"/>
    </w:pPr>
  </w:style>
  <w:style w:type="paragraph" w:customStyle="1" w:styleId="125">
    <w:name w:val="六表内容"/>
    <w:basedOn w:val="1"/>
    <w:qFormat/>
    <w:uiPriority w:val="0"/>
    <w:pPr>
      <w:spacing w:line="340" w:lineRule="exact"/>
      <w:jc w:val="center"/>
    </w:pPr>
    <w:rPr>
      <w:rFonts w:ascii="Calibri" w:hAnsi="Calibri"/>
      <w:szCs w:val="21"/>
    </w:rPr>
  </w:style>
  <w:style w:type="character" w:customStyle="1" w:styleId="126">
    <w:name w:val="font51"/>
    <w:basedOn w:val="25"/>
    <w:qFormat/>
    <w:uiPriority w:val="0"/>
    <w:rPr>
      <w:rFonts w:hint="default" w:ascii="Times New Roman" w:hAnsi="Times New Roman" w:cs="Times New Roman"/>
      <w:b/>
      <w:bCs/>
      <w:color w:val="000000"/>
      <w:sz w:val="21"/>
      <w:szCs w:val="21"/>
      <w:u w:val="none"/>
    </w:rPr>
  </w:style>
  <w:style w:type="character" w:customStyle="1" w:styleId="127">
    <w:name w:val="font01"/>
    <w:basedOn w:val="25"/>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1.bin"/><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6.bin"/><Relationship Id="rId17" Type="http://schemas.openxmlformats.org/officeDocument/2006/relationships/image" Target="media/image7.emf"/><Relationship Id="rId16" Type="http://schemas.openxmlformats.org/officeDocument/2006/relationships/oleObject" Target="embeddings/oleObject5.bin"/><Relationship Id="rId15" Type="http://schemas.openxmlformats.org/officeDocument/2006/relationships/image" Target="media/image6.emf"/><Relationship Id="rId14" Type="http://schemas.openxmlformats.org/officeDocument/2006/relationships/oleObject" Target="embeddings/oleObject4.bin"/><Relationship Id="rId13" Type="http://schemas.openxmlformats.org/officeDocument/2006/relationships/image" Target="media/image5.emf"/><Relationship Id="rId12" Type="http://schemas.openxmlformats.org/officeDocument/2006/relationships/oleObject" Target="embeddings/oleObject3.bin"/><Relationship Id="rId11" Type="http://schemas.openxmlformats.org/officeDocument/2006/relationships/image" Target="media/image4.emf"/><Relationship Id="rId10" Type="http://schemas.openxmlformats.org/officeDocument/2006/relationships/oleObject" Target="embeddings/oleObject2.bin"/><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home\user\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110</Pages>
  <Words>406</Words>
  <Characters>460</Characters>
  <Lines>406</Lines>
  <Paragraphs>114</Paragraphs>
  <TotalTime>30</TotalTime>
  <ScaleCrop>false</ScaleCrop>
  <LinksUpToDate>false</LinksUpToDate>
  <CharactersWithSpaces>527</CharactersWithSpaces>
  <Application>WPS Office_11.8.2.10321_F1E327BC-269C-435d-A152-05C5408002CA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2021-05-19T13:55:00Z</dcterms:created>
  <dc:creator>lhj</dc:creator>
  <cp:lastModifiedBy>Administrator</cp:lastModifiedBy>
  <cp:lastPrinted>2021-05-19T17:32:00Z</cp:lastPrinted>
  <dcterms:modified xsi:type="dcterms:W3CDTF">2026-06-23T03:12:54Z</dcterms:modified>
  <dc:title>附件2</dc:title>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2052-11.8.2.10321</vt:lpwstr>
  </property>
  <property fmtid="{D5CDD505-2E9C-101B-9397-08002B2CF9AE}" pid="3" name="ICV">
    <vt:lpwstr>AE79CE68C65E45269221D51BB5D4109E_13</vt:lpwstr>
  </property>
  <property fmtid="{D5CDD505-2E9C-101B-9397-08002B2CF9AE}" pid="4" name="KSOTemplateDocerSaveRecord">
    <vt:lpwstr>eyJoZGlkIjoiNTA1NWRjOWUxMWMwMmU0YWU2OWE3YjMzMmUzMTMzMjMiLCJ1c2VySWQiOiIxOTk1NTAxOTUifQ==</vt:lpwstr>
  </property>
</Properties>
</file>