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F7" w:rsidRDefault="006749F7" w:rsidP="006749F7">
      <w:pPr>
        <w:adjustRightInd w:val="0"/>
        <w:snapToGrid w:val="0"/>
        <w:spacing w:line="600" w:lineRule="exact"/>
        <w:outlineLvl w:val="2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7B53CD">
        <w:rPr>
          <w:rFonts w:ascii="黑体" w:eastAsia="黑体" w:hAnsi="宋体" w:hint="eastAsia"/>
          <w:sz w:val="32"/>
          <w:szCs w:val="32"/>
        </w:rPr>
        <w:t>5</w:t>
      </w:r>
    </w:p>
    <w:p w:rsidR="006749F7" w:rsidRDefault="006749F7" w:rsidP="006749F7">
      <w:pPr>
        <w:spacing w:line="600" w:lineRule="exact"/>
        <w:jc w:val="center"/>
        <w:rPr>
          <w:sz w:val="44"/>
          <w:szCs w:val="44"/>
        </w:rPr>
      </w:pPr>
    </w:p>
    <w:p w:rsidR="006749F7" w:rsidRDefault="006749F7" w:rsidP="006749F7">
      <w:pPr>
        <w:spacing w:line="600" w:lineRule="exact"/>
        <w:jc w:val="center"/>
        <w:rPr>
          <w:sz w:val="44"/>
          <w:szCs w:val="44"/>
        </w:rPr>
      </w:pPr>
    </w:p>
    <w:p w:rsidR="006749F7" w:rsidRDefault="006749F7" w:rsidP="006749F7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事前绩效评估预期绩效报告</w:t>
      </w:r>
    </w:p>
    <w:p w:rsidR="006749F7" w:rsidRDefault="006749F7" w:rsidP="006749F7">
      <w:pPr>
        <w:spacing w:line="600" w:lineRule="exact"/>
        <w:jc w:val="center"/>
      </w:pPr>
      <w:r>
        <w:rPr>
          <w:rFonts w:ascii="宋体" w:hAnsi="宋体" w:hint="eastAsia"/>
          <w:sz w:val="36"/>
          <w:szCs w:val="36"/>
        </w:rPr>
        <w:t>（参考范本）</w:t>
      </w: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</w:pPr>
    </w:p>
    <w:p w:rsidR="006749F7" w:rsidRDefault="006749F7" w:rsidP="006749F7">
      <w:pPr>
        <w:spacing w:line="600" w:lineRule="exact"/>
        <w:ind w:firstLineChars="300" w:firstLine="900"/>
        <w:rPr>
          <w:sz w:val="32"/>
          <w:szCs w:val="32"/>
        </w:rPr>
      </w:pP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>
        <w:rPr>
          <w:rFonts w:hint="eastAsia"/>
          <w:sz w:val="32"/>
          <w:szCs w:val="32"/>
        </w:rPr>
        <w:t>名称：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6749F7" w:rsidRDefault="006749F7" w:rsidP="006749F7">
      <w:pPr>
        <w:spacing w:line="600" w:lineRule="exact"/>
        <w:ind w:firstLineChars="300" w:firstLine="900"/>
        <w:rPr>
          <w:sz w:val="32"/>
          <w:szCs w:val="32"/>
        </w:rPr>
      </w:pP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>
        <w:rPr>
          <w:rFonts w:hint="eastAsia"/>
          <w:sz w:val="32"/>
          <w:szCs w:val="32"/>
        </w:rPr>
        <w:t>单位（盖章）：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6749F7" w:rsidRDefault="006749F7" w:rsidP="006749F7">
      <w:pPr>
        <w:spacing w:line="600" w:lineRule="exact"/>
        <w:ind w:firstLineChars="300" w:firstLine="900"/>
        <w:rPr>
          <w:sz w:val="32"/>
          <w:szCs w:val="32"/>
        </w:rPr>
      </w:pP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:rsidR="006749F7" w:rsidRDefault="006749F7" w:rsidP="006749F7">
      <w:pPr>
        <w:spacing w:line="600" w:lineRule="exact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填报时间：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6749F7" w:rsidRDefault="006749F7" w:rsidP="006749F7">
      <w:pPr>
        <w:spacing w:line="600" w:lineRule="exact"/>
        <w:rPr>
          <w:sz w:val="32"/>
          <w:szCs w:val="32"/>
        </w:rPr>
      </w:pPr>
    </w:p>
    <w:p w:rsidR="006749F7" w:rsidRDefault="006749F7" w:rsidP="006749F7">
      <w:pPr>
        <w:spacing w:line="600" w:lineRule="exact"/>
      </w:pPr>
    </w:p>
    <w:p w:rsidR="00C713A9" w:rsidRDefault="00C713A9" w:rsidP="006749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713A9" w:rsidRDefault="00C713A9" w:rsidP="006749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749F7" w:rsidRDefault="006749F7" w:rsidP="006749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事前绩效评估预期绩效报告</w:t>
      </w:r>
    </w:p>
    <w:p w:rsidR="006749F7" w:rsidRDefault="006749F7" w:rsidP="006749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749F7" w:rsidRDefault="006749F7" w:rsidP="00CE1FFD">
      <w:pPr>
        <w:adjustRightInd w:val="0"/>
        <w:snapToGrid w:val="0"/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8864B2">
        <w:rPr>
          <w:rFonts w:ascii="黑体" w:eastAsia="黑体" w:hAnsi="黑体" w:hint="eastAsia"/>
          <w:sz w:val="32"/>
          <w:szCs w:val="32"/>
        </w:rPr>
        <w:t>一、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基本情况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</w:t>
      </w:r>
      <w:r w:rsidRPr="00E13D60">
        <w:rPr>
          <w:rFonts w:ascii="仿宋_GB2312" w:eastAsia="仿宋_GB2312" w:hAnsi="宋体" w:hint="eastAsia"/>
          <w:b/>
          <w:sz w:val="32"/>
          <w:szCs w:val="32"/>
          <w:highlight w:val="yellow"/>
        </w:rPr>
        <w:t>介绍</w:t>
      </w:r>
      <w:r w:rsidR="006D29A1" w:rsidRPr="00E13D60">
        <w:rPr>
          <w:rFonts w:ascii="仿宋_GB2312" w:eastAsia="仿宋_GB2312" w:hAnsi="宋体" w:hint="eastAsia"/>
          <w:b/>
          <w:sz w:val="32"/>
          <w:szCs w:val="32"/>
          <w:highlight w:val="yellow"/>
        </w:rPr>
        <w:t>项目是新增还是延续性项目，</w:t>
      </w:r>
      <w:r w:rsidRPr="00E13D60">
        <w:rPr>
          <w:rFonts w:ascii="仿宋_GB2312" w:eastAsia="仿宋_GB2312" w:hint="eastAsia"/>
          <w:b/>
          <w:sz w:val="32"/>
          <w:szCs w:val="32"/>
          <w:highlight w:val="yellow"/>
        </w:rPr>
        <w:t>政策、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背景</w:t>
      </w:r>
      <w:r w:rsidR="006D29A1" w:rsidRPr="00E13D60">
        <w:rPr>
          <w:rFonts w:ascii="仿宋_GB2312" w:eastAsia="仿宋_GB2312" w:hAnsi="宋体" w:hint="eastAsia"/>
          <w:sz w:val="32"/>
          <w:szCs w:val="32"/>
          <w:highlight w:val="yellow"/>
        </w:rPr>
        <w:t>，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主要内容等）</w:t>
      </w:r>
    </w:p>
    <w:p w:rsidR="006749F7" w:rsidRDefault="006749F7" w:rsidP="00CE1F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864B2">
        <w:rPr>
          <w:rFonts w:ascii="黑体" w:eastAsia="黑体" w:hAnsi="黑体" w:hint="eastAsia"/>
          <w:sz w:val="32"/>
          <w:szCs w:val="32"/>
        </w:rPr>
        <w:t>二、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实施的相关性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（主要说明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的立项依据，包括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与部门职能、相关政策及规划、现实需求、是否</w:t>
      </w:r>
      <w:proofErr w:type="gramStart"/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应该市</w:t>
      </w:r>
      <w:proofErr w:type="gramEnd"/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财政资金投入等方面的相关性）</w:t>
      </w:r>
    </w:p>
    <w:p w:rsidR="006749F7" w:rsidRDefault="006749F7" w:rsidP="00CE1F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864B2">
        <w:rPr>
          <w:rFonts w:ascii="黑体" w:eastAsia="黑体" w:hAnsi="黑体" w:hint="eastAsia"/>
          <w:sz w:val="32"/>
          <w:szCs w:val="32"/>
        </w:rPr>
        <w:t>三、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绩效目标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（介绍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的总体绩效目标以及具体的产出指标和效果指标，绩效目标内容应具体明确、符合项目现实需求及部门长期规划和年度工作目标，产出指标和效果指标内容应具体细化、量化，并且要有可衡量的评价标准。同时介绍设定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绩效目标所考虑的因素，如何根据需求设定，设定的绩效目标是否具有可考核性和可实现性等。）</w:t>
      </w:r>
    </w:p>
    <w:p w:rsidR="006749F7" w:rsidRDefault="006749F7" w:rsidP="00CE1F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864B2">
        <w:rPr>
          <w:rFonts w:ascii="黑体" w:eastAsia="黑体" w:hAnsi="黑体" w:hint="eastAsia"/>
          <w:sz w:val="32"/>
          <w:szCs w:val="32"/>
        </w:rPr>
        <w:t>四、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实施方案的有效性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（主要说明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的具体实施方案，包括决策程序，实施程序，人、财、物等基础条件保障情况，相关管理制度建设情况，以及对不确定因素和风险的控制措施等）</w:t>
      </w:r>
    </w:p>
    <w:p w:rsidR="006749F7" w:rsidRDefault="006749F7" w:rsidP="00CE1F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864B2">
        <w:rPr>
          <w:rFonts w:ascii="黑体" w:eastAsia="黑体" w:hAnsi="黑体" w:hint="eastAsia"/>
          <w:sz w:val="32"/>
          <w:szCs w:val="32"/>
        </w:rPr>
        <w:t>五、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预期绩效的可持续性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（介绍与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相关的政策、行业环境等方面的可持续性，预期产出及效果的可持续性，组织管理机构、运行机制的可持续性）</w:t>
      </w:r>
    </w:p>
    <w:p w:rsidR="006749F7" w:rsidRDefault="006749F7" w:rsidP="00CE1FFD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864B2">
        <w:rPr>
          <w:rFonts w:ascii="黑体" w:eastAsia="黑体" w:hAnsi="黑体" w:hint="eastAsia"/>
          <w:sz w:val="32"/>
          <w:szCs w:val="32"/>
        </w:rPr>
        <w:t>六、</w:t>
      </w:r>
      <w:r w:rsidRPr="005953BF">
        <w:rPr>
          <w:rFonts w:ascii="黑体" w:eastAsia="黑体" w:hAnsi="黑体" w:hint="eastAsia"/>
          <w:sz w:val="32"/>
          <w:szCs w:val="32"/>
        </w:rPr>
        <w:t>政策、项目及转移支付</w:t>
      </w:r>
      <w:r w:rsidRPr="008864B2">
        <w:rPr>
          <w:rFonts w:ascii="黑体" w:eastAsia="黑体" w:hAnsi="黑体" w:hint="eastAsia"/>
          <w:sz w:val="32"/>
          <w:szCs w:val="32"/>
        </w:rPr>
        <w:t>预算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介绍</w:t>
      </w:r>
      <w:r w:rsidRPr="00E13D60">
        <w:rPr>
          <w:rFonts w:ascii="仿宋_GB2312" w:eastAsia="仿宋_GB2312" w:hint="eastAsia"/>
          <w:sz w:val="32"/>
          <w:szCs w:val="32"/>
          <w:highlight w:val="yellow"/>
        </w:rPr>
        <w:t>政策、项目及转移支付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的预算构成、预算测算依据和标准、财政支持的范围和方式、市县两级财政经费保障渠道和方式等）</w:t>
      </w:r>
    </w:p>
    <w:p w:rsidR="00D63D74" w:rsidRPr="006749F7" w:rsidRDefault="006749F7" w:rsidP="00CE1FFD">
      <w:pPr>
        <w:adjustRightInd w:val="0"/>
        <w:snapToGrid w:val="0"/>
        <w:spacing w:line="480" w:lineRule="exact"/>
        <w:ind w:firstLineChars="196" w:firstLine="627"/>
      </w:pPr>
      <w:r w:rsidRPr="008864B2">
        <w:rPr>
          <w:rFonts w:ascii="黑体" w:eastAsia="黑体" w:hAnsi="黑体" w:hint="eastAsia"/>
          <w:sz w:val="32"/>
          <w:szCs w:val="32"/>
        </w:rPr>
        <w:t>七、其他内容</w:t>
      </w:r>
      <w:r w:rsidRPr="00E13D60">
        <w:rPr>
          <w:rFonts w:ascii="仿宋_GB2312" w:eastAsia="仿宋_GB2312" w:hAnsi="宋体" w:hint="eastAsia"/>
          <w:sz w:val="32"/>
          <w:szCs w:val="32"/>
          <w:highlight w:val="yellow"/>
        </w:rPr>
        <w:t>（《年度部门预算编审工作方案》中规定的其他需要说明的内容）</w:t>
      </w:r>
    </w:p>
    <w:sectPr w:rsidR="00D63D74" w:rsidRPr="006749F7" w:rsidSect="00CD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93" w:rsidRDefault="00F66993" w:rsidP="006749F7">
      <w:r>
        <w:separator/>
      </w:r>
    </w:p>
  </w:endnote>
  <w:endnote w:type="continuationSeparator" w:id="0">
    <w:p w:rsidR="00F66993" w:rsidRDefault="00F66993" w:rsidP="0067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93" w:rsidRDefault="00F66993" w:rsidP="006749F7">
      <w:r>
        <w:separator/>
      </w:r>
    </w:p>
  </w:footnote>
  <w:footnote w:type="continuationSeparator" w:id="0">
    <w:p w:rsidR="00F66993" w:rsidRDefault="00F66993" w:rsidP="00674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9F7"/>
    <w:rsid w:val="00207243"/>
    <w:rsid w:val="00354BC2"/>
    <w:rsid w:val="004E2767"/>
    <w:rsid w:val="005228B1"/>
    <w:rsid w:val="005E7A18"/>
    <w:rsid w:val="006749F7"/>
    <w:rsid w:val="006D29A1"/>
    <w:rsid w:val="0074043B"/>
    <w:rsid w:val="007B53CD"/>
    <w:rsid w:val="00813D27"/>
    <w:rsid w:val="00835D2D"/>
    <w:rsid w:val="008A6E74"/>
    <w:rsid w:val="00A271DD"/>
    <w:rsid w:val="00AB2FCC"/>
    <w:rsid w:val="00B6221E"/>
    <w:rsid w:val="00C713A9"/>
    <w:rsid w:val="00CD7F44"/>
    <w:rsid w:val="00CE1FFD"/>
    <w:rsid w:val="00D63D74"/>
    <w:rsid w:val="00E13D60"/>
    <w:rsid w:val="00F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9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汪俊杰</dc:creator>
  <cp:keywords/>
  <dc:description/>
  <cp:lastModifiedBy>lenovo</cp:lastModifiedBy>
  <cp:revision>9</cp:revision>
  <dcterms:created xsi:type="dcterms:W3CDTF">2018-11-13T07:48:00Z</dcterms:created>
  <dcterms:modified xsi:type="dcterms:W3CDTF">2023-01-17T08:03:00Z</dcterms:modified>
</cp:coreProperties>
</file>