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监督索引号53012500121601000</w:t>
      </w:r>
    </w:p>
    <w:p>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中国共产党宜良县委员会政法委员会</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ascii="仿宋_GB2312" w:eastAsia="仿宋_GB2312" w:hAnsi="Times New Roman" w:cs="Times New Roman" w:hint="eastAsia"/>
          <w:bCs/>
          <w:kern w:val="2"/>
          <w:sz w:val="30"/>
          <w:szCs w:val="30"/>
          <w:highlight w:val="none"/>
          <w:lang w:val="en-US" w:eastAsia="zh-CN" w:bidi="ar-SA"/>
        </w:rPr>
      </w:pPr>
      <w:r>
        <w:rPr>
          <w:rFonts w:ascii="仿宋_GB2312" w:eastAsia="仿宋_GB2312" w:hAnsi="Times New Roman" w:cs="Times New Roman" w:hint="eastAsia"/>
          <w:bCs/>
          <w:kern w:val="2"/>
          <w:sz w:val="30"/>
          <w:szCs w:val="30"/>
          <w:highlight w:val="none"/>
          <w:lang w:val="en-US" w:eastAsia="zh-CN" w:bidi="ar-SA"/>
        </w:rPr>
        <w:t>中国共产党宜良县委员会政法委员会的政府部门职能为行使行政管理职能。</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hint="eastAsia"/>
          <w:bCs/>
          <w:szCs w:val="30"/>
          <w:highlight w:val="none"/>
        </w:rPr>
      </w:pPr>
      <w:r>
        <w:rPr>
          <w:rFonts w:ascii="仿宋_GB2312" w:eastAsia="仿宋_GB2312" w:hAnsi="Times New Roman" w:cs="Times New Roman" w:hint="eastAsia"/>
          <w:bCs/>
          <w:kern w:val="2"/>
          <w:sz w:val="30"/>
          <w:szCs w:val="30"/>
          <w:highlight w:val="none"/>
          <w:lang w:val="en-US" w:eastAsia="zh-CN" w:bidi="ar-SA"/>
        </w:rPr>
        <w:t>中国共产党宜良县委员会政法委员会主要职能：领导管理政法工作。根据党的路线、方针、政策和党委的部署，统一政法部门的思想和行动;对一定时期内全县政法工作作出部署，并督促贯彻落实;领导、组织维护社会稳定的工作;领导组织开展铁路护路联防工作;检查政法部门执行党的方针政策和法律法规的情况，结合实际，研究制定严肃执法，落实党的方针政策的具体措施;大力支持政法各部门依法行使职权，指导和协调政法各部门相互制约的同时密切配合，督促、推动大案要案的查处工作，研究、协调有争议的重大疑难案件;组织协调社会治安综合治理工作，推动各项措施的落实;组织、推动政法战线的调查研究工作，探索和推动政法工作改革，进一步加强政法工作;研究加强政法队伍建设和领导班子建设的措施；协助党委及组织部门考察、管理政法部门的领导干部;认真履行监督职能，针对政法干部队伍建设中存在的突出问题，结合政法各部门工作特点，加强执法监督，切实解决执法活动中的违法问题;指导乡镇（街道）政法委的工作;办理党委和上级政法委员会交办的其他事项。</w:t>
      </w:r>
    </w:p>
    <w:p>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我部门共设置3个内设机构和政治部，内设机构包括：办公室（执法监督室）、综治督导室（专项行动办公室）和维稳指导室（反邪教协调室）。</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所属单位2个，分别是：</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lang w:val="zh-CN" w:eastAsia="zh-CN"/>
        </w:rPr>
        <w:t>宜良县法学会；</w:t>
      </w:r>
    </w:p>
    <w:p>
      <w:pPr>
        <w:pageBreakBefore w:val="0"/>
        <w:widowControl/>
        <w:kinsoku/>
        <w:wordWrap/>
        <w:overflowPunct/>
        <w:topLinePunct w:val="0"/>
        <w:autoSpaceDE/>
        <w:autoSpaceDN/>
        <w:bidi w:val="0"/>
        <w:adjustRightInd/>
        <w:snapToGrid/>
        <w:spacing w:beforeLines="0" w:afterLines="0" w:line="560" w:lineRule="exact"/>
        <w:ind w:firstLine="6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2.宜良县社会治安综合治理中心。</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pPr>
        <w:spacing w:line="600" w:lineRule="exact"/>
        <w:ind w:firstLine="600" w:firstLineChars="200"/>
        <w:rPr>
          <w:rFonts w:ascii="仿宋_GB2312" w:eastAsia="仿宋_GB2312" w:hAnsi="Times New Roman" w:cs="Times New Roman" w:hint="eastAsia"/>
          <w:bCs/>
          <w:kern w:val="2"/>
          <w:sz w:val="30"/>
          <w:szCs w:val="30"/>
          <w:highlight w:val="none"/>
          <w:lang w:val="en-US" w:eastAsia="zh-CN" w:bidi="ar-SA"/>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年度部门决算编报的单位共</w:t>
      </w:r>
      <w:r>
        <w:rPr>
          <w:rFonts w:ascii="仿宋_GB2312" w:eastAsia="仿宋_GB2312" w:hAnsi="仿宋_GB2312" w:cs="仿宋_GB2312" w:hint="eastAsia"/>
          <w:color w:val="auto"/>
          <w:sz w:val="30"/>
          <w:lang w:val="en-US" w:eastAsia="zh-CN"/>
        </w:rPr>
        <w:t>1</w:t>
      </w:r>
      <w:r>
        <w:rPr>
          <w:rFonts w:ascii="仿宋_GB2312" w:eastAsia="仿宋_GB2312" w:hint="eastAsia"/>
          <w:sz w:val="30"/>
          <w:szCs w:val="30"/>
          <w:highlight w:val="none"/>
        </w:rPr>
        <w:t>个。是：</w:t>
      </w:r>
      <w:r>
        <w:rPr>
          <w:rFonts w:ascii="仿宋_GB2312" w:eastAsia="仿宋_GB2312" w:hAnsi="Times New Roman" w:cs="Times New Roman" w:hint="eastAsia"/>
          <w:bCs/>
          <w:kern w:val="2"/>
          <w:sz w:val="30"/>
          <w:szCs w:val="30"/>
          <w:highlight w:val="none"/>
          <w:lang w:val="en-US" w:eastAsia="zh-CN" w:bidi="ar-SA"/>
        </w:rPr>
        <w:t>中国共产党宜良县委员会政法委员会</w:t>
      </w:r>
      <w:r>
        <w:rPr>
          <w:rFonts w:ascii="仿宋_GB2312" w:eastAsia="仿宋_GB2312" w:cs="Times New Roman" w:hint="eastAsia"/>
          <w:bCs/>
          <w:kern w:val="2"/>
          <w:sz w:val="30"/>
          <w:szCs w:val="30"/>
          <w:highlight w:val="none"/>
          <w:lang w:val="en-US" w:eastAsia="zh-CN" w:bidi="ar-SA"/>
        </w:rPr>
        <w:t>。（</w:t>
      </w:r>
      <w:r>
        <w:rPr>
          <w:rFonts w:ascii="仿宋_GB2312" w:eastAsia="仿宋_GB2312" w:hint="eastAsia"/>
          <w:sz w:val="30"/>
          <w:szCs w:val="30"/>
          <w:highlight w:val="none"/>
          <w:lang w:val="zh-CN" w:eastAsia="zh-CN"/>
        </w:rPr>
        <w:t>宜良县法学会</w:t>
      </w:r>
      <w:r>
        <w:rPr>
          <w:rFonts w:ascii="仿宋_GB2312" w:eastAsia="仿宋_GB2312" w:hint="eastAsia"/>
          <w:sz w:val="30"/>
          <w:szCs w:val="30"/>
          <w:highlight w:val="none"/>
          <w:lang w:val="en-US" w:eastAsia="zh-CN"/>
        </w:rPr>
        <w:t>和宜良县社会治安综合治理中心2个所属单位未实行独立核算，不单独进行预决算编报，所有经费收支及预决算编报由</w:t>
      </w:r>
      <w:r>
        <w:rPr>
          <w:rFonts w:ascii="仿宋_GB2312" w:eastAsia="仿宋_GB2312" w:hAnsi="Times New Roman" w:cs="Times New Roman" w:hint="eastAsia"/>
          <w:bCs/>
          <w:kern w:val="2"/>
          <w:sz w:val="30"/>
          <w:szCs w:val="30"/>
          <w:highlight w:val="none"/>
          <w:lang w:val="en-US" w:eastAsia="zh-CN" w:bidi="ar-SA"/>
        </w:rPr>
        <w:t>中国共产党宜良县委员会政法委员会</w:t>
      </w:r>
      <w:r>
        <w:rPr>
          <w:rFonts w:ascii="仿宋_GB2312" w:eastAsia="仿宋_GB2312" w:cs="Times New Roman" w:hint="eastAsia"/>
          <w:bCs/>
          <w:kern w:val="2"/>
          <w:sz w:val="30"/>
          <w:szCs w:val="30"/>
          <w:highlight w:val="none"/>
          <w:lang w:val="en-US" w:eastAsia="zh-CN" w:bidi="ar-SA"/>
        </w:rPr>
        <w:t>进行。）</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20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8</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12</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pPr>
        <w:spacing w:line="600" w:lineRule="exact"/>
        <w:ind w:firstLine="600" w:firstLineChars="200"/>
        <w:rPr>
          <w:rFonts w:ascii="仿宋_GB2312" w:eastAsia="仿宋_GB2312" w:hAnsi="仿宋_GB2312" w:cs="仿宋_GB2312" w:hint="eastAsia"/>
          <w:kern w:val="0"/>
          <w:sz w:val="30"/>
          <w:szCs w:val="30"/>
          <w:highlight w:val="none"/>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11</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11</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p>
    <w:p>
      <w:pPr>
        <w:pStyle w:val="pMsoNormal"/>
        <w:pageBreakBefore w:val="0"/>
        <w:widowControl/>
        <w:kinsoku/>
        <w:wordWrap/>
        <w:overflowPunct/>
        <w:topLinePunct w:val="0"/>
        <w:autoSpaceDE/>
        <w:autoSpaceDN/>
        <w:bidi w:val="0"/>
        <w:adjustRightInd/>
        <w:snapToGrid/>
        <w:spacing w:before="0" w:after="0" w:line="560" w:lineRule="exact"/>
        <w:ind w:left="0" w:right="0" w:firstLine="600"/>
        <w:textAlignment w:val="auto"/>
        <w:rPr>
          <w:rFonts w:ascii="仿宋_GB2312" w:eastAsia="仿宋_GB2312" w:hAnsi="仿宋_GB2312" w:cs="仿宋_GB2312" w:hint="eastAsia"/>
          <w:b w:val="0"/>
          <w:bCs w:val="0"/>
          <w:sz w:val="30"/>
          <w:szCs w:val="30"/>
          <w:highlight w:val="none"/>
          <w:u w:val="none"/>
          <w:lang w:val="en-US" w:eastAsia="zh-CN"/>
        </w:rPr>
      </w:pPr>
      <w:r>
        <w:rPr>
          <w:rFonts w:ascii="仿宋_GB2312" w:eastAsia="仿宋_GB2312" w:hAnsi="仿宋_GB2312" w:cs="仿宋_GB2312" w:hint="eastAsia"/>
          <w:b w:val="0"/>
          <w:bCs w:val="0"/>
          <w:sz w:val="30"/>
          <w:szCs w:val="30"/>
          <w:highlight w:val="none"/>
          <w:u w:val="none"/>
          <w:lang w:val="en-US" w:eastAsia="zh-CN"/>
        </w:rPr>
        <w:t>车辆编制1辆，在编实有车辆2辆（其中1辆为县机关事务管理局协调使用）。</w:t>
      </w:r>
    </w:p>
    <w:p>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pPr>
        <w:pStyle w:val="pMsoNormal"/>
        <w:pageBreakBefore w:val="0"/>
        <w:widowControl/>
        <w:kinsoku/>
        <w:wordWrap/>
        <w:overflowPunct/>
        <w:topLinePunct w:val="0"/>
        <w:autoSpaceDE/>
        <w:autoSpaceDN/>
        <w:bidi w:val="0"/>
        <w:adjustRightInd/>
        <w:snapToGrid/>
        <w:spacing w:before="0" w:after="0" w:line="560" w:lineRule="exact"/>
        <w:ind w:right="0" w:firstLine="600" w:firstLineChars="200"/>
        <w:textAlignment w:val="auto"/>
        <w:rPr>
          <w:rFonts w:ascii="仿宋_GB2312" w:eastAsia="仿宋_GB2312" w:hAnsi="仿宋_GB2312" w:cs="仿宋_GB2312" w:hint="eastAsia"/>
          <w:b w:val="0"/>
          <w:bCs w:val="0"/>
          <w:sz w:val="30"/>
          <w:szCs w:val="30"/>
          <w:highlight w:val="none"/>
          <w:u w:val="none"/>
          <w:lang w:val="en-US" w:eastAsia="zh-CN"/>
        </w:rPr>
      </w:pPr>
      <w:r>
        <w:rPr>
          <w:rFonts w:ascii="仿宋_GB2312" w:eastAsia="仿宋_GB2312" w:hAnsi="仿宋_GB2312" w:cs="仿宋_GB2312" w:hint="eastAsia"/>
          <w:b w:val="0"/>
          <w:bCs w:val="0"/>
          <w:sz w:val="30"/>
          <w:szCs w:val="30"/>
          <w:highlight w:val="none"/>
          <w:u w:val="none"/>
          <w:lang w:val="en-US" w:eastAsia="zh-CN"/>
        </w:rPr>
        <w:t>2024年，中国共产党宜良县委员会政法委员会全面贯彻习近平新时代中国特色社会主义思想和对政法工作重要指示精神，认真落实中央、省、市政法工作会议精神，紧紧围绕新时代政法工作总要求，坚持以人民为中心的发展思想，健全落实领导责任制，将维护国家安全和社会稳定、创新社会治理方式、加强政治和纪律作风建设等工作纳入全县政法工作重点内容，深入推进平安宜良、法治宜良和过硬队伍建设。坚持源头治理，根治重点行业乱象，从源头上预防和减少黑恶势力犯罪滋生蔓延，促进行业监管法治化、规范化、专业化。全面了解和准确掌握全县的安全稳定形势，聚焦复杂疑难信访突出问题和重点矛盾纠纷的化解，不断提升人民群众的安全感和满意度，维护了社会秩序的总体稳定。</w:t>
      </w:r>
    </w:p>
    <w:p>
      <w:pPr>
        <w:spacing w:line="600" w:lineRule="exact"/>
        <w:jc w:val="left"/>
        <w:rPr>
          <w:rFonts w:ascii="仿宋_GB2312" w:eastAsia="仿宋_GB2312" w:hAnsi="宋体" w:cs="Arial" w:hint="eastAsia"/>
          <w:kern w:val="0"/>
          <w:sz w:val="30"/>
          <w:szCs w:val="30"/>
          <w:highlight w:val="none"/>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pPr>
        <w:spacing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本部门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年度无政府性基金预算财政拨款收支、国有资本经营预算财政拨款收入，《政府性基金预算财政拨款收入支出决算表》、《国有资本经营预算财政拨款收入支出决算表》为空表。</w:t>
      </w:r>
    </w:p>
    <w:p>
      <w:pPr>
        <w:spacing w:line="600" w:lineRule="exact"/>
        <w:ind w:firstLine="600" w:firstLineChars="200"/>
        <w:jc w:val="left"/>
        <w:rPr>
          <w:rFonts w:ascii="仿宋_GB2312" w:eastAsia="仿宋_GB2312" w:hint="eastAsia"/>
          <w:sz w:val="30"/>
          <w:szCs w:val="30"/>
          <w:highlight w:val="none"/>
          <w:lang w:eastAsia="zh-CN"/>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Ansi="仿宋_GB2312" w:cs="仿宋_GB2312" w:hint="eastAsia"/>
          <w:color w:val="auto"/>
          <w:sz w:val="30"/>
          <w:lang w:val="zh-CN"/>
        </w:rPr>
        <w:t>中国共产党宜良县委员会政法委员会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4074232.15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3824232.15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93.86</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事业收入；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经营收入；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附属单位上缴收入</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250000.00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6.14</w:t>
      </w:r>
      <w:r>
        <w:rPr>
          <w:rFonts w:ascii="仿宋_GB2312" w:eastAsia="仿宋_GB2312" w:hint="eastAsia"/>
          <w:sz w:val="30"/>
          <w:szCs w:val="30"/>
          <w:highlight w:val="none"/>
        </w:rPr>
        <w:t>%。</w:t>
      </w:r>
    </w:p>
    <w:p>
      <w:pPr>
        <w:widowControl/>
        <w:snapToGrid w:val="0"/>
        <w:spacing w:before="100" w:after="100" w:line="600" w:lineRule="exact"/>
        <w:ind w:firstLine="538"/>
        <w:jc w:val="left"/>
        <w:rPr>
          <w:rFonts w:ascii="仿宋_GB2312" w:eastAsia="仿宋_GB2312" w:hint="default"/>
          <w:sz w:val="30"/>
          <w:szCs w:val="30"/>
          <w:highlight w:val="none"/>
          <w:lang w:val="en-US" w:eastAsia="zh-CN"/>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153652.01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3.63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263652.01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6.45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；其他收入增加</w:t>
      </w:r>
      <w:r>
        <w:rPr>
          <w:rFonts w:ascii="仿宋_GB2312" w:eastAsia="仿宋_GB2312" w:hAnsi="仿宋_GB2312" w:cs="仿宋_GB2312" w:hint="eastAsia"/>
          <w:color w:val="auto"/>
          <w:sz w:val="30"/>
          <w:lang w:val="zh-CN"/>
        </w:rPr>
        <w:t>110000.00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78.57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减少了死亡抚恤金，</w:t>
      </w:r>
      <w:r>
        <w:rPr>
          <w:rFonts w:ascii="仿宋_GB2312" w:eastAsia="仿宋_GB2312" w:hint="eastAsia"/>
          <w:sz w:val="30"/>
          <w:szCs w:val="30"/>
          <w:highlight w:val="none"/>
        </w:rPr>
        <w:t>其他收入</w:t>
      </w:r>
      <w:r>
        <w:rPr>
          <w:rFonts w:ascii="仿宋_GB2312" w:eastAsia="仿宋_GB2312" w:hint="eastAsia"/>
          <w:sz w:val="30"/>
          <w:szCs w:val="30"/>
          <w:highlight w:val="none"/>
          <w:lang w:val="en-US" w:eastAsia="zh-CN"/>
        </w:rPr>
        <w:t>增加了维稳工作经费。</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中国共产党宜良县委员会政法委员会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4025894.35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3823242.03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94.97</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202652.32</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5.03</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上缴上级支出；</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经营支出；</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对附属单位补助支出。</w:t>
      </w:r>
    </w:p>
    <w:p>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344584.67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7.88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290164.41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7.05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54420.26</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w:t>
      </w:r>
      <w:r>
        <w:rPr>
          <w:rFonts w:ascii="仿宋_GB2312" w:eastAsia="仿宋_GB2312" w:hAnsi="仿宋_GB2312" w:cs="仿宋_GB2312" w:hint="eastAsia"/>
          <w:color w:val="auto"/>
          <w:sz w:val="30"/>
          <w:lang w:val="en-US" w:eastAsia="zh-CN"/>
        </w:rPr>
        <w:t>降</w:t>
      </w:r>
      <w:r>
        <w:rPr>
          <w:rFonts w:ascii="仿宋_GB2312" w:eastAsia="仿宋_GB2312" w:hAnsi="仿宋_GB2312" w:cs="仿宋_GB2312" w:hint="eastAsia"/>
          <w:color w:val="auto"/>
          <w:sz w:val="30"/>
          <w:lang w:val="zh-CN"/>
        </w:rPr>
        <w:t>21.17%</w:t>
      </w:r>
      <w:r>
        <w:rPr>
          <w:rFonts w:ascii="仿宋_GB2312" w:eastAsia="仿宋_GB2312" w:hAnsi="仿宋_GB2312" w:cs="仿宋_GB2312" w:hint="eastAsia"/>
          <w:color w:val="auto"/>
          <w:sz w:val="30"/>
          <w:lang w:val="zh-CN" w:eastAsia="zh-CN"/>
        </w:rPr>
        <w:t>。</w:t>
      </w:r>
      <w:r>
        <w:rPr>
          <w:rFonts w:ascii="仿宋_GB2312" w:eastAsia="仿宋_GB2312" w:hAnsi="仿宋_GB2312" w:cs="仿宋_GB2312" w:hint="eastAsia"/>
          <w:color w:val="auto"/>
          <w:sz w:val="30"/>
          <w:lang w:val="zh-CN"/>
        </w:rPr>
        <w:t>主要原因</w:t>
      </w:r>
      <w:r>
        <w:rPr>
          <w:rFonts w:ascii="仿宋_GB2312" w:eastAsia="仿宋_GB2312" w:hAnsi="仿宋_GB2312" w:cs="仿宋_GB2312" w:hint="eastAsia"/>
          <w:color w:val="auto"/>
          <w:sz w:val="30"/>
          <w:lang w:val="zh-CN" w:eastAsia="zh-CN"/>
        </w:rPr>
        <w:t>是</w:t>
      </w:r>
      <w:r>
        <w:rPr>
          <w:rFonts w:ascii="仿宋_GB2312" w:eastAsia="仿宋_GB2312" w:hAnsi="仿宋_GB2312" w:cs="仿宋_GB2312" w:hint="eastAsia"/>
          <w:color w:val="auto"/>
          <w:sz w:val="30"/>
          <w:lang w:val="en-US" w:eastAsia="zh-CN"/>
        </w:rPr>
        <w:t>基本支出减少了死亡抚恤金，项目支出有所减少</w:t>
      </w:r>
      <w:r>
        <w:rPr>
          <w:rFonts w:ascii="仿宋_GB2312" w:eastAsia="仿宋_GB2312" w:hAnsi="仿宋_GB2312" w:cs="仿宋_GB2312" w:hint="eastAsia"/>
          <w:color w:val="auto"/>
          <w:sz w:val="30"/>
          <w:lang w:val="zh-CN"/>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中国共产党宜良县委员会政法委员会</w:t>
      </w:r>
      <w:r>
        <w:rPr>
          <w:rFonts w:ascii="仿宋_GB2312" w:eastAsia="仿宋_GB2312" w:hAnsi="仿宋_GB2312" w:cs="仿宋_GB2312" w:hint="eastAsia"/>
          <w:sz w:val="30"/>
          <w:szCs w:val="30"/>
          <w:highlight w:val="none"/>
        </w:rPr>
        <w:t>机关、下属事业单位等机构正常运转的日常支出</w:t>
      </w:r>
      <w:r>
        <w:rPr>
          <w:rFonts w:ascii="仿宋_GB2312" w:eastAsia="仿宋_GB2312" w:hAnsi="仿宋_GB2312" w:cs="仿宋_GB2312" w:hint="eastAsia"/>
          <w:color w:val="auto"/>
          <w:sz w:val="30"/>
          <w:lang w:val="zh-CN"/>
        </w:rPr>
        <w:t>3823242.03</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3343917.35</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87.46</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479324.68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12.54</w:t>
      </w:r>
      <w:r>
        <w:rPr>
          <w:rFonts w:ascii="仿宋_GB2312" w:eastAsia="仿宋_GB2312" w:hAnsi="仿宋_GB2312" w:cs="仿宋_GB2312" w:hint="eastAsia"/>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中国共产党宜良县委员会政法委员会</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202652.32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新能源光伏项目维稳工作经费</w:t>
      </w:r>
      <w:r>
        <w:rPr>
          <w:rFonts w:ascii="仿宋_GB2312" w:eastAsia="仿宋_GB2312" w:hint="eastAsia"/>
          <w:sz w:val="30"/>
          <w:szCs w:val="30"/>
          <w:highlight w:val="none"/>
          <w:lang w:val="en-US" w:eastAsia="zh-CN"/>
        </w:rPr>
        <w:t>192877.32</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差旅费和办公费支出。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rPr>
        <w:t>省级综合治理平安云南建设</w:t>
      </w:r>
      <w:r>
        <w:rPr>
          <w:rFonts w:ascii="仿宋_GB2312" w:eastAsia="仿宋_GB2312" w:hint="eastAsia"/>
          <w:sz w:val="30"/>
          <w:szCs w:val="30"/>
          <w:highlight w:val="none"/>
          <w:lang w:val="en-US" w:eastAsia="zh-CN"/>
        </w:rPr>
        <w:t>工作经费9775.00元，主要用于</w:t>
      </w:r>
      <w:r>
        <w:rPr>
          <w:rFonts w:ascii="仿宋_GB2312" w:eastAsia="仿宋_GB2312" w:hint="eastAsia"/>
          <w:sz w:val="30"/>
          <w:szCs w:val="30"/>
          <w:highlight w:val="none"/>
        </w:rPr>
        <w:t>扫黑除恶宣传品制作</w:t>
      </w:r>
      <w:r>
        <w:rPr>
          <w:rFonts w:ascii="仿宋_GB2312" w:eastAsia="仿宋_GB2312" w:hint="eastAsia"/>
          <w:sz w:val="30"/>
          <w:szCs w:val="30"/>
          <w:highlight w:val="none"/>
          <w:lang w:val="en-US" w:eastAsia="zh-CN"/>
        </w:rPr>
        <w:t>支出。</w:t>
      </w:r>
    </w:p>
    <w:p>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中国共产党宜良县委员会政法委员会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3824232.15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94.99</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仿宋_GB2312" w:cs="仿宋_GB2312" w:hint="eastAsia"/>
          <w:color w:val="auto"/>
          <w:kern w:val="0"/>
          <w:sz w:val="30"/>
          <w:lang w:val="zh-CN"/>
        </w:rPr>
        <w:t>289174.29</w:t>
      </w:r>
      <w:r>
        <w:rPr>
          <w:rFonts w:ascii="仿宋_GB2312" w:eastAsia="仿宋_GB2312" w:hAnsi="宋体" w:cs="Arial" w:hint="eastAsia"/>
          <w:kern w:val="0"/>
          <w:sz w:val="30"/>
          <w:szCs w:val="30"/>
          <w:highlight w:val="none"/>
        </w:rPr>
        <w:t>元，下降</w:t>
      </w:r>
      <w:r>
        <w:rPr>
          <w:rFonts w:ascii="仿宋_GB2312" w:eastAsia="仿宋_GB2312" w:hAnsi="仿宋_GB2312" w:cs="仿宋_GB2312" w:hint="eastAsia"/>
          <w:color w:val="auto"/>
          <w:kern w:val="0"/>
          <w:sz w:val="30"/>
          <w:lang w:val="zh-CN"/>
        </w:rPr>
        <w:t>7.03</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91.16</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2728088.76</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71.34</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89.47</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。主要用于人员经费、日常公用经费；</w:t>
      </w:r>
      <w:r>
        <w:rPr>
          <w:rFonts w:ascii="仿宋_GB2312" w:eastAsia="仿宋_GB2312" w:hAnsi="仿宋_GB2312" w:cs="仿宋_GB2312" w:hint="eastAsia"/>
          <w:color w:val="auto"/>
          <w:kern w:val="0"/>
          <w:sz w:val="30"/>
          <w:lang w:val="zh-CN" w:eastAsia="zh-CN"/>
        </w:rPr>
        <w:t>造成预决算差异的主要原</w:t>
      </w:r>
      <w:r>
        <w:rPr>
          <w:rFonts w:ascii="仿宋_GB2312" w:eastAsia="仿宋_GB2312" w:hAnsi="宋体" w:cs="Arial" w:hint="eastAsia"/>
          <w:kern w:val="0"/>
          <w:sz w:val="30"/>
          <w:szCs w:val="30"/>
          <w:highlight w:val="none"/>
          <w:lang w:eastAsia="zh-CN"/>
        </w:rPr>
        <w:t>因是</w:t>
      </w:r>
      <w:r>
        <w:rPr>
          <w:rFonts w:ascii="仿宋_GB2312" w:eastAsia="仿宋_GB2312" w:hAnsi="宋体" w:cs="Arial" w:hint="eastAsia"/>
          <w:kern w:val="0"/>
          <w:sz w:val="30"/>
          <w:szCs w:val="30"/>
          <w:highlight w:val="none"/>
          <w:lang w:val="en-US" w:eastAsia="zh-CN"/>
        </w:rPr>
        <w:t>严格控制支出数，年末有结余。</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2.外交（类）支出</w:t>
      </w:r>
      <w:r>
        <w:rPr>
          <w:rFonts w:ascii="仿宋_GB2312" w:eastAsia="仿宋_GB2312" w:hAnsi="宋体" w:cs="Arial" w:hint="eastAsia"/>
          <w:kern w:val="0"/>
          <w:sz w:val="30"/>
          <w:szCs w:val="30"/>
          <w:highlight w:val="none"/>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，占一般公共预算财政拨款总支出的</w:t>
      </w:r>
      <w:r>
        <w:rPr>
          <w:rFonts w:ascii="仿宋_GB2312" w:eastAsia="仿宋_GB2312" w:hAnsi="宋体" w:cs="Arial" w:hint="eastAsia"/>
          <w:kern w:val="0"/>
          <w:sz w:val="30"/>
          <w:szCs w:val="30"/>
          <w:highlight w:val="none"/>
          <w:lang w:val="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4.公共安全（类）支出</w:t>
      </w:r>
      <w:r>
        <w:rPr>
          <w:rFonts w:ascii="仿宋_GB2312" w:eastAsia="仿宋_GB2312" w:hint="eastAsia"/>
          <w:sz w:val="30"/>
          <w:szCs w:val="30"/>
          <w:highlight w:val="none"/>
          <w:lang w:val="zh-CN"/>
        </w:rPr>
        <w:t>9775.00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zh-CN"/>
        </w:rPr>
        <w:t>0.26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，年初无此项预算。</w:t>
      </w:r>
      <w:r>
        <w:rPr>
          <w:rFonts w:ascii="仿宋_GB2312" w:eastAsia="仿宋_GB2312" w:hint="eastAsia"/>
          <w:sz w:val="30"/>
          <w:szCs w:val="30"/>
          <w:highlight w:val="none"/>
        </w:rPr>
        <w:t>主要用于扫黑除恶宣传品制作</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default"/>
          <w:kern w:val="0"/>
          <w:sz w:val="30"/>
          <w:szCs w:val="30"/>
          <w:highlight w:val="none"/>
          <w:lang w:val="en-US"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544984.96</w:t>
      </w:r>
      <w:r>
        <w:rPr>
          <w:rFonts w:ascii="仿宋_GB2312" w:eastAsia="仿宋_GB2312" w:hAnsi="仿宋_GB2312" w:cs="仿宋_GB2312" w:hint="eastAsia"/>
          <w:color w:val="auto"/>
          <w:kern w:val="0"/>
          <w:sz w:val="30"/>
          <w:lang w:val="en-US"/>
        </w:rPr>
        <w:t>元，占一般公共预算财政拨款总支出的</w:t>
      </w:r>
      <w:r>
        <w:rPr>
          <w:rFonts w:ascii="仿宋_GB2312" w:eastAsia="仿宋_GB2312" w:hAnsi="仿宋_GB2312" w:cs="仿宋_GB2312" w:hint="eastAsia"/>
          <w:color w:val="auto"/>
          <w:kern w:val="0"/>
          <w:sz w:val="30"/>
          <w:lang w:val="en-US" w:eastAsia="zh-CN"/>
        </w:rPr>
        <w:t>14.25</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完成年初预算的</w:t>
      </w:r>
      <w:r>
        <w:rPr>
          <w:rFonts w:ascii="仿宋_GB2312" w:eastAsia="仿宋_GB2312" w:hAnsi="仿宋_GB2312" w:cs="仿宋_GB2312" w:hint="eastAsia"/>
          <w:color w:val="auto"/>
          <w:kern w:val="0"/>
          <w:sz w:val="30"/>
          <w:lang w:val="zh-CN"/>
        </w:rPr>
        <w:t>97.70</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en-US"/>
        </w:rPr>
        <w:t>。主要用于离退休人员退休生活补助费及职</w:t>
      </w:r>
      <w:r>
        <w:rPr>
          <w:rFonts w:ascii="仿宋_GB2312" w:eastAsia="仿宋_GB2312" w:hAnsi="宋体" w:cs="Arial" w:hint="eastAsia"/>
          <w:kern w:val="0"/>
          <w:sz w:val="30"/>
          <w:szCs w:val="30"/>
          <w:highlight w:val="none"/>
          <w:lang w:val="en-US" w:eastAsia="zh-CN"/>
        </w:rPr>
        <w:t>工基本养老保险、职业年金、工伤保险费的缴纳；</w:t>
      </w:r>
      <w:r>
        <w:rPr>
          <w:rFonts w:ascii="仿宋_GB2312" w:eastAsia="仿宋_GB2312" w:hAnsi="宋体" w:cs="Arial" w:hint="eastAsia"/>
          <w:kern w:val="0"/>
          <w:sz w:val="30"/>
          <w:szCs w:val="30"/>
          <w:highlight w:val="none"/>
          <w:lang w:eastAsia="zh-CN"/>
        </w:rPr>
        <w:t>造成预决算差异的主要原因</w:t>
      </w:r>
      <w:r>
        <w:rPr>
          <w:rFonts w:ascii="仿宋_GB2312" w:eastAsia="仿宋_GB2312" w:hAnsi="宋体" w:cs="Arial" w:hint="eastAsia"/>
          <w:kern w:val="0"/>
          <w:sz w:val="30"/>
          <w:szCs w:val="30"/>
          <w:highlight w:val="none"/>
          <w:lang w:val="en-US" w:eastAsia="zh-CN"/>
        </w:rPr>
        <w:t>是预算测算与实际支付有细微偏差。</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312599.43</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8.17</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完成年初预算的</w:t>
      </w:r>
      <w:r>
        <w:rPr>
          <w:rFonts w:ascii="仿宋_GB2312" w:eastAsia="仿宋_GB2312" w:hAnsi="仿宋_GB2312" w:cs="仿宋_GB2312" w:hint="eastAsia"/>
          <w:color w:val="auto"/>
          <w:kern w:val="0"/>
          <w:sz w:val="30"/>
          <w:lang w:val="zh-CN"/>
        </w:rPr>
        <w:t>90.56</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en-US"/>
        </w:rPr>
        <w:t>。主要用于职工医疗保险费</w:t>
      </w:r>
      <w:r>
        <w:rPr>
          <w:rFonts w:ascii="仿宋_GB2312" w:eastAsia="仿宋_GB2312" w:hAnsi="宋体" w:cs="Arial" w:hint="eastAsia"/>
          <w:kern w:val="0"/>
          <w:sz w:val="30"/>
          <w:szCs w:val="30"/>
          <w:highlight w:val="none"/>
          <w:lang w:eastAsia="zh-CN"/>
        </w:rPr>
        <w:t>；造成预决算差异的主要原因是造成预决算差异的主要原因</w:t>
      </w:r>
      <w:r>
        <w:rPr>
          <w:rFonts w:ascii="仿宋_GB2312" w:eastAsia="仿宋_GB2312" w:hAnsi="宋体" w:cs="Arial" w:hint="eastAsia"/>
          <w:kern w:val="0"/>
          <w:sz w:val="30"/>
          <w:szCs w:val="30"/>
          <w:highlight w:val="none"/>
          <w:lang w:val="en-US" w:eastAsia="zh-CN"/>
        </w:rPr>
        <w:t>是预算测算与实际支付有偏差。</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228784.00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5.98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94.21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 w:eastAsia="仿宋" w:hAnsi="仿宋" w:cs="仿宋"/>
          <w:sz w:val="30"/>
          <w:szCs w:val="30"/>
        </w:rPr>
        <w:t>职工住房公积金的缴纳</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kern w:val="0"/>
          <w:sz w:val="30"/>
          <w:szCs w:val="30"/>
          <w:highlight w:val="none"/>
          <w:lang w:val="en-US" w:eastAsia="zh-CN"/>
        </w:rPr>
        <w:t>预算测算与实际支付有偏差</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lang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54400.00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49557.01</w:t>
      </w:r>
      <w:r>
        <w:rPr>
          <w:rFonts w:ascii="仿宋_GB2312" w:eastAsia="仿宋_GB2312" w:hAnsi="仿宋_GB2312" w:cs="仿宋_GB2312" w:hint="eastAsia"/>
          <w:kern w:val="0"/>
          <w:sz w:val="30"/>
          <w:szCs w:val="30"/>
          <w:highlight w:val="none"/>
        </w:rPr>
        <w:t>元，完成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预算的</w:t>
      </w:r>
      <w:r>
        <w:rPr>
          <w:rFonts w:ascii="仿宋_GB2312" w:eastAsia="仿宋_GB2312" w:hAnsi="仿宋_GB2312" w:cs="仿宋_GB2312" w:hint="eastAsia"/>
          <w:color w:val="000000"/>
          <w:sz w:val="30"/>
          <w:lang w:val="zh-CN"/>
        </w:rPr>
        <w:t>91.10</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23474.01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90.00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FF0000"/>
          <w:sz w:val="30"/>
          <w:szCs w:val="30"/>
          <w:lang w:eastAsia="zh-CN"/>
        </w:rPr>
      </w:pPr>
      <w:r>
        <w:rPr>
          <w:rFonts w:ascii="仿宋_GB2312" w:eastAsia="仿宋_GB2312" w:hAnsi="仿宋_GB2312" w:cs="仿宋_GB2312" w:hint="eastAsia"/>
          <w:kern w:val="0"/>
          <w:sz w:val="30"/>
          <w:szCs w:val="30"/>
          <w:highlight w:val="none"/>
        </w:rPr>
        <w:t>因公出国（境）费支出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%；公务用车购置费支出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%；公务用车</w:t>
      </w:r>
      <w:r>
        <w:rPr>
          <w:rFonts w:ascii="仿宋_GB2312" w:eastAsia="仿宋_GB2312" w:hAnsi="仿宋_GB2312" w:cs="仿宋_GB2312" w:hint="eastAsia"/>
          <w:kern w:val="0"/>
          <w:sz w:val="30"/>
          <w:szCs w:val="30"/>
          <w:highlight w:val="none"/>
          <w:lang w:eastAsia="zh-CN"/>
        </w:rPr>
        <w:t>运行维护</w:t>
      </w:r>
      <w:r>
        <w:rPr>
          <w:rFonts w:ascii="仿宋_GB2312" w:eastAsia="仿宋_GB2312" w:hAnsi="仿宋_GB2312" w:cs="仿宋_GB2312" w:hint="eastAsia"/>
          <w:kern w:val="0"/>
          <w:sz w:val="30"/>
          <w:szCs w:val="30"/>
          <w:highlight w:val="none"/>
        </w:rPr>
        <w:t>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48000.00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46374.01</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93.58</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96.61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公务接待费支出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6400.00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3183.00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6.42</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49.73</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rPr>
        <w:t>因公出国（境）费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kern w:val="0"/>
          <w:sz w:val="30"/>
          <w:szCs w:val="30"/>
          <w:highlight w:val="none"/>
          <w:lang w:eastAsia="zh-CN"/>
        </w:rPr>
        <w:t>上年无此项支出；</w:t>
      </w:r>
      <w:r>
        <w:rPr>
          <w:rFonts w:ascii="仿宋_GB2312" w:eastAsia="仿宋_GB2312" w:hAnsi="仿宋_GB2312" w:cs="仿宋_GB2312" w:hint="eastAsia"/>
          <w:sz w:val="30"/>
          <w:szCs w:val="30"/>
          <w:highlight w:val="none"/>
        </w:rPr>
        <w:t>公务用车购置费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kern w:val="0"/>
          <w:sz w:val="30"/>
          <w:szCs w:val="30"/>
          <w:highlight w:val="none"/>
          <w:lang w:eastAsia="zh-CN"/>
        </w:rPr>
        <w:t>上年无此项支出；</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21374.01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85.50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公务接待费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2100.00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193.91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3183.00</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2100.00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193.91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kern w:val="0"/>
          <w:sz w:val="30"/>
          <w:szCs w:val="30"/>
          <w:highlight w:val="none"/>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54400.00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49557.01</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91.10</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23474.01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90.00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仿宋_GB2312" w:cs="仿宋_GB2312" w:hint="eastAsia"/>
          <w:sz w:val="30"/>
          <w:szCs w:val="30"/>
          <w:highlight w:val="none"/>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；公务用车购置费支出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48000.00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46374.01</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96.61</w:t>
      </w:r>
      <w:r>
        <w:rPr>
          <w:rFonts w:ascii="仿宋_GB2312" w:eastAsia="仿宋_GB2312" w:hAnsi="仿宋_GB2312" w:cs="仿宋_GB2312" w:hint="eastAsia"/>
          <w:sz w:val="30"/>
          <w:szCs w:val="30"/>
          <w:highlight w:val="none"/>
        </w:rPr>
        <w:t>%；公务接待费支出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6400.00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3183.00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49.73</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年度一般公共预算财政拨款“三公”经费支出决算数小于</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预算数的主要原因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sz w:val="30"/>
          <w:szCs w:val="30"/>
          <w:highlight w:val="none"/>
          <w:lang w:val="en-US" w:eastAsia="zh-CN"/>
        </w:rPr>
        <w:t>本年度我单位严格控制</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val="en-US" w:eastAsia="zh-CN"/>
        </w:rPr>
        <w:t>和</w:t>
      </w:r>
      <w:r>
        <w:rPr>
          <w:rFonts w:ascii="仿宋_GB2312" w:eastAsia="仿宋_GB2312" w:hAnsi="仿宋_GB2312" w:cs="仿宋_GB2312" w:hint="eastAsia"/>
          <w:sz w:val="30"/>
          <w:szCs w:val="30"/>
          <w:highlight w:val="none"/>
        </w:rPr>
        <w:t>公务接待费支出。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yellow"/>
          <w:lang w:val="en-US"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上年无此项支出</w:t>
      </w:r>
      <w:r>
        <w:rPr>
          <w:rFonts w:ascii="仿宋_GB2312" w:eastAsia="仿宋_GB2312" w:hAnsi="仿宋_GB2312" w:cs="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上年无此项支出</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支出决算增加</w:t>
      </w:r>
      <w:r>
        <w:rPr>
          <w:rFonts w:ascii="仿宋_GB2312" w:eastAsia="仿宋_GB2312" w:hAnsi="仿宋_GB2312" w:cs="仿宋_GB2312" w:hint="eastAsia"/>
          <w:color w:val="000000"/>
          <w:sz w:val="30"/>
          <w:lang w:val="zh-CN"/>
        </w:rPr>
        <w:t>21374.01</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85.50</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sz w:val="30"/>
          <w:szCs w:val="30"/>
          <w:highlight w:val="none"/>
        </w:rPr>
        <w:t>公务接待费支出决算增加</w:t>
      </w:r>
      <w:r>
        <w:rPr>
          <w:rFonts w:ascii="仿宋_GB2312" w:eastAsia="仿宋_GB2312" w:hAnsi="仿宋_GB2312" w:cs="仿宋_GB2312" w:hint="eastAsia"/>
          <w:color w:val="000000"/>
          <w:sz w:val="30"/>
          <w:lang w:val="zh-CN"/>
        </w:rPr>
        <w:t>2100.00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193.91</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3183.00</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kern w:val="0"/>
          <w:sz w:val="30"/>
          <w:szCs w:val="30"/>
          <w:highlight w:val="none"/>
          <w:lang w:val="en-US" w:eastAsia="zh-CN"/>
        </w:rPr>
        <w:t>2100.00元，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193.91</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kern w:val="0"/>
          <w:sz w:val="30"/>
          <w:szCs w:val="30"/>
          <w:highlight w:val="none"/>
          <w:lang w:val="en-US" w:eastAsia="zh-CN"/>
        </w:rPr>
        <w:t>0.00元，</w:t>
      </w:r>
      <w:r>
        <w:rPr>
          <w:rFonts w:ascii="仿宋_GB2312" w:eastAsia="仿宋_GB2312" w:hAnsi="仿宋_GB2312" w:cs="仿宋_GB2312" w:hint="eastAsia"/>
          <w:sz w:val="30"/>
          <w:szCs w:val="30"/>
          <w:highlight w:val="none"/>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w:t>
      </w:r>
      <w:r>
        <w:rPr>
          <w:rFonts w:ascii="仿宋_GB2312" w:eastAsia="仿宋_GB2312" w:hAnsi="仿宋_GB2312" w:cs="仿宋_GB2312" w:hint="eastAsia"/>
          <w:kern w:val="0"/>
          <w:sz w:val="30"/>
          <w:szCs w:val="30"/>
          <w:highlight w:val="none"/>
          <w:lang w:eastAsia="zh-CN"/>
        </w:rPr>
        <w:t>增加的主要原因</w:t>
      </w:r>
      <w:r>
        <w:rPr>
          <w:rFonts w:ascii="仿宋_GB2312" w:eastAsia="仿宋_GB2312" w:hAnsi="仿宋_GB2312" w:cs="仿宋_GB2312" w:hint="eastAsia"/>
          <w:kern w:val="0"/>
          <w:sz w:val="30"/>
          <w:szCs w:val="30"/>
          <w:highlight w:val="none"/>
          <w:lang w:val="en-US" w:eastAsia="zh-CN"/>
        </w:rPr>
        <w:t>在2024年年末进行了2辆公务用车（本单位在编1辆、县机关事务管理局调配使用1辆）加油卡充值，充值的油费2024年未使用完，结转至2025年使用；我单位2024年度</w:t>
      </w:r>
      <w:r>
        <w:rPr>
          <w:rFonts w:ascii="仿宋_GB2312" w:eastAsia="仿宋_GB2312" w:hAnsi="仿宋_GB2312" w:cs="仿宋_GB2312" w:hint="eastAsia"/>
          <w:sz w:val="30"/>
          <w:szCs w:val="30"/>
          <w:highlight w:val="none"/>
        </w:rPr>
        <w:t>一般公共预算财政拨款</w:t>
      </w:r>
      <w:r>
        <w:rPr>
          <w:rFonts w:ascii="仿宋_GB2312" w:eastAsia="仿宋_GB2312" w:hAnsi="仿宋_GB2312" w:cs="仿宋_GB2312" w:hint="eastAsia"/>
          <w:kern w:val="0"/>
          <w:sz w:val="30"/>
          <w:szCs w:val="30"/>
          <w:highlight w:val="none"/>
          <w:lang w:val="en-US" w:eastAsia="zh-CN"/>
        </w:rPr>
        <w:t>国内公务接待费3183.00元，</w:t>
      </w:r>
      <w:r>
        <w:rPr>
          <w:rFonts w:ascii="仿宋_GB2312" w:eastAsia="仿宋_GB2312" w:hAnsi="仿宋_GB2312" w:cs="仿宋_GB2312" w:hint="eastAsia"/>
          <w:sz w:val="30"/>
          <w:szCs w:val="30"/>
          <w:highlight w:val="none"/>
          <w:lang w:val="en-US" w:eastAsia="zh-CN"/>
        </w:rPr>
        <w:t>仅为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49.73</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sz w:val="30"/>
          <w:szCs w:val="30"/>
          <w:highlight w:val="none"/>
          <w:lang w:val="en-US" w:eastAsia="zh-CN"/>
        </w:rPr>
        <w:t>但由于</w:t>
      </w:r>
      <w:r>
        <w:rPr>
          <w:rFonts w:ascii="仿宋_GB2312" w:eastAsia="仿宋_GB2312" w:hAnsi="仿宋_GB2312" w:cs="仿宋_GB2312" w:hint="eastAsia"/>
          <w:kern w:val="0"/>
          <w:sz w:val="30"/>
          <w:szCs w:val="30"/>
          <w:highlight w:val="none"/>
          <w:lang w:val="en-US" w:eastAsia="zh-CN"/>
        </w:rPr>
        <w:t>2023年度</w:t>
      </w:r>
      <w:r>
        <w:rPr>
          <w:rFonts w:ascii="仿宋_GB2312" w:eastAsia="仿宋_GB2312" w:hAnsi="仿宋_GB2312" w:cs="仿宋_GB2312" w:hint="eastAsia"/>
          <w:sz w:val="30"/>
          <w:szCs w:val="30"/>
          <w:highlight w:val="none"/>
        </w:rPr>
        <w:t>一般公共预算财政拨款</w:t>
      </w:r>
      <w:r>
        <w:rPr>
          <w:rFonts w:ascii="仿宋_GB2312" w:eastAsia="仿宋_GB2312" w:hAnsi="仿宋_GB2312" w:cs="仿宋_GB2312" w:hint="eastAsia"/>
          <w:kern w:val="0"/>
          <w:sz w:val="30"/>
          <w:szCs w:val="30"/>
          <w:highlight w:val="none"/>
          <w:lang w:val="en-US" w:eastAsia="zh-CN"/>
        </w:rPr>
        <w:t>国内公务接待费仅为1155.00元，基数较低，所以2024年度国内公务接待费较上年增长较多、增长比例较大。</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实物量的</w:t>
      </w:r>
      <w:r>
        <w:rPr>
          <w:rFonts w:ascii="仿宋_GB2312" w:eastAsia="仿宋_GB2312" w:hAnsi="仿宋_GB2312" w:cs="仿宋_GB2312" w:hint="eastAsia"/>
          <w:sz w:val="30"/>
          <w:szCs w:val="30"/>
          <w:highlight w:val="none"/>
        </w:rPr>
        <w:t>具体情况</w:t>
      </w:r>
      <w:r>
        <w:rPr>
          <w:rFonts w:ascii="仿宋_GB2312" w:eastAsia="仿宋_GB2312" w:hAnsi="仿宋_GB2312" w:cs="仿宋_GB2312" w:hint="eastAsia"/>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1.安排因公出国（境）团组</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个，累计</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人次。</w:t>
      </w:r>
    </w:p>
    <w:p>
      <w:pPr>
        <w:widowControl/>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2.购置车辆</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辆。开支一般公共预算财政拨款的公务用车保有量为</w:t>
      </w:r>
      <w:r>
        <w:rPr>
          <w:rFonts w:ascii="仿宋_GB2312" w:eastAsia="仿宋_GB2312" w:hAnsi="仿宋_GB2312" w:cs="仿宋_GB2312" w:hint="eastAsia"/>
          <w:color w:val="000000"/>
          <w:sz w:val="30"/>
          <w:lang w:val="zh-CN"/>
        </w:rPr>
        <w:t>1</w:t>
      </w:r>
      <w:r>
        <w:rPr>
          <w:rFonts w:ascii="仿宋_GB2312" w:eastAsia="仿宋_GB2312" w:hAnsi="仿宋_GB2312" w:cs="仿宋_GB2312" w:hint="eastAsia"/>
          <w:b w:val="0"/>
          <w:bCs/>
          <w:sz w:val="30"/>
          <w:szCs w:val="30"/>
          <w:highlight w:val="none"/>
        </w:rPr>
        <w:t>辆</w:t>
      </w:r>
      <w:r>
        <w:rPr>
          <w:rFonts w:ascii="仿宋_GB2312" w:eastAsia="仿宋_GB2312" w:hAnsi="仿宋_GB2312" w:cs="仿宋_GB2312" w:hint="eastAsia"/>
          <w:b w:val="0"/>
          <w:bCs/>
          <w:sz w:val="30"/>
          <w:szCs w:val="30"/>
          <w:highlight w:val="none"/>
          <w:lang w:eastAsia="zh-CN"/>
        </w:rPr>
        <w:t>、</w:t>
      </w:r>
      <w:r>
        <w:rPr>
          <w:rFonts w:ascii="仿宋_GB2312" w:eastAsia="仿宋_GB2312" w:hAnsi="仿宋_GB2312" w:cs="仿宋_GB2312" w:hint="eastAsia"/>
          <w:b w:val="0"/>
          <w:bCs/>
          <w:sz w:val="30"/>
          <w:szCs w:val="30"/>
          <w:highlight w:val="none"/>
          <w:lang w:val="en-US" w:eastAsia="zh-CN"/>
        </w:rPr>
        <w:t>县机关事务管理局调配使用的</w:t>
      </w:r>
      <w:r>
        <w:rPr>
          <w:rFonts w:ascii="仿宋_GB2312" w:eastAsia="仿宋_GB2312" w:hAnsi="仿宋_GB2312" w:cs="仿宋_GB2312" w:hint="eastAsia"/>
          <w:b w:val="0"/>
          <w:bCs/>
          <w:sz w:val="30"/>
          <w:szCs w:val="30"/>
          <w:highlight w:val="none"/>
        </w:rPr>
        <w:t>公务用车</w:t>
      </w:r>
      <w:r>
        <w:rPr>
          <w:rFonts w:ascii="仿宋_GB2312" w:eastAsia="仿宋_GB2312" w:hAnsi="仿宋_GB2312" w:cs="仿宋_GB2312" w:hint="eastAsia"/>
          <w:b w:val="0"/>
          <w:bCs/>
          <w:sz w:val="30"/>
          <w:szCs w:val="30"/>
          <w:highlight w:val="none"/>
          <w:lang w:val="en-US" w:eastAsia="zh-CN"/>
        </w:rPr>
        <w:t>1辆</w:t>
      </w:r>
      <w:r>
        <w:rPr>
          <w:rFonts w:ascii="仿宋_GB2312" w:eastAsia="仿宋_GB2312" w:hAnsi="仿宋_GB2312" w:cs="仿宋_GB2312" w:hint="eastAsia"/>
          <w:b w:val="0"/>
          <w:bCs/>
          <w:sz w:val="30"/>
          <w:szCs w:val="30"/>
          <w:highlight w:val="none"/>
        </w:rPr>
        <w:t>。主要用于</w:t>
      </w:r>
      <w:r>
        <w:rPr>
          <w:rFonts w:ascii="仿宋_GB2312" w:eastAsia="仿宋_GB2312" w:hAnsi="仿宋_GB2312" w:cs="仿宋_GB2312" w:hint="eastAsia"/>
          <w:b w:val="0"/>
          <w:bCs/>
          <w:sz w:val="30"/>
          <w:szCs w:val="30"/>
          <w:highlight w:val="none"/>
          <w:lang w:val="en-US" w:eastAsia="zh-CN"/>
        </w:rPr>
        <w:t>应急、工作调研等</w:t>
      </w:r>
      <w:r>
        <w:rPr>
          <w:rFonts w:ascii="仿宋_GB2312" w:eastAsia="仿宋_GB2312" w:hAnsi="仿宋_GB2312" w:cs="仿宋_GB2312" w:hint="eastAsia"/>
          <w:b w:val="0"/>
          <w:bCs/>
          <w:sz w:val="30"/>
          <w:szCs w:val="30"/>
          <w:highlight w:val="none"/>
        </w:rPr>
        <w:t>所需车辆燃料费、维修费、过路过桥费、保险费等。</w:t>
      </w:r>
    </w:p>
    <w:p>
      <w:pPr>
        <w:widowControl/>
        <w:snapToGrid w:val="0"/>
        <w:spacing w:before="100" w:after="100" w:line="360" w:lineRule="auto"/>
        <w:ind w:firstLine="600" w:firstLineChars="200"/>
        <w:jc w:val="left"/>
        <w:rPr>
          <w:rFonts w:ascii="仿宋_GB2312" w:eastAsia="仿宋_GB2312" w:hAnsi="仿宋_GB2312" w:cs="仿宋_GB2312" w:hint="eastAsia"/>
          <w:b w:val="0"/>
          <w:bCs/>
          <w:color w:val="FF0000"/>
          <w:sz w:val="30"/>
          <w:szCs w:val="30"/>
          <w:highlight w:val="none"/>
          <w:lang w:eastAsia="zh-CN"/>
        </w:rPr>
      </w:pPr>
      <w:r>
        <w:rPr>
          <w:rFonts w:ascii="仿宋_GB2312" w:eastAsia="仿宋_GB2312" w:hAnsi="仿宋_GB2312" w:cs="仿宋_GB2312" w:hint="eastAsia"/>
          <w:b w:val="0"/>
          <w:bCs/>
          <w:sz w:val="30"/>
          <w:szCs w:val="30"/>
          <w:highlight w:val="none"/>
        </w:rPr>
        <w:t>3.安排</w:t>
      </w:r>
      <w:r>
        <w:rPr>
          <w:rFonts w:ascii="仿宋_GB2312" w:eastAsia="仿宋_GB2312" w:hAnsi="仿宋_GB2312" w:cs="仿宋_GB2312" w:hint="eastAsia"/>
          <w:sz w:val="30"/>
          <w:szCs w:val="30"/>
          <w:highlight w:val="none"/>
        </w:rPr>
        <w:t>国内公务接待</w:t>
      </w:r>
      <w:r>
        <w:rPr>
          <w:rFonts w:ascii="仿宋_GB2312" w:eastAsia="仿宋_GB2312" w:hAnsi="仿宋_GB2312" w:cs="仿宋_GB2312" w:hint="eastAsia"/>
          <w:color w:val="000000"/>
          <w:sz w:val="30"/>
          <w:highlight w:val="none"/>
          <w:lang w:val="zh-CN"/>
        </w:rPr>
        <w:t>5</w:t>
      </w:r>
      <w:r>
        <w:rPr>
          <w:rFonts w:ascii="仿宋_GB2312" w:eastAsia="仿宋_GB2312" w:hAnsi="仿宋_GB2312" w:cs="仿宋_GB2312" w:hint="eastAsia"/>
          <w:sz w:val="30"/>
          <w:szCs w:val="30"/>
          <w:highlight w:val="none"/>
        </w:rPr>
        <w:t>批次（其中：外事接待</w:t>
      </w:r>
      <w:r>
        <w:rPr>
          <w:rFonts w:ascii="仿宋_GB2312" w:eastAsia="仿宋_GB2312" w:hAnsi="仿宋_GB2312" w:cs="仿宋_GB2312" w:hint="eastAsia"/>
          <w:color w:val="000000"/>
          <w:sz w:val="30"/>
          <w:highlight w:val="none"/>
          <w:lang w:val="zh-CN"/>
        </w:rPr>
        <w:t>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highlight w:val="none"/>
          <w:lang w:val="zh-CN"/>
        </w:rPr>
        <w:t>73</w:t>
      </w:r>
      <w:r>
        <w:rPr>
          <w:rFonts w:ascii="仿宋_GB2312" w:eastAsia="仿宋_GB2312" w:hAnsi="仿宋_GB2312" w:cs="仿宋_GB2312" w:hint="eastAsia"/>
          <w:sz w:val="30"/>
          <w:szCs w:val="30"/>
          <w:highlight w:val="none"/>
        </w:rPr>
        <w:t>人（其中：外事接待人次</w:t>
      </w:r>
      <w:r>
        <w:rPr>
          <w:rFonts w:ascii="仿宋_GB2312" w:eastAsia="仿宋_GB2312" w:hAnsi="仿宋_GB2312" w:cs="仿宋_GB2312" w:hint="eastAsia"/>
          <w:color w:val="000000"/>
          <w:sz w:val="30"/>
          <w:highlight w:val="none"/>
          <w:lang w:val="zh-CN"/>
        </w:rPr>
        <w:t>0</w:t>
      </w:r>
      <w:r>
        <w:rPr>
          <w:rFonts w:ascii="仿宋_GB2312" w:eastAsia="仿宋_GB2312" w:hAnsi="仿宋_GB2312" w:cs="仿宋_GB2312" w:hint="eastAsia"/>
          <w:sz w:val="30"/>
          <w:szCs w:val="30"/>
          <w:highlight w:val="none"/>
        </w:rPr>
        <w:t>人）。主要用于</w:t>
      </w:r>
      <w:r>
        <w:rPr>
          <w:rFonts w:ascii="仿宋_GB2312" w:eastAsia="仿宋_GB2312" w:hAnsi="仿宋_GB2312" w:cs="仿宋_GB2312" w:hint="eastAsia"/>
          <w:sz w:val="30"/>
          <w:szCs w:val="30"/>
          <w:highlight w:val="none"/>
          <w:lang w:val="en-US" w:eastAsia="zh-CN"/>
        </w:rPr>
        <w:t>接待</w:t>
      </w:r>
      <w:r>
        <w:rPr>
          <w:rFonts w:ascii="仿宋_GB2312" w:eastAsia="仿宋_GB2312" w:hAnsi="仿宋_GB2312" w:cs="仿宋_GB2312" w:hint="eastAsia"/>
          <w:sz w:val="30"/>
          <w:szCs w:val="30"/>
          <w:highlight w:val="none"/>
        </w:rPr>
        <w:t>市委政法委开展执法监督调研</w:t>
      </w:r>
      <w:r>
        <w:rPr>
          <w:rFonts w:ascii="仿宋_GB2312" w:eastAsia="仿宋_GB2312" w:hAnsi="仿宋_GB2312" w:cs="仿宋_GB2312" w:hint="eastAsia"/>
          <w:sz w:val="30"/>
          <w:szCs w:val="30"/>
          <w:highlight w:val="none"/>
          <w:lang w:val="en-US" w:eastAsia="zh-CN"/>
        </w:rPr>
        <w:t>1批次8人次</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sz w:val="30"/>
          <w:szCs w:val="30"/>
          <w:highlight w:val="none"/>
          <w:lang w:val="en-US" w:eastAsia="zh-CN"/>
        </w:rPr>
        <w:t>接待</w:t>
      </w:r>
      <w:r>
        <w:rPr>
          <w:rFonts w:ascii="仿宋_GB2312" w:eastAsia="仿宋_GB2312" w:hAnsi="仿宋_GB2312" w:cs="仿宋_GB2312" w:hint="eastAsia"/>
          <w:sz w:val="30"/>
          <w:szCs w:val="30"/>
          <w:highlight w:val="none"/>
          <w:lang w:eastAsia="zh-CN"/>
        </w:rPr>
        <w:t>富源县委政法委到</w:t>
      </w:r>
      <w:r>
        <w:rPr>
          <w:rFonts w:ascii="仿宋_GB2312" w:eastAsia="仿宋_GB2312" w:hAnsi="仿宋_GB2312" w:cs="仿宋_GB2312" w:hint="eastAsia"/>
          <w:sz w:val="30"/>
          <w:szCs w:val="30"/>
          <w:highlight w:val="none"/>
          <w:lang w:val="en-US" w:eastAsia="zh-CN"/>
        </w:rPr>
        <w:t>我</w:t>
      </w:r>
      <w:r>
        <w:rPr>
          <w:rFonts w:ascii="仿宋_GB2312" w:eastAsia="仿宋_GB2312" w:hAnsi="仿宋_GB2312" w:cs="仿宋_GB2312" w:hint="eastAsia"/>
          <w:sz w:val="30"/>
          <w:szCs w:val="30"/>
          <w:highlight w:val="none"/>
          <w:lang w:eastAsia="zh-CN"/>
        </w:rPr>
        <w:t>县学习命案防控工作</w:t>
      </w:r>
      <w:r>
        <w:rPr>
          <w:rFonts w:ascii="仿宋_GB2312" w:eastAsia="仿宋_GB2312" w:hAnsi="仿宋_GB2312" w:cs="仿宋_GB2312" w:hint="eastAsia"/>
          <w:sz w:val="30"/>
          <w:szCs w:val="30"/>
          <w:highlight w:val="none"/>
          <w:lang w:val="en-US" w:eastAsia="zh-CN"/>
        </w:rPr>
        <w:t>1批次13人次、接待</w:t>
      </w:r>
      <w:r>
        <w:rPr>
          <w:rFonts w:ascii="仿宋_GB2312" w:eastAsia="仿宋_GB2312" w:hAnsi="仿宋_GB2312" w:cs="仿宋_GB2312" w:hint="eastAsia"/>
          <w:sz w:val="30"/>
          <w:szCs w:val="30"/>
          <w:highlight w:val="none"/>
          <w:lang w:eastAsia="zh-CN"/>
        </w:rPr>
        <w:t>市级督导</w:t>
      </w:r>
      <w:r>
        <w:rPr>
          <w:rFonts w:ascii="仿宋_GB2312" w:eastAsia="仿宋_GB2312" w:hAnsi="仿宋_GB2312" w:cs="仿宋_GB2312" w:hint="eastAsia"/>
          <w:sz w:val="30"/>
          <w:szCs w:val="30"/>
          <w:highlight w:val="none"/>
          <w:lang w:val="en-US" w:eastAsia="zh-CN"/>
        </w:rPr>
        <w:t>组调研</w:t>
      </w:r>
      <w:r>
        <w:rPr>
          <w:rFonts w:ascii="仿宋_GB2312" w:eastAsia="仿宋_GB2312" w:hAnsi="仿宋_GB2312" w:cs="仿宋_GB2312" w:hint="eastAsia"/>
          <w:sz w:val="30"/>
          <w:szCs w:val="30"/>
          <w:highlight w:val="none"/>
          <w:lang w:eastAsia="zh-CN"/>
        </w:rPr>
        <w:t>反邪</w:t>
      </w:r>
      <w:r>
        <w:rPr>
          <w:rFonts w:ascii="仿宋_GB2312" w:eastAsia="仿宋_GB2312" w:hAnsi="仿宋_GB2312" w:cs="仿宋_GB2312" w:hint="eastAsia"/>
          <w:sz w:val="30"/>
          <w:szCs w:val="30"/>
          <w:highlight w:val="none"/>
          <w:lang w:val="en-US" w:eastAsia="zh-CN"/>
        </w:rPr>
        <w:t>教工作1批次18人次、接待</w:t>
      </w:r>
      <w:r>
        <w:rPr>
          <w:rFonts w:ascii="仿宋_GB2312" w:eastAsia="仿宋_GB2312" w:hAnsi="仿宋_GB2312" w:cs="仿宋_GB2312" w:hint="eastAsia"/>
          <w:sz w:val="30"/>
          <w:szCs w:val="30"/>
          <w:highlight w:val="none"/>
          <w:lang w:eastAsia="zh-CN"/>
        </w:rPr>
        <w:t>市级督导检查常态化扫黑除恶工作</w:t>
      </w:r>
      <w:r>
        <w:rPr>
          <w:rFonts w:ascii="仿宋_GB2312" w:eastAsia="仿宋_GB2312" w:hAnsi="仿宋_GB2312" w:cs="仿宋_GB2312" w:hint="eastAsia"/>
          <w:sz w:val="30"/>
          <w:szCs w:val="30"/>
          <w:highlight w:val="none"/>
          <w:lang w:val="en-US" w:eastAsia="zh-CN"/>
        </w:rPr>
        <w:t>1批次12人次</w:t>
      </w:r>
      <w:r>
        <w:rPr>
          <w:rFonts w:ascii="仿宋_GB2312" w:eastAsia="仿宋_GB2312" w:hAnsi="仿宋_GB2312" w:cs="仿宋_GB2312" w:hint="eastAsia"/>
          <w:sz w:val="30"/>
          <w:szCs w:val="30"/>
          <w:highlight w:val="none"/>
          <w:lang w:eastAsia="zh-CN"/>
        </w:rPr>
        <w:t>、接待市级命案倒查工作组</w:t>
      </w:r>
      <w:r>
        <w:rPr>
          <w:rFonts w:ascii="仿宋_GB2312" w:eastAsia="仿宋_GB2312" w:hAnsi="仿宋_GB2312" w:cs="仿宋_GB2312" w:hint="eastAsia"/>
          <w:sz w:val="30"/>
          <w:szCs w:val="30"/>
          <w:highlight w:val="none"/>
          <w:lang w:val="en-US" w:eastAsia="zh-CN"/>
        </w:rPr>
        <w:t>倒查命案防控工作1批次22人次</w:t>
      </w:r>
      <w:r>
        <w:rPr>
          <w:rFonts w:ascii="仿宋_GB2312" w:eastAsia="仿宋_GB2312" w:hAnsi="仿宋_GB2312" w:cs="仿宋_GB2312" w:hint="eastAsia"/>
          <w:sz w:val="30"/>
          <w:szCs w:val="30"/>
          <w:highlight w:val="none"/>
        </w:rPr>
        <w:t>发生的接待支出。安排国（境）外公务接待</w:t>
      </w:r>
      <w:r>
        <w:rPr>
          <w:rFonts w:ascii="仿宋_GB2312" w:eastAsia="仿宋_GB2312" w:hAnsi="仿宋_GB2312" w:cs="仿宋_GB2312" w:hint="eastAsia"/>
          <w:color w:val="000000"/>
          <w:sz w:val="30"/>
          <w:highlight w:val="none"/>
          <w:lang w:val="zh-CN"/>
        </w:rPr>
        <w:t>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highlight w:val="none"/>
          <w:lang w:val="zh-CN"/>
        </w:rPr>
        <w:t>0</w:t>
      </w:r>
      <w:r>
        <w:rPr>
          <w:rFonts w:ascii="仿宋_GB2312" w:eastAsia="仿宋_GB2312" w:hAnsi="仿宋_GB2312" w:cs="仿宋_GB2312" w:hint="eastAsia"/>
          <w:sz w:val="30"/>
          <w:szCs w:val="30"/>
          <w:highlight w:val="none"/>
        </w:rPr>
        <w:t>人。</w:t>
      </w:r>
    </w:p>
    <w:p>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p>
    <w:p>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pStyle w:val="pMsoNormal"/>
        <w:spacing w:before="0" w:after="0" w:line="590" w:lineRule="atLeast"/>
        <w:ind w:left="0" w:right="0" w:firstLine="600"/>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zh-CN"/>
        </w:rPr>
        <w:t>中国共产党宜良县委员会政法委员会</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color w:val="auto"/>
          <w:sz w:val="30"/>
          <w:lang w:val="en-US" w:eastAsia="zh-CN"/>
        </w:rPr>
        <w:t>470539.80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增加</w:t>
      </w:r>
      <w:r>
        <w:rPr>
          <w:rFonts w:ascii="仿宋_GB2312" w:eastAsia="仿宋_GB2312" w:hAnsi="仿宋_GB2312" w:cs="仿宋_GB2312" w:hint="eastAsia"/>
          <w:color w:val="auto"/>
          <w:sz w:val="30"/>
          <w:lang w:val="en-US" w:eastAsia="zh-CN"/>
        </w:rPr>
        <w:t>184248.78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64.36</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sz w:val="30"/>
          <w:szCs w:val="30"/>
          <w:highlight w:val="none"/>
          <w:lang w:val="en-US" w:eastAsia="zh-CN"/>
        </w:rPr>
        <w:t>2023年度极力控制一般办公经费支出，导致资金支付滞后，2023</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sz w:val="30"/>
          <w:szCs w:val="30"/>
          <w:highlight w:val="none"/>
          <w:lang w:val="en-US" w:eastAsia="zh-CN"/>
        </w:rPr>
        <w:t>较低，因上年基数较小，所以2024年</w:t>
      </w:r>
      <w:r>
        <w:rPr>
          <w:rFonts w:ascii="仿宋_GB2312" w:eastAsia="仿宋_GB2312" w:hAnsi="仿宋_GB2312" w:cs="仿宋_GB2312" w:hint="eastAsia"/>
          <w:sz w:val="30"/>
          <w:szCs w:val="30"/>
          <w:highlight w:val="none"/>
        </w:rPr>
        <w:t>机关运行经费支出</w:t>
      </w:r>
      <w:r>
        <w:rPr>
          <w:rFonts w:ascii="仿宋_GB2312" w:eastAsia="仿宋_GB2312" w:hAnsi="仿宋_GB2312" w:cs="仿宋_GB2312" w:hint="eastAsia"/>
          <w:sz w:val="30"/>
          <w:szCs w:val="30"/>
          <w:highlight w:val="none"/>
          <w:lang w:val="en-US" w:eastAsia="zh-CN"/>
        </w:rPr>
        <w:t>增加较多、</w:t>
      </w:r>
      <w:r>
        <w:rPr>
          <w:rFonts w:ascii="仿宋_GB2312" w:eastAsia="仿宋_GB2312" w:hAnsi="仿宋_GB2312" w:cs="仿宋_GB2312" w:hint="eastAsia"/>
          <w:kern w:val="0"/>
          <w:sz w:val="30"/>
          <w:szCs w:val="30"/>
          <w:highlight w:val="none"/>
          <w:lang w:val="en-US" w:eastAsia="zh-CN"/>
        </w:rPr>
        <w:t>增长比例较大</w:t>
      </w:r>
      <w:r>
        <w:rPr>
          <w:rFonts w:ascii="仿宋_GB2312" w:eastAsia="仿宋_GB2312" w:hAnsi="仿宋_GB2312" w:cs="仿宋_GB2312" w:hint="eastAsia"/>
          <w:sz w:val="30"/>
          <w:szCs w:val="30"/>
          <w:highlight w:val="none"/>
        </w:rPr>
        <w:t>。部门机关运行经费主</w:t>
      </w:r>
      <w:r>
        <w:rPr>
          <w:rFonts w:ascii="仿宋_GB2312" w:eastAsia="仿宋_GB2312" w:hAnsi="仿宋_GB2312" w:cs="仿宋_GB2312" w:hint="eastAsia"/>
          <w:color w:val="auto"/>
          <w:sz w:val="30"/>
          <w:lang w:val="en-US" w:eastAsia="zh-CN"/>
        </w:rPr>
        <w:t>要用于办公费、邮电费、水电费、物业管理费、租赁费、会议费、差旅费、工会经费、福利费、公务接待费、公车运行维护费、公务交通补贴等费用。</w:t>
      </w:r>
    </w:p>
    <w:p>
      <w:pPr>
        <w:widowControl/>
        <w:numPr>
          <w:ilvl w:val="0"/>
          <w:numId w:val="1"/>
        </w:numPr>
        <w:ind w:left="0" w:firstLine="600" w:leftChars="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中国共产党宜良县委员会政法委员会</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5633265.84</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5406371.54</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226894.30</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仿宋_GB2312" w:cs="仿宋_GB2312" w:hint="eastAsia"/>
          <w:color w:val="000000"/>
          <w:kern w:val="0"/>
          <w:sz w:val="30"/>
          <w:szCs w:val="30"/>
          <w:highlight w:val="none"/>
        </w:rPr>
        <w:t>。与上年相比，本年资产总额增加</w:t>
      </w:r>
      <w:r>
        <w:rPr>
          <w:rFonts w:ascii="仿宋_GB2312" w:eastAsia="仿宋_GB2312" w:hAnsi="仿宋_GB2312" w:cs="仿宋_GB2312" w:hint="eastAsia"/>
          <w:color w:val="000000"/>
          <w:kern w:val="0"/>
          <w:sz w:val="30"/>
          <w:szCs w:val="30"/>
          <w:highlight w:val="none"/>
          <w:lang w:val="en-US" w:eastAsia="zh-CN"/>
        </w:rPr>
        <w:t>5291819.92</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，其中固定资产增加</w:t>
      </w:r>
      <w:r>
        <w:rPr>
          <w:rFonts w:ascii="仿宋_GB2312" w:eastAsia="仿宋_GB2312" w:hAnsi="仿宋_GB2312" w:cs="仿宋_GB2312" w:hint="eastAsia"/>
          <w:color w:val="000000"/>
          <w:kern w:val="0"/>
          <w:sz w:val="30"/>
          <w:szCs w:val="30"/>
          <w:highlight w:val="none"/>
          <w:lang w:val="en-US" w:eastAsia="zh-CN"/>
        </w:rPr>
        <w:t>12840.00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。处置房屋建筑物</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；处置车辆</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辆，账面原值</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；报废报损资产</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项，账面原值</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，实现资产处置收入</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；出租房屋</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w:t>
      </w:r>
      <w:r>
        <w:rPr>
          <w:rFonts w:ascii="仿宋_GB2312" w:eastAsia="仿宋_GB2312" w:hAnsi="仿宋_GB2312" w:cs="仿宋_GB2312" w:hint="eastAsia"/>
          <w:color w:val="000000"/>
          <w:kern w:val="0"/>
          <w:sz w:val="30"/>
          <w:szCs w:val="30"/>
          <w:highlight w:val="none"/>
          <w:lang w:val="en-US" w:eastAsia="zh-CN"/>
        </w:rPr>
        <w:t>使用收入0.00元。资产总额增加主要原因是流动资产增加，根据与县财政总会计对账结果，在2024年进行了账务调整，其他应收款和其他应付款同时调增5228500.00元。</w:t>
      </w:r>
      <w:r>
        <w:rPr>
          <w:rFonts w:ascii="仿宋_GB2312" w:eastAsia="仿宋_GB2312" w:hAnsi="仿宋_GB2312" w:cs="仿宋_GB2312" w:hint="eastAsia"/>
          <w:color w:val="000000"/>
          <w:kern w:val="0"/>
          <w:sz w:val="30"/>
          <w:szCs w:val="30"/>
          <w:highlight w:val="none"/>
          <w:lang w:eastAsia="zh-CN"/>
        </w:rPr>
        <w:t>（</w:t>
      </w:r>
      <w:r>
        <w:rPr>
          <w:rFonts w:ascii="仿宋_GB2312" w:eastAsia="仿宋_GB2312" w:hAnsi="仿宋_GB2312" w:cs="仿宋_GB2312" w:hint="eastAsia"/>
          <w:color w:val="000000"/>
          <w:kern w:val="0"/>
          <w:sz w:val="30"/>
          <w:szCs w:val="30"/>
          <w:highlight w:val="none"/>
        </w:rPr>
        <w:t>国有资产占有使用情况表</w:t>
      </w:r>
      <w:r>
        <w:rPr>
          <w:rFonts w:ascii="仿宋_GB2312" w:eastAsia="仿宋_GB2312" w:hAnsi="仿宋_GB2312" w:cs="仿宋_GB2312" w:hint="eastAsia"/>
          <w:color w:val="000000"/>
          <w:kern w:val="0"/>
          <w:sz w:val="30"/>
          <w:szCs w:val="30"/>
          <w:highlight w:val="none"/>
          <w:lang w:eastAsia="zh-CN"/>
        </w:rPr>
        <w:t>详见附表）</w:t>
      </w:r>
    </w:p>
    <w:p>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en-US" w:eastAsia="zh-CN"/>
        </w:rPr>
        <w:t>12000</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en-US" w:eastAsia="zh-CN"/>
        </w:rPr>
        <w:t>13099.01</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w:t>
      </w:r>
    </w:p>
    <w:p>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ind w:firstLine="600" w:firstLineChars="200"/>
        <w:jc w:val="left"/>
        <w:rPr>
          <w:rFonts w:ascii="仿宋_GB2312" w:eastAsia="仿宋_GB2312" w:hAnsi="黑体" w:cs="方正小标宋简体" w:hint="eastAsia"/>
          <w:color w:val="FF0000"/>
          <w:sz w:val="30"/>
          <w:szCs w:val="30"/>
          <w:highlight w:val="none"/>
        </w:rPr>
      </w:pPr>
      <w:r>
        <w:rPr>
          <w:rFonts w:ascii="仿宋_GB2312" w:eastAsia="仿宋_GB2312" w:hAnsi="黑体" w:cs="方正小标宋简体" w:hint="eastAsia"/>
          <w:sz w:val="30"/>
          <w:szCs w:val="30"/>
          <w:highlight w:val="none"/>
          <w:lang w:val="en-US" w:eastAsia="zh-CN"/>
        </w:rPr>
        <w:t>无其他重要事项情况说明</w:t>
      </w:r>
      <w:r>
        <w:rPr>
          <w:rFonts w:ascii="仿宋_GB2312" w:eastAsia="仿宋_GB2312" w:hAnsi="黑体" w:cs="方正小标宋简体" w:hint="eastAsia"/>
          <w:sz w:val="30"/>
          <w:szCs w:val="30"/>
          <w:highlight w:val="none"/>
        </w:rPr>
        <w:t>。</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bookmarkStart w:id="0" w:name="_GoBack"/>
      <w:bookmarkEnd w:id="0"/>
    </w:p>
    <w:p>
      <w:pPr>
        <w:rPr>
          <w:rFonts w:ascii="Arial" w:eastAsia="Arial" w:hAnsi="Arial" w:cs="Arial"/>
          <w:b/>
          <w:sz w:val="36"/>
        </w:rPr>
      </w:pPr>
      <w:r>
        <w:rPr>
          <w:rFonts w:ascii="Arial" w:eastAsia="Arial" w:hAnsi="Arial" w:cs="Arial"/>
          <w:b/>
          <w:sz w:val="36"/>
        </w:rPr>
        <w:t>监督索引号53012500121601111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092B84"/>
    <w:multiLevelType w:val="singleLevel"/>
    <w:tmpl w:val="CF092B84"/>
    <w:lvl w:ilvl="0">
      <w:start w:val="4"/>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336716"/>
    <w:rsid w:val="072126BE"/>
    <w:rsid w:val="0C6D20DD"/>
    <w:rsid w:val="0D0C2593"/>
    <w:rsid w:val="1157573E"/>
    <w:rsid w:val="15971D31"/>
    <w:rsid w:val="168C1005"/>
    <w:rsid w:val="18270E2D"/>
    <w:rsid w:val="191546AA"/>
    <w:rsid w:val="193377F9"/>
    <w:rsid w:val="19714321"/>
    <w:rsid w:val="1BB003F9"/>
    <w:rsid w:val="1BCE4E10"/>
    <w:rsid w:val="1D6F7ED1"/>
    <w:rsid w:val="1EAB7500"/>
    <w:rsid w:val="1F031261"/>
    <w:rsid w:val="1F533F4A"/>
    <w:rsid w:val="24343990"/>
    <w:rsid w:val="24775DB4"/>
    <w:rsid w:val="29997BDC"/>
    <w:rsid w:val="2A9A1CF1"/>
    <w:rsid w:val="2AFC1E5B"/>
    <w:rsid w:val="2B6C4160"/>
    <w:rsid w:val="2D23799B"/>
    <w:rsid w:val="2FCC5DF6"/>
    <w:rsid w:val="31025E73"/>
    <w:rsid w:val="335C27CF"/>
    <w:rsid w:val="33AC3853"/>
    <w:rsid w:val="349302CD"/>
    <w:rsid w:val="394E0F10"/>
    <w:rsid w:val="3B7713FF"/>
    <w:rsid w:val="3DCF6D30"/>
    <w:rsid w:val="3F665FC9"/>
    <w:rsid w:val="40204104"/>
    <w:rsid w:val="43EA2F90"/>
    <w:rsid w:val="44176133"/>
    <w:rsid w:val="46634F19"/>
    <w:rsid w:val="46BD5021"/>
    <w:rsid w:val="49646D59"/>
    <w:rsid w:val="49932E45"/>
    <w:rsid w:val="49BA7481"/>
    <w:rsid w:val="4A784E46"/>
    <w:rsid w:val="4EB754F6"/>
    <w:rsid w:val="4F325FC0"/>
    <w:rsid w:val="4FAD3D25"/>
    <w:rsid w:val="51B507CB"/>
    <w:rsid w:val="523B2F21"/>
    <w:rsid w:val="530A434B"/>
    <w:rsid w:val="541B18D4"/>
    <w:rsid w:val="54BA080E"/>
    <w:rsid w:val="556367C3"/>
    <w:rsid w:val="55B52F97"/>
    <w:rsid w:val="56D304CC"/>
    <w:rsid w:val="5817210F"/>
    <w:rsid w:val="58A50A42"/>
    <w:rsid w:val="5BDD0946"/>
    <w:rsid w:val="5C576F07"/>
    <w:rsid w:val="5DDA7107"/>
    <w:rsid w:val="5DFE779A"/>
    <w:rsid w:val="60732378"/>
    <w:rsid w:val="65091D82"/>
    <w:rsid w:val="67177DB9"/>
    <w:rsid w:val="68B92414"/>
    <w:rsid w:val="6A720068"/>
    <w:rsid w:val="6C591B1D"/>
    <w:rsid w:val="72534E9D"/>
    <w:rsid w:val="75136FA0"/>
    <w:rsid w:val="7767243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pMsoNormal">
    <w:name w:val="p_MsoNormal"/>
    <w:basedOn w:val="Normal"/>
    <w:qFormat/>
    <w:pPr>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2025-08-11T07:43:35Z</dcterms:modified>
</cp:core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16ea924a-628a-4ccf-9508-44705fa13f65}">
  <ds:schemaRefs/>
</ds:datastoreItem>
</file>

<file path=customXml/itemProps2.xml><?xml version="1.0" encoding="utf-8"?>
<ds:datastoreItem xmlns:ds="http://schemas.openxmlformats.org/officeDocument/2006/customXml" ds:itemID="{6a0de825-cfec-425c-89f5-0d434865ac07}">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caed48-aa55-4653-99ce-708ba0e3ccc5}">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Lenovo</cp:lastModifiedBy>
  <cp:revision>1</cp:revision>
  <dcterms:created xsi:type="dcterms:W3CDTF">2025-06-26T01:23:00Z</dcterms:created>
  <dcterms:modified xsi:type="dcterms:W3CDTF">2025-10-15T08:17:15Z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3E3027F525E44766B56789E9A8728830</vt:lpwstr>
  </property>
  <property fmtid="{D5CDD505-2E9C-101B-9397-08002B2CF9AE}" pid="3" name="KSOProductBuildVer">
    <vt:lpwstr>2052-11.8.2.12089</vt:lpwstr>
  </property>
</Properties>
</file>