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88B79">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关于《关于进一步加强砂石资源（含土）管理的实施意见（征求意见稿）》的起草说明</w:t>
      </w:r>
    </w:p>
    <w:p w14:paraId="4B56848D">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rPr>
      </w:pPr>
    </w:p>
    <w:p w14:paraId="71A68EA2">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ascii="Times New Roman" w:hAnsi="Times New Roman"/>
          <w:kern w:val="2"/>
        </w:rPr>
      </w:pPr>
      <w:r>
        <w:rPr>
          <w:rFonts w:hint="eastAsia" w:ascii="Times New Roman" w:hAnsi="Times New Roman"/>
          <w:kern w:val="2"/>
        </w:rPr>
        <w:t>根据</w:t>
      </w:r>
      <w:r>
        <w:rPr>
          <w:rFonts w:hint="eastAsia" w:ascii="Times New Roman" w:hAnsi="Times New Roman"/>
          <w:kern w:val="2"/>
          <w:lang w:val="en-US" w:eastAsia="zh-CN"/>
        </w:rPr>
        <w:t>《宜良县行政规范性文件管理实施细则》</w:t>
      </w:r>
      <w:r>
        <w:rPr>
          <w:rFonts w:hint="eastAsia"/>
          <w:kern w:val="2"/>
          <w:lang w:val="en-US" w:eastAsia="zh-CN"/>
        </w:rPr>
        <w:t>第二十一条规定</w:t>
      </w:r>
      <w:r>
        <w:rPr>
          <w:rFonts w:hint="eastAsia" w:ascii="Times New Roman" w:hAnsi="Times New Roman"/>
          <w:kern w:val="2"/>
        </w:rPr>
        <w:t>，现</w:t>
      </w:r>
      <w:r>
        <w:rPr>
          <w:rFonts w:hint="eastAsia"/>
          <w:kern w:val="2"/>
          <w:lang w:val="en-US" w:eastAsia="zh-CN"/>
        </w:rPr>
        <w:t>就报送审查的《关于进一步加强砂石资源（含土）管理的实施意见（征求意见稿）》有关情况说明如下</w:t>
      </w:r>
      <w:r>
        <w:rPr>
          <w:rFonts w:hint="eastAsia" w:ascii="Times New Roman" w:hAnsi="Times New Roman"/>
          <w:kern w:val="2"/>
        </w:rPr>
        <w:t>：</w:t>
      </w:r>
    </w:p>
    <w:p w14:paraId="15F9C763">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ascii="Times New Roman" w:hAnsi="Times New Roman" w:eastAsia="黑体" w:cs="黑体"/>
          <w:snapToGrid w:val="0"/>
          <w:kern w:val="0"/>
          <w:lang w:val="en-US" w:eastAsia="zh-CN"/>
        </w:rPr>
      </w:pPr>
      <w:r>
        <w:rPr>
          <w:rFonts w:hint="eastAsia" w:ascii="Times New Roman" w:hAnsi="Times New Roman" w:eastAsia="黑体" w:cs="黑体"/>
          <w:snapToGrid w:val="0"/>
          <w:kern w:val="0"/>
          <w:lang w:val="en-US" w:eastAsia="zh-CN"/>
        </w:rPr>
        <w:t>一、</w:t>
      </w:r>
      <w:r>
        <w:rPr>
          <w:rFonts w:hint="eastAsia" w:eastAsia="黑体" w:cs="黑体"/>
          <w:snapToGrid w:val="0"/>
          <w:kern w:val="0"/>
          <w:lang w:val="en-US" w:eastAsia="zh-CN"/>
        </w:rPr>
        <w:t>制定文件的必要性</w:t>
      </w:r>
    </w:p>
    <w:p w14:paraId="5BCA6DDF">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ascii="Times New Roman" w:hAnsi="Times New Roman"/>
          <w:snapToGrid w:val="0"/>
          <w:kern w:val="0"/>
          <w:lang w:val="en-US" w:eastAsia="zh-CN"/>
        </w:rPr>
      </w:pPr>
      <w:r>
        <w:rPr>
          <w:rFonts w:hint="eastAsia"/>
          <w:snapToGrid w:val="0"/>
          <w:kern w:val="0"/>
          <w:lang w:val="en-US" w:eastAsia="zh-CN"/>
        </w:rPr>
        <w:t>以砂石（红土）资源的规范开发和合理利用，防止国有资源流失，满足经济社会发展对砂石（红土）资源需求为目的，以优化管理方式为重点，综合运用经济、法律和必要的行政手段，切实改变工程项目涉及砂石（红土）资源管理现状，为宜良县重点工程、民生工程、公益设施等项目建设提供资源保障</w:t>
      </w:r>
      <w:r>
        <w:rPr>
          <w:rFonts w:hint="eastAsia" w:ascii="Times New Roman" w:hAnsi="Times New Roman"/>
          <w:snapToGrid w:val="0"/>
          <w:kern w:val="0"/>
          <w:lang w:val="en-US" w:eastAsia="zh-CN"/>
        </w:rPr>
        <w:t>。</w:t>
      </w:r>
    </w:p>
    <w:p w14:paraId="63AC3640">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ascii="Times New Roman" w:hAnsi="Times New Roman" w:eastAsia="黑体" w:cs="黑体"/>
          <w:snapToGrid w:val="0"/>
          <w:kern w:val="0"/>
          <w:lang w:val="en-US" w:eastAsia="zh-CN"/>
        </w:rPr>
        <w:t>二、</w:t>
      </w:r>
      <w:r>
        <w:rPr>
          <w:rFonts w:hint="eastAsia" w:eastAsia="黑体" w:cs="黑体"/>
          <w:snapToGrid w:val="0"/>
          <w:kern w:val="0"/>
          <w:lang w:val="en-US" w:eastAsia="zh-CN"/>
        </w:rPr>
        <w:t>文件制定依据（有关法律文本电子版附后）</w:t>
      </w:r>
    </w:p>
    <w:p w14:paraId="1260D75D">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ascii="楷体_GB2312" w:hAnsi="楷体_GB2312" w:eastAsia="楷体_GB2312" w:cs="楷体_GB2312"/>
          <w:snapToGrid w:val="0"/>
          <w:kern w:val="0"/>
          <w:lang w:val="en-US" w:eastAsia="zh-CN"/>
        </w:rPr>
      </w:pPr>
      <w:r>
        <w:rPr>
          <w:rFonts w:hint="eastAsia" w:ascii="楷体_GB2312" w:hAnsi="楷体_GB2312" w:eastAsia="楷体_GB2312" w:cs="楷体_GB2312"/>
          <w:snapToGrid w:val="0"/>
          <w:kern w:val="0"/>
          <w:lang w:val="en-US" w:eastAsia="zh-CN"/>
        </w:rPr>
        <w:t>（一）法律依据</w:t>
      </w:r>
    </w:p>
    <w:p w14:paraId="5D6FA04E">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snapToGrid w:val="0"/>
          <w:kern w:val="0"/>
          <w:lang w:val="en-US" w:eastAsia="zh-CN"/>
        </w:rPr>
        <w:t>1.《中华人民共和国土地管理法》第三十七条“禁止占用耕地建窑、建坟或者擅自在耕地上建房、挖砂、采石、采矿、取土等”；</w:t>
      </w:r>
    </w:p>
    <w:p w14:paraId="35280A8E">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snapToGrid w:val="0"/>
          <w:kern w:val="0"/>
          <w:lang w:val="en-US" w:eastAsia="zh-CN"/>
        </w:rPr>
        <w:t>2.《中华人民共和国矿产资源法》第三条“国家保障矿产资源的合理开发利用。禁止任何组织或者个人用任何手段侵占或者破坏矿产资源。各级人民政府必须加强矿产资源的保护工作”；</w:t>
      </w:r>
    </w:p>
    <w:p w14:paraId="388252DE">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default"/>
          <w:lang w:val="en-US" w:eastAsia="zh-CN"/>
        </w:rPr>
      </w:pPr>
      <w:r>
        <w:rPr>
          <w:rFonts w:hint="eastAsia" w:ascii="Times New Roman" w:hAnsi="Times New Roman" w:eastAsia="仿宋_GB2312" w:cs="仿宋_GB2312"/>
          <w:snapToGrid w:val="0"/>
          <w:color w:val="000000" w:themeColor="text1"/>
          <w:kern w:val="0"/>
          <w:sz w:val="32"/>
          <w:szCs w:val="32"/>
          <w:lang w:val="en-US" w:eastAsia="zh-CN" w:bidi="ar-SA"/>
        </w:rPr>
        <w:t>3.《中华人民共和国水法》第三十九条“国家实行河道采砂许可制度。河道采砂许可制度实施办法，由国务院规定。在河道管理范围内采砂，影响河势稳定或者危及堤防安全的，有关县级以上人民政府水行政主管部门应当划定禁采区和规定禁采期，并予以公告”</w:t>
      </w:r>
      <w:r>
        <w:rPr>
          <w:rFonts w:hint="eastAsia"/>
          <w:snapToGrid w:val="0"/>
          <w:kern w:val="0"/>
          <w:lang w:val="en-US" w:eastAsia="zh-CN"/>
        </w:rPr>
        <w:t>。</w:t>
      </w:r>
    </w:p>
    <w:p w14:paraId="5588B6AF">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ascii="楷体_GB2312" w:hAnsi="楷体_GB2312" w:eastAsia="楷体_GB2312" w:cs="楷体_GB2312"/>
          <w:snapToGrid w:val="0"/>
          <w:kern w:val="0"/>
          <w:lang w:val="en-US" w:eastAsia="zh-CN"/>
        </w:rPr>
      </w:pPr>
      <w:r>
        <w:rPr>
          <w:rFonts w:hint="eastAsia" w:ascii="楷体_GB2312" w:hAnsi="楷体_GB2312" w:eastAsia="楷体_GB2312" w:cs="楷体_GB2312"/>
          <w:snapToGrid w:val="0"/>
          <w:kern w:val="0"/>
          <w:lang w:val="en-US" w:eastAsia="zh-CN"/>
        </w:rPr>
        <w:t>（二）法规依据</w:t>
      </w:r>
    </w:p>
    <w:p w14:paraId="5A099D81">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snapToGrid w:val="0"/>
          <w:kern w:val="0"/>
          <w:lang w:val="en-US" w:eastAsia="zh-CN"/>
        </w:rPr>
        <w:t>1.《中华人民共和国河道管理条例》第二十六条“在堤防安全保护区内，禁止进行打井、钻探、爆破、挖筑鱼塘、采石、取土等危害堤防安全的活动”；</w:t>
      </w:r>
    </w:p>
    <w:p w14:paraId="5A7B39BA">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snapToGrid w:val="0"/>
          <w:kern w:val="0"/>
          <w:lang w:val="en-US" w:eastAsia="zh-CN"/>
        </w:rPr>
        <w:t>2.《云南省矿产资源管理条例》第四条“勘查、开采矿产资源，必须依法申请登记，领取勘查许可证、采矿许可证，取得探矿权、采矿权”。</w:t>
      </w:r>
    </w:p>
    <w:p w14:paraId="559368E9">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ascii="楷体_GB2312" w:hAnsi="楷体_GB2312" w:eastAsia="楷体_GB2312" w:cs="楷体_GB2312"/>
          <w:snapToGrid w:val="0"/>
          <w:kern w:val="0"/>
          <w:lang w:val="en-US" w:eastAsia="zh-CN"/>
        </w:rPr>
      </w:pPr>
      <w:r>
        <w:rPr>
          <w:rFonts w:hint="eastAsia" w:ascii="楷体_GB2312" w:hAnsi="楷体_GB2312" w:eastAsia="楷体_GB2312" w:cs="楷体_GB2312"/>
          <w:snapToGrid w:val="0"/>
          <w:kern w:val="0"/>
          <w:lang w:val="en-US" w:eastAsia="zh-CN"/>
        </w:rPr>
        <w:t>（三）相关上位文件依据</w:t>
      </w:r>
    </w:p>
    <w:p w14:paraId="0493D46E">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snapToGrid w:val="0"/>
          <w:kern w:val="0"/>
          <w:lang w:val="en-US" w:eastAsia="zh-CN"/>
        </w:rPr>
        <w:t>1.自然资源部《关于规范和完善砂石开采管理的通知》（自然资发〔2023〕57号，现行有效）；</w:t>
      </w:r>
    </w:p>
    <w:p w14:paraId="5E1A074A">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snapToGrid w:val="0"/>
          <w:kern w:val="0"/>
          <w:lang w:val="en-US" w:eastAsia="zh-CN"/>
        </w:rPr>
        <w:t>2.云南省发展改革委员会等部门制定的《关于促进砂石行业健康有序发展的指导意见》（发改价格〔2020〕473号，现行有效）。</w:t>
      </w:r>
      <w:bookmarkStart w:id="0" w:name="_GoBack"/>
      <w:bookmarkEnd w:id="0"/>
    </w:p>
    <w:p w14:paraId="70C1C333">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eastAsia="黑体" w:cs="黑体"/>
          <w:kern w:val="2"/>
          <w:lang w:val="en-US" w:eastAsia="zh-CN"/>
        </w:rPr>
      </w:pPr>
      <w:r>
        <w:rPr>
          <w:rFonts w:hint="eastAsia" w:ascii="Times New Roman" w:hAnsi="Times New Roman" w:eastAsia="黑体" w:cs="黑体"/>
          <w:kern w:val="2"/>
          <w:lang w:val="en-US" w:eastAsia="zh-CN"/>
        </w:rPr>
        <w:t>三、</w:t>
      </w:r>
      <w:r>
        <w:rPr>
          <w:rFonts w:hint="eastAsia" w:eastAsia="黑体" w:cs="黑体"/>
          <w:kern w:val="2"/>
          <w:lang w:val="en-US" w:eastAsia="zh-CN"/>
        </w:rPr>
        <w:t>规定的主要措施</w:t>
      </w:r>
    </w:p>
    <w:p w14:paraId="1AC40B7B">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ascii="Times New Roman" w:hAnsi="Times New Roman"/>
          <w:snapToGrid w:val="0"/>
          <w:kern w:val="0"/>
          <w:lang w:val="en-US" w:eastAsia="zh-CN"/>
        </w:rPr>
      </w:pPr>
      <w:r>
        <w:rPr>
          <w:rFonts w:hint="default" w:ascii="Times New Roman" w:hAnsi="Times New Roman"/>
          <w:snapToGrid w:val="0"/>
          <w:kern w:val="0"/>
          <w:lang w:val="en-US" w:eastAsia="zh-CN"/>
        </w:rPr>
        <w:t>本实施意见所称砂石（红土）资源管理范围主要包括:</w:t>
      </w:r>
    </w:p>
    <w:p w14:paraId="2F95A31A">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ascii="Times New Roman" w:hAnsi="Times New Roman"/>
          <w:snapToGrid w:val="0"/>
          <w:kern w:val="0"/>
          <w:lang w:val="en-US" w:eastAsia="zh-CN"/>
        </w:rPr>
      </w:pPr>
      <w:r>
        <w:rPr>
          <w:rFonts w:hint="default" w:ascii="Times New Roman" w:hAnsi="Times New Roman"/>
          <w:snapToGrid w:val="0"/>
          <w:kern w:val="0"/>
          <w:lang w:val="en-US" w:eastAsia="zh-CN"/>
        </w:rPr>
        <w:t>（一）建设项目宗地红线范围内开挖形成的地下砂石资源</w:t>
      </w:r>
      <w:r>
        <w:rPr>
          <w:rFonts w:hint="eastAsia"/>
          <w:snapToGrid w:val="0"/>
          <w:kern w:val="0"/>
          <w:lang w:val="en-US" w:eastAsia="zh-CN"/>
        </w:rPr>
        <w:t>（</w:t>
      </w:r>
      <w:r>
        <w:rPr>
          <w:rFonts w:hint="default" w:ascii="Times New Roman" w:hAnsi="Times New Roman"/>
          <w:snapToGrid w:val="0"/>
          <w:kern w:val="0"/>
          <w:lang w:val="en-US" w:eastAsia="zh-CN"/>
        </w:rPr>
        <w:t>依法由本建设项目自用的除外</w:t>
      </w:r>
      <w:r>
        <w:rPr>
          <w:rFonts w:hint="eastAsia"/>
          <w:snapToGrid w:val="0"/>
          <w:kern w:val="0"/>
          <w:lang w:val="en-US" w:eastAsia="zh-CN"/>
        </w:rPr>
        <w:t>）</w:t>
      </w:r>
      <w:r>
        <w:rPr>
          <w:rFonts w:hint="default" w:ascii="Times New Roman" w:hAnsi="Times New Roman"/>
          <w:snapToGrid w:val="0"/>
          <w:kern w:val="0"/>
          <w:lang w:val="en-US" w:eastAsia="zh-CN"/>
        </w:rPr>
        <w:t>。</w:t>
      </w:r>
    </w:p>
    <w:p w14:paraId="4F1EBEE0">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ascii="Times New Roman" w:hAnsi="Times New Roman"/>
          <w:snapToGrid w:val="0"/>
          <w:kern w:val="0"/>
          <w:lang w:val="en-US" w:eastAsia="zh-CN"/>
        </w:rPr>
      </w:pPr>
      <w:r>
        <w:rPr>
          <w:rFonts w:hint="default" w:ascii="Times New Roman" w:hAnsi="Times New Roman"/>
          <w:snapToGrid w:val="0"/>
          <w:kern w:val="0"/>
          <w:lang w:val="en-US" w:eastAsia="zh-CN"/>
        </w:rPr>
        <w:t>（二）河道清淤疏浚及水利工程建设清理上岸的砂石资源。</w:t>
      </w:r>
    </w:p>
    <w:p w14:paraId="19D17526">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ascii="Times New Roman" w:hAnsi="Times New Roman"/>
          <w:snapToGrid w:val="0"/>
          <w:kern w:val="0"/>
          <w:lang w:val="en-US" w:eastAsia="zh-CN"/>
        </w:rPr>
      </w:pPr>
      <w:r>
        <w:rPr>
          <w:rFonts w:hint="default" w:ascii="Times New Roman" w:hAnsi="Times New Roman"/>
          <w:snapToGrid w:val="0"/>
          <w:kern w:val="0"/>
          <w:lang w:val="en-US" w:eastAsia="zh-CN"/>
        </w:rPr>
        <w:t>（三）县级执法部门在执法过程中依法没收的砂石资源。</w:t>
      </w:r>
    </w:p>
    <w:p w14:paraId="04D3A625">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ascii="Times New Roman" w:hAnsi="Times New Roman"/>
          <w:snapToGrid w:val="0"/>
          <w:kern w:val="0"/>
          <w:lang w:val="en-US" w:eastAsia="zh-CN"/>
        </w:rPr>
      </w:pPr>
      <w:r>
        <w:rPr>
          <w:rFonts w:hint="default" w:ascii="Times New Roman" w:hAnsi="Times New Roman"/>
          <w:snapToGrid w:val="0"/>
          <w:kern w:val="0"/>
          <w:lang w:val="en-US" w:eastAsia="zh-CN"/>
        </w:rPr>
        <w:t>（四）本行政区域管辖内除上述(一)、(二)、(三)条外，其它产生的可利用的红土、土夹石、渣土等砂石资源。</w:t>
      </w:r>
    </w:p>
    <w:p w14:paraId="52FCC806">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i/>
          <w:iCs/>
          <w:snapToGrid w:val="0"/>
          <w:kern w:val="0"/>
          <w:lang w:val="en-US" w:eastAsia="zh-CN"/>
        </w:rPr>
      </w:pPr>
      <w:r>
        <w:rPr>
          <w:rFonts w:hint="eastAsia" w:ascii="Times New Roman" w:hAnsi="Times New Roman" w:eastAsia="黑体" w:cs="黑体"/>
          <w:kern w:val="2"/>
          <w:lang w:val="en-US" w:eastAsia="zh-CN"/>
        </w:rPr>
        <w:t>四、</w:t>
      </w:r>
      <w:r>
        <w:rPr>
          <w:rFonts w:hint="eastAsia" w:eastAsia="黑体" w:cs="黑体"/>
          <w:kern w:val="2"/>
          <w:lang w:val="en-US" w:eastAsia="zh-CN"/>
        </w:rPr>
        <w:t>有关方面的意见</w:t>
      </w:r>
    </w:p>
    <w:p w14:paraId="389FE931">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snapToGrid w:val="0"/>
          <w:kern w:val="0"/>
          <w:lang w:val="en-US" w:eastAsia="zh-CN"/>
        </w:rPr>
      </w:pPr>
      <w:r>
        <w:rPr>
          <w:rFonts w:hint="eastAsia"/>
          <w:snapToGrid w:val="0"/>
          <w:kern w:val="0"/>
          <w:lang w:val="en-US" w:eastAsia="zh-CN"/>
        </w:rPr>
        <w:t>1.2023年6月14日，征求有关部门意见，采纳情况为：部分采纳。（会议通知及会议纪要附后）</w:t>
      </w:r>
    </w:p>
    <w:p w14:paraId="57306C7C">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snapToGrid w:val="0"/>
          <w:kern w:val="0"/>
          <w:lang w:val="en-US" w:eastAsia="zh-CN"/>
        </w:rPr>
      </w:pPr>
      <w:r>
        <w:rPr>
          <w:rFonts w:hint="eastAsia"/>
          <w:snapToGrid w:val="0"/>
          <w:kern w:val="0"/>
          <w:lang w:val="en-US" w:eastAsia="zh-CN"/>
        </w:rPr>
        <w:t>2.2023年6月30日</w:t>
      </w:r>
      <w:r>
        <w:rPr>
          <w:rFonts w:hint="eastAsia" w:ascii="仿宋_GB2312" w:hAnsi="仿宋_GB2312" w:eastAsia="仿宋_GB2312" w:cs="仿宋_GB2312"/>
          <w:snapToGrid w:val="0"/>
          <w:kern w:val="0"/>
          <w:lang w:val="en-US" w:eastAsia="zh-CN"/>
        </w:rPr>
        <w:t>-</w:t>
      </w:r>
      <w:r>
        <w:rPr>
          <w:rFonts w:hint="eastAsia"/>
          <w:snapToGrid w:val="0"/>
          <w:kern w:val="0"/>
          <w:lang w:val="en-US" w:eastAsia="zh-CN"/>
        </w:rPr>
        <w:t>7月30日，通过政府网站公开征求意见，征求意见期间无反馈问题。（有关材料附后）</w:t>
      </w:r>
    </w:p>
    <w:p w14:paraId="0125300A">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snapToGrid w:val="0"/>
          <w:kern w:val="0"/>
          <w:lang w:val="en-US" w:eastAsia="zh-CN"/>
        </w:rPr>
        <w:t>3.专家论证一致同意《关于进一步加强砂石资源（含土）管理的实施意见（征求意见稿）》的实施内容，采纳情况为：根据论证意见对文稿进行修改完善，经审核把关后，按程序开展相关工作。（材料附后）</w:t>
      </w:r>
    </w:p>
    <w:p w14:paraId="3565D38D">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snapToGrid w:val="0"/>
          <w:kern w:val="0"/>
          <w:lang w:val="en-US" w:eastAsia="zh-CN"/>
        </w:rPr>
      </w:pPr>
      <w:r>
        <w:rPr>
          <w:rFonts w:hint="eastAsia"/>
          <w:snapToGrid w:val="0"/>
          <w:kern w:val="0"/>
          <w:lang w:val="en-US" w:eastAsia="zh-CN"/>
        </w:rPr>
        <w:t>4.（本单位法制部门）合法性审核该文件制定主体、依据、权限、内容、程序合法。（材料附后）</w:t>
      </w:r>
    </w:p>
    <w:p w14:paraId="3B18E557">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ascii="Times New Roman" w:hAnsi="Times New Roman" w:eastAsia="黑体" w:cs="黑体"/>
          <w:kern w:val="2"/>
          <w:lang w:val="en-US" w:eastAsia="zh-CN"/>
        </w:rPr>
      </w:pPr>
      <w:r>
        <w:rPr>
          <w:rFonts w:hint="eastAsia" w:ascii="Times New Roman" w:hAnsi="Times New Roman" w:eastAsia="黑体" w:cs="黑体"/>
          <w:kern w:val="2"/>
          <w:lang w:val="en-US" w:eastAsia="zh-CN"/>
        </w:rPr>
        <w:t>五、</w:t>
      </w:r>
      <w:r>
        <w:rPr>
          <w:rFonts w:hint="eastAsia" w:eastAsia="黑体" w:cs="黑体"/>
          <w:kern w:val="2"/>
          <w:lang w:val="en-US" w:eastAsia="zh-CN"/>
        </w:rPr>
        <w:t>领导意见</w:t>
      </w:r>
    </w:p>
    <w:p w14:paraId="479616FE">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highlight w:val="none"/>
          <w:lang w:val="en-US" w:eastAsia="zh-CN"/>
        </w:rPr>
      </w:pPr>
      <w:r>
        <w:rPr>
          <w:rFonts w:hint="eastAsia"/>
          <w:snapToGrid w:val="0"/>
          <w:kern w:val="0"/>
          <w:highlight w:val="none"/>
          <w:lang w:val="en-US" w:eastAsia="zh-CN"/>
        </w:rPr>
        <w:t>1.2024年6月7日，宜良县自然资源局党组会议集体讨论通过《关于进一步加强砂石资源（含土）管理的实施意见（征求意见稿）》。（会议材料附后）</w:t>
      </w:r>
    </w:p>
    <w:p w14:paraId="6E1D214E">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snapToGrid w:val="0"/>
          <w:kern w:val="0"/>
          <w:lang w:val="en-US" w:eastAsia="zh-CN"/>
        </w:rPr>
      </w:pPr>
      <w:r>
        <w:rPr>
          <w:rFonts w:hint="eastAsia"/>
          <w:snapToGrid w:val="0"/>
          <w:kern w:val="0"/>
          <w:highlight w:val="none"/>
          <w:lang w:val="en-US" w:eastAsia="zh-CN"/>
        </w:rPr>
        <w:t>2.县人民政府陈光云副县长已会签文件。（签发单附后）</w:t>
      </w:r>
    </w:p>
    <w:p w14:paraId="587590F9">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i/>
          <w:iCs/>
          <w:snapToGrid w:val="0"/>
          <w:kern w:val="0"/>
          <w:highlight w:val="yellow"/>
          <w:lang w:val="en-US" w:eastAsia="zh-CN"/>
        </w:rPr>
      </w:pPr>
      <w:r>
        <w:rPr>
          <w:rFonts w:hint="eastAsia" w:eastAsia="黑体" w:cs="黑体"/>
          <w:kern w:val="2"/>
          <w:lang w:val="en-US" w:eastAsia="zh-CN"/>
        </w:rPr>
        <w:t>六、文件有效期</w:t>
      </w:r>
    </w:p>
    <w:p w14:paraId="2FCF9C9D">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default"/>
          <w:snapToGrid w:val="0"/>
          <w:kern w:val="0"/>
          <w:lang w:val="en-US" w:eastAsia="zh-CN"/>
        </w:rPr>
      </w:pPr>
      <w:r>
        <w:rPr>
          <w:rFonts w:hint="eastAsia"/>
          <w:snapToGrid w:val="0"/>
          <w:kern w:val="0"/>
          <w:lang w:val="en-US" w:eastAsia="zh-CN"/>
        </w:rPr>
        <w:t>该文件有效期为5年</w:t>
      </w:r>
    </w:p>
    <w:p w14:paraId="7F118122">
      <w:pPr>
        <w:keepNext w:val="0"/>
        <w:keepLines w:val="0"/>
        <w:pageBreakBefore w:val="0"/>
        <w:widowControl w:val="0"/>
        <w:kinsoku/>
        <w:wordWrap/>
        <w:overflowPunct/>
        <w:topLinePunct/>
        <w:autoSpaceDE/>
        <w:autoSpaceDN/>
        <w:bidi w:val="0"/>
        <w:adjustRightInd w:val="0"/>
        <w:snapToGrid w:val="0"/>
        <w:spacing w:after="0" w:line="560" w:lineRule="exact"/>
        <w:ind w:firstLine="632" w:firstLineChars="200"/>
        <w:jc w:val="both"/>
        <w:textAlignment w:val="auto"/>
        <w:rPr>
          <w:rFonts w:hint="eastAsia"/>
          <w:snapToGrid w:val="0"/>
          <w:kern w:val="0"/>
          <w:lang w:val="en-US" w:eastAsia="zh-CN"/>
        </w:rPr>
      </w:pPr>
    </w:p>
    <w:p w14:paraId="6740256C">
      <w:pPr>
        <w:keepNext w:val="0"/>
        <w:keepLines w:val="0"/>
        <w:pageBreakBefore w:val="0"/>
        <w:widowControl w:val="0"/>
        <w:kinsoku/>
        <w:wordWrap/>
        <w:overflowPunct/>
        <w:topLinePunct/>
        <w:autoSpaceDE/>
        <w:autoSpaceDN/>
        <w:bidi w:val="0"/>
        <w:adjustRightInd w:val="0"/>
        <w:snapToGrid w:val="0"/>
        <w:spacing w:after="0" w:line="560" w:lineRule="exact"/>
        <w:ind w:firstLine="632" w:firstLineChars="200"/>
        <w:jc w:val="both"/>
        <w:textAlignment w:val="auto"/>
        <w:rPr>
          <w:rFonts w:hint="eastAsia"/>
          <w:snapToGrid w:val="0"/>
          <w:kern w:val="0"/>
          <w:lang w:val="en-US" w:eastAsia="zh-CN"/>
        </w:rPr>
      </w:pPr>
    </w:p>
    <w:p w14:paraId="2A19D073">
      <w:pPr>
        <w:keepNext w:val="0"/>
        <w:keepLines w:val="0"/>
        <w:pageBreakBefore w:val="0"/>
        <w:widowControl w:val="0"/>
        <w:kinsoku/>
        <w:wordWrap w:val="0"/>
        <w:overflowPunct/>
        <w:topLinePunct/>
        <w:autoSpaceDE/>
        <w:autoSpaceDN/>
        <w:bidi w:val="0"/>
        <w:adjustRightInd w:val="0"/>
        <w:snapToGrid w:val="0"/>
        <w:spacing w:after="0" w:line="560" w:lineRule="exact"/>
        <w:ind w:left="0" w:leftChars="0" w:right="0" w:rightChars="0" w:firstLine="0" w:firstLineChars="0"/>
        <w:jc w:val="right"/>
        <w:textAlignment w:val="auto"/>
        <w:rPr>
          <w:rFonts w:hint="default" w:ascii="仿宋_GB2312" w:hAnsi="仿宋_GB2312" w:eastAsia="仿宋_GB2312" w:cs="仿宋_GB2312"/>
          <w:snapToGrid w:val="0"/>
          <w:kern w:val="0"/>
          <w:lang w:val="en-US" w:eastAsia="zh-CN"/>
        </w:rPr>
      </w:pPr>
      <w:r>
        <w:rPr>
          <w:rFonts w:hint="eastAsia"/>
          <w:snapToGrid w:val="0"/>
          <w:kern w:val="0"/>
          <w:lang w:val="en-US" w:eastAsia="zh-CN"/>
        </w:rPr>
        <w:t xml:space="preserve"> 宜良县自然资源局</w:t>
      </w:r>
      <w:r>
        <w:rPr>
          <w:rFonts w:hint="eastAsia" w:ascii="仿宋_GB2312" w:hAnsi="仿宋_GB2312" w:eastAsia="仿宋_GB2312" w:cs="仿宋_GB2312"/>
          <w:snapToGrid w:val="0"/>
          <w:kern w:val="0"/>
          <w:lang w:val="en-US" w:eastAsia="zh-CN"/>
        </w:rPr>
        <w:t xml:space="preserve">   </w:t>
      </w:r>
      <w:r>
        <w:rPr>
          <w:rFonts w:hint="eastAsia" w:ascii="仿宋_GB2312" w:hAnsi="仿宋_GB2312" w:cs="仿宋_GB2312"/>
          <w:snapToGrid w:val="0"/>
          <w:kern w:val="0"/>
          <w:lang w:val="en-US" w:eastAsia="zh-CN"/>
        </w:rPr>
        <w:t xml:space="preserve">   </w:t>
      </w:r>
      <w:r>
        <w:rPr>
          <w:rFonts w:hint="eastAsia" w:ascii="仿宋_GB2312" w:hAnsi="仿宋_GB2312" w:eastAsia="仿宋_GB2312" w:cs="仿宋_GB2312"/>
          <w:snapToGrid w:val="0"/>
          <w:kern w:val="0"/>
          <w:lang w:val="en-US" w:eastAsia="zh-CN"/>
        </w:rPr>
        <w:t xml:space="preserve"> </w:t>
      </w:r>
      <w:r>
        <w:rPr>
          <w:rFonts w:hint="eastAsia" w:ascii="仿宋_GB2312" w:hAnsi="仿宋_GB2312" w:cs="仿宋_GB2312"/>
          <w:snapToGrid w:val="0"/>
          <w:kern w:val="0"/>
          <w:lang w:val="en-US" w:eastAsia="zh-CN"/>
        </w:rPr>
        <w:t xml:space="preserve">  </w:t>
      </w:r>
    </w:p>
    <w:p w14:paraId="5969F110">
      <w:pPr>
        <w:keepNext w:val="0"/>
        <w:keepLines w:val="0"/>
        <w:pageBreakBefore w:val="0"/>
        <w:widowControl w:val="0"/>
        <w:kinsoku/>
        <w:wordWrap w:val="0"/>
        <w:overflowPunct/>
        <w:topLinePunct/>
        <w:autoSpaceDE/>
        <w:autoSpaceDN/>
        <w:bidi w:val="0"/>
        <w:adjustRightInd w:val="0"/>
        <w:snapToGrid w:val="0"/>
        <w:spacing w:after="0" w:line="560" w:lineRule="exact"/>
        <w:ind w:left="0" w:leftChars="0" w:right="0" w:rightChars="0" w:firstLine="0" w:firstLineChars="0"/>
        <w:jc w:val="center"/>
        <w:textAlignment w:val="auto"/>
        <w:rPr>
          <w:rFonts w:hint="eastAsia" w:ascii="仿宋_GB2312" w:hAnsi="仿宋_GB2312" w:eastAsia="仿宋_GB2312" w:cs="仿宋_GB2312"/>
          <w:snapToGrid w:val="0"/>
          <w:kern w:val="0"/>
          <w:lang w:val="en-US" w:eastAsia="zh-CN"/>
        </w:rPr>
      </w:pPr>
      <w:r>
        <w:rPr>
          <w:rFonts w:hint="eastAsia"/>
          <w:snapToGrid w:val="0"/>
          <w:kern w:val="0"/>
          <w:lang w:val="en-US" w:eastAsia="zh-CN"/>
        </w:rPr>
        <w:t xml:space="preserve">                                                   </w:t>
      </w:r>
      <w:r>
        <w:rPr>
          <w:rFonts w:hint="eastAsia" w:ascii="Times New Roman" w:hAnsi="Times New Roman"/>
          <w:snapToGrid w:val="0"/>
          <w:kern w:val="0"/>
          <w:lang w:val="en-US" w:eastAsia="zh-CN"/>
        </w:rPr>
        <w:t>202</w:t>
      </w:r>
      <w:r>
        <w:rPr>
          <w:rFonts w:hint="eastAsia"/>
          <w:snapToGrid w:val="0"/>
          <w:kern w:val="0"/>
          <w:lang w:val="en-US" w:eastAsia="zh-CN"/>
        </w:rPr>
        <w:t>4</w:t>
      </w:r>
      <w:r>
        <w:rPr>
          <w:rFonts w:hint="eastAsia" w:ascii="Times New Roman" w:hAnsi="Times New Roman"/>
          <w:snapToGrid w:val="0"/>
          <w:kern w:val="0"/>
          <w:lang w:val="en-US" w:eastAsia="zh-CN"/>
        </w:rPr>
        <w:t>年</w:t>
      </w:r>
      <w:r>
        <w:rPr>
          <w:rFonts w:hint="eastAsia"/>
          <w:snapToGrid w:val="0"/>
          <w:kern w:val="0"/>
          <w:lang w:val="en-US" w:eastAsia="zh-CN"/>
        </w:rPr>
        <w:t>6</w:t>
      </w:r>
      <w:r>
        <w:rPr>
          <w:rFonts w:hint="eastAsia" w:ascii="Times New Roman" w:hAnsi="Times New Roman"/>
          <w:snapToGrid w:val="0"/>
          <w:kern w:val="0"/>
          <w:lang w:val="en-US" w:eastAsia="zh-CN"/>
        </w:rPr>
        <w:t>月</w:t>
      </w:r>
      <w:r>
        <w:rPr>
          <w:rFonts w:hint="eastAsia"/>
          <w:snapToGrid w:val="0"/>
          <w:kern w:val="0"/>
          <w:lang w:val="en-US" w:eastAsia="zh-CN"/>
        </w:rPr>
        <w:t>12</w:t>
      </w:r>
      <w:r>
        <w:rPr>
          <w:rFonts w:hint="eastAsia" w:ascii="Times New Roman" w:hAnsi="Times New Roman"/>
          <w:snapToGrid w:val="0"/>
          <w:kern w:val="0"/>
          <w:lang w:val="en-US" w:eastAsia="zh-CN"/>
        </w:rPr>
        <w:t>日</w:t>
      </w:r>
      <w:r>
        <w:rPr>
          <w:rFonts w:hint="eastAsia" w:ascii="仿宋_GB2312" w:hAnsi="仿宋_GB2312" w:eastAsia="仿宋_GB2312" w:cs="仿宋_GB2312"/>
          <w:snapToGrid w:val="0"/>
          <w:kern w:val="0"/>
          <w:lang w:val="en-US" w:eastAsia="zh-CN"/>
        </w:rPr>
        <w:t xml:space="preserve">    </w:t>
      </w:r>
    </w:p>
    <w:p w14:paraId="6C818FCA">
      <w:pPr>
        <w:pStyle w:val="2"/>
        <w:keepNext w:val="0"/>
        <w:keepLines w:val="0"/>
        <w:pageBreakBefore w:val="0"/>
        <w:kinsoku/>
        <w:overflowPunct/>
        <w:autoSpaceDN/>
        <w:bidi w:val="0"/>
        <w:adjustRightInd w:val="0"/>
        <w:snapToGrid w:val="0"/>
        <w:spacing w:line="560" w:lineRule="exact"/>
        <w:textAlignment w:val="auto"/>
        <w:rPr>
          <w:rFonts w:hint="default"/>
          <w:lang w:val="en-US" w:eastAsia="zh-CN"/>
        </w:rPr>
      </w:pPr>
    </w:p>
    <w:sectPr>
      <w:footerReference r:id="rId5" w:type="default"/>
      <w:pgSz w:w="11906" w:h="16838"/>
      <w:pgMar w:top="2098" w:right="1474" w:bottom="1984" w:left="1587" w:header="708" w:footer="158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6887">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06AB92">
                <w:pPr>
                  <w:pStyle w:val="4"/>
                  <w:keepNext w:val="0"/>
                  <w:keepLines w:val="0"/>
                  <w:pageBreakBefore w:val="0"/>
                  <w:widowControl/>
                  <w:kinsoku/>
                  <w:wordWrap/>
                  <w:overflowPunct/>
                  <w:topLinePunct w:val="0"/>
                  <w:autoSpaceDE/>
                  <w:autoSpaceDN/>
                  <w:bidi w:val="0"/>
                  <w:adjustRightInd w:val="0"/>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58"/>
  <w:drawingGridVerticalSpacing w:val="29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DU0NTIzM2EzMGJjZDdjNzU1MzE3MDgxOWE4MzEwYjgifQ=="/>
  </w:docVars>
  <w:rsids>
    <w:rsidRoot w:val="00D31D50"/>
    <w:rsid w:val="00323B43"/>
    <w:rsid w:val="003D37D8"/>
    <w:rsid w:val="00426133"/>
    <w:rsid w:val="004358AB"/>
    <w:rsid w:val="008B7726"/>
    <w:rsid w:val="00D31D50"/>
    <w:rsid w:val="02B97896"/>
    <w:rsid w:val="02EB78F5"/>
    <w:rsid w:val="03FD48E9"/>
    <w:rsid w:val="0B387510"/>
    <w:rsid w:val="0C755891"/>
    <w:rsid w:val="10BC54B2"/>
    <w:rsid w:val="1BB35670"/>
    <w:rsid w:val="20A164A0"/>
    <w:rsid w:val="275B5D90"/>
    <w:rsid w:val="29283D30"/>
    <w:rsid w:val="2DC275D1"/>
    <w:rsid w:val="2E697423"/>
    <w:rsid w:val="309230B5"/>
    <w:rsid w:val="33E625D9"/>
    <w:rsid w:val="34C550FC"/>
    <w:rsid w:val="362354E5"/>
    <w:rsid w:val="3A84586E"/>
    <w:rsid w:val="3BDE1E09"/>
    <w:rsid w:val="3E1D4BFE"/>
    <w:rsid w:val="3F5E55E0"/>
    <w:rsid w:val="402C5C6B"/>
    <w:rsid w:val="476677E2"/>
    <w:rsid w:val="49844E60"/>
    <w:rsid w:val="4B8F3A59"/>
    <w:rsid w:val="4BEC751C"/>
    <w:rsid w:val="4E4C6C9E"/>
    <w:rsid w:val="519831C0"/>
    <w:rsid w:val="51EF2320"/>
    <w:rsid w:val="527E77BE"/>
    <w:rsid w:val="56185BDD"/>
    <w:rsid w:val="566A2972"/>
    <w:rsid w:val="5B3B7F0C"/>
    <w:rsid w:val="5C463A8F"/>
    <w:rsid w:val="5EFC0541"/>
    <w:rsid w:val="64D304D2"/>
    <w:rsid w:val="6BC8449F"/>
    <w:rsid w:val="6C536416"/>
    <w:rsid w:val="6D0E47B3"/>
    <w:rsid w:val="6E2A5571"/>
    <w:rsid w:val="6EFB069C"/>
    <w:rsid w:val="718B4AFC"/>
    <w:rsid w:val="75D72D8D"/>
    <w:rsid w:val="7B2C6326"/>
    <w:rsid w:val="7CCB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imes New Roman" w:hAnsi="Times New Roman" w:eastAsia="仿宋_GB2312" w:cs="仿宋_GB2312"/>
      <w:color w:val="000000" w:themeColor="text1"/>
      <w:sz w:val="32"/>
      <w:szCs w:val="3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1312</Words>
  <Characters>1354</Characters>
  <Lines>1</Lines>
  <Paragraphs>1</Paragraphs>
  <TotalTime>7</TotalTime>
  <ScaleCrop>false</ScaleCrop>
  <LinksUpToDate>false</LinksUpToDate>
  <CharactersWithSpaces>1419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王蓝苹</cp:lastModifiedBy>
  <dcterms:modified xsi:type="dcterms:W3CDTF">2025-06-30T08:47:27Z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EA9209FB0FAE4E2D86FCD8F0B3D079A9_12</vt:lpwstr>
  </property>
</Properties>
</file>