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40F3">
      <w:pPr>
        <w:spacing w:line="600" w:lineRule="exact"/>
        <w:jc w:val="center"/>
        <w:rPr>
          <w:rFonts w:hint="eastAsia" w:ascii="方正小标宋_GBK" w:hAnsi="黑体" w:eastAsia="方正小标宋_GBK" w:cs="黑体"/>
          <w:bCs/>
          <w:sz w:val="44"/>
          <w:szCs w:val="44"/>
        </w:rPr>
      </w:pPr>
      <w:r>
        <w:rPr>
          <w:rFonts w:hint="default" w:ascii="Times New Roman" w:hAnsi="Times New Roman" w:eastAsia="方正小标宋简体" w:cs="Times New Roman"/>
          <w:bCs/>
          <w:sz w:val="44"/>
          <w:szCs w:val="44"/>
        </w:rPr>
        <w:t>宜良县</w:t>
      </w:r>
      <w:r>
        <w:rPr>
          <w:rFonts w:hint="eastAsia" w:ascii="方正小标宋_GBK" w:hAnsi="黑体" w:eastAsia="方正小标宋_GBK" w:cs="黑体"/>
          <w:bCs/>
          <w:sz w:val="44"/>
          <w:szCs w:val="44"/>
        </w:rPr>
        <w:t>农村</w:t>
      </w:r>
      <w:r>
        <w:rPr>
          <w:rFonts w:hint="eastAsia" w:ascii="方正小标宋_GBK" w:hAnsi="黑体" w:eastAsia="方正小标宋_GBK" w:cs="黑体"/>
          <w:bCs/>
          <w:sz w:val="44"/>
          <w:szCs w:val="44"/>
          <w:lang w:eastAsia="zh-CN"/>
        </w:rPr>
        <w:t>供水</w:t>
      </w:r>
      <w:r>
        <w:rPr>
          <w:rFonts w:hint="eastAsia" w:ascii="方正小标宋_GBK" w:hAnsi="黑体" w:eastAsia="方正小标宋_GBK" w:cs="黑体"/>
          <w:bCs/>
          <w:sz w:val="44"/>
          <w:szCs w:val="44"/>
        </w:rPr>
        <w:t>工程运行管理办法</w:t>
      </w:r>
    </w:p>
    <w:p w14:paraId="54951B26">
      <w:pPr>
        <w:pStyle w:val="6"/>
        <w:keepNext w:val="0"/>
        <w:keepLines w:val="0"/>
        <w:pageBreakBefore w:val="0"/>
        <w:kinsoku/>
        <w:wordWrap/>
        <w:overflowPunct/>
        <w:autoSpaceDN/>
        <w:bidi w:val="0"/>
        <w:spacing w:line="560" w:lineRule="exact"/>
        <w:ind w:left="0"/>
        <w:jc w:val="center"/>
        <w:textAlignment w:val="auto"/>
        <w:rPr>
          <w:rFonts w:hint="eastAsia" w:ascii="方正小标宋_GBK" w:eastAsia="方正小标宋_GBK"/>
          <w:sz w:val="44"/>
          <w:szCs w:val="44"/>
          <w:lang w:val="en-US" w:eastAsia="zh-CN"/>
        </w:rPr>
      </w:pPr>
      <w:r>
        <w:rPr>
          <w:rFonts w:hint="eastAsia" w:ascii="Times New Roman" w:hAnsi="Times New Roman" w:eastAsia="方正小标宋简体" w:cs="Times New Roman"/>
          <w:bCs/>
          <w:sz w:val="44"/>
          <w:szCs w:val="44"/>
          <w:lang w:val="en-US" w:eastAsia="zh-CN"/>
        </w:rPr>
        <w:t>(2025年修订稿）起草说明</w:t>
      </w:r>
    </w:p>
    <w:p w14:paraId="1851EF09">
      <w:pPr>
        <w:spacing w:line="600" w:lineRule="exact"/>
        <w:jc w:val="left"/>
        <w:rPr>
          <w:rFonts w:hint="eastAsia" w:ascii="仿宋_GB2312" w:eastAsia="仿宋_GB2312"/>
          <w:sz w:val="32"/>
          <w:szCs w:val="32"/>
        </w:rPr>
      </w:pPr>
    </w:p>
    <w:p w14:paraId="17BB8370">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现</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将《宜良县农村供水工程运行管理办法》（2025年修订稿）</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以下简称《办法》）</w:t>
      </w:r>
      <w:r>
        <w:rPr>
          <w:rFonts w:hint="default" w:ascii="仿宋_GB2312" w:eastAsia="仿宋_GB2312"/>
          <w:sz w:val="32"/>
          <w:szCs w:val="32"/>
          <w:lang w:val="en-US" w:eastAsia="zh-CN"/>
        </w:rPr>
        <w:t>，</w:t>
      </w:r>
      <w:r>
        <w:rPr>
          <w:rFonts w:hint="eastAsia" w:ascii="仿宋_GB2312" w:eastAsia="仿宋_GB2312"/>
          <w:sz w:val="32"/>
          <w:szCs w:val="32"/>
          <w:lang w:val="en-US" w:eastAsia="zh-CN"/>
        </w:rPr>
        <w:t>起草情况说明如下：</w:t>
      </w:r>
    </w:p>
    <w:p w14:paraId="1228FFC6">
      <w:pPr>
        <w:numPr>
          <w:ilvl w:val="0"/>
          <w:numId w:val="1"/>
        </w:numPr>
        <w:spacing w:line="600" w:lineRule="exact"/>
        <w:ind w:firstLine="640" w:firstLineChars="200"/>
        <w:rPr>
          <w:rFonts w:hint="eastAsia" w:ascii="仿宋_GB2312" w:eastAsia="仿宋_GB2312"/>
          <w:sz w:val="32"/>
          <w:szCs w:val="32"/>
        </w:rPr>
      </w:pPr>
      <w:r>
        <w:rPr>
          <w:rFonts w:hint="eastAsia" w:ascii="黑体" w:hAnsi="黑体" w:eastAsia="黑体"/>
          <w:sz w:val="32"/>
          <w:szCs w:val="32"/>
          <w:lang w:eastAsia="zh-CN"/>
        </w:rPr>
        <w:t>文件制定的背景和必要性</w:t>
      </w:r>
    </w:p>
    <w:p w14:paraId="7BCFA6ED">
      <w:pPr>
        <w:numPr>
          <w:ilvl w:val="0"/>
          <w:numId w:val="0"/>
        </w:numPr>
        <w:spacing w:line="600" w:lineRule="exact"/>
        <w:ind w:firstLine="640"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2020年4月1日，县人民政府印发了</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《宜良县农村饮水安全工程运行管理办法》（试行）宜政办规〔2020〕1号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，建立了</w:t>
      </w:r>
      <w:r>
        <w:rPr>
          <w:rFonts w:hint="eastAsia" w:ascii="仿宋_GB2312" w:hAnsi="仿宋_GB2312" w:eastAsia="仿宋_GB2312" w:cs="仿宋_GB2312"/>
          <w:sz w:val="32"/>
          <w:szCs w:val="32"/>
        </w:rPr>
        <w:t>农村饮水安全工程</w:t>
      </w:r>
      <w:r>
        <w:rPr>
          <w:rFonts w:hint="eastAsia" w:ascii="仿宋_GB2312" w:hAnsi="仿宋_GB2312" w:eastAsia="仿宋_GB2312" w:cs="仿宋_GB2312"/>
          <w:sz w:val="32"/>
          <w:szCs w:val="32"/>
          <w:highlight w:val="none"/>
        </w:rPr>
        <w:t>运行管理</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制度</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将农村供水工程建设、管理、运行及水质检测和水费收缴做统一规范。《办法》实施以来，我县农村饮水安全工作取得了明显成效，极大提升我县农村供水工程运行管理水平，我县农村自来水普及率及水质检测合格率显著提升</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为推动水价改革，发挥了重要作用。但也存在一些亟待解决的问题：一是农村工程运行管理权责不清，属地政府主体责任统筹不足；二是水价核定及水费收缴有待完善；三是水质提升有待强化。同时，现行的农村供水工程建设未涉及社会资本投入所建设的工程如何管理</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。因此，有必要修订《宜良县农村饮水安全工程运行管理办法》（试行）宜政办规〔2020〕1号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，以适应目前新形势、新要求，推进我县农村供水高质量发展。</w:t>
      </w:r>
    </w:p>
    <w:p w14:paraId="13CFA145">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文件制定依据说明</w:t>
      </w:r>
    </w:p>
    <w:p w14:paraId="2B455DC4">
      <w:pPr>
        <w:spacing w:line="600" w:lineRule="exact"/>
        <w:ind w:firstLine="640" w:firstLineChars="200"/>
        <w:jc w:val="both"/>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根据《中华人民共和国水法》、水利部《村镇供水工程技术规范》（SL310-2019）、卫生部《生活饮用水卫生标准》</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GB5749-2022）、环保部《饮用水水源保护区划分技术规范》（HJ/T338-2018）和住建部、国家卫计委《生活饮用水卫生监督管理办法》规定，以及《水利部关于进一步加强农村饮水安全工程运行管护工作的指导意见》和《水利部关于加快推动农村供水高质量发展的指导意见》水农〔2023〕283号、</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《云南省农村供水管理办法》</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文件等有关规定。</w:t>
      </w:r>
    </w:p>
    <w:p w14:paraId="47761802">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文件制定的主要内容</w:t>
      </w:r>
    </w:p>
    <w:p w14:paraId="074A0631">
      <w:pPr>
        <w:numPr>
          <w:ilvl w:val="0"/>
          <w:numId w:val="0"/>
        </w:numPr>
        <w:spacing w:line="600" w:lineRule="exact"/>
        <w:ind w:firstLine="640" w:firstLineChars="20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该《办法》（2025年修订稿）</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共</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章</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33</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条，主要内容为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总则、机构设置及职责分工、产权划分及管理主体、水源保护及水质管理</w:t>
      </w:r>
      <w:bookmarkStart w:id="0" w:name="_GoBack"/>
      <w:bookmarkEnd w:id="0"/>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、工程设施及设备管理、供水管理及水价核定、考核奖惩及责任追究、</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和附则</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14:paraId="7CBBEE15">
      <w:pPr>
        <w:spacing w:line="600" w:lineRule="exact"/>
        <w:jc w:val="center"/>
        <w:rPr>
          <w:rFonts w:hint="eastAsia" w:ascii="黑体" w:hAnsi="黑体" w:eastAsia="黑体" w:cs="黑体"/>
          <w:sz w:val="32"/>
          <w:szCs w:val="32"/>
          <w:lang w:eastAsia="zh-CN"/>
        </w:rPr>
      </w:pPr>
    </w:p>
    <w:p w14:paraId="530937E5">
      <w:pPr>
        <w:spacing w:line="600" w:lineRule="exact"/>
        <w:rPr>
          <w:rFonts w:hint="eastAsia"/>
          <w:lang w:bidi="ar"/>
        </w:rPr>
      </w:pPr>
    </w:p>
    <w:p w14:paraId="1C7386F9">
      <w:pPr>
        <w:pStyle w:val="2"/>
        <w:rPr>
          <w:rFonts w:hint="eastAsia"/>
          <w:lang w:bidi="ar"/>
        </w:rPr>
      </w:pPr>
    </w:p>
    <w:p w14:paraId="32E47130">
      <w:pPr>
        <w:pStyle w:val="2"/>
        <w:rPr>
          <w:rFonts w:hint="eastAsia" w:ascii="仿宋" w:hAnsi="仿宋" w:eastAsia="仿宋" w:cs="仿宋"/>
          <w:kern w:val="2"/>
          <w:sz w:val="32"/>
          <w:szCs w:val="32"/>
          <w:lang w:val="en-US" w:eastAsia="zh-CN" w:bidi="ar-SA"/>
        </w:rPr>
      </w:pPr>
    </w:p>
    <w:p w14:paraId="04404528">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宜良县水务局</w:t>
      </w:r>
    </w:p>
    <w:p w14:paraId="2F4383A3">
      <w:pPr>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2025年2月10日</w:t>
      </w:r>
    </w:p>
    <w:p w14:paraId="0C6242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613E9"/>
    <w:multiLevelType w:val="singleLevel"/>
    <w:tmpl w:val="66F613E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NWQ3ZGQ0YjdhODU5YWFmNjJmYzg4ZTUzZjM2ZWIifQ=="/>
  </w:docVars>
  <w:rsids>
    <w:rsidRoot w:val="041D095D"/>
    <w:rsid w:val="041D095D"/>
    <w:rsid w:val="04F96FF0"/>
    <w:rsid w:val="2302130E"/>
    <w:rsid w:val="2AF923CF"/>
    <w:rsid w:val="35337105"/>
    <w:rsid w:val="46A85084"/>
    <w:rsid w:val="4D662315"/>
    <w:rsid w:val="50070232"/>
    <w:rsid w:val="71D8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4"/>
    </w:rPr>
  </w:style>
  <w:style w:type="character" w:styleId="5">
    <w:name w:val="Hyperlink"/>
    <w:basedOn w:val="4"/>
    <w:qFormat/>
    <w:uiPriority w:val="0"/>
    <w:rPr>
      <w:color w:val="0000FF"/>
      <w:u w:val="single"/>
    </w:rPr>
  </w:style>
  <w:style w:type="paragraph" w:customStyle="1" w:styleId="6">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808</Characters>
  <Lines>0</Lines>
  <Paragraphs>0</Paragraphs>
  <TotalTime>12</TotalTime>
  <ScaleCrop>false</ScaleCrop>
  <LinksUpToDate>false</LinksUpToDate>
  <CharactersWithSpaces>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2025-02-12T03:06:00Z</dcterms:created>
  <dc:creator>Administrator</dc:creator>
  <cp:lastModifiedBy>Administrator</cp:lastModifiedBy>
  <dcterms:modified xsi:type="dcterms:W3CDTF">2025-02-12T09:17:56Z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053DFED407524FFFACF875BCE5E59BA2_11</vt:lpwstr>
  </property>
  <property fmtid="{D5CDD505-2E9C-101B-9397-08002B2CF9AE}" pid="4" name="KSOTemplateDocerSaveRecord">
    <vt:lpwstr>eyJoZGlkIjoiYjJhYzRlYmQyYmY5MzViZTBiMzYwNWFiYWE5YTZjZDcifQ==</vt:lpwstr>
  </property>
</Properties>
</file>