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CA9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  <w:lang w:eastAsia="zh-CN"/>
        </w:rPr>
        <w:t>宜良县住房和城乡建设局</w:t>
      </w:r>
    </w:p>
    <w:p w14:paraId="2926608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  <w:t>宜良县住宅专项维修资金续交实施</w:t>
      </w:r>
    </w:p>
    <w:p w14:paraId="6B52642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  <w:t>细则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  <w:t>的起草说明</w:t>
      </w:r>
    </w:p>
    <w:p w14:paraId="23F0657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/>
        <w:textAlignment w:val="auto"/>
        <w:rPr>
          <w:rFonts w:hint="eastAsia"/>
          <w:i w:val="0"/>
          <w:iCs w:val="0"/>
        </w:rPr>
      </w:pPr>
    </w:p>
    <w:p w14:paraId="0965A2B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/>
          <w:b w:val="0"/>
          <w:bCs w:val="0"/>
          <w:i w:val="0"/>
          <w:iCs w:val="0"/>
          <w:kern w:val="2"/>
        </w:rPr>
      </w:pPr>
      <w:r>
        <w:rPr>
          <w:rFonts w:hint="eastAsia" w:ascii="Times New Roman" w:hAnsi="Times New Roman"/>
          <w:b w:val="0"/>
          <w:bCs w:val="0"/>
          <w:i w:val="0"/>
          <w:iCs w:val="0"/>
          <w:kern w:val="2"/>
        </w:rPr>
        <w:t>根据</w:t>
      </w:r>
      <w:r>
        <w:rPr>
          <w:rFonts w:hint="eastAsia" w:ascii="Times New Roman" w:hAnsi="Times New Roman"/>
          <w:b w:val="0"/>
          <w:bCs w:val="0"/>
          <w:i w:val="0"/>
          <w:iCs w:val="0"/>
          <w:kern w:val="2"/>
          <w:lang w:val="en-US" w:eastAsia="zh-CN"/>
        </w:rPr>
        <w:t>《宜良县行政规范性文件管理实施细则》</w:t>
      </w:r>
      <w:r>
        <w:rPr>
          <w:rFonts w:hint="eastAsia"/>
          <w:b w:val="0"/>
          <w:bCs w:val="0"/>
          <w:i w:val="0"/>
          <w:iCs w:val="0"/>
          <w:kern w:val="2"/>
          <w:lang w:val="en-US" w:eastAsia="zh-CN"/>
        </w:rPr>
        <w:t>第二十一条规定</w:t>
      </w:r>
      <w:r>
        <w:rPr>
          <w:rFonts w:hint="eastAsia" w:ascii="Times New Roman" w:hAnsi="Times New Roman"/>
          <w:b w:val="0"/>
          <w:bCs w:val="0"/>
          <w:i w:val="0"/>
          <w:iCs w:val="0"/>
          <w:kern w:val="2"/>
        </w:rPr>
        <w:t>，现</w:t>
      </w:r>
      <w:r>
        <w:rPr>
          <w:rFonts w:hint="eastAsia"/>
          <w:b w:val="0"/>
          <w:bCs w:val="0"/>
          <w:i w:val="0"/>
          <w:iCs w:val="0"/>
          <w:kern w:val="2"/>
          <w:lang w:val="en-US" w:eastAsia="zh-CN"/>
        </w:rPr>
        <w:t>就报送审查的《宜良县住宅专项维修资金续交实施细则》有关情况说明如下</w:t>
      </w:r>
      <w:r>
        <w:rPr>
          <w:rFonts w:hint="eastAsia" w:ascii="Times New Roman" w:hAnsi="Times New Roman"/>
          <w:b w:val="0"/>
          <w:bCs w:val="0"/>
          <w:i w:val="0"/>
          <w:iCs w:val="0"/>
          <w:kern w:val="2"/>
        </w:rPr>
        <w:t>：</w:t>
      </w:r>
    </w:p>
    <w:p w14:paraId="60D242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auto"/>
        <w:rPr>
          <w:rFonts w:hint="eastAsia" w:eastAsia="黑体" w:cs="黑体"/>
          <w:b w:val="0"/>
          <w:bCs w:val="0"/>
          <w:i w:val="0"/>
          <w:iCs w:val="0"/>
          <w:snapToGrid w:val="0"/>
          <w:kern w:val="0"/>
          <w:lang w:val="en-US" w:eastAsia="zh-CN"/>
        </w:rPr>
      </w:pPr>
      <w:r>
        <w:rPr>
          <w:rFonts w:hint="eastAsia" w:eastAsia="黑体" w:cs="黑体"/>
          <w:b w:val="0"/>
          <w:bCs w:val="0"/>
          <w:i w:val="0"/>
          <w:iCs w:val="0"/>
          <w:snapToGrid w:val="0"/>
          <w:kern w:val="0"/>
          <w:lang w:val="en-US" w:eastAsia="zh-CN"/>
        </w:rPr>
        <w:t>一、制定文件的必要性</w:t>
      </w:r>
    </w:p>
    <w:p w14:paraId="0FA5F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1.制定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背景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为规范宜良县住宅专项维修资金续交管理工作，保障住宅共用部位、共用设施设备维修和正常使用，维护业主合法权益，根据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《住宅专项维修资金管理办法》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建设部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、财政部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令第165号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和云南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省住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房和城乡建设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厅、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云南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省财政厅、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云南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省审计厅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关于进一步加强和规范城镇小区住宅专项维修资金管理的实施意见》（云建房〔2015〕189号）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有关规定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结合宜良县实际，制定该实施细则。</w:t>
      </w:r>
      <w:r>
        <w:rPr>
          <w:rFonts w:hint="eastAsia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自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年4月</w:t>
      </w:r>
      <w:r>
        <w:rPr>
          <w:rFonts w:hint="eastAsia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开始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县住建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局多次组织讨论，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并征求县司法局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及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凌云律师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事务所意见，修改完善后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形成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征求意见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稿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69A3A86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2.必要性：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住宅是个大商品，是群众关心的热点，它关系到群众的切身利益，关系到社会的稳定。随着住房制度改革的不断深化，住房商品化已经深入人心，业主对住房的套内装修、维护非常重视，但对共用部位、设施、设备的维修重视不够，直接影响着小区整体功能的发挥和正常使用。建立住宅专项维修资金制度，就是为了保障住宅共用部位、共用设施设备的维修和正常使用，维护业主的合法权益，切实解决业主购房的后顾之忧。</w:t>
      </w:r>
    </w:p>
    <w:p w14:paraId="45339E9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3.可行性：可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规范宜良县住宅专项维修资金续交管理工作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保障住宅共用部位、共用设施设备维修和正常使用，维护业主合法权益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01C3022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4.合理性：明确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住宅专项维修资金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补交、续交制度，确保区域内共用部位、共用设施设备及时得到维修、更新、改造。</w:t>
      </w:r>
    </w:p>
    <w:p w14:paraId="33FEC1D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i w:val="0"/>
          <w:iCs w:val="0"/>
          <w:snapToGrid w:val="0"/>
          <w:kern w:val="0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snapToGrid w:val="0"/>
          <w:kern w:val="0"/>
          <w:lang w:val="en-US" w:eastAsia="zh-CN"/>
        </w:rPr>
        <w:t>二、</w:t>
      </w:r>
      <w:r>
        <w:rPr>
          <w:rFonts w:hint="eastAsia" w:eastAsia="黑体" w:cs="黑体"/>
          <w:b w:val="0"/>
          <w:bCs w:val="0"/>
          <w:i w:val="0"/>
          <w:iCs w:val="0"/>
          <w:snapToGrid w:val="0"/>
          <w:kern w:val="0"/>
          <w:lang w:val="en-US" w:eastAsia="zh-CN"/>
        </w:rPr>
        <w:t>文件制定依据</w:t>
      </w:r>
    </w:p>
    <w:p w14:paraId="482DC05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《住宅专项维修资金管理办法》（建设部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、财政部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令第165号）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（部门规章）</w:t>
      </w:r>
      <w:r>
        <w:rPr>
          <w:rFonts w:hint="eastAsia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 w14:paraId="4E492D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b w:val="0"/>
          <w:bCs w:val="0"/>
          <w:color w:val="auto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关于进一步加强和规范城镇小区住宅专项维修资金管理的实施意见》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（云建房〔2015〕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189号，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现行有效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38B58A1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eastAsia"/>
          <w:b w:val="0"/>
          <w:bCs w:val="0"/>
          <w:i w:val="0"/>
          <w:iCs w:val="0"/>
          <w:snapToGrid w:val="0"/>
          <w:kern w:val="0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kern w:val="2"/>
          <w:lang w:val="en-US" w:eastAsia="zh-CN"/>
        </w:rPr>
        <w:t>三、</w:t>
      </w:r>
      <w:r>
        <w:rPr>
          <w:rFonts w:hint="eastAsia" w:eastAsia="黑体" w:cs="黑体"/>
          <w:b w:val="0"/>
          <w:bCs w:val="0"/>
          <w:i w:val="0"/>
          <w:iCs w:val="0"/>
          <w:kern w:val="2"/>
          <w:lang w:val="en-US" w:eastAsia="zh-CN"/>
        </w:rPr>
        <w:t>规定的主要措施</w:t>
      </w:r>
    </w:p>
    <w:p w14:paraId="2589D37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全文共十五条内容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：</w:t>
      </w:r>
    </w:p>
    <w:p w14:paraId="3DC8137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第一条到第五条分别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了制定目的和依据、适用范围和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维修资金续交的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定义解释、监督指导主体、续交主体等内容；</w:t>
      </w:r>
    </w:p>
    <w:p w14:paraId="715C451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第六条到第八条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了续交义务人、续交标准、续交方式等内容；</w:t>
      </w:r>
    </w:p>
    <w:p w14:paraId="6E96699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第九条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了公共收益转作为维修资金的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所占比例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确定和分配方式；</w:t>
      </w:r>
    </w:p>
    <w:p w14:paraId="3F131E2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第十条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了专户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管理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银行收到续交的维修资金应当向续交人出具专用票据；</w:t>
      </w:r>
    </w:p>
    <w:p w14:paraId="39E1F63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第十一条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了房屋所有权转让的相关规定；</w:t>
      </w:r>
    </w:p>
    <w:p w14:paraId="39410C2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第十二条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了维修资金续交后专户存储、使用监督的执行方式；</w:t>
      </w:r>
    </w:p>
    <w:p w14:paraId="21F24D0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第十三条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了业主委员会、物业服务企业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、业主委员会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的职责；</w:t>
      </w:r>
    </w:p>
    <w:p w14:paraId="319B371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第十四条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相关部门责任人的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法律责任；</w:t>
      </w:r>
    </w:p>
    <w:p w14:paraId="3D53C85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第十五条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了该实施细则的执行日期和解释主体。</w:t>
      </w:r>
    </w:p>
    <w:p w14:paraId="748BAF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eastAsia" w:eastAsia="黑体" w:cs="黑体"/>
          <w:b w:val="0"/>
          <w:bCs w:val="0"/>
          <w:i w:val="0"/>
          <w:iCs w:val="0"/>
          <w:kern w:val="2"/>
          <w:lang w:val="en-US" w:eastAsia="zh-CN"/>
        </w:rPr>
      </w:pPr>
      <w:r>
        <w:rPr>
          <w:rFonts w:hint="eastAsia" w:eastAsia="黑体" w:cs="黑体"/>
          <w:b w:val="0"/>
          <w:bCs w:val="0"/>
          <w:i w:val="0"/>
          <w:iCs w:val="0"/>
          <w:kern w:val="2"/>
          <w:lang w:val="en-US" w:eastAsia="zh-CN"/>
        </w:rPr>
        <w:t>有关方面的意见</w:t>
      </w:r>
    </w:p>
    <w:p w14:paraId="57773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2024年3月28日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  <w:t>向县司法局发《关于宜良县维修资金管理相关文件征求意见建议的函》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  <w:t>征求县司法局意见，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  <w:t>采纳情况为：</w:t>
      </w:r>
    </w:p>
    <w:p w14:paraId="1F2A46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auto"/>
        <w:rPr>
          <w:rFonts w:hint="eastAsia" w:cs="Times New Roman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  <w:t>（1）第六条中“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续交方案由专有部分面积占比</w:t>
      </w:r>
      <w:r>
        <w:rPr>
          <w:rFonts w:hint="eastAsia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/</w:t>
      </w:r>
      <w:r>
        <w:rPr>
          <w:rFonts w:hint="eastAsia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以上的业主且人数占比</w:t>
      </w:r>
      <w:r>
        <w:rPr>
          <w:rFonts w:hint="eastAsia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/</w:t>
      </w:r>
      <w:r>
        <w:rPr>
          <w:rFonts w:hint="eastAsia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以上的业主参与表决</w:t>
      </w:r>
      <w:r>
        <w:rPr>
          <w:rFonts w:hint="eastAsia" w:cs="Times New Roman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  <w:t>”修改为“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续交方案由专有部分面积占比3/4以上的业主且人数占比3/4以上的业主参与表决</w:t>
      </w:r>
      <w:r>
        <w:rPr>
          <w:rFonts w:hint="eastAsia" w:cs="Times New Roman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  <w:t>”；</w:t>
      </w:r>
    </w:p>
    <w:p w14:paraId="65402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（2）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第十五条</w:t>
      </w:r>
      <w:r>
        <w:rPr>
          <w:rFonts w:hint="eastAsia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中“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本实施细则自</w:t>
      </w:r>
      <w:r>
        <w:rPr>
          <w:rFonts w:hint="eastAsia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下发之日起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施行</w:t>
      </w:r>
      <w:r>
        <w:rPr>
          <w:rFonts w:hint="eastAsia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”</w:t>
      </w:r>
      <w:r>
        <w:rPr>
          <w:rFonts w:hint="eastAsia" w:cs="Times New Roman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  <w:t>修改为</w:t>
      </w:r>
      <w:r>
        <w:rPr>
          <w:rFonts w:hint="eastAsia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“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本实施细则自向社会公布30日后施行</w:t>
      </w:r>
      <w:r>
        <w:rPr>
          <w:rFonts w:hint="eastAsia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”。</w:t>
      </w:r>
    </w:p>
    <w:p w14:paraId="16A8245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  <w:t>2.2024年6月28日下午，通过召开听证会方式公开征求意见，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17位听证代表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  <w:t>发表了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  <w:t>条意见和建议，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综合归纳起来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  <w:t>主要是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以下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方面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：</w:t>
      </w:r>
    </w:p>
    <w:p w14:paraId="669BE28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（1）积极支持和同意该细则的实施，关于征收补缴住房维修资金这一举措，是确保物业管理部门提高服务质量，解决小区业主后顾之忧的重大举措，对稳定社会起到极其重要的作用。</w:t>
      </w:r>
    </w:p>
    <w:p w14:paraId="4DA347E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（2）维修资金征收难度大，建议重点研究。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（该条意见予以采纳）</w:t>
      </w:r>
    </w:p>
    <w:p w14:paraId="1DC3B3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u w:val="none"/>
          <w:lang w:val="en-US" w:eastAsia="zh-CN"/>
        </w:rPr>
        <w:t>征求意见结果已在宜良县人民政府网站向公众反馈。采纳情况为：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各位听证代表提出的意见和建议都一一认真听了，并做了记录，大家提出的意见和建议都非常好，特别是在维修资金收取方面建议再细化，考虑老、弱、病、残住户，下来以后县住建局将认真研究、逐条梳理、合理采纳，进一步修改完善。</w:t>
      </w:r>
    </w:p>
    <w:p w14:paraId="0A7CD67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eastAsia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2024年7月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下午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，召开</w:t>
      </w:r>
      <w:r>
        <w:rPr>
          <w:rFonts w:hint="eastAsia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  <w:t>专家论证会，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采纳情况为：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加大</w:t>
      </w:r>
      <w:r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  <w:t>缴纳维修资金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政策</w:t>
      </w:r>
      <w:r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宣传力度，让广大老旧小区业主充分理解政策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1638C15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auto"/>
        <w:rPr>
          <w:rFonts w:hint="default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napToGrid w:val="0"/>
          <w:kern w:val="0"/>
          <w:highlight w:val="none"/>
          <w:lang w:val="en-US" w:eastAsia="zh-CN"/>
        </w:rPr>
        <w:t>4.本单位法制科合法性审核意见提出：经审查，该文件制定主体、依据、权限、内容、程序合法。</w:t>
      </w:r>
      <w:r>
        <w:rPr>
          <w:rFonts w:hint="eastAsia" w:ascii="Times New Roman" w:hAnsi="Times New Roman"/>
          <w:b w:val="0"/>
          <w:bCs w:val="0"/>
          <w:snapToGrid w:val="0"/>
          <w:kern w:val="0"/>
          <w:lang w:val="en-US" w:eastAsia="zh-CN"/>
        </w:rPr>
        <w:t>该文稿属于</w:t>
      </w:r>
      <w:r>
        <w:rPr>
          <w:rFonts w:hint="eastAsia"/>
          <w:b w:val="0"/>
          <w:bCs w:val="0"/>
          <w:snapToGrid w:val="0"/>
          <w:kern w:val="0"/>
          <w:lang w:val="en-US" w:eastAsia="zh-CN"/>
        </w:rPr>
        <w:t>部门</w:t>
      </w:r>
      <w:r>
        <w:rPr>
          <w:rFonts w:hint="eastAsia" w:ascii="Times New Roman" w:hAnsi="Times New Roman"/>
          <w:b w:val="0"/>
          <w:bCs w:val="0"/>
          <w:snapToGrid w:val="0"/>
          <w:kern w:val="0"/>
          <w:lang w:val="en-US" w:eastAsia="zh-CN"/>
        </w:rPr>
        <w:t>行政规范性文件，</w:t>
      </w:r>
      <w:r>
        <w:rPr>
          <w:rFonts w:hint="eastAsia"/>
          <w:b w:val="0"/>
          <w:bCs w:val="0"/>
          <w:snapToGrid w:val="0"/>
          <w:kern w:val="0"/>
          <w:lang w:val="en-US" w:eastAsia="zh-CN"/>
        </w:rPr>
        <w:t>建议按照《宜良县行政规范性文件管理实施细则》有关规定，经办公会议审议通过、主要负责人签署后，由办公室进行统一登记、统一编号、统一公布，并报县人民政府备案</w:t>
      </w:r>
      <w:r>
        <w:rPr>
          <w:rFonts w:hint="eastAsia" w:ascii="Times New Roman" w:hAnsi="Times New Roman"/>
          <w:b w:val="0"/>
          <w:bCs w:val="0"/>
          <w:snapToGrid w:val="0"/>
          <w:kern w:val="0"/>
          <w:lang w:val="en-US" w:eastAsia="zh-CN"/>
        </w:rPr>
        <w:t>。</w:t>
      </w:r>
    </w:p>
    <w:p w14:paraId="7C88C4C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i w:val="0"/>
          <w:iCs w:val="0"/>
          <w:kern w:val="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kern w:val="2"/>
          <w:lang w:val="en-US" w:eastAsia="zh-CN"/>
        </w:rPr>
        <w:t>五、</w:t>
      </w:r>
      <w:r>
        <w:rPr>
          <w:rFonts w:hint="eastAsia" w:eastAsia="黑体" w:cs="黑体"/>
          <w:b w:val="0"/>
          <w:bCs w:val="0"/>
          <w:i w:val="0"/>
          <w:iCs w:val="0"/>
          <w:kern w:val="2"/>
          <w:lang w:val="en-US" w:eastAsia="zh-CN"/>
        </w:rPr>
        <w:t>领导意见</w:t>
      </w:r>
    </w:p>
    <w:p w14:paraId="4168B11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auto"/>
        <w:rPr>
          <w:rFonts w:hint="eastAsia"/>
          <w:b w:val="0"/>
          <w:bCs w:val="0"/>
          <w:i w:val="0"/>
          <w:iCs w:val="0"/>
          <w:snapToGrid w:val="0"/>
          <w:kern w:val="0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napToGrid w:val="0"/>
          <w:color w:val="auto"/>
          <w:kern w:val="0"/>
          <w:lang w:val="en-US" w:eastAsia="zh-CN"/>
        </w:rPr>
        <w:t>1.</w:t>
      </w:r>
      <w:r>
        <w:rPr>
          <w:rFonts w:hint="eastAsia"/>
          <w:b w:val="0"/>
          <w:bCs w:val="0"/>
          <w:i w:val="0"/>
          <w:iCs w:val="0"/>
          <w:snapToGrid w:val="0"/>
          <w:kern w:val="0"/>
          <w:lang w:val="en-US" w:eastAsia="zh-CN"/>
        </w:rPr>
        <w:t>2024年7月25日，局城乡建设中心领导集体讨论通过</w:t>
      </w:r>
      <w:r>
        <w:rPr>
          <w:rFonts w:hint="eastAsia"/>
          <w:b w:val="0"/>
          <w:bCs w:val="0"/>
          <w:i w:val="0"/>
          <w:iCs w:val="0"/>
          <w:kern w:val="2"/>
          <w:lang w:val="en-US" w:eastAsia="zh-CN"/>
        </w:rPr>
        <w:t>《宜良县住宅专项维修资金续交实施细则</w:t>
      </w:r>
      <w:r>
        <w:rPr>
          <w:rFonts w:hint="eastAsia"/>
          <w:b w:val="0"/>
          <w:bCs w:val="0"/>
          <w:i w:val="0"/>
          <w:iCs w:val="0"/>
          <w:snapToGrid w:val="0"/>
          <w:kern w:val="0"/>
          <w:lang w:val="en-US" w:eastAsia="zh-CN"/>
        </w:rPr>
        <w:t>（送审稿）》。</w:t>
      </w:r>
    </w:p>
    <w:p w14:paraId="0B7CCC4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auto"/>
        <w:rPr>
          <w:rFonts w:hint="eastAsia"/>
          <w:b w:val="0"/>
          <w:bCs w:val="0"/>
          <w:i w:val="0"/>
          <w:iCs w:val="0"/>
          <w:snapToGrid w:val="0"/>
          <w:kern w:val="0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napToGrid w:val="0"/>
          <w:kern w:val="0"/>
          <w:lang w:val="en-US" w:eastAsia="zh-CN"/>
        </w:rPr>
        <w:t>2.2024年7月25日，局领导班子集体讨论通过</w:t>
      </w:r>
      <w:r>
        <w:rPr>
          <w:rFonts w:hint="eastAsia"/>
          <w:b w:val="0"/>
          <w:bCs w:val="0"/>
          <w:i w:val="0"/>
          <w:iCs w:val="0"/>
          <w:kern w:val="2"/>
          <w:lang w:val="en-US" w:eastAsia="zh-CN"/>
        </w:rPr>
        <w:t>《宜良县住宅专项维修资金续交实施细则</w:t>
      </w:r>
      <w:r>
        <w:rPr>
          <w:rFonts w:hint="eastAsia"/>
          <w:b w:val="0"/>
          <w:bCs w:val="0"/>
          <w:i w:val="0"/>
          <w:iCs w:val="0"/>
          <w:snapToGrid w:val="0"/>
          <w:kern w:val="0"/>
          <w:lang w:val="en-US" w:eastAsia="zh-CN"/>
        </w:rPr>
        <w:t>（送审稿）》。</w:t>
      </w:r>
    </w:p>
    <w:p w14:paraId="5530F6F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both"/>
        <w:textAlignment w:val="auto"/>
        <w:rPr>
          <w:rFonts w:hint="eastAsia"/>
          <w:b w:val="0"/>
          <w:bCs w:val="0"/>
          <w:i w:val="0"/>
          <w:iCs w:val="0"/>
          <w:snapToGrid w:val="0"/>
          <w:color w:val="auto"/>
          <w:kern w:val="0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napToGrid w:val="0"/>
          <w:color w:val="auto"/>
          <w:kern w:val="0"/>
          <w:lang w:val="en-US" w:eastAsia="zh-CN"/>
        </w:rPr>
        <w:t>3.</w:t>
      </w:r>
      <w:r>
        <w:rPr>
          <w:rFonts w:hint="eastAsia"/>
          <w:b w:val="0"/>
          <w:bCs w:val="0"/>
          <w:i w:val="0"/>
          <w:iCs w:val="0"/>
          <w:snapToGrid w:val="0"/>
          <w:kern w:val="0"/>
          <w:lang w:val="en-US" w:eastAsia="zh-CN"/>
        </w:rPr>
        <w:t>2024年7月29日，</w:t>
      </w:r>
      <w:r>
        <w:rPr>
          <w:rFonts w:hint="eastAsia"/>
          <w:b w:val="0"/>
          <w:bCs w:val="0"/>
          <w:i w:val="0"/>
          <w:iCs w:val="0"/>
          <w:snapToGrid w:val="0"/>
          <w:color w:val="auto"/>
          <w:kern w:val="0"/>
          <w:lang w:val="en-US" w:eastAsia="zh-CN"/>
        </w:rPr>
        <w:t>县住建局徐艾东局长已会签文件。</w:t>
      </w:r>
    </w:p>
    <w:p w14:paraId="5B446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六、文件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实施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日期</w:t>
      </w:r>
    </w:p>
    <w:p w14:paraId="0F890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firstLine="632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该文件的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公布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日期是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u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u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u w:val="none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eastAsia" w:cs="Times New Roman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u w:val="none"/>
          <w:lang w:val="en-US" w:eastAsia="zh-CN" w:bidi="ar-SA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u w:val="none"/>
          <w:lang w:val="en-US" w:eastAsia="zh-CN" w:bidi="ar-SA"/>
        </w:rPr>
        <w:t>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，施行日期是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u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u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eastAsia" w:cs="Times New Roman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u w:val="none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eastAsia" w:cs="Times New Roman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u w:val="none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u w:val="none"/>
          <w:lang w:val="en-US" w:eastAsia="zh-CN" w:bidi="ar-SA"/>
        </w:rPr>
        <w:t>日</w:t>
      </w:r>
      <w:r>
        <w:rPr>
          <w:rFonts w:hint="eastAsia"/>
          <w:b w:val="0"/>
          <w:bCs w:val="0"/>
          <w:i w:val="0"/>
          <w:iCs w:val="0"/>
          <w:snapToGrid w:val="0"/>
          <w:kern w:val="0"/>
          <w:lang w:val="en-US" w:eastAsia="zh-CN"/>
        </w:rPr>
        <w:t>。</w:t>
      </w:r>
    </w:p>
    <w:sectPr>
      <w:footerReference r:id="rId5" w:type="default"/>
      <w:pgSz w:w="11906" w:h="16838"/>
      <w:pgMar w:top="2098" w:right="1474" w:bottom="1984" w:left="1587" w:header="708" w:footer="1587" w:gutter="0"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0ED54"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AF13A6B">
                <w:pPr>
                  <w:pStyle w:val="6"/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ind w:left="320" w:leftChars="100" w:right="32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7F971"/>
    <w:multiLevelType w:val="singleLevel"/>
    <w:tmpl w:val="8B47F97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RiZmEzMmYyZDBhNzhlMGEyNjhmNDYzODNjMDE5MWEifQ=="/>
  </w:docVars>
  <w:rsids>
    <w:rsidRoot w:val="00D31D50"/>
    <w:rsid w:val="00323B43"/>
    <w:rsid w:val="003D37D8"/>
    <w:rsid w:val="00426133"/>
    <w:rsid w:val="004358AB"/>
    <w:rsid w:val="008B7726"/>
    <w:rsid w:val="00D31D50"/>
    <w:rsid w:val="02EB78F5"/>
    <w:rsid w:val="03FD48E9"/>
    <w:rsid w:val="067D3378"/>
    <w:rsid w:val="07D93960"/>
    <w:rsid w:val="080D690E"/>
    <w:rsid w:val="09BC0D51"/>
    <w:rsid w:val="0C106B68"/>
    <w:rsid w:val="0ED7244F"/>
    <w:rsid w:val="0F37393E"/>
    <w:rsid w:val="0F711E78"/>
    <w:rsid w:val="104364A2"/>
    <w:rsid w:val="105477D0"/>
    <w:rsid w:val="10806817"/>
    <w:rsid w:val="10A63170"/>
    <w:rsid w:val="10AC760C"/>
    <w:rsid w:val="13AE369B"/>
    <w:rsid w:val="13B50586"/>
    <w:rsid w:val="179F7397"/>
    <w:rsid w:val="18012888"/>
    <w:rsid w:val="18027B12"/>
    <w:rsid w:val="18C75C09"/>
    <w:rsid w:val="1BD430DA"/>
    <w:rsid w:val="1C7F16B6"/>
    <w:rsid w:val="1CC1694E"/>
    <w:rsid w:val="1D106753"/>
    <w:rsid w:val="1DDC778A"/>
    <w:rsid w:val="1E05210A"/>
    <w:rsid w:val="1E1260A9"/>
    <w:rsid w:val="1EF77E44"/>
    <w:rsid w:val="1F300E91"/>
    <w:rsid w:val="206C7D88"/>
    <w:rsid w:val="20A164A0"/>
    <w:rsid w:val="22544D97"/>
    <w:rsid w:val="22A00653"/>
    <w:rsid w:val="24C26825"/>
    <w:rsid w:val="24E24F53"/>
    <w:rsid w:val="251770F3"/>
    <w:rsid w:val="257162D7"/>
    <w:rsid w:val="26FD5492"/>
    <w:rsid w:val="2C414C55"/>
    <w:rsid w:val="2C78619D"/>
    <w:rsid w:val="2E426687"/>
    <w:rsid w:val="2E697423"/>
    <w:rsid w:val="2F4D1349"/>
    <w:rsid w:val="309230B5"/>
    <w:rsid w:val="3260395B"/>
    <w:rsid w:val="35E13004"/>
    <w:rsid w:val="35F7491D"/>
    <w:rsid w:val="36E92171"/>
    <w:rsid w:val="372908C6"/>
    <w:rsid w:val="3A84586E"/>
    <w:rsid w:val="3BB80BDF"/>
    <w:rsid w:val="3C152AF5"/>
    <w:rsid w:val="3E1D4BFE"/>
    <w:rsid w:val="3FCB3F44"/>
    <w:rsid w:val="42127FFC"/>
    <w:rsid w:val="431504F2"/>
    <w:rsid w:val="434150E2"/>
    <w:rsid w:val="43727992"/>
    <w:rsid w:val="44892815"/>
    <w:rsid w:val="450921D6"/>
    <w:rsid w:val="455740C4"/>
    <w:rsid w:val="45D4223E"/>
    <w:rsid w:val="47704E7C"/>
    <w:rsid w:val="48276B7A"/>
    <w:rsid w:val="49844E60"/>
    <w:rsid w:val="49C820BA"/>
    <w:rsid w:val="4B8F3A59"/>
    <w:rsid w:val="4BD44D46"/>
    <w:rsid w:val="4BEC198B"/>
    <w:rsid w:val="4BEC751C"/>
    <w:rsid w:val="4DAE5A5A"/>
    <w:rsid w:val="4E124FAD"/>
    <w:rsid w:val="4E441A1E"/>
    <w:rsid w:val="505446A7"/>
    <w:rsid w:val="51F779E0"/>
    <w:rsid w:val="52232583"/>
    <w:rsid w:val="52257263"/>
    <w:rsid w:val="52A3619C"/>
    <w:rsid w:val="52D83CFF"/>
    <w:rsid w:val="52E756D8"/>
    <w:rsid w:val="52FE6B4C"/>
    <w:rsid w:val="53465D4B"/>
    <w:rsid w:val="53B611D5"/>
    <w:rsid w:val="54BF230B"/>
    <w:rsid w:val="570566FB"/>
    <w:rsid w:val="59E20201"/>
    <w:rsid w:val="5B3B7F0C"/>
    <w:rsid w:val="5C463A8F"/>
    <w:rsid w:val="5DCD299C"/>
    <w:rsid w:val="5F6D308F"/>
    <w:rsid w:val="5FA727F6"/>
    <w:rsid w:val="60235E44"/>
    <w:rsid w:val="614D472B"/>
    <w:rsid w:val="6165658B"/>
    <w:rsid w:val="633839B4"/>
    <w:rsid w:val="64601415"/>
    <w:rsid w:val="65714817"/>
    <w:rsid w:val="65CA525D"/>
    <w:rsid w:val="66313FE8"/>
    <w:rsid w:val="666F3177"/>
    <w:rsid w:val="67245D52"/>
    <w:rsid w:val="69792EBA"/>
    <w:rsid w:val="69B66220"/>
    <w:rsid w:val="6C536416"/>
    <w:rsid w:val="6D0E47B3"/>
    <w:rsid w:val="6F293623"/>
    <w:rsid w:val="718B4AFC"/>
    <w:rsid w:val="72807126"/>
    <w:rsid w:val="74980757"/>
    <w:rsid w:val="75332F6F"/>
    <w:rsid w:val="75416D1D"/>
    <w:rsid w:val="755A5A0C"/>
    <w:rsid w:val="75C62E6D"/>
    <w:rsid w:val="75CC75E8"/>
    <w:rsid w:val="767F2DB4"/>
    <w:rsid w:val="76CE0460"/>
    <w:rsid w:val="76FD1A79"/>
    <w:rsid w:val="79D04AB4"/>
    <w:rsid w:val="7AB7745D"/>
    <w:rsid w:val="7BF00E78"/>
    <w:rsid w:val="7DE824C6"/>
    <w:rsid w:val="7E4956EC"/>
    <w:rsid w:val="7EE30820"/>
    <w:rsid w:val="7FC8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imes New Roman" w:hAnsi="Times New Roman" w:eastAsia="仿宋_GB2312" w:cs="仿宋_GB2312"/>
      <w:color w:val="000000" w:themeColor="text1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autoSpaceDE w:val="0"/>
      <w:autoSpaceDN w:val="0"/>
      <w:adjustRightInd w:val="0"/>
      <w:ind w:left="486"/>
      <w:jc w:val="left"/>
      <w:outlineLvl w:val="0"/>
    </w:pPr>
    <w:rPr>
      <w:rFonts w:ascii="宋体"/>
      <w:kern w:val="0"/>
      <w:sz w:val="42"/>
      <w:szCs w:val="4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  <w:rPr>
      <w:rFonts w:ascii="Calibri" w:hAnsi="Calibri" w:eastAsia="宋体"/>
      <w:sz w:val="21"/>
      <w:szCs w:val="28"/>
    </w:rPr>
  </w:style>
  <w:style w:type="paragraph" w:styleId="5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6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1958</Words>
  <Characters>2040</Characters>
  <Lines>1</Lines>
  <Paragraphs>1</Paragraphs>
  <TotalTime>2</TotalTime>
  <ScaleCrop>false</ScaleCrop>
  <LinksUpToDate>false</LinksUpToDate>
  <CharactersWithSpaces>2040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CW</cp:lastModifiedBy>
  <cp:lastPrinted>2024-07-31T08:35:00Z</cp:lastPrinted>
  <dcterms:modified xsi:type="dcterms:W3CDTF">2025-01-06T02:51:25Z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EA9209FB0FAE4E2D86FCD8F0B3D079A9_12</vt:lpwstr>
  </property>
</Properties>
</file>