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40741">
      <w:pPr>
        <w:keepNext w:val="0"/>
        <w:keepLines w:val="0"/>
        <w:pageBreakBefore w:val="0"/>
        <w:widowControl w:val="0"/>
        <w:kinsoku/>
        <w:wordWrap/>
        <w:overflowPunct/>
        <w:topLinePunct/>
        <w:autoSpaceDE/>
        <w:autoSpaceDN/>
        <w:bidi w:val="0"/>
        <w:adjustRightInd w:val="0"/>
        <w:snapToGrid w:val="0"/>
        <w:spacing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i w:val="0"/>
          <w:iCs w:val="0"/>
          <w:sz w:val="44"/>
          <w:szCs w:val="44"/>
          <w:lang w:eastAsia="zh-CN"/>
        </w:rPr>
      </w:pPr>
      <w:r>
        <w:rPr>
          <w:rFonts w:hint="eastAsia" w:ascii="方正小标宋简体" w:hAnsi="方正小标宋简体" w:eastAsia="方正小标宋简体" w:cs="方正小标宋简体"/>
          <w:i w:val="0"/>
          <w:iCs w:val="0"/>
          <w:sz w:val="44"/>
          <w:szCs w:val="44"/>
          <w:lang w:eastAsia="zh-CN"/>
        </w:rPr>
        <w:t>宜良县住房和城乡建设局</w:t>
      </w:r>
    </w:p>
    <w:p w14:paraId="3B76BB1D">
      <w:pPr>
        <w:keepNext w:val="0"/>
        <w:keepLines w:val="0"/>
        <w:pageBreakBefore w:val="0"/>
        <w:widowControl w:val="0"/>
        <w:kinsoku/>
        <w:wordWrap/>
        <w:overflowPunct/>
        <w:topLinePunct/>
        <w:autoSpaceDE/>
        <w:autoSpaceDN/>
        <w:bidi w:val="0"/>
        <w:adjustRightInd w:val="0"/>
        <w:snapToGrid w:val="0"/>
        <w:spacing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i w:val="0"/>
          <w:iCs w:val="0"/>
          <w:sz w:val="44"/>
          <w:szCs w:val="44"/>
        </w:rPr>
      </w:pPr>
      <w:r>
        <w:rPr>
          <w:rFonts w:hint="eastAsia" w:ascii="方正小标宋简体" w:hAnsi="方正小标宋简体" w:eastAsia="方正小标宋简体" w:cs="方正小标宋简体"/>
          <w:i w:val="0"/>
          <w:iCs w:val="0"/>
          <w:sz w:val="44"/>
          <w:szCs w:val="44"/>
          <w:lang w:eastAsia="zh-CN"/>
        </w:rPr>
        <w:t>关于《宜良县住宅专项维修资金使用管理实施细则》</w:t>
      </w:r>
      <w:r>
        <w:rPr>
          <w:rFonts w:hint="eastAsia" w:ascii="方正小标宋简体" w:hAnsi="方正小标宋简体" w:eastAsia="方正小标宋简体" w:cs="方正小标宋简体"/>
          <w:i w:val="0"/>
          <w:iCs w:val="0"/>
          <w:sz w:val="44"/>
          <w:szCs w:val="44"/>
        </w:rPr>
        <w:t>的起草说明</w:t>
      </w:r>
    </w:p>
    <w:p w14:paraId="0DA4333B">
      <w:pPr>
        <w:keepNext w:val="0"/>
        <w:keepLines w:val="0"/>
        <w:pageBreakBefore w:val="0"/>
        <w:widowControl w:val="0"/>
        <w:kinsoku/>
        <w:wordWrap/>
        <w:overflowPunct/>
        <w:topLinePunct/>
        <w:autoSpaceDE/>
        <w:autoSpaceDN/>
        <w:bidi w:val="0"/>
        <w:adjustRightInd w:val="0"/>
        <w:snapToGrid w:val="0"/>
        <w:spacing w:after="0" w:line="560" w:lineRule="exact"/>
        <w:ind w:left="0" w:leftChars="0"/>
        <w:textAlignment w:val="auto"/>
        <w:rPr>
          <w:rFonts w:hint="eastAsia"/>
          <w:i w:val="0"/>
          <w:iCs w:val="0"/>
        </w:rPr>
      </w:pPr>
    </w:p>
    <w:p w14:paraId="3236BF67">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ascii="Times New Roman" w:hAnsi="Times New Roman"/>
          <w:b w:val="0"/>
          <w:bCs w:val="0"/>
          <w:i w:val="0"/>
          <w:iCs w:val="0"/>
          <w:kern w:val="2"/>
        </w:rPr>
      </w:pPr>
      <w:r>
        <w:rPr>
          <w:rFonts w:hint="eastAsia" w:ascii="Times New Roman" w:hAnsi="Times New Roman"/>
          <w:b w:val="0"/>
          <w:bCs w:val="0"/>
          <w:i w:val="0"/>
          <w:iCs w:val="0"/>
          <w:kern w:val="2"/>
        </w:rPr>
        <w:t>根据</w:t>
      </w:r>
      <w:r>
        <w:rPr>
          <w:rFonts w:hint="eastAsia" w:ascii="Times New Roman" w:hAnsi="Times New Roman"/>
          <w:b w:val="0"/>
          <w:bCs w:val="0"/>
          <w:i w:val="0"/>
          <w:iCs w:val="0"/>
          <w:kern w:val="2"/>
          <w:lang w:val="en-US" w:eastAsia="zh-CN"/>
        </w:rPr>
        <w:t>《宜良县行政规范性文件管理实施细则》</w:t>
      </w:r>
      <w:r>
        <w:rPr>
          <w:rFonts w:hint="eastAsia"/>
          <w:b w:val="0"/>
          <w:bCs w:val="0"/>
          <w:i w:val="0"/>
          <w:iCs w:val="0"/>
          <w:kern w:val="2"/>
          <w:lang w:val="en-US" w:eastAsia="zh-CN"/>
        </w:rPr>
        <w:t>第二十一条规定</w:t>
      </w:r>
      <w:r>
        <w:rPr>
          <w:rFonts w:hint="eastAsia" w:ascii="Times New Roman" w:hAnsi="Times New Roman"/>
          <w:b w:val="0"/>
          <w:bCs w:val="0"/>
          <w:i w:val="0"/>
          <w:iCs w:val="0"/>
          <w:kern w:val="2"/>
        </w:rPr>
        <w:t>，现</w:t>
      </w:r>
      <w:r>
        <w:rPr>
          <w:rFonts w:hint="eastAsia"/>
          <w:b w:val="0"/>
          <w:bCs w:val="0"/>
          <w:i w:val="0"/>
          <w:iCs w:val="0"/>
          <w:kern w:val="2"/>
          <w:lang w:val="en-US" w:eastAsia="zh-CN"/>
        </w:rPr>
        <w:t>就报送审查的《宜良县住宅专项维修资金使用管理实施细则》有关情况说明如下</w:t>
      </w:r>
      <w:r>
        <w:rPr>
          <w:rFonts w:hint="eastAsia" w:ascii="Times New Roman" w:hAnsi="Times New Roman"/>
          <w:b w:val="0"/>
          <w:bCs w:val="0"/>
          <w:i w:val="0"/>
          <w:iCs w:val="0"/>
          <w:kern w:val="2"/>
        </w:rPr>
        <w:t>：</w:t>
      </w:r>
    </w:p>
    <w:p w14:paraId="3A5F6261">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firstLine="632" w:firstLineChars="200"/>
        <w:jc w:val="both"/>
        <w:textAlignment w:val="auto"/>
        <w:rPr>
          <w:rFonts w:hint="eastAsia" w:eastAsia="黑体" w:cs="黑体"/>
          <w:b w:val="0"/>
          <w:bCs w:val="0"/>
          <w:i w:val="0"/>
          <w:iCs w:val="0"/>
          <w:snapToGrid w:val="0"/>
          <w:kern w:val="0"/>
          <w:lang w:val="en-US" w:eastAsia="zh-CN"/>
        </w:rPr>
      </w:pPr>
      <w:r>
        <w:rPr>
          <w:rFonts w:hint="eastAsia" w:eastAsia="黑体" w:cs="黑体"/>
          <w:b w:val="0"/>
          <w:bCs w:val="0"/>
          <w:i w:val="0"/>
          <w:iCs w:val="0"/>
          <w:snapToGrid w:val="0"/>
          <w:kern w:val="0"/>
          <w:lang w:val="en-US" w:eastAsia="zh-CN"/>
        </w:rPr>
        <w:t>一、制定文件的必要性</w:t>
      </w:r>
    </w:p>
    <w:p w14:paraId="48B30FBB">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firstLine="632"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w:t>
      </w:r>
      <w:r>
        <w:rPr>
          <w:rFonts w:hint="eastAsia" w:ascii="Times New Roman" w:hAnsi="Times New Roman" w:eastAsia="仿宋_GB2312" w:cs="Times New Roman"/>
          <w:b w:val="0"/>
          <w:bCs w:val="0"/>
          <w:color w:val="auto"/>
          <w:sz w:val="32"/>
          <w:szCs w:val="32"/>
          <w:highlight w:val="none"/>
          <w:lang w:eastAsia="zh-CN"/>
        </w:rPr>
        <w:t>制定</w:t>
      </w:r>
      <w:r>
        <w:rPr>
          <w:rFonts w:hint="default" w:ascii="Times New Roman" w:hAnsi="Times New Roman" w:eastAsia="仿宋_GB2312" w:cs="Times New Roman"/>
          <w:b w:val="0"/>
          <w:bCs w:val="0"/>
          <w:color w:val="auto"/>
          <w:sz w:val="32"/>
          <w:szCs w:val="32"/>
          <w:highlight w:val="none"/>
        </w:rPr>
        <w:t>背景</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为规范宜良县住宅专项维修资金使用管理工作，提高维修资金使用效率，根据</w:t>
      </w:r>
      <w:r>
        <w:rPr>
          <w:rFonts w:hint="default" w:ascii="Times New Roman" w:hAnsi="Times New Roman" w:eastAsia="仿宋_GB2312" w:cs="Times New Roman"/>
          <w:b w:val="0"/>
          <w:bCs w:val="0"/>
          <w:color w:val="auto"/>
          <w:sz w:val="32"/>
          <w:szCs w:val="32"/>
          <w:highlight w:val="none"/>
        </w:rPr>
        <w:t>《住宅专项维修资金管理办法》</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建设部</w:t>
      </w:r>
      <w:r>
        <w:rPr>
          <w:rFonts w:hint="eastAsia" w:ascii="Times New Roman" w:hAnsi="Times New Roman" w:eastAsia="仿宋_GB2312" w:cs="Times New Roman"/>
          <w:b w:val="0"/>
          <w:bCs w:val="0"/>
          <w:color w:val="auto"/>
          <w:sz w:val="32"/>
          <w:szCs w:val="32"/>
          <w:highlight w:val="none"/>
          <w:lang w:val="en-US" w:eastAsia="zh-CN"/>
        </w:rPr>
        <w:t>、财政部</w:t>
      </w:r>
      <w:r>
        <w:rPr>
          <w:rFonts w:hint="default" w:ascii="Times New Roman" w:hAnsi="Times New Roman" w:eastAsia="仿宋_GB2312" w:cs="Times New Roman"/>
          <w:b w:val="0"/>
          <w:bCs w:val="0"/>
          <w:color w:val="auto"/>
          <w:sz w:val="32"/>
          <w:szCs w:val="32"/>
          <w:highlight w:val="none"/>
          <w:lang w:val="en-US" w:eastAsia="zh-CN"/>
        </w:rPr>
        <w:t>令第165号</w:t>
      </w:r>
      <w:r>
        <w:rPr>
          <w:rFonts w:hint="default" w:ascii="Times New Roman" w:hAnsi="Times New Roman" w:eastAsia="仿宋_GB2312" w:cs="Times New Roman"/>
          <w:b w:val="0"/>
          <w:bCs w:val="0"/>
          <w:color w:val="auto"/>
          <w:sz w:val="32"/>
          <w:szCs w:val="32"/>
          <w:highlight w:val="none"/>
          <w:lang w:eastAsia="zh-CN"/>
        </w:rPr>
        <w:t>）</w:t>
      </w:r>
      <w:r>
        <w:rPr>
          <w:rFonts w:hint="eastAsia" w:cs="Times New Roman"/>
          <w:b w:val="0"/>
          <w:bCs w:val="0"/>
          <w:color w:val="auto"/>
          <w:sz w:val="32"/>
          <w:szCs w:val="32"/>
          <w:highlight w:val="none"/>
          <w:lang w:eastAsia="zh-CN"/>
        </w:rPr>
        <w:t>和云南</w:t>
      </w:r>
      <w:r>
        <w:rPr>
          <w:rFonts w:hint="default" w:ascii="Times New Roman" w:hAnsi="Times New Roman" w:eastAsia="仿宋_GB2312" w:cs="Times New Roman"/>
          <w:b w:val="0"/>
          <w:bCs w:val="0"/>
          <w:color w:val="auto"/>
          <w:sz w:val="32"/>
          <w:szCs w:val="32"/>
          <w:highlight w:val="none"/>
          <w:lang w:val="en-US" w:eastAsia="zh-CN"/>
        </w:rPr>
        <w:t>省住</w:t>
      </w:r>
      <w:r>
        <w:rPr>
          <w:rFonts w:hint="eastAsia" w:cs="Times New Roman"/>
          <w:b w:val="0"/>
          <w:bCs w:val="0"/>
          <w:color w:val="auto"/>
          <w:sz w:val="32"/>
          <w:szCs w:val="32"/>
          <w:highlight w:val="none"/>
          <w:lang w:val="en-US" w:eastAsia="zh-CN"/>
        </w:rPr>
        <w:t>房和城乡建设</w:t>
      </w:r>
      <w:r>
        <w:rPr>
          <w:rFonts w:hint="default" w:ascii="Times New Roman" w:hAnsi="Times New Roman" w:eastAsia="仿宋_GB2312" w:cs="Times New Roman"/>
          <w:b w:val="0"/>
          <w:bCs w:val="0"/>
          <w:color w:val="auto"/>
          <w:sz w:val="32"/>
          <w:szCs w:val="32"/>
          <w:highlight w:val="none"/>
          <w:lang w:val="en-US" w:eastAsia="zh-CN"/>
        </w:rPr>
        <w:t>厅、</w:t>
      </w:r>
      <w:r>
        <w:rPr>
          <w:rFonts w:hint="eastAsia" w:cs="Times New Roman"/>
          <w:b w:val="0"/>
          <w:bCs w:val="0"/>
          <w:color w:val="auto"/>
          <w:sz w:val="32"/>
          <w:szCs w:val="32"/>
          <w:highlight w:val="none"/>
          <w:lang w:eastAsia="zh-CN"/>
        </w:rPr>
        <w:t>云南</w:t>
      </w:r>
      <w:r>
        <w:rPr>
          <w:rFonts w:hint="default" w:ascii="Times New Roman" w:hAnsi="Times New Roman" w:eastAsia="仿宋_GB2312" w:cs="Times New Roman"/>
          <w:b w:val="0"/>
          <w:bCs w:val="0"/>
          <w:color w:val="auto"/>
          <w:sz w:val="32"/>
          <w:szCs w:val="32"/>
          <w:highlight w:val="none"/>
          <w:lang w:val="en-US" w:eastAsia="zh-CN"/>
        </w:rPr>
        <w:t>省财政厅、</w:t>
      </w:r>
      <w:r>
        <w:rPr>
          <w:rFonts w:hint="eastAsia" w:cs="Times New Roman"/>
          <w:b w:val="0"/>
          <w:bCs w:val="0"/>
          <w:color w:val="auto"/>
          <w:sz w:val="32"/>
          <w:szCs w:val="32"/>
          <w:highlight w:val="none"/>
          <w:lang w:eastAsia="zh-CN"/>
        </w:rPr>
        <w:t>云南</w:t>
      </w:r>
      <w:r>
        <w:rPr>
          <w:rFonts w:hint="default" w:ascii="Times New Roman" w:hAnsi="Times New Roman" w:eastAsia="仿宋_GB2312" w:cs="Times New Roman"/>
          <w:b w:val="0"/>
          <w:bCs w:val="0"/>
          <w:color w:val="auto"/>
          <w:sz w:val="32"/>
          <w:szCs w:val="32"/>
          <w:highlight w:val="none"/>
          <w:lang w:val="en-US" w:eastAsia="zh-CN"/>
        </w:rPr>
        <w:t>省审计厅</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关于进一步加强和规范城镇小区住宅专项维修资金管理的实施意见》（云建房〔2015〕189号）</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有关规定，结合</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
        </w:rPr>
        <w:t>宜良县</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实际，制定该实施细则。</w:t>
      </w:r>
      <w:r>
        <w:rPr>
          <w:rFonts w:hint="eastAsia" w:cs="Times New Roman"/>
          <w:b w:val="0"/>
          <w:bCs w:val="0"/>
          <w:snapToGrid w:val="0"/>
          <w:color w:val="auto"/>
          <w:spacing w:val="0"/>
          <w:kern w:val="0"/>
          <w:sz w:val="32"/>
          <w:szCs w:val="32"/>
          <w:highlight w:val="none"/>
          <w:lang w:val="en-US" w:eastAsia="zh-CN" w:bidi="ar"/>
        </w:rPr>
        <w:t>自</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20</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
        </w:rPr>
        <w:t>24</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年4月</w:t>
      </w:r>
      <w:r>
        <w:rPr>
          <w:rFonts w:hint="eastAsia" w:cs="Times New Roman"/>
          <w:b w:val="0"/>
          <w:bCs w:val="0"/>
          <w:snapToGrid w:val="0"/>
          <w:color w:val="auto"/>
          <w:spacing w:val="0"/>
          <w:kern w:val="0"/>
          <w:sz w:val="32"/>
          <w:szCs w:val="32"/>
          <w:highlight w:val="none"/>
          <w:lang w:val="en-US" w:eastAsia="zh-CN" w:bidi="ar"/>
        </w:rPr>
        <w:t>开始</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
        </w:rPr>
        <w:t>县住建</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局多次组织讨论，</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
        </w:rPr>
        <w:t>并征求县司法局</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及</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
        </w:rPr>
        <w:t>凌云律师</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事务所意见，修改完善后</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
        </w:rPr>
        <w:t>形成</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征求意见</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
        </w:rPr>
        <w:t>稿</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w:t>
      </w:r>
    </w:p>
    <w:p w14:paraId="55DA94F7">
      <w:pPr>
        <w:keepNext w:val="0"/>
        <w:keepLines w:val="0"/>
        <w:pageBreakBefore w:val="0"/>
        <w:widowControl w:val="0"/>
        <w:kinsoku/>
        <w:wordWrap/>
        <w:overflowPunct/>
        <w:topLinePunct/>
        <w:autoSpaceDE/>
        <w:autoSpaceDN/>
        <w:bidi w:val="0"/>
        <w:adjustRightInd/>
        <w:snapToGrid/>
        <w:spacing w:after="0" w:line="560" w:lineRule="exact"/>
        <w:ind w:firstLine="632"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必要性：住宅是个大商品，是群众关心的热点，它关系到群众的切身利益，关系到社会的稳定。随着住房制度改革的不断深化，住房商品化已经深入人心，业主对住房的套内装修、维护非常重视，但对共用部位、设施、设备的维修重视不够，直接影响着小区整体功能的发挥和正常使用。建立住宅专项维修资金制度，就是为了保障住宅共用部位、共用设施设备的维修和正常使用，维护业主的合法权益，切实解决业主购房的后顾之忧。</w:t>
      </w:r>
    </w:p>
    <w:p w14:paraId="053914D6">
      <w:pPr>
        <w:keepNext w:val="0"/>
        <w:keepLines w:val="0"/>
        <w:pageBreakBefore w:val="0"/>
        <w:widowControl w:val="0"/>
        <w:kinsoku/>
        <w:wordWrap/>
        <w:overflowPunct/>
        <w:topLinePunct/>
        <w:autoSpaceDE/>
        <w:autoSpaceDN/>
        <w:bidi w:val="0"/>
        <w:adjustRightInd/>
        <w:snapToGrid/>
        <w:spacing w:after="0" w:line="560" w:lineRule="exact"/>
        <w:ind w:firstLine="632"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3.可行性：可加强和规范全县住宅专项维修资金管理，</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提高维修资金使用效率</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
        </w:rPr>
        <w:t>，</w:t>
      </w:r>
      <w:r>
        <w:rPr>
          <w:rFonts w:hint="eastAsia" w:ascii="Times New Roman" w:hAnsi="Times New Roman" w:eastAsia="仿宋_GB2312" w:cs="Times New Roman"/>
          <w:b w:val="0"/>
          <w:bCs w:val="0"/>
          <w:color w:val="auto"/>
          <w:sz w:val="32"/>
          <w:szCs w:val="32"/>
          <w:highlight w:val="none"/>
          <w:lang w:val="en-US" w:eastAsia="zh-CN"/>
        </w:rPr>
        <w:t>维护住宅专项维修资金所有人的合法权益，保障共用部位、共用设施设备正常使用。</w:t>
      </w:r>
    </w:p>
    <w:p w14:paraId="17DAD0B6">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4.合理性：</w:t>
      </w:r>
      <w:r>
        <w:rPr>
          <w:rFonts w:hint="default" w:ascii="Times New Roman" w:hAnsi="Times New Roman" w:eastAsia="仿宋_GB2312" w:cs="Times New Roman"/>
          <w:b w:val="0"/>
          <w:bCs w:val="0"/>
          <w:color w:val="auto"/>
          <w:sz w:val="32"/>
          <w:szCs w:val="32"/>
          <w:highlight w:val="none"/>
          <w:lang w:val="en-US" w:eastAsia="zh-CN"/>
        </w:rPr>
        <w:t>明确</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住宅专项维修资金</w:t>
      </w:r>
      <w:r>
        <w:rPr>
          <w:rFonts w:hint="default" w:ascii="Times New Roman" w:hAnsi="Times New Roman" w:eastAsia="仿宋_GB2312" w:cs="Times New Roman"/>
          <w:b w:val="0"/>
          <w:bCs w:val="0"/>
          <w:color w:val="auto"/>
          <w:sz w:val="32"/>
          <w:szCs w:val="32"/>
          <w:highlight w:val="none"/>
          <w:lang w:val="en-US" w:eastAsia="zh-CN"/>
        </w:rPr>
        <w:t>使用管理制度</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确保区域</w:t>
      </w:r>
      <w:r>
        <w:rPr>
          <w:rFonts w:hint="eastAsia" w:ascii="Times New Roman" w:hAnsi="Times New Roman" w:eastAsia="仿宋_GB2312" w:cs="Times New Roman"/>
          <w:b w:val="0"/>
          <w:bCs w:val="0"/>
          <w:color w:val="auto"/>
          <w:sz w:val="32"/>
          <w:szCs w:val="32"/>
          <w:highlight w:val="none"/>
          <w:lang w:val="en-US" w:eastAsia="zh-CN"/>
        </w:rPr>
        <w:t>内</w:t>
      </w:r>
      <w:r>
        <w:rPr>
          <w:rFonts w:hint="default" w:ascii="Times New Roman" w:hAnsi="Times New Roman" w:eastAsia="仿宋_GB2312" w:cs="Times New Roman"/>
          <w:b w:val="0"/>
          <w:bCs w:val="0"/>
          <w:color w:val="auto"/>
          <w:sz w:val="32"/>
          <w:szCs w:val="32"/>
          <w:highlight w:val="none"/>
          <w:lang w:val="en-US" w:eastAsia="zh-CN"/>
        </w:rPr>
        <w:t>共用部位、共用设施设备及时得到维修、更新、改造</w:t>
      </w:r>
      <w:r>
        <w:rPr>
          <w:rFonts w:hint="eastAsia" w:ascii="Times New Roman" w:hAnsi="Times New Roman" w:eastAsia="仿宋_GB2312" w:cs="Times New Roman"/>
          <w:b w:val="0"/>
          <w:bCs w:val="0"/>
          <w:color w:val="auto"/>
          <w:sz w:val="32"/>
          <w:szCs w:val="32"/>
          <w:highlight w:val="none"/>
          <w:lang w:val="en-US" w:eastAsia="zh-CN"/>
        </w:rPr>
        <w:t>，真正使住宅专项维修资金成为住宅工程的“养老金”和“医疗金”。</w:t>
      </w:r>
    </w:p>
    <w:p w14:paraId="6F2DF2D1">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default" w:ascii="Times New Roman" w:hAnsi="Times New Roman" w:eastAsia="黑体" w:cs="黑体"/>
          <w:b w:val="0"/>
          <w:bCs w:val="0"/>
          <w:i w:val="0"/>
          <w:iCs w:val="0"/>
          <w:snapToGrid w:val="0"/>
          <w:kern w:val="0"/>
          <w:lang w:val="en-US" w:eastAsia="zh-CN"/>
        </w:rPr>
      </w:pPr>
      <w:r>
        <w:rPr>
          <w:rFonts w:hint="eastAsia" w:ascii="Times New Roman" w:hAnsi="Times New Roman" w:eastAsia="黑体" w:cs="黑体"/>
          <w:b w:val="0"/>
          <w:bCs w:val="0"/>
          <w:i w:val="0"/>
          <w:iCs w:val="0"/>
          <w:snapToGrid w:val="0"/>
          <w:kern w:val="0"/>
          <w:lang w:val="en-US" w:eastAsia="zh-CN"/>
        </w:rPr>
        <w:t>二、</w:t>
      </w:r>
      <w:r>
        <w:rPr>
          <w:rFonts w:hint="eastAsia" w:eastAsia="黑体" w:cs="黑体"/>
          <w:b w:val="0"/>
          <w:bCs w:val="0"/>
          <w:i w:val="0"/>
          <w:iCs w:val="0"/>
          <w:snapToGrid w:val="0"/>
          <w:kern w:val="0"/>
          <w:lang w:val="en-US" w:eastAsia="zh-CN"/>
        </w:rPr>
        <w:t>文件制定依据</w:t>
      </w:r>
    </w:p>
    <w:p w14:paraId="5041D3C8">
      <w:pPr>
        <w:keepNext w:val="0"/>
        <w:keepLines w:val="0"/>
        <w:pageBreakBefore w:val="0"/>
        <w:widowControl w:val="0"/>
        <w:suppressLineNumbers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default" w:ascii="Times New Roman" w:hAnsi="Times New Roman" w:eastAsia="仿宋_GB2312" w:cs="Times New Roman"/>
          <w:b w:val="0"/>
          <w:bCs w:val="0"/>
          <w:i w:val="0"/>
          <w:iCs w:val="0"/>
          <w:snapToGrid w:val="0"/>
          <w:color w:val="auto"/>
          <w:kern w:val="0"/>
          <w:sz w:val="32"/>
          <w:szCs w:val="32"/>
          <w:highlight w:val="none"/>
          <w:lang w:val="en-US" w:eastAsia="zh-CN"/>
        </w:rPr>
      </w:pPr>
      <w:r>
        <w:rPr>
          <w:rFonts w:hint="eastAsia" w:ascii="Times New Roman" w:hAnsi="Times New Roman" w:eastAsia="仿宋_GB2312" w:cs="Times New Roman"/>
          <w:b w:val="0"/>
          <w:bCs w:val="0"/>
          <w:snapToGrid w:val="0"/>
          <w:color w:val="auto"/>
          <w:spacing w:val="0"/>
          <w:kern w:val="0"/>
          <w:sz w:val="32"/>
          <w:szCs w:val="32"/>
          <w:highlight w:val="none"/>
          <w:lang w:val="en-US" w:eastAsia="zh-CN" w:bidi="ar"/>
        </w:rPr>
        <w:t>1.</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《住宅专项维修资金管理办法》（建设部</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
        </w:rPr>
        <w:t>、财政部</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令第165号）</w:t>
      </w:r>
      <w:r>
        <w:rPr>
          <w:rFonts w:hint="default" w:ascii="Times New Roman" w:hAnsi="Times New Roman" w:eastAsia="仿宋_GB2312" w:cs="Times New Roman"/>
          <w:b w:val="0"/>
          <w:bCs w:val="0"/>
          <w:i w:val="0"/>
          <w:iCs w:val="0"/>
          <w:snapToGrid w:val="0"/>
          <w:color w:val="auto"/>
          <w:kern w:val="0"/>
          <w:sz w:val="32"/>
          <w:szCs w:val="32"/>
          <w:highlight w:val="none"/>
          <w:lang w:val="en-US" w:eastAsia="zh-CN"/>
        </w:rPr>
        <w:t>（部门规章）</w:t>
      </w:r>
      <w:r>
        <w:rPr>
          <w:rFonts w:hint="eastAsia" w:cs="Times New Roman"/>
          <w:b w:val="0"/>
          <w:bCs w:val="0"/>
          <w:i w:val="0"/>
          <w:iCs w:val="0"/>
          <w:snapToGrid w:val="0"/>
          <w:color w:val="auto"/>
          <w:kern w:val="0"/>
          <w:sz w:val="32"/>
          <w:szCs w:val="32"/>
          <w:highlight w:val="none"/>
          <w:lang w:val="en-US" w:eastAsia="zh-CN"/>
        </w:rPr>
        <w:t>。</w:t>
      </w:r>
    </w:p>
    <w:p w14:paraId="203CA161">
      <w:pPr>
        <w:keepNext w:val="0"/>
        <w:keepLines w:val="0"/>
        <w:pageBreakBefore w:val="0"/>
        <w:widowControl w:val="0"/>
        <w:suppressLineNumbers w:val="0"/>
        <w:kinsoku/>
        <w:wordWrap/>
        <w:overflowPunct/>
        <w:topLinePunct/>
        <w:autoSpaceDE/>
        <w:autoSpaceDN/>
        <w:bidi w:val="0"/>
        <w:adjustRightInd w:val="0"/>
        <w:snapToGrid w:val="0"/>
        <w:spacing w:after="0" w:line="560" w:lineRule="exact"/>
        <w:ind w:left="0" w:leftChars="0" w:firstLine="632" w:firstLineChars="200"/>
        <w:jc w:val="both"/>
        <w:textAlignment w:val="auto"/>
        <w:rPr>
          <w:b w:val="0"/>
          <w:bCs w:val="0"/>
          <w:color w:val="auto"/>
        </w:rPr>
      </w:pPr>
      <w:r>
        <w:rPr>
          <w:rFonts w:hint="eastAsia" w:ascii="Times New Roman" w:hAnsi="Times New Roman" w:eastAsia="仿宋_GB2312" w:cs="Times New Roman"/>
          <w:b w:val="0"/>
          <w:bCs w:val="0"/>
          <w:i w:val="0"/>
          <w:iCs w:val="0"/>
          <w:snapToGrid w:val="0"/>
          <w:color w:val="auto"/>
          <w:kern w:val="0"/>
          <w:sz w:val="32"/>
          <w:szCs w:val="32"/>
          <w:highlight w:val="none"/>
          <w:lang w:val="en-US" w:eastAsia="zh-CN"/>
        </w:rPr>
        <w:t>2.</w:t>
      </w:r>
      <w:r>
        <w:rPr>
          <w:rFonts w:hint="default" w:ascii="Times New Roman" w:hAnsi="Times New Roman" w:eastAsia="仿宋_GB2312" w:cs="Times New Roman"/>
          <w:b w:val="0"/>
          <w:bCs w:val="0"/>
          <w:i w:val="0"/>
          <w:iCs w:val="0"/>
          <w:snapToGrid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bidi="ar"/>
        </w:rPr>
        <w:t>关于进一步加强和规范城镇小区住宅专项维修资金管理的实施意见》（云建房〔2015〕189号，</w:t>
      </w:r>
      <w:r>
        <w:rPr>
          <w:rFonts w:hint="default" w:ascii="Times New Roman" w:hAnsi="Times New Roman" w:eastAsia="仿宋_GB2312" w:cs="Times New Roman"/>
          <w:b w:val="0"/>
          <w:bCs w:val="0"/>
          <w:i w:val="0"/>
          <w:iCs w:val="0"/>
          <w:snapToGrid w:val="0"/>
          <w:color w:val="auto"/>
          <w:kern w:val="0"/>
          <w:sz w:val="32"/>
          <w:szCs w:val="32"/>
          <w:highlight w:val="none"/>
          <w:lang w:val="en-US" w:eastAsia="zh-CN"/>
        </w:rPr>
        <w:t>现行有效</w:t>
      </w:r>
      <w:r>
        <w:rPr>
          <w:rFonts w:hint="default" w:ascii="Times New Roman" w:hAnsi="Times New Roman" w:eastAsia="仿宋_GB2312" w:cs="Times New Roman"/>
          <w:b w:val="0"/>
          <w:bCs w:val="0"/>
          <w:color w:val="auto"/>
          <w:kern w:val="0"/>
          <w:sz w:val="32"/>
          <w:szCs w:val="32"/>
          <w:highlight w:val="none"/>
          <w:lang w:val="en-US" w:eastAsia="zh-CN" w:bidi="ar"/>
        </w:rPr>
        <w:t>）</w:t>
      </w:r>
      <w:r>
        <w:rPr>
          <w:rFonts w:hint="eastAsia" w:ascii="Times New Roman" w:hAnsi="Times New Roman" w:eastAsia="仿宋_GB2312" w:cs="Times New Roman"/>
          <w:b w:val="0"/>
          <w:bCs w:val="0"/>
          <w:color w:val="auto"/>
          <w:kern w:val="0"/>
          <w:sz w:val="32"/>
          <w:szCs w:val="32"/>
          <w:highlight w:val="none"/>
          <w:lang w:val="en-US" w:eastAsia="zh-CN" w:bidi="ar"/>
        </w:rPr>
        <w:t>。</w:t>
      </w:r>
    </w:p>
    <w:p w14:paraId="32C8B716">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b w:val="0"/>
          <w:bCs w:val="0"/>
          <w:i w:val="0"/>
          <w:iCs w:val="0"/>
          <w:snapToGrid w:val="0"/>
          <w:kern w:val="0"/>
          <w:lang w:val="en-US" w:eastAsia="zh-CN"/>
        </w:rPr>
      </w:pPr>
      <w:r>
        <w:rPr>
          <w:rFonts w:hint="eastAsia" w:ascii="Times New Roman" w:hAnsi="Times New Roman" w:eastAsia="黑体" w:cs="黑体"/>
          <w:b w:val="0"/>
          <w:bCs w:val="0"/>
          <w:i w:val="0"/>
          <w:iCs w:val="0"/>
          <w:kern w:val="2"/>
          <w:lang w:val="en-US" w:eastAsia="zh-CN"/>
        </w:rPr>
        <w:t>三、</w:t>
      </w:r>
      <w:r>
        <w:rPr>
          <w:rFonts w:hint="eastAsia" w:eastAsia="黑体" w:cs="黑体"/>
          <w:b w:val="0"/>
          <w:bCs w:val="0"/>
          <w:i w:val="0"/>
          <w:iCs w:val="0"/>
          <w:kern w:val="2"/>
          <w:lang w:val="en-US" w:eastAsia="zh-CN"/>
        </w:rPr>
        <w:t>规定的主要措施</w:t>
      </w:r>
    </w:p>
    <w:p w14:paraId="4F58AB70">
      <w:pPr>
        <w:keepNext w:val="0"/>
        <w:keepLines w:val="0"/>
        <w:pageBreakBefore w:val="0"/>
        <w:widowControl w:val="0"/>
        <w:kinsoku/>
        <w:wordWrap/>
        <w:overflowPunct/>
        <w:topLinePunct/>
        <w:autoSpaceDE/>
        <w:autoSpaceDN/>
        <w:bidi w:val="0"/>
        <w:adjustRightInd/>
        <w:snapToGrid/>
        <w:spacing w:after="0" w:line="560" w:lineRule="exact"/>
        <w:ind w:firstLine="632"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全文共十九条内容：</w:t>
      </w:r>
    </w:p>
    <w:p w14:paraId="31FA0F9E">
      <w:pPr>
        <w:keepNext w:val="0"/>
        <w:keepLines w:val="0"/>
        <w:pageBreakBefore w:val="0"/>
        <w:widowControl w:val="0"/>
        <w:kinsoku/>
        <w:wordWrap/>
        <w:overflowPunct/>
        <w:topLinePunct/>
        <w:autoSpaceDE/>
        <w:autoSpaceDN/>
        <w:bidi w:val="0"/>
        <w:adjustRightInd/>
        <w:snapToGrid/>
        <w:spacing w:after="0" w:line="560" w:lineRule="exact"/>
        <w:ind w:firstLine="632"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第一条到第三条分别明确了制定目的和依据、适用范围、监督指导主体等内容；</w:t>
      </w:r>
    </w:p>
    <w:p w14:paraId="7BB5A47E">
      <w:pPr>
        <w:keepNext w:val="0"/>
        <w:keepLines w:val="0"/>
        <w:pageBreakBefore w:val="0"/>
        <w:widowControl w:val="0"/>
        <w:kinsoku/>
        <w:wordWrap/>
        <w:overflowPunct/>
        <w:topLinePunct/>
        <w:autoSpaceDE/>
        <w:autoSpaceDN/>
        <w:bidi w:val="0"/>
        <w:adjustRightInd/>
        <w:snapToGrid/>
        <w:spacing w:after="0" w:line="560" w:lineRule="exact"/>
        <w:ind w:firstLine="632" w:firstLineChars="200"/>
        <w:jc w:val="both"/>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第四条</w:t>
      </w:r>
      <w:r>
        <w:rPr>
          <w:rFonts w:hint="default" w:ascii="Times New Roman" w:hAnsi="Times New Roman" w:eastAsia="仿宋_GB2312" w:cs="Times New Roman"/>
          <w:b w:val="0"/>
          <w:bCs w:val="0"/>
          <w:color w:val="auto"/>
          <w:kern w:val="0"/>
          <w:sz w:val="32"/>
          <w:szCs w:val="32"/>
          <w:highlight w:val="none"/>
          <w:lang w:val="en-US" w:eastAsia="zh-CN" w:bidi="ar"/>
        </w:rPr>
        <w:t>明确</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了申请使用维修资金组织实施主体的确定方式；</w:t>
      </w:r>
    </w:p>
    <w:p w14:paraId="15DBBDC9">
      <w:pPr>
        <w:keepNext w:val="0"/>
        <w:keepLines w:val="0"/>
        <w:pageBreakBefore w:val="0"/>
        <w:widowControl w:val="0"/>
        <w:kinsoku/>
        <w:wordWrap/>
        <w:overflowPunct/>
        <w:topLinePunct/>
        <w:autoSpaceDE/>
        <w:autoSpaceDN/>
        <w:bidi w:val="0"/>
        <w:adjustRightInd/>
        <w:snapToGrid/>
        <w:spacing w:after="0" w:line="560" w:lineRule="exact"/>
        <w:ind w:firstLine="632" w:firstLineChars="200"/>
        <w:jc w:val="both"/>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第五条</w:t>
      </w:r>
      <w:r>
        <w:rPr>
          <w:rFonts w:hint="default" w:ascii="Times New Roman" w:hAnsi="Times New Roman" w:eastAsia="仿宋_GB2312" w:cs="Times New Roman"/>
          <w:b w:val="0"/>
          <w:bCs w:val="0"/>
          <w:color w:val="auto"/>
          <w:kern w:val="0"/>
          <w:sz w:val="32"/>
          <w:szCs w:val="32"/>
          <w:highlight w:val="none"/>
          <w:lang w:val="en-US" w:eastAsia="zh-CN" w:bidi="ar"/>
        </w:rPr>
        <w:t>到第六条分别明确</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了申请使用维修资金时组织实施主体应制定使用方案、进行预算审价；</w:t>
      </w:r>
    </w:p>
    <w:p w14:paraId="4DBC2ECD">
      <w:pPr>
        <w:keepNext w:val="0"/>
        <w:keepLines w:val="0"/>
        <w:pageBreakBefore w:val="0"/>
        <w:widowControl w:val="0"/>
        <w:kinsoku/>
        <w:wordWrap/>
        <w:overflowPunct/>
        <w:topLinePunct/>
        <w:autoSpaceDE/>
        <w:autoSpaceDN/>
        <w:bidi w:val="0"/>
        <w:adjustRightInd/>
        <w:snapToGrid/>
        <w:spacing w:after="0" w:line="560" w:lineRule="exact"/>
        <w:ind w:firstLine="632" w:firstLineChars="200"/>
        <w:jc w:val="both"/>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第七条</w:t>
      </w:r>
      <w:r>
        <w:rPr>
          <w:rFonts w:hint="default" w:ascii="Times New Roman" w:hAnsi="Times New Roman" w:eastAsia="仿宋_GB2312" w:cs="Times New Roman"/>
          <w:b w:val="0"/>
          <w:bCs w:val="0"/>
          <w:color w:val="auto"/>
          <w:kern w:val="0"/>
          <w:sz w:val="32"/>
          <w:szCs w:val="32"/>
          <w:highlight w:val="none"/>
          <w:lang w:val="en-US" w:eastAsia="zh-CN" w:bidi="ar"/>
        </w:rPr>
        <w:t>明确</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了</w:t>
      </w:r>
      <w:r>
        <w:rPr>
          <w:rFonts w:hint="default" w:ascii="Times New Roman" w:hAnsi="Times New Roman" w:eastAsia="仿宋_GB2312" w:cs="Times New Roman"/>
          <w:b w:val="0"/>
          <w:bCs w:val="0"/>
          <w:snapToGrid w:val="0"/>
          <w:spacing w:val="0"/>
          <w:kern w:val="0"/>
          <w:sz w:val="32"/>
          <w:szCs w:val="32"/>
          <w:highlight w:val="none"/>
          <w:lang w:val="en-US" w:eastAsia="zh-CN" w:bidi="ar"/>
        </w:rPr>
        <w:t>组织实施主体应当将使用方案向列支范围内的业主进行公示，公示期不少于5个工作日；</w:t>
      </w:r>
    </w:p>
    <w:p w14:paraId="1DCEFD4F">
      <w:pPr>
        <w:keepNext w:val="0"/>
        <w:keepLines w:val="0"/>
        <w:pageBreakBefore w:val="0"/>
        <w:widowControl w:val="0"/>
        <w:kinsoku/>
        <w:wordWrap/>
        <w:overflowPunct/>
        <w:topLinePunct/>
        <w:autoSpaceDE/>
        <w:autoSpaceDN/>
        <w:bidi w:val="0"/>
        <w:adjustRightInd/>
        <w:snapToGrid/>
        <w:spacing w:after="0" w:line="560" w:lineRule="exact"/>
        <w:ind w:firstLine="632" w:firstLineChars="200"/>
        <w:jc w:val="both"/>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第八条</w:t>
      </w:r>
      <w:r>
        <w:rPr>
          <w:rFonts w:hint="default" w:ascii="Times New Roman" w:hAnsi="Times New Roman" w:eastAsia="仿宋_GB2312" w:cs="Times New Roman"/>
          <w:b w:val="0"/>
          <w:bCs w:val="0"/>
          <w:color w:val="auto"/>
          <w:kern w:val="0"/>
          <w:sz w:val="32"/>
          <w:szCs w:val="32"/>
          <w:highlight w:val="none"/>
          <w:lang w:val="en-US" w:eastAsia="zh-CN" w:bidi="ar"/>
        </w:rPr>
        <w:t>明确</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了公示使用方案的同时应进行业主意见征求、公示表决结果以及公示期时限等内容；</w:t>
      </w:r>
    </w:p>
    <w:p w14:paraId="392E981B">
      <w:pPr>
        <w:keepNext w:val="0"/>
        <w:keepLines w:val="0"/>
        <w:pageBreakBefore w:val="0"/>
        <w:widowControl w:val="0"/>
        <w:kinsoku/>
        <w:wordWrap/>
        <w:overflowPunct/>
        <w:topLinePunct/>
        <w:autoSpaceDE/>
        <w:autoSpaceDN/>
        <w:bidi w:val="0"/>
        <w:adjustRightInd/>
        <w:snapToGrid/>
        <w:spacing w:after="0" w:line="560" w:lineRule="exact"/>
        <w:ind w:firstLine="632" w:firstLineChars="200"/>
        <w:jc w:val="both"/>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第九条</w:t>
      </w:r>
      <w:r>
        <w:rPr>
          <w:rFonts w:hint="default" w:ascii="Times New Roman" w:hAnsi="Times New Roman" w:eastAsia="仿宋_GB2312" w:cs="Times New Roman"/>
          <w:b w:val="0"/>
          <w:bCs w:val="0"/>
          <w:color w:val="auto"/>
          <w:kern w:val="0"/>
          <w:sz w:val="32"/>
          <w:szCs w:val="32"/>
          <w:highlight w:val="none"/>
          <w:lang w:val="en-US" w:eastAsia="zh-CN" w:bidi="ar"/>
        </w:rPr>
        <w:t>明确</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了</w:t>
      </w:r>
      <w:r>
        <w:rPr>
          <w:rFonts w:hint="default" w:ascii="Times New Roman" w:hAnsi="Times New Roman" w:eastAsia="仿宋_GB2312" w:cs="Times New Roman"/>
          <w:b w:val="0"/>
          <w:bCs w:val="0"/>
          <w:snapToGrid w:val="0"/>
          <w:spacing w:val="0"/>
          <w:kern w:val="0"/>
          <w:sz w:val="32"/>
          <w:szCs w:val="32"/>
          <w:highlight w:val="none"/>
          <w:lang w:val="en-US" w:eastAsia="zh-CN" w:bidi="ar"/>
        </w:rPr>
        <w:t>组织实施主体应当与施工单位签订施工合同，并将施工合同向维修资金列支范围内业主进行公示，公示期不少于5个工作日。</w:t>
      </w:r>
    </w:p>
    <w:p w14:paraId="7CD1E336">
      <w:pPr>
        <w:keepNext w:val="0"/>
        <w:keepLines w:val="0"/>
        <w:pageBreakBefore w:val="0"/>
        <w:widowControl w:val="0"/>
        <w:kinsoku/>
        <w:wordWrap/>
        <w:overflowPunct/>
        <w:topLinePunct/>
        <w:autoSpaceDE/>
        <w:autoSpaceDN/>
        <w:bidi w:val="0"/>
        <w:adjustRightInd/>
        <w:snapToGrid/>
        <w:spacing w:after="0" w:line="560" w:lineRule="exact"/>
        <w:ind w:firstLine="632" w:firstLineChars="200"/>
        <w:jc w:val="both"/>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第十条</w:t>
      </w:r>
      <w:r>
        <w:rPr>
          <w:rFonts w:hint="default" w:ascii="Times New Roman" w:hAnsi="Times New Roman" w:eastAsia="仿宋_GB2312" w:cs="Times New Roman"/>
          <w:b w:val="0"/>
          <w:bCs w:val="0"/>
          <w:color w:val="auto"/>
          <w:kern w:val="0"/>
          <w:sz w:val="32"/>
          <w:szCs w:val="32"/>
          <w:highlight w:val="none"/>
          <w:lang w:val="en-US" w:eastAsia="zh-CN" w:bidi="ar"/>
        </w:rPr>
        <w:t>明确</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了维修资金的拨付方式（维修资金应当分期拨付，也可以在竣工验收合格后申请一次性拨付）；</w:t>
      </w:r>
    </w:p>
    <w:p w14:paraId="5439780B">
      <w:pPr>
        <w:keepNext w:val="0"/>
        <w:keepLines w:val="0"/>
        <w:pageBreakBefore w:val="0"/>
        <w:widowControl w:val="0"/>
        <w:kinsoku/>
        <w:wordWrap/>
        <w:overflowPunct/>
        <w:topLinePunct/>
        <w:autoSpaceDE/>
        <w:autoSpaceDN/>
        <w:bidi w:val="0"/>
        <w:adjustRightInd/>
        <w:snapToGrid/>
        <w:spacing w:after="0" w:line="560" w:lineRule="exact"/>
        <w:ind w:firstLine="632" w:firstLineChars="200"/>
        <w:jc w:val="both"/>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第十一条</w:t>
      </w:r>
      <w:r>
        <w:rPr>
          <w:rFonts w:hint="default" w:ascii="Times New Roman" w:hAnsi="Times New Roman" w:eastAsia="仿宋_GB2312" w:cs="Times New Roman"/>
          <w:b w:val="0"/>
          <w:bCs w:val="0"/>
          <w:color w:val="auto"/>
          <w:kern w:val="0"/>
          <w:sz w:val="32"/>
          <w:szCs w:val="32"/>
          <w:highlight w:val="none"/>
          <w:lang w:val="en-US" w:eastAsia="zh-CN" w:bidi="ar"/>
        </w:rPr>
        <w:t>明确</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了申请使用维修资金时组织实施主体应当提交的材料；</w:t>
      </w:r>
    </w:p>
    <w:p w14:paraId="036AA893">
      <w:pPr>
        <w:keepNext w:val="0"/>
        <w:keepLines w:val="0"/>
        <w:pageBreakBefore w:val="0"/>
        <w:widowControl w:val="0"/>
        <w:kinsoku/>
        <w:wordWrap/>
        <w:overflowPunct/>
        <w:topLinePunct/>
        <w:autoSpaceDE/>
        <w:autoSpaceDN/>
        <w:bidi w:val="0"/>
        <w:adjustRightInd/>
        <w:snapToGrid/>
        <w:spacing w:after="0" w:line="560" w:lineRule="exact"/>
        <w:ind w:firstLine="632" w:firstLineChars="200"/>
        <w:jc w:val="both"/>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第十二条到第十三条</w:t>
      </w:r>
      <w:r>
        <w:rPr>
          <w:rFonts w:hint="default" w:ascii="Times New Roman" w:hAnsi="Times New Roman" w:eastAsia="仿宋_GB2312" w:cs="Times New Roman"/>
          <w:b w:val="0"/>
          <w:bCs w:val="0"/>
          <w:color w:val="auto"/>
          <w:kern w:val="0"/>
          <w:sz w:val="32"/>
          <w:szCs w:val="32"/>
          <w:highlight w:val="none"/>
          <w:lang w:val="en-US" w:eastAsia="zh-CN" w:bidi="ar"/>
        </w:rPr>
        <w:t>明确</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了受理审核时限、材料补正时限和划转维修资金的时限；</w:t>
      </w:r>
    </w:p>
    <w:p w14:paraId="3C6FD7C2">
      <w:pPr>
        <w:keepNext w:val="0"/>
        <w:keepLines w:val="0"/>
        <w:pageBreakBefore w:val="0"/>
        <w:widowControl w:val="0"/>
        <w:kinsoku/>
        <w:wordWrap/>
        <w:overflowPunct/>
        <w:topLinePunct/>
        <w:autoSpaceDE/>
        <w:autoSpaceDN/>
        <w:bidi w:val="0"/>
        <w:adjustRightInd/>
        <w:snapToGrid/>
        <w:spacing w:after="0" w:line="560" w:lineRule="exact"/>
        <w:ind w:firstLine="632" w:firstLineChars="200"/>
        <w:jc w:val="both"/>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第十四条</w:t>
      </w:r>
      <w:r>
        <w:rPr>
          <w:rFonts w:hint="default" w:ascii="Times New Roman" w:hAnsi="Times New Roman" w:eastAsia="仿宋_GB2312" w:cs="Times New Roman"/>
          <w:b w:val="0"/>
          <w:bCs w:val="0"/>
          <w:color w:val="auto"/>
          <w:kern w:val="0"/>
          <w:sz w:val="32"/>
          <w:szCs w:val="32"/>
          <w:highlight w:val="none"/>
          <w:lang w:val="en-US" w:eastAsia="zh-CN" w:bidi="ar"/>
        </w:rPr>
        <w:t>明确</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了组织实施主体在施工前、中、后三个阶段的职责；</w:t>
      </w:r>
    </w:p>
    <w:p w14:paraId="78AF1E10">
      <w:pPr>
        <w:keepNext w:val="0"/>
        <w:keepLines w:val="0"/>
        <w:pageBreakBefore w:val="0"/>
        <w:widowControl w:val="0"/>
        <w:kinsoku/>
        <w:wordWrap/>
        <w:overflowPunct/>
        <w:topLinePunct/>
        <w:autoSpaceDE/>
        <w:autoSpaceDN/>
        <w:bidi w:val="0"/>
        <w:adjustRightInd/>
        <w:snapToGrid/>
        <w:spacing w:after="0" w:line="560" w:lineRule="exact"/>
        <w:ind w:firstLine="632" w:firstLineChars="200"/>
        <w:jc w:val="both"/>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第十五条</w:t>
      </w:r>
      <w:r>
        <w:rPr>
          <w:rFonts w:hint="default" w:ascii="Times New Roman" w:hAnsi="Times New Roman" w:eastAsia="仿宋_GB2312" w:cs="Times New Roman"/>
          <w:b w:val="0"/>
          <w:bCs w:val="0"/>
          <w:color w:val="auto"/>
          <w:kern w:val="0"/>
          <w:sz w:val="32"/>
          <w:szCs w:val="32"/>
          <w:highlight w:val="none"/>
          <w:lang w:val="en-US" w:eastAsia="zh-CN" w:bidi="ar"/>
        </w:rPr>
        <w:t>明确</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了</w:t>
      </w:r>
      <w:r>
        <w:rPr>
          <w:rFonts w:hint="default" w:ascii="Times New Roman" w:hAnsi="Times New Roman" w:eastAsia="仿宋_GB2312" w:cs="Times New Roman"/>
          <w:b w:val="0"/>
          <w:bCs w:val="0"/>
          <w:snapToGrid w:val="0"/>
          <w:spacing w:val="0"/>
          <w:kern w:val="0"/>
          <w:sz w:val="32"/>
          <w:szCs w:val="32"/>
          <w:highlight w:val="none"/>
          <w:lang w:val="en-US" w:eastAsia="zh-CN" w:bidi="ar"/>
        </w:rPr>
        <w:t>竣工验收后，组织实施主体</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申请拨付维修资金余款应当提交的材料；</w:t>
      </w:r>
    </w:p>
    <w:p w14:paraId="3FEBD24E">
      <w:pPr>
        <w:keepNext w:val="0"/>
        <w:keepLines w:val="0"/>
        <w:pageBreakBefore w:val="0"/>
        <w:widowControl w:val="0"/>
        <w:kinsoku/>
        <w:wordWrap/>
        <w:overflowPunct/>
        <w:topLinePunct/>
        <w:autoSpaceDE/>
        <w:autoSpaceDN/>
        <w:bidi w:val="0"/>
        <w:adjustRightInd/>
        <w:snapToGrid/>
        <w:spacing w:after="0" w:line="560" w:lineRule="exact"/>
        <w:ind w:firstLine="632" w:firstLineChars="200"/>
        <w:jc w:val="both"/>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第十六条明确了</w:t>
      </w:r>
      <w:r>
        <w:rPr>
          <w:rFonts w:hint="default" w:ascii="Times New Roman" w:hAnsi="Times New Roman" w:eastAsia="仿宋_GB2312" w:cs="Times New Roman"/>
          <w:b w:val="0"/>
          <w:bCs w:val="0"/>
          <w:snapToGrid w:val="0"/>
          <w:spacing w:val="0"/>
          <w:kern w:val="0"/>
          <w:sz w:val="32"/>
          <w:szCs w:val="32"/>
          <w:highlight w:val="none"/>
          <w:lang w:val="en-US" w:eastAsia="zh-CN" w:bidi="ar"/>
        </w:rPr>
        <w:t>审核符合拨付条件的</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修资金余款划转时限和质保金的申请主体、划转时限；</w:t>
      </w:r>
    </w:p>
    <w:p w14:paraId="1F042D4D">
      <w:pPr>
        <w:keepNext w:val="0"/>
        <w:keepLines w:val="0"/>
        <w:pageBreakBefore w:val="0"/>
        <w:widowControl w:val="0"/>
        <w:kinsoku/>
        <w:wordWrap/>
        <w:overflowPunct/>
        <w:topLinePunct/>
        <w:autoSpaceDE/>
        <w:autoSpaceDN/>
        <w:bidi w:val="0"/>
        <w:adjustRightInd/>
        <w:snapToGrid/>
        <w:spacing w:after="0" w:line="560" w:lineRule="exact"/>
        <w:ind w:firstLine="632" w:firstLineChars="200"/>
        <w:jc w:val="both"/>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第十七条</w:t>
      </w:r>
      <w:r>
        <w:rPr>
          <w:rFonts w:hint="default" w:ascii="Times New Roman" w:hAnsi="Times New Roman" w:eastAsia="仿宋_GB2312" w:cs="Times New Roman"/>
          <w:b w:val="0"/>
          <w:bCs w:val="0"/>
          <w:color w:val="auto"/>
          <w:kern w:val="0"/>
          <w:sz w:val="32"/>
          <w:szCs w:val="32"/>
          <w:highlight w:val="none"/>
          <w:lang w:val="en-US" w:eastAsia="zh-CN" w:bidi="ar"/>
        </w:rPr>
        <w:t>明确</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了申请使用维修资金的七类紧急情况和处理办法；</w:t>
      </w:r>
    </w:p>
    <w:p w14:paraId="727760F6">
      <w:pPr>
        <w:keepNext w:val="0"/>
        <w:keepLines w:val="0"/>
        <w:pageBreakBefore w:val="0"/>
        <w:widowControl w:val="0"/>
        <w:kinsoku/>
        <w:wordWrap/>
        <w:overflowPunct/>
        <w:topLinePunct/>
        <w:autoSpaceDE/>
        <w:autoSpaceDN/>
        <w:bidi w:val="0"/>
        <w:adjustRightInd/>
        <w:snapToGrid/>
        <w:spacing w:after="0" w:line="560" w:lineRule="exact"/>
        <w:ind w:firstLine="632" w:firstLineChars="200"/>
        <w:jc w:val="both"/>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第十八条</w:t>
      </w:r>
      <w:r>
        <w:rPr>
          <w:rFonts w:hint="default" w:ascii="Times New Roman" w:hAnsi="Times New Roman" w:eastAsia="仿宋_GB2312" w:cs="Times New Roman"/>
          <w:b w:val="0"/>
          <w:bCs w:val="0"/>
          <w:color w:val="auto"/>
          <w:kern w:val="0"/>
          <w:sz w:val="32"/>
          <w:szCs w:val="32"/>
          <w:highlight w:val="none"/>
          <w:lang w:val="en-US" w:eastAsia="zh-CN" w:bidi="ar"/>
        </w:rPr>
        <w:t>明确</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了紧急情况申请使用维修资金的程序；</w:t>
      </w:r>
    </w:p>
    <w:p w14:paraId="6E0183D5">
      <w:pPr>
        <w:keepNext w:val="0"/>
        <w:keepLines w:val="0"/>
        <w:pageBreakBefore w:val="0"/>
        <w:widowControl w:val="0"/>
        <w:kinsoku/>
        <w:wordWrap/>
        <w:overflowPunct/>
        <w:topLinePunct/>
        <w:autoSpaceDE/>
        <w:autoSpaceDN/>
        <w:bidi w:val="0"/>
        <w:adjustRightInd/>
        <w:snapToGrid/>
        <w:spacing w:after="0" w:line="560" w:lineRule="exact"/>
        <w:ind w:firstLine="632"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第十九条</w:t>
      </w:r>
      <w:r>
        <w:rPr>
          <w:rFonts w:hint="default" w:ascii="Times New Roman" w:hAnsi="Times New Roman" w:eastAsia="仿宋_GB2312" w:cs="Times New Roman"/>
          <w:b w:val="0"/>
          <w:bCs w:val="0"/>
          <w:color w:val="auto"/>
          <w:kern w:val="0"/>
          <w:sz w:val="32"/>
          <w:szCs w:val="32"/>
          <w:highlight w:val="none"/>
          <w:lang w:val="en-US" w:eastAsia="zh-CN" w:bidi="ar"/>
        </w:rPr>
        <w:t>明确</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了该实施细则的执行日期和解释主体。</w:t>
      </w:r>
    </w:p>
    <w:p w14:paraId="73F9608D">
      <w:pPr>
        <w:keepNext w:val="0"/>
        <w:keepLines w:val="0"/>
        <w:pageBreakBefore w:val="0"/>
        <w:widowControl w:val="0"/>
        <w:numPr>
          <w:ilvl w:val="0"/>
          <w:numId w:val="1"/>
        </w:numPr>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eastAsia="黑体" w:cs="黑体"/>
          <w:b w:val="0"/>
          <w:bCs w:val="0"/>
          <w:i w:val="0"/>
          <w:iCs w:val="0"/>
          <w:kern w:val="2"/>
          <w:lang w:val="en-US" w:eastAsia="zh-CN"/>
        </w:rPr>
      </w:pPr>
      <w:r>
        <w:rPr>
          <w:rFonts w:hint="eastAsia" w:eastAsia="黑体" w:cs="黑体"/>
          <w:b w:val="0"/>
          <w:bCs w:val="0"/>
          <w:i w:val="0"/>
          <w:iCs w:val="0"/>
          <w:kern w:val="2"/>
          <w:lang w:val="en-US" w:eastAsia="zh-CN"/>
        </w:rPr>
        <w:t>有关方面的意见</w:t>
      </w:r>
    </w:p>
    <w:p w14:paraId="71C813CB">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firstLine="632" w:firstLineChars="200"/>
        <w:jc w:val="both"/>
        <w:textAlignment w:val="auto"/>
        <w:rPr>
          <w:rFonts w:hint="default" w:ascii="Times New Roman" w:hAnsi="Times New Roman" w:eastAsia="仿宋_GB2312" w:cs="Times New Roman"/>
          <w:b w:val="0"/>
          <w:bCs w:val="0"/>
          <w:i w:val="0"/>
          <w:iCs w:val="0"/>
          <w:snapToGrid w:val="0"/>
          <w:kern w:val="0"/>
          <w:highlight w:val="none"/>
          <w:lang w:val="en-US" w:eastAsia="zh-CN"/>
        </w:rPr>
      </w:pPr>
      <w:r>
        <w:rPr>
          <w:rFonts w:hint="default" w:ascii="Times New Roman" w:hAnsi="Times New Roman" w:eastAsia="仿宋_GB2312" w:cs="Times New Roman"/>
          <w:b w:val="0"/>
          <w:bCs w:val="0"/>
          <w:i w:val="0"/>
          <w:iCs w:val="0"/>
          <w:snapToGrid w:val="0"/>
          <w:kern w:val="0"/>
          <w:highlight w:val="none"/>
          <w:lang w:val="en-US" w:eastAsia="zh-CN"/>
        </w:rPr>
        <w:t>1.</w:t>
      </w:r>
      <w:r>
        <w:rPr>
          <w:rFonts w:hint="default" w:ascii="Times New Roman" w:hAnsi="Times New Roman" w:eastAsia="仿宋_GB2312" w:cs="Times New Roman"/>
          <w:b w:val="0"/>
          <w:bCs w:val="0"/>
          <w:kern w:val="2"/>
          <w:sz w:val="32"/>
          <w:szCs w:val="32"/>
          <w:highlight w:val="none"/>
          <w:lang w:val="en-US" w:eastAsia="zh-CN" w:bidi="ar-SA"/>
        </w:rPr>
        <w:t>2024年3月28日</w:t>
      </w:r>
      <w:r>
        <w:rPr>
          <w:rFonts w:hint="default" w:ascii="Times New Roman" w:hAnsi="Times New Roman" w:eastAsia="仿宋_GB2312" w:cs="Times New Roman"/>
          <w:b w:val="0"/>
          <w:bCs w:val="0"/>
          <w:i w:val="0"/>
          <w:iCs w:val="0"/>
          <w:snapToGrid w:val="0"/>
          <w:kern w:val="0"/>
          <w:highlight w:val="none"/>
          <w:lang w:val="en-US" w:eastAsia="zh-CN"/>
        </w:rPr>
        <w:t>，</w:t>
      </w:r>
      <w:r>
        <w:rPr>
          <w:rFonts w:hint="eastAsia" w:ascii="Times New Roman" w:hAnsi="Times New Roman" w:cs="Times New Roman"/>
          <w:b w:val="0"/>
          <w:bCs w:val="0"/>
          <w:i w:val="0"/>
          <w:iCs w:val="0"/>
          <w:snapToGrid w:val="0"/>
          <w:kern w:val="0"/>
          <w:highlight w:val="none"/>
          <w:lang w:val="en-US" w:eastAsia="zh-CN"/>
        </w:rPr>
        <w:t>向县司法局发《关于宜良县维修资金管理相关文件征求意见建议的函》</w:t>
      </w:r>
      <w:r>
        <w:rPr>
          <w:rFonts w:hint="default" w:ascii="Times New Roman" w:hAnsi="Times New Roman" w:eastAsia="仿宋_GB2312" w:cs="Times New Roman"/>
          <w:b w:val="0"/>
          <w:bCs w:val="0"/>
          <w:i w:val="0"/>
          <w:iCs w:val="0"/>
          <w:snapToGrid w:val="0"/>
          <w:kern w:val="0"/>
          <w:highlight w:val="none"/>
          <w:lang w:val="en-US" w:eastAsia="zh-CN"/>
        </w:rPr>
        <w:t>，</w:t>
      </w:r>
      <w:r>
        <w:rPr>
          <w:rFonts w:hint="eastAsia" w:ascii="Times New Roman" w:hAnsi="Times New Roman" w:cs="Times New Roman"/>
          <w:b w:val="0"/>
          <w:bCs w:val="0"/>
          <w:i w:val="0"/>
          <w:iCs w:val="0"/>
          <w:snapToGrid w:val="0"/>
          <w:kern w:val="0"/>
          <w:highlight w:val="none"/>
          <w:lang w:val="en-US" w:eastAsia="zh-CN"/>
        </w:rPr>
        <w:t>征求县司法局意见，</w:t>
      </w:r>
      <w:r>
        <w:rPr>
          <w:rFonts w:hint="default" w:ascii="Times New Roman" w:hAnsi="Times New Roman" w:eastAsia="仿宋_GB2312" w:cs="Times New Roman"/>
          <w:b w:val="0"/>
          <w:bCs w:val="0"/>
          <w:i w:val="0"/>
          <w:iCs w:val="0"/>
          <w:snapToGrid w:val="0"/>
          <w:kern w:val="0"/>
          <w:highlight w:val="none"/>
          <w:lang w:val="en-US" w:eastAsia="zh-CN"/>
        </w:rPr>
        <w:t>采纳情况为：</w:t>
      </w:r>
    </w:p>
    <w:p w14:paraId="626804F4">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firstLine="632" w:firstLineChars="200"/>
        <w:jc w:val="both"/>
        <w:textAlignment w:val="auto"/>
        <w:rPr>
          <w:rFonts w:hint="eastAsia" w:cs="Times New Roman"/>
          <w:b w:val="0"/>
          <w:bCs w:val="0"/>
          <w:i w:val="0"/>
          <w:iCs w:val="0"/>
          <w:snapToGrid w:val="0"/>
          <w:kern w:val="0"/>
          <w:highlight w:val="none"/>
          <w:lang w:val="en-US" w:eastAsia="zh-CN"/>
        </w:rPr>
      </w:pPr>
      <w:r>
        <w:rPr>
          <w:rFonts w:hint="eastAsia" w:cs="Times New Roman"/>
          <w:b w:val="0"/>
          <w:bCs w:val="0"/>
          <w:i w:val="0"/>
          <w:iCs w:val="0"/>
          <w:snapToGrid w:val="0"/>
          <w:kern w:val="0"/>
          <w:highlight w:val="none"/>
          <w:lang w:val="en-US" w:eastAsia="zh-CN"/>
        </w:rPr>
        <w:t>（1）第十七条中“</w:t>
      </w:r>
      <w:r>
        <w:rPr>
          <w:rFonts w:hint="eastAsia" w:ascii="Times New Roman" w:hAnsi="Times New Roman" w:cs="Times New Roman"/>
          <w:b w:val="0"/>
          <w:bCs w:val="0"/>
          <w:snapToGrid w:val="0"/>
          <w:spacing w:val="0"/>
          <w:kern w:val="0"/>
          <w:sz w:val="32"/>
          <w:szCs w:val="32"/>
          <w:highlight w:val="none"/>
          <w:lang w:val="en-US" w:eastAsia="zh-CN" w:bidi="ar"/>
        </w:rPr>
        <w:t>街道办事处收到报告后应当立即实地查勘现场，并出具情况紧急使用意见，涉及电梯、消防设施向市场监管部门、消防救援机构报告，市场监管部门、消防救援机构应当一并实地查勘现场并出具紧急使用意见。</w:t>
      </w:r>
      <w:r>
        <w:rPr>
          <w:rFonts w:hint="eastAsia" w:cs="Times New Roman"/>
          <w:b w:val="0"/>
          <w:bCs w:val="0"/>
          <w:i w:val="0"/>
          <w:iCs w:val="0"/>
          <w:snapToGrid w:val="0"/>
          <w:kern w:val="0"/>
          <w:highlight w:val="none"/>
          <w:lang w:val="en-US" w:eastAsia="zh-CN"/>
        </w:rPr>
        <w:t>”修改为“</w:t>
      </w:r>
      <w:r>
        <w:rPr>
          <w:rFonts w:hint="eastAsia" w:ascii="Times New Roman" w:hAnsi="Times New Roman" w:cs="Times New Roman"/>
          <w:b w:val="0"/>
          <w:bCs w:val="0"/>
          <w:snapToGrid w:val="0"/>
          <w:spacing w:val="0"/>
          <w:kern w:val="0"/>
          <w:sz w:val="32"/>
          <w:szCs w:val="32"/>
          <w:highlight w:val="none"/>
          <w:lang w:val="en-US" w:eastAsia="zh-CN" w:bidi="ar"/>
        </w:rPr>
        <w:t>街道办事处收到报告后应当立即实地查勘现场，并出具情况紧急使用意见，紧急使用意见按规定上报住建部门进行认定；涉及电梯、消防设施向市场监管部门、消防救援机构报告，市场监管部门、消防救援机构应当一并实地查勘现场并出具紧急使用意见，紧急使用意见按规定上报住建部门进行认定。</w:t>
      </w:r>
      <w:r>
        <w:rPr>
          <w:rFonts w:hint="eastAsia" w:cs="Times New Roman"/>
          <w:b w:val="0"/>
          <w:bCs w:val="0"/>
          <w:i w:val="0"/>
          <w:iCs w:val="0"/>
          <w:snapToGrid w:val="0"/>
          <w:kern w:val="0"/>
          <w:highlight w:val="none"/>
          <w:lang w:val="en-US" w:eastAsia="zh-CN"/>
        </w:rPr>
        <w:t>”。</w:t>
      </w:r>
    </w:p>
    <w:p w14:paraId="6968A1F9">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firstLine="632" w:firstLineChars="200"/>
        <w:jc w:val="both"/>
        <w:textAlignment w:val="auto"/>
        <w:rPr>
          <w:rFonts w:hint="default" w:ascii="Times New Roman" w:hAnsi="Times New Roman" w:eastAsia="仿宋_GB2312" w:cs="Times New Roman"/>
          <w:b w:val="0"/>
          <w:bCs w:val="0"/>
          <w:i w:val="0"/>
          <w:iCs w:val="0"/>
          <w:snapToGrid w:val="0"/>
          <w:kern w:val="0"/>
          <w:highlight w:val="none"/>
          <w:lang w:val="en-US" w:eastAsia="zh-CN"/>
        </w:rPr>
      </w:pPr>
      <w:r>
        <w:rPr>
          <w:rFonts w:hint="eastAsia" w:cs="Times New Roman"/>
          <w:b w:val="0"/>
          <w:bCs w:val="0"/>
          <w:snapToGrid w:val="0"/>
          <w:color w:val="auto"/>
          <w:spacing w:val="0"/>
          <w:kern w:val="0"/>
          <w:sz w:val="32"/>
          <w:szCs w:val="32"/>
          <w:highlight w:val="none"/>
          <w:lang w:val="en-US" w:eastAsia="zh-CN" w:bidi="ar"/>
        </w:rPr>
        <w:t>（2）</w:t>
      </w:r>
      <w:r>
        <w:rPr>
          <w:rFonts w:hint="eastAsia" w:ascii="Times New Roman" w:hAnsi="Times New Roman" w:cs="Times New Roman"/>
          <w:b w:val="0"/>
          <w:bCs w:val="0"/>
          <w:snapToGrid w:val="0"/>
          <w:color w:val="auto"/>
          <w:spacing w:val="0"/>
          <w:kern w:val="0"/>
          <w:sz w:val="32"/>
          <w:szCs w:val="32"/>
          <w:highlight w:val="none"/>
          <w:lang w:val="en-US" w:eastAsia="zh-CN" w:bidi="ar"/>
        </w:rPr>
        <w:t>第十</w:t>
      </w:r>
      <w:r>
        <w:rPr>
          <w:rFonts w:hint="eastAsia" w:cs="Times New Roman"/>
          <w:b w:val="0"/>
          <w:bCs w:val="0"/>
          <w:snapToGrid w:val="0"/>
          <w:color w:val="auto"/>
          <w:spacing w:val="0"/>
          <w:kern w:val="0"/>
          <w:sz w:val="32"/>
          <w:szCs w:val="32"/>
          <w:highlight w:val="none"/>
          <w:lang w:val="en-US" w:eastAsia="zh-CN" w:bidi="ar"/>
        </w:rPr>
        <w:t>八</w:t>
      </w:r>
      <w:r>
        <w:rPr>
          <w:rFonts w:hint="eastAsia" w:ascii="Times New Roman" w:hAnsi="Times New Roman" w:cs="Times New Roman"/>
          <w:b w:val="0"/>
          <w:bCs w:val="0"/>
          <w:snapToGrid w:val="0"/>
          <w:color w:val="auto"/>
          <w:spacing w:val="0"/>
          <w:kern w:val="0"/>
          <w:sz w:val="32"/>
          <w:szCs w:val="32"/>
          <w:highlight w:val="none"/>
          <w:lang w:val="en-US" w:eastAsia="zh-CN" w:bidi="ar"/>
        </w:rPr>
        <w:t>条</w:t>
      </w:r>
      <w:r>
        <w:rPr>
          <w:rFonts w:hint="eastAsia" w:cs="Times New Roman"/>
          <w:b w:val="0"/>
          <w:bCs w:val="0"/>
          <w:snapToGrid w:val="0"/>
          <w:color w:val="auto"/>
          <w:spacing w:val="0"/>
          <w:kern w:val="0"/>
          <w:sz w:val="32"/>
          <w:szCs w:val="32"/>
          <w:highlight w:val="none"/>
          <w:lang w:val="en-US" w:eastAsia="zh-CN" w:bidi="ar"/>
        </w:rPr>
        <w:t>中“</w:t>
      </w:r>
      <w:r>
        <w:rPr>
          <w:rFonts w:hint="eastAsia" w:ascii="Times New Roman" w:hAnsi="Times New Roman" w:cs="Times New Roman"/>
          <w:b w:val="0"/>
          <w:bCs w:val="0"/>
          <w:snapToGrid w:val="0"/>
          <w:color w:val="auto"/>
          <w:spacing w:val="0"/>
          <w:kern w:val="0"/>
          <w:sz w:val="32"/>
          <w:szCs w:val="32"/>
          <w:highlight w:val="none"/>
          <w:lang w:val="en-US" w:eastAsia="zh-CN" w:bidi="ar"/>
        </w:rPr>
        <w:t>本实施细则自</w:t>
      </w:r>
      <w:r>
        <w:rPr>
          <w:rFonts w:hint="eastAsia" w:cs="Times New Roman"/>
          <w:b w:val="0"/>
          <w:bCs w:val="0"/>
          <w:snapToGrid w:val="0"/>
          <w:color w:val="auto"/>
          <w:spacing w:val="0"/>
          <w:kern w:val="0"/>
          <w:sz w:val="32"/>
          <w:szCs w:val="32"/>
          <w:highlight w:val="none"/>
          <w:lang w:val="en-US" w:eastAsia="zh-CN" w:bidi="ar"/>
        </w:rPr>
        <w:t>下发之日起施</w:t>
      </w:r>
      <w:r>
        <w:rPr>
          <w:rFonts w:hint="eastAsia" w:ascii="Times New Roman" w:hAnsi="Times New Roman" w:cs="Times New Roman"/>
          <w:b w:val="0"/>
          <w:bCs w:val="0"/>
          <w:snapToGrid w:val="0"/>
          <w:color w:val="auto"/>
          <w:spacing w:val="0"/>
          <w:kern w:val="0"/>
          <w:sz w:val="32"/>
          <w:szCs w:val="32"/>
          <w:highlight w:val="none"/>
          <w:lang w:val="en-US" w:eastAsia="zh-CN" w:bidi="ar"/>
        </w:rPr>
        <w:t>行</w:t>
      </w:r>
      <w:r>
        <w:rPr>
          <w:rFonts w:hint="eastAsia" w:cs="Times New Roman"/>
          <w:b w:val="0"/>
          <w:bCs w:val="0"/>
          <w:snapToGrid w:val="0"/>
          <w:color w:val="auto"/>
          <w:spacing w:val="0"/>
          <w:kern w:val="0"/>
          <w:sz w:val="32"/>
          <w:szCs w:val="32"/>
          <w:highlight w:val="none"/>
          <w:lang w:val="en-US" w:eastAsia="zh-CN" w:bidi="ar"/>
        </w:rPr>
        <w:t>”</w:t>
      </w:r>
      <w:r>
        <w:rPr>
          <w:rFonts w:hint="eastAsia" w:cs="Times New Roman"/>
          <w:b w:val="0"/>
          <w:bCs w:val="0"/>
          <w:i w:val="0"/>
          <w:iCs w:val="0"/>
          <w:snapToGrid w:val="0"/>
          <w:kern w:val="0"/>
          <w:highlight w:val="none"/>
          <w:lang w:val="en-US" w:eastAsia="zh-CN"/>
        </w:rPr>
        <w:t>修改为</w:t>
      </w:r>
      <w:r>
        <w:rPr>
          <w:rFonts w:hint="eastAsia" w:cs="Times New Roman"/>
          <w:b w:val="0"/>
          <w:bCs w:val="0"/>
          <w:snapToGrid w:val="0"/>
          <w:color w:val="auto"/>
          <w:spacing w:val="0"/>
          <w:kern w:val="0"/>
          <w:sz w:val="32"/>
          <w:szCs w:val="32"/>
          <w:highlight w:val="none"/>
          <w:lang w:val="en-US" w:eastAsia="zh-CN" w:bidi="ar"/>
        </w:rPr>
        <w:t>“</w:t>
      </w:r>
      <w:r>
        <w:rPr>
          <w:rFonts w:hint="eastAsia" w:ascii="Times New Roman" w:hAnsi="Times New Roman" w:cs="Times New Roman"/>
          <w:b w:val="0"/>
          <w:bCs w:val="0"/>
          <w:snapToGrid w:val="0"/>
          <w:color w:val="auto"/>
          <w:spacing w:val="0"/>
          <w:kern w:val="0"/>
          <w:sz w:val="32"/>
          <w:szCs w:val="32"/>
          <w:highlight w:val="none"/>
          <w:lang w:val="en-US" w:eastAsia="zh-CN" w:bidi="ar"/>
        </w:rPr>
        <w:t>本实施细则自向社会公布30日后施行</w:t>
      </w:r>
      <w:r>
        <w:rPr>
          <w:rFonts w:hint="eastAsia" w:cs="Times New Roman"/>
          <w:b w:val="0"/>
          <w:bCs w:val="0"/>
          <w:snapToGrid w:val="0"/>
          <w:color w:val="auto"/>
          <w:spacing w:val="0"/>
          <w:kern w:val="0"/>
          <w:sz w:val="32"/>
          <w:szCs w:val="32"/>
          <w:highlight w:val="none"/>
          <w:lang w:val="en-US" w:eastAsia="zh-CN" w:bidi="ar"/>
        </w:rPr>
        <w:t>”。</w:t>
      </w:r>
    </w:p>
    <w:p w14:paraId="39CC8147">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default" w:ascii="Times New Roman" w:hAnsi="Times New Roman" w:cs="Times New Roman"/>
          <w:b w:val="0"/>
          <w:bCs w:val="0"/>
          <w:sz w:val="32"/>
          <w:szCs w:val="32"/>
          <w:highlight w:val="none"/>
          <w:u w:val="none"/>
          <w:lang w:eastAsia="zh-CN"/>
        </w:rPr>
      </w:pPr>
      <w:r>
        <w:rPr>
          <w:rFonts w:hint="default" w:ascii="Times New Roman" w:hAnsi="Times New Roman" w:cs="Times New Roman"/>
          <w:b w:val="0"/>
          <w:bCs w:val="0"/>
          <w:i w:val="0"/>
          <w:iCs w:val="0"/>
          <w:snapToGrid w:val="0"/>
          <w:kern w:val="0"/>
          <w:highlight w:val="none"/>
          <w:lang w:val="en-US" w:eastAsia="zh-CN"/>
        </w:rPr>
        <w:t>2.2024年6月28日下午，通过召开听证会方式公开征求意见，</w:t>
      </w:r>
      <w:r>
        <w:rPr>
          <w:rFonts w:hint="default" w:ascii="Times New Roman" w:hAnsi="Times New Roman" w:cs="Times New Roman"/>
          <w:b w:val="0"/>
          <w:bCs w:val="0"/>
          <w:snapToGrid w:val="0"/>
          <w:color w:val="auto"/>
          <w:spacing w:val="0"/>
          <w:kern w:val="0"/>
          <w:sz w:val="32"/>
          <w:szCs w:val="32"/>
          <w:highlight w:val="none"/>
          <w:u w:val="none"/>
          <w:lang w:val="en-US" w:eastAsia="zh-CN"/>
        </w:rPr>
        <w:t>17位听证代表</w:t>
      </w:r>
      <w:r>
        <w:rPr>
          <w:rFonts w:hint="default" w:ascii="Times New Roman" w:hAnsi="Times New Roman" w:eastAsia="仿宋_GB2312" w:cs="Times New Roman"/>
          <w:b w:val="0"/>
          <w:bCs w:val="0"/>
          <w:sz w:val="32"/>
          <w:szCs w:val="32"/>
          <w:highlight w:val="none"/>
          <w:u w:val="none"/>
        </w:rPr>
        <w:t>发表了</w:t>
      </w:r>
      <w:r>
        <w:rPr>
          <w:rFonts w:hint="eastAsia" w:cs="Times New Roman"/>
          <w:b w:val="0"/>
          <w:bCs w:val="0"/>
          <w:sz w:val="32"/>
          <w:szCs w:val="32"/>
          <w:highlight w:val="none"/>
          <w:u w:val="none"/>
          <w:lang w:val="en-US" w:eastAsia="zh-CN"/>
        </w:rPr>
        <w:t>4</w:t>
      </w:r>
      <w:r>
        <w:rPr>
          <w:rFonts w:hint="default" w:ascii="Times New Roman" w:hAnsi="Times New Roman" w:eastAsia="仿宋_GB2312" w:cs="Times New Roman"/>
          <w:b w:val="0"/>
          <w:bCs w:val="0"/>
          <w:sz w:val="32"/>
          <w:szCs w:val="32"/>
          <w:highlight w:val="none"/>
          <w:u w:val="none"/>
        </w:rPr>
        <w:t>条意见和建议，</w:t>
      </w:r>
      <w:r>
        <w:rPr>
          <w:rFonts w:hint="default" w:ascii="Times New Roman" w:hAnsi="Times New Roman" w:eastAsia="仿宋_GB2312" w:cs="Times New Roman"/>
          <w:b w:val="0"/>
          <w:bCs w:val="0"/>
          <w:sz w:val="32"/>
          <w:szCs w:val="32"/>
          <w:highlight w:val="none"/>
          <w:u w:val="none"/>
          <w:lang w:eastAsia="zh-CN"/>
        </w:rPr>
        <w:t>综合归纳起来</w:t>
      </w:r>
      <w:r>
        <w:rPr>
          <w:rFonts w:hint="default" w:ascii="Times New Roman" w:hAnsi="Times New Roman" w:eastAsia="仿宋_GB2312" w:cs="Times New Roman"/>
          <w:b w:val="0"/>
          <w:bCs w:val="0"/>
          <w:sz w:val="32"/>
          <w:szCs w:val="32"/>
          <w:highlight w:val="none"/>
          <w:u w:val="none"/>
        </w:rPr>
        <w:t>主要是</w:t>
      </w:r>
      <w:r>
        <w:rPr>
          <w:rFonts w:hint="default" w:ascii="Times New Roman" w:hAnsi="Times New Roman" w:eastAsia="仿宋_GB2312" w:cs="Times New Roman"/>
          <w:b w:val="0"/>
          <w:bCs w:val="0"/>
          <w:sz w:val="32"/>
          <w:szCs w:val="32"/>
          <w:highlight w:val="none"/>
          <w:u w:val="none"/>
          <w:lang w:eastAsia="zh-CN"/>
        </w:rPr>
        <w:t>以下</w:t>
      </w:r>
      <w:bookmarkStart w:id="0" w:name="_GoBack"/>
      <w:bookmarkEnd w:id="0"/>
      <w:r>
        <w:rPr>
          <w:rFonts w:hint="default" w:ascii="Times New Roman" w:hAnsi="Times New Roman" w:eastAsia="仿宋_GB2312" w:cs="Times New Roman"/>
          <w:b w:val="0"/>
          <w:bCs w:val="0"/>
          <w:sz w:val="32"/>
          <w:szCs w:val="32"/>
          <w:highlight w:val="none"/>
          <w:u w:val="none"/>
          <w:lang w:eastAsia="zh-CN"/>
        </w:rPr>
        <w:t>方面</w:t>
      </w:r>
      <w:r>
        <w:rPr>
          <w:rFonts w:hint="default" w:ascii="Times New Roman" w:hAnsi="Times New Roman" w:cs="Times New Roman"/>
          <w:b w:val="0"/>
          <w:bCs w:val="0"/>
          <w:sz w:val="32"/>
          <w:szCs w:val="32"/>
          <w:highlight w:val="none"/>
          <w:u w:val="none"/>
          <w:lang w:eastAsia="zh-CN"/>
        </w:rPr>
        <w:t>：</w:t>
      </w:r>
    </w:p>
    <w:p w14:paraId="44A69C2A">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leftChars="0" w:firstLine="632"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val="0"/>
          <w:bCs w:val="0"/>
          <w:sz w:val="32"/>
          <w:szCs w:val="32"/>
          <w:highlight w:val="none"/>
          <w:u w:val="none"/>
          <w:lang w:val="en-US" w:eastAsia="zh-CN"/>
        </w:rPr>
        <w:t>（1）积极支持和同意该细则的实施，关于征收补缴住房维修资金这一举措，是确保物业管理部门提高服务质量，解决小区业主后顾之忧的重大举措，对稳定社会起到极其重要的作用。</w:t>
      </w:r>
    </w:p>
    <w:p w14:paraId="15998E65">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leftChars="0" w:firstLine="632"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default" w:ascii="Times New Roman" w:hAnsi="Times New Roman" w:eastAsia="仿宋_GB2312" w:cs="Times New Roman"/>
          <w:b w:val="0"/>
          <w:bCs w:val="0"/>
          <w:sz w:val="32"/>
          <w:szCs w:val="32"/>
          <w:highlight w:val="none"/>
          <w:u w:val="none"/>
          <w:lang w:val="en-US" w:eastAsia="zh-CN"/>
        </w:rPr>
        <w:t>（2）建议细化该细则中紧急启用维修资金的审批流程。（该</w:t>
      </w:r>
      <w:r>
        <w:rPr>
          <w:rFonts w:hint="eastAsia" w:ascii="仿宋_GB2312" w:hAnsi="仿宋_GB2312" w:eastAsia="仿宋_GB2312" w:cs="仿宋_GB2312"/>
          <w:b w:val="0"/>
          <w:bCs w:val="0"/>
          <w:sz w:val="32"/>
          <w:szCs w:val="32"/>
          <w:highlight w:val="none"/>
          <w:u w:val="none"/>
          <w:lang w:val="en-US" w:eastAsia="zh-CN"/>
        </w:rPr>
        <w:t>条意见予以采纳）</w:t>
      </w:r>
    </w:p>
    <w:p w14:paraId="1A2CC224">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leftChars="0" w:firstLine="632"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cs="Times New Roman"/>
          <w:b w:val="0"/>
          <w:bCs w:val="0"/>
          <w:sz w:val="32"/>
          <w:szCs w:val="32"/>
          <w:highlight w:val="none"/>
          <w:u w:val="none"/>
          <w:lang w:val="en-US" w:eastAsia="zh-CN"/>
        </w:rPr>
        <w:t>（3）</w:t>
      </w:r>
      <w:r>
        <w:rPr>
          <w:rFonts w:hint="default" w:ascii="Times New Roman" w:hAnsi="Times New Roman" w:eastAsia="仿宋_GB2312" w:cs="Times New Roman"/>
          <w:b w:val="0"/>
          <w:bCs w:val="0"/>
          <w:sz w:val="32"/>
          <w:szCs w:val="32"/>
          <w:highlight w:val="none"/>
          <w:u w:val="none"/>
          <w:lang w:val="en-US" w:eastAsia="zh-CN"/>
        </w:rPr>
        <w:t>维修资金征收难度大，建议重点研究。（该条意见</w:t>
      </w:r>
      <w:r>
        <w:rPr>
          <w:rFonts w:hint="eastAsia" w:cs="Times New Roman"/>
          <w:b w:val="0"/>
          <w:bCs w:val="0"/>
          <w:sz w:val="32"/>
          <w:szCs w:val="32"/>
          <w:highlight w:val="none"/>
          <w:u w:val="none"/>
          <w:lang w:val="en-US" w:eastAsia="zh-CN"/>
        </w:rPr>
        <w:t>予以</w:t>
      </w:r>
      <w:r>
        <w:rPr>
          <w:rFonts w:hint="default" w:ascii="Times New Roman" w:hAnsi="Times New Roman" w:eastAsia="仿宋_GB2312" w:cs="Times New Roman"/>
          <w:b w:val="0"/>
          <w:bCs w:val="0"/>
          <w:sz w:val="32"/>
          <w:szCs w:val="32"/>
          <w:highlight w:val="none"/>
          <w:u w:val="none"/>
          <w:lang w:val="en-US" w:eastAsia="zh-CN"/>
        </w:rPr>
        <w:t>采纳）</w:t>
      </w:r>
    </w:p>
    <w:p w14:paraId="32EE436C">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leftChars="0" w:firstLine="632" w:firstLineChars="200"/>
        <w:jc w:val="both"/>
        <w:textAlignment w:val="auto"/>
        <w:rPr>
          <w:rFonts w:hint="default" w:ascii="Times New Roman" w:hAnsi="Times New Roman" w:eastAsia="仿宋_GB2312" w:cs="Times New Roman"/>
          <w:b w:val="0"/>
          <w:bCs w:val="0"/>
          <w:color w:val="auto"/>
          <w:spacing w:val="0"/>
          <w:sz w:val="32"/>
          <w:szCs w:val="32"/>
          <w:highlight w:val="none"/>
          <w:u w:val="none"/>
          <w:lang w:val="en-US" w:eastAsia="zh-CN"/>
        </w:rPr>
      </w:pPr>
      <w:r>
        <w:rPr>
          <w:rFonts w:hint="default" w:ascii="Times New Roman" w:hAnsi="Times New Roman" w:eastAsia="仿宋_GB2312" w:cs="Times New Roman"/>
          <w:b w:val="0"/>
          <w:bCs w:val="0"/>
          <w:sz w:val="32"/>
          <w:szCs w:val="32"/>
          <w:highlight w:val="none"/>
          <w:u w:val="none"/>
          <w:lang w:val="en-US" w:eastAsia="zh-CN"/>
        </w:rPr>
        <w:t>（4）建议</w:t>
      </w:r>
      <w:r>
        <w:rPr>
          <w:rFonts w:hint="default" w:ascii="Times New Roman" w:hAnsi="Times New Roman" w:eastAsia="仿宋_GB2312" w:cs="Times New Roman"/>
          <w:b w:val="0"/>
          <w:bCs w:val="0"/>
          <w:color w:val="auto"/>
          <w:spacing w:val="0"/>
          <w:sz w:val="32"/>
          <w:szCs w:val="32"/>
          <w:highlight w:val="none"/>
          <w:u w:val="none"/>
          <w:lang w:val="en-US" w:eastAsia="zh-CN"/>
        </w:rPr>
        <w:t>使用维修资金时提高表决人数同意占比。</w:t>
      </w:r>
      <w:r>
        <w:rPr>
          <w:rFonts w:hint="default" w:ascii="Times New Roman" w:hAnsi="Times New Roman" w:eastAsia="仿宋_GB2312" w:cs="Times New Roman"/>
          <w:b w:val="0"/>
          <w:bCs w:val="0"/>
          <w:sz w:val="32"/>
          <w:szCs w:val="32"/>
          <w:highlight w:val="none"/>
          <w:u w:val="none"/>
          <w:lang w:val="en-US" w:eastAsia="zh-CN"/>
        </w:rPr>
        <w:t>（该条意见不予采纳，根据《昆明市物业管理条例》</w:t>
      </w:r>
      <w:r>
        <w:rPr>
          <w:rFonts w:hint="default" w:ascii="Times New Roman" w:hAnsi="Times New Roman" w:eastAsia="仿宋_GB2312" w:cs="Times New Roman"/>
          <w:b w:val="0"/>
          <w:bCs w:val="0"/>
          <w:color w:val="000000"/>
          <w:kern w:val="0"/>
          <w:sz w:val="32"/>
          <w:szCs w:val="32"/>
          <w:highlight w:val="none"/>
          <w:lang w:val="en-US" w:eastAsia="zh-CN" w:bidi="ar"/>
        </w:rPr>
        <w:t>第十二条</w:t>
      </w:r>
      <w:r>
        <w:rPr>
          <w:rFonts w:hint="eastAsia" w:ascii="Times New Roman" w:hAnsi="Times New Roman" w:cs="Times New Roman"/>
          <w:b w:val="0"/>
          <w:bCs w:val="0"/>
          <w:color w:val="000000"/>
          <w:kern w:val="0"/>
          <w:sz w:val="32"/>
          <w:szCs w:val="32"/>
          <w:highlight w:val="none"/>
          <w:lang w:val="en-US" w:eastAsia="zh-CN" w:bidi="ar"/>
        </w:rPr>
        <w:t>“</w:t>
      </w:r>
      <w:r>
        <w:rPr>
          <w:rFonts w:hint="default" w:ascii="Times New Roman" w:hAnsi="Times New Roman" w:eastAsia="仿宋_GB2312" w:cs="Times New Roman"/>
          <w:b w:val="0"/>
          <w:bCs w:val="0"/>
          <w:color w:val="000000"/>
          <w:kern w:val="0"/>
          <w:sz w:val="32"/>
          <w:szCs w:val="32"/>
          <w:highlight w:val="none"/>
          <w:lang w:val="en-US" w:eastAsia="zh-CN" w:bidi="ar"/>
        </w:rPr>
        <w:t>业主共同决定事项，应当由专有部分面积占比三分之二以上的业主且人数占比三分之二以上的业主参与表决。决定前款其他事项，应当经参与表决专有部分面积过半数的业主且参与表决人数过半数的业主同意。</w:t>
      </w:r>
      <w:r>
        <w:rPr>
          <w:rFonts w:hint="eastAsia" w:ascii="Times New Roman" w:hAnsi="Times New Roman" w:cs="Times New Roman"/>
          <w:b w:val="0"/>
          <w:bCs w:val="0"/>
          <w:color w:val="000000"/>
          <w:kern w:val="0"/>
          <w:sz w:val="32"/>
          <w:szCs w:val="32"/>
          <w:highlight w:val="none"/>
          <w:lang w:val="en-US" w:eastAsia="zh-CN" w:bidi="ar"/>
        </w:rPr>
        <w:t>”</w:t>
      </w:r>
      <w:r>
        <w:rPr>
          <w:rFonts w:hint="default" w:ascii="Times New Roman" w:hAnsi="Times New Roman" w:eastAsia="仿宋_GB2312" w:cs="Times New Roman"/>
          <w:b w:val="0"/>
          <w:bCs w:val="0"/>
          <w:sz w:val="32"/>
          <w:szCs w:val="32"/>
          <w:highlight w:val="none"/>
          <w:u w:val="none"/>
          <w:lang w:val="en-US" w:eastAsia="zh-CN"/>
        </w:rPr>
        <w:t>）</w:t>
      </w:r>
    </w:p>
    <w:p w14:paraId="78FC0720">
      <w:pPr>
        <w:pStyle w:val="2"/>
        <w:keepNext w:val="0"/>
        <w:keepLines w:val="0"/>
        <w:pageBreakBefore w:val="0"/>
        <w:widowControl w:val="0"/>
        <w:numPr>
          <w:ilvl w:val="0"/>
          <w:numId w:val="0"/>
        </w:numPr>
        <w:kinsoku/>
        <w:wordWrap/>
        <w:overflowPunct/>
        <w:topLinePunct/>
        <w:autoSpaceDE/>
        <w:autoSpaceDN/>
        <w:bidi w:val="0"/>
        <w:adjustRightInd/>
        <w:snapToGrid/>
        <w:spacing w:after="0" w:line="560" w:lineRule="exact"/>
        <w:ind w:firstLine="632" w:firstLineChars="200"/>
        <w:jc w:val="both"/>
        <w:textAlignment w:val="auto"/>
        <w:rPr>
          <w:rFonts w:hint="eastAsia" w:ascii="仿宋_GB2312" w:hAnsi="仿宋_GB2312" w:eastAsia="仿宋_GB2312" w:cs="仿宋_GB2312"/>
          <w:b w:val="0"/>
          <w:bCs w:val="0"/>
          <w:i w:val="0"/>
          <w:iCs w:val="0"/>
          <w:snapToGrid w:val="0"/>
          <w:kern w:val="0"/>
          <w:sz w:val="32"/>
          <w:szCs w:val="32"/>
          <w:highlight w:val="none"/>
          <w:u w:val="none"/>
          <w:lang w:val="en-US" w:eastAsia="zh-CN"/>
        </w:rPr>
      </w:pPr>
      <w:r>
        <w:rPr>
          <w:rFonts w:hint="eastAsia" w:ascii="仿宋_GB2312" w:hAnsi="仿宋_GB2312" w:eastAsia="仿宋_GB2312" w:cs="仿宋_GB2312"/>
          <w:b w:val="0"/>
          <w:bCs w:val="0"/>
          <w:i w:val="0"/>
          <w:iCs w:val="0"/>
          <w:snapToGrid w:val="0"/>
          <w:kern w:val="0"/>
          <w:sz w:val="32"/>
          <w:szCs w:val="32"/>
          <w:highlight w:val="none"/>
          <w:u w:val="none"/>
          <w:lang w:val="en-US" w:eastAsia="zh-CN"/>
        </w:rPr>
        <w:t>征求意见结果已在宜良县人民政府网站向公众反馈。采纳情况为：</w:t>
      </w:r>
      <w:r>
        <w:rPr>
          <w:rFonts w:hint="eastAsia" w:ascii="仿宋_GB2312" w:hAnsi="仿宋_GB2312" w:eastAsia="仿宋_GB2312" w:cs="仿宋_GB2312"/>
          <w:b w:val="0"/>
          <w:bCs w:val="0"/>
          <w:color w:val="auto"/>
          <w:sz w:val="32"/>
          <w:szCs w:val="32"/>
          <w:highlight w:val="none"/>
          <w:u w:val="none"/>
          <w:lang w:val="en-US" w:eastAsia="zh-CN"/>
        </w:rPr>
        <w:t>各位听证代表提出的意见和建议都一一认真听了，并做了记录，大家提出的意见和建议都非常好，特别是在维修资金收取方面建议再细化，考虑老、弱、病、残住户，下来以后宜良县住建局将认真研究、逐条梳理、合理采纳，进一步修改完善。</w:t>
      </w:r>
    </w:p>
    <w:p w14:paraId="0A7CD67F">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b w:val="0"/>
          <w:bCs w:val="0"/>
          <w:i w:val="0"/>
          <w:iCs w:val="0"/>
          <w:snapToGrid w:val="0"/>
          <w:kern w:val="0"/>
          <w:highlight w:val="none"/>
          <w:lang w:val="en-US" w:eastAsia="zh-CN"/>
        </w:rPr>
      </w:pPr>
      <w:r>
        <w:rPr>
          <w:rFonts w:hint="eastAsia"/>
          <w:b w:val="0"/>
          <w:bCs w:val="0"/>
          <w:i w:val="0"/>
          <w:iCs w:val="0"/>
          <w:snapToGrid w:val="0"/>
          <w:kern w:val="0"/>
          <w:highlight w:val="none"/>
          <w:lang w:val="en-US" w:eastAsia="zh-CN"/>
        </w:rPr>
        <w:t>3.</w:t>
      </w:r>
      <w:r>
        <w:rPr>
          <w:rFonts w:hint="default" w:ascii="Times New Roman" w:hAnsi="Times New Roman" w:eastAsia="仿宋_GB2312" w:cs="Times New Roman"/>
          <w:b w:val="0"/>
          <w:bCs w:val="0"/>
          <w:sz w:val="32"/>
          <w:szCs w:val="32"/>
          <w:highlight w:val="none"/>
          <w:lang w:val="en-US" w:eastAsia="zh-CN"/>
        </w:rPr>
        <w:t>2024年7月</w:t>
      </w:r>
      <w:r>
        <w:rPr>
          <w:rFonts w:hint="eastAsia" w:ascii="Times New Roman" w:hAnsi="Times New Roman" w:eastAsia="仿宋_GB2312" w:cs="Times New Roman"/>
          <w:b w:val="0"/>
          <w:bCs w:val="0"/>
          <w:sz w:val="32"/>
          <w:szCs w:val="32"/>
          <w:highlight w:val="none"/>
          <w:lang w:val="en-US" w:eastAsia="zh-CN"/>
        </w:rPr>
        <w:t>23</w:t>
      </w:r>
      <w:r>
        <w:rPr>
          <w:rFonts w:hint="default" w:ascii="Times New Roman" w:hAnsi="Times New Roman" w:eastAsia="仿宋_GB2312" w:cs="Times New Roman"/>
          <w:b w:val="0"/>
          <w:bCs w:val="0"/>
          <w:sz w:val="32"/>
          <w:szCs w:val="32"/>
          <w:highlight w:val="none"/>
          <w:lang w:val="en-US" w:eastAsia="zh-CN"/>
        </w:rPr>
        <w:t>日</w:t>
      </w:r>
      <w:r>
        <w:rPr>
          <w:rFonts w:hint="eastAsia" w:ascii="Times New Roman" w:hAnsi="Times New Roman" w:eastAsia="仿宋_GB2312" w:cs="Times New Roman"/>
          <w:b w:val="0"/>
          <w:bCs w:val="0"/>
          <w:sz w:val="32"/>
          <w:szCs w:val="32"/>
          <w:highlight w:val="none"/>
          <w:lang w:val="en-US" w:eastAsia="zh-CN"/>
        </w:rPr>
        <w:t>下午</w:t>
      </w:r>
      <w:r>
        <w:rPr>
          <w:rFonts w:hint="eastAsia" w:ascii="Times New Roman" w:hAnsi="Times New Roman" w:cs="Times New Roman"/>
          <w:b w:val="0"/>
          <w:bCs w:val="0"/>
          <w:sz w:val="32"/>
          <w:szCs w:val="32"/>
          <w:highlight w:val="none"/>
          <w:lang w:val="en-US" w:eastAsia="zh-CN"/>
        </w:rPr>
        <w:t>，召开</w:t>
      </w:r>
      <w:r>
        <w:rPr>
          <w:rFonts w:hint="eastAsia"/>
          <w:b w:val="0"/>
          <w:bCs w:val="0"/>
          <w:i w:val="0"/>
          <w:iCs w:val="0"/>
          <w:snapToGrid w:val="0"/>
          <w:kern w:val="0"/>
          <w:highlight w:val="none"/>
          <w:lang w:val="en-US" w:eastAsia="zh-CN"/>
        </w:rPr>
        <w:t>专家论证会，</w:t>
      </w:r>
      <w:r>
        <w:rPr>
          <w:rFonts w:hint="eastAsia" w:ascii="Times New Roman" w:hAnsi="Times New Roman" w:eastAsia="仿宋_GB2312" w:cs="Times New Roman"/>
          <w:b w:val="0"/>
          <w:bCs w:val="0"/>
          <w:sz w:val="32"/>
          <w:szCs w:val="32"/>
          <w:highlight w:val="none"/>
          <w:lang w:val="en-US" w:eastAsia="zh-CN"/>
        </w:rPr>
        <w:t>采纳情况为：</w:t>
      </w:r>
      <w:r>
        <w:rPr>
          <w:rFonts w:hint="default" w:ascii="Times New Roman" w:hAnsi="Times New Roman" w:eastAsia="仿宋_GB2312" w:cs="Times New Roman"/>
          <w:b w:val="0"/>
          <w:bCs w:val="0"/>
          <w:sz w:val="32"/>
          <w:szCs w:val="32"/>
          <w:highlight w:val="none"/>
          <w:lang w:val="en-US" w:eastAsia="zh-CN"/>
        </w:rPr>
        <w:t>加大</w:t>
      </w:r>
      <w:r>
        <w:rPr>
          <w:rFonts w:hint="eastAsia" w:cs="Times New Roman"/>
          <w:b w:val="0"/>
          <w:bCs w:val="0"/>
          <w:sz w:val="32"/>
          <w:szCs w:val="32"/>
          <w:highlight w:val="none"/>
          <w:lang w:val="en-US" w:eastAsia="zh-CN"/>
        </w:rPr>
        <w:t>缴纳维修资金</w:t>
      </w:r>
      <w:r>
        <w:rPr>
          <w:rFonts w:hint="default" w:ascii="Times New Roman" w:hAnsi="Times New Roman" w:eastAsia="仿宋_GB2312" w:cs="Times New Roman"/>
          <w:b w:val="0"/>
          <w:bCs w:val="0"/>
          <w:sz w:val="32"/>
          <w:szCs w:val="32"/>
          <w:highlight w:val="none"/>
          <w:lang w:val="en-US" w:eastAsia="zh-CN"/>
        </w:rPr>
        <w:t>政策</w:t>
      </w:r>
      <w:r>
        <w:rPr>
          <w:rFonts w:hint="eastAsia" w:cs="Times New Roman"/>
          <w:b w:val="0"/>
          <w:bCs w:val="0"/>
          <w:sz w:val="32"/>
          <w:szCs w:val="32"/>
          <w:highlight w:val="none"/>
          <w:lang w:val="en-US" w:eastAsia="zh-CN"/>
        </w:rPr>
        <w:t>的</w:t>
      </w:r>
      <w:r>
        <w:rPr>
          <w:rFonts w:hint="default" w:ascii="Times New Roman" w:hAnsi="Times New Roman" w:eastAsia="仿宋_GB2312" w:cs="Times New Roman"/>
          <w:b w:val="0"/>
          <w:bCs w:val="0"/>
          <w:sz w:val="32"/>
          <w:szCs w:val="32"/>
          <w:highlight w:val="none"/>
          <w:lang w:val="en-US" w:eastAsia="zh-CN"/>
        </w:rPr>
        <w:t>宣传力度，让广大老旧小区业主充分理解政策</w:t>
      </w:r>
      <w:r>
        <w:rPr>
          <w:rFonts w:hint="eastAsia" w:ascii="Times New Roman" w:hAnsi="Times New Roman" w:eastAsia="仿宋_GB2312" w:cs="Times New Roman"/>
          <w:b w:val="0"/>
          <w:bCs w:val="0"/>
          <w:sz w:val="32"/>
          <w:szCs w:val="32"/>
          <w:highlight w:val="none"/>
          <w:lang w:val="en-US" w:eastAsia="zh-CN"/>
        </w:rPr>
        <w:t>。</w:t>
      </w:r>
    </w:p>
    <w:p w14:paraId="16658A0F">
      <w:pPr>
        <w:keepNext w:val="0"/>
        <w:keepLines w:val="0"/>
        <w:pageBreakBefore w:val="0"/>
        <w:widowControl w:val="0"/>
        <w:kinsoku/>
        <w:wordWrap/>
        <w:overflowPunct/>
        <w:topLinePunct/>
        <w:autoSpaceDE/>
        <w:autoSpaceDN/>
        <w:bidi w:val="0"/>
        <w:adjustRightInd w:val="0"/>
        <w:snapToGrid w:val="0"/>
        <w:spacing w:after="0" w:line="560" w:lineRule="exact"/>
        <w:ind w:firstLine="632" w:firstLineChars="200"/>
        <w:jc w:val="both"/>
        <w:textAlignment w:val="auto"/>
        <w:rPr>
          <w:rFonts w:hint="default"/>
          <w:b w:val="0"/>
          <w:bCs w:val="0"/>
          <w:i w:val="0"/>
          <w:iCs w:val="0"/>
          <w:snapToGrid w:val="0"/>
          <w:kern w:val="0"/>
          <w:highlight w:val="yellow"/>
          <w:lang w:val="en-US" w:eastAsia="zh-CN"/>
        </w:rPr>
      </w:pPr>
      <w:r>
        <w:rPr>
          <w:rFonts w:hint="eastAsia"/>
          <w:b w:val="0"/>
          <w:bCs w:val="0"/>
          <w:i w:val="0"/>
          <w:iCs w:val="0"/>
          <w:snapToGrid w:val="0"/>
          <w:kern w:val="0"/>
          <w:highlight w:val="none"/>
          <w:lang w:val="en-US" w:eastAsia="zh-CN"/>
        </w:rPr>
        <w:t>4.本单位法制科合法性审核意见提出：经审查，该文件制定主体、依据、权限、内容、程序合法。</w:t>
      </w:r>
      <w:r>
        <w:rPr>
          <w:rFonts w:hint="eastAsia" w:ascii="Times New Roman" w:hAnsi="Times New Roman"/>
          <w:b w:val="0"/>
          <w:bCs w:val="0"/>
          <w:snapToGrid w:val="0"/>
          <w:kern w:val="0"/>
          <w:lang w:val="en-US" w:eastAsia="zh-CN"/>
        </w:rPr>
        <w:t>该文稿属于</w:t>
      </w:r>
      <w:r>
        <w:rPr>
          <w:rFonts w:hint="eastAsia"/>
          <w:b w:val="0"/>
          <w:bCs w:val="0"/>
          <w:snapToGrid w:val="0"/>
          <w:kern w:val="0"/>
          <w:lang w:val="en-US" w:eastAsia="zh-CN"/>
        </w:rPr>
        <w:t>部门</w:t>
      </w:r>
      <w:r>
        <w:rPr>
          <w:rFonts w:hint="eastAsia" w:ascii="Times New Roman" w:hAnsi="Times New Roman"/>
          <w:b w:val="0"/>
          <w:bCs w:val="0"/>
          <w:snapToGrid w:val="0"/>
          <w:kern w:val="0"/>
          <w:lang w:val="en-US" w:eastAsia="zh-CN"/>
        </w:rPr>
        <w:t>行政规范性文件，</w:t>
      </w:r>
      <w:r>
        <w:rPr>
          <w:rFonts w:hint="eastAsia"/>
          <w:b w:val="0"/>
          <w:bCs w:val="0"/>
          <w:snapToGrid w:val="0"/>
          <w:kern w:val="0"/>
          <w:lang w:val="en-US" w:eastAsia="zh-CN"/>
        </w:rPr>
        <w:t>建议按照《宜良县行政规范性文件管理实施细则》有关规定，经办公会议审议通过、主要负责人签署后，由办公室进行统一登记、统一编号、统一公布，并报县人民政府备案</w:t>
      </w:r>
      <w:r>
        <w:rPr>
          <w:rFonts w:hint="eastAsia" w:ascii="Times New Roman" w:hAnsi="Times New Roman"/>
          <w:b w:val="0"/>
          <w:bCs w:val="0"/>
          <w:snapToGrid w:val="0"/>
          <w:kern w:val="0"/>
          <w:lang w:val="en-US" w:eastAsia="zh-CN"/>
        </w:rPr>
        <w:t>。</w:t>
      </w:r>
    </w:p>
    <w:p w14:paraId="38D1C818">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default" w:ascii="Times New Roman" w:hAnsi="Times New Roman" w:eastAsia="黑体" w:cs="黑体"/>
          <w:b w:val="0"/>
          <w:bCs w:val="0"/>
          <w:i w:val="0"/>
          <w:iCs w:val="0"/>
          <w:kern w:val="2"/>
          <w:lang w:val="en-US" w:eastAsia="zh-CN"/>
        </w:rPr>
      </w:pPr>
      <w:r>
        <w:rPr>
          <w:rFonts w:hint="eastAsia" w:ascii="Times New Roman" w:hAnsi="Times New Roman" w:eastAsia="黑体" w:cs="黑体"/>
          <w:b w:val="0"/>
          <w:bCs w:val="0"/>
          <w:i w:val="0"/>
          <w:iCs w:val="0"/>
          <w:kern w:val="2"/>
          <w:lang w:val="en-US" w:eastAsia="zh-CN"/>
        </w:rPr>
        <w:t>五、</w:t>
      </w:r>
      <w:r>
        <w:rPr>
          <w:rFonts w:hint="eastAsia" w:eastAsia="黑体" w:cs="黑体"/>
          <w:b w:val="0"/>
          <w:bCs w:val="0"/>
          <w:i w:val="0"/>
          <w:iCs w:val="0"/>
          <w:kern w:val="2"/>
          <w:lang w:val="en-US" w:eastAsia="zh-CN"/>
        </w:rPr>
        <w:t>领导意见</w:t>
      </w:r>
    </w:p>
    <w:p w14:paraId="1792F016">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b w:val="0"/>
          <w:bCs w:val="0"/>
          <w:i w:val="0"/>
          <w:iCs w:val="0"/>
          <w:snapToGrid w:val="0"/>
          <w:kern w:val="0"/>
          <w:lang w:val="en-US" w:eastAsia="zh-CN"/>
        </w:rPr>
      </w:pPr>
      <w:r>
        <w:rPr>
          <w:rFonts w:hint="eastAsia"/>
          <w:b w:val="0"/>
          <w:bCs w:val="0"/>
          <w:i w:val="0"/>
          <w:iCs w:val="0"/>
          <w:snapToGrid w:val="0"/>
          <w:color w:val="auto"/>
          <w:kern w:val="0"/>
          <w:lang w:val="en-US" w:eastAsia="zh-CN"/>
        </w:rPr>
        <w:t>1.</w:t>
      </w:r>
      <w:r>
        <w:rPr>
          <w:rFonts w:hint="eastAsia"/>
          <w:b w:val="0"/>
          <w:bCs w:val="0"/>
          <w:i w:val="0"/>
          <w:iCs w:val="0"/>
          <w:snapToGrid w:val="0"/>
          <w:kern w:val="0"/>
          <w:lang w:val="en-US" w:eastAsia="zh-CN"/>
        </w:rPr>
        <w:t>2024年7月25日，局城乡建设中心领导集体讨论通过</w:t>
      </w:r>
      <w:r>
        <w:rPr>
          <w:rFonts w:hint="eastAsia"/>
          <w:b w:val="0"/>
          <w:bCs w:val="0"/>
          <w:i w:val="0"/>
          <w:iCs w:val="0"/>
          <w:kern w:val="2"/>
          <w:lang w:val="en-US" w:eastAsia="zh-CN"/>
        </w:rPr>
        <w:t>《宜良县住宅专项维修资金使用管理实施细则</w:t>
      </w:r>
      <w:r>
        <w:rPr>
          <w:rFonts w:hint="eastAsia"/>
          <w:b w:val="0"/>
          <w:bCs w:val="0"/>
          <w:i w:val="0"/>
          <w:iCs w:val="0"/>
          <w:snapToGrid w:val="0"/>
          <w:kern w:val="0"/>
          <w:lang w:val="en-US" w:eastAsia="zh-CN"/>
        </w:rPr>
        <w:t>（送审稿）》。</w:t>
      </w:r>
    </w:p>
    <w:p w14:paraId="0B7CCC43">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b w:val="0"/>
          <w:bCs w:val="0"/>
          <w:i w:val="0"/>
          <w:iCs w:val="0"/>
          <w:snapToGrid w:val="0"/>
          <w:kern w:val="0"/>
          <w:lang w:val="en-US" w:eastAsia="zh-CN"/>
        </w:rPr>
      </w:pPr>
      <w:r>
        <w:rPr>
          <w:rFonts w:hint="eastAsia"/>
          <w:b w:val="0"/>
          <w:bCs w:val="0"/>
          <w:i w:val="0"/>
          <w:iCs w:val="0"/>
          <w:snapToGrid w:val="0"/>
          <w:kern w:val="0"/>
          <w:lang w:val="en-US" w:eastAsia="zh-CN"/>
        </w:rPr>
        <w:t>2.2024年7月25日，局领导班子集体讨论通过</w:t>
      </w:r>
      <w:r>
        <w:rPr>
          <w:rFonts w:hint="eastAsia"/>
          <w:b w:val="0"/>
          <w:bCs w:val="0"/>
          <w:i w:val="0"/>
          <w:iCs w:val="0"/>
          <w:kern w:val="2"/>
          <w:lang w:val="en-US" w:eastAsia="zh-CN"/>
        </w:rPr>
        <w:t>《宜良县住宅专项维修资金使用管理实施细则</w:t>
      </w:r>
      <w:r>
        <w:rPr>
          <w:rFonts w:hint="eastAsia"/>
          <w:b w:val="0"/>
          <w:bCs w:val="0"/>
          <w:i w:val="0"/>
          <w:iCs w:val="0"/>
          <w:snapToGrid w:val="0"/>
          <w:kern w:val="0"/>
          <w:lang w:val="en-US" w:eastAsia="zh-CN"/>
        </w:rPr>
        <w:t>（送审稿）》。</w:t>
      </w:r>
    </w:p>
    <w:p w14:paraId="1AFFB61B">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b w:val="0"/>
          <w:bCs w:val="0"/>
          <w:i w:val="0"/>
          <w:iCs w:val="0"/>
          <w:snapToGrid w:val="0"/>
          <w:color w:val="auto"/>
          <w:kern w:val="0"/>
          <w:lang w:val="en-US" w:eastAsia="zh-CN"/>
        </w:rPr>
      </w:pPr>
      <w:r>
        <w:rPr>
          <w:rFonts w:hint="eastAsia"/>
          <w:b w:val="0"/>
          <w:bCs w:val="0"/>
          <w:i w:val="0"/>
          <w:iCs w:val="0"/>
          <w:snapToGrid w:val="0"/>
          <w:color w:val="auto"/>
          <w:kern w:val="0"/>
          <w:lang w:val="en-US" w:eastAsia="zh-CN"/>
        </w:rPr>
        <w:t>3.</w:t>
      </w:r>
      <w:r>
        <w:rPr>
          <w:rFonts w:hint="eastAsia"/>
          <w:b w:val="0"/>
          <w:bCs w:val="0"/>
          <w:i w:val="0"/>
          <w:iCs w:val="0"/>
          <w:snapToGrid w:val="0"/>
          <w:kern w:val="0"/>
          <w:lang w:val="en-US" w:eastAsia="zh-CN"/>
        </w:rPr>
        <w:t>2024年7月29日，</w:t>
      </w:r>
      <w:r>
        <w:rPr>
          <w:rFonts w:hint="eastAsia"/>
          <w:b w:val="0"/>
          <w:bCs w:val="0"/>
          <w:i w:val="0"/>
          <w:iCs w:val="0"/>
          <w:snapToGrid w:val="0"/>
          <w:color w:val="auto"/>
          <w:kern w:val="0"/>
          <w:lang w:val="en-US" w:eastAsia="zh-CN"/>
        </w:rPr>
        <w:t>县住建局徐艾东局长已会签文件。</w:t>
      </w:r>
    </w:p>
    <w:p w14:paraId="5B446B1C">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left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六、文件</w:t>
      </w:r>
      <w:r>
        <w:rPr>
          <w:rFonts w:hint="eastAsia" w:ascii="黑体" w:hAnsi="黑体" w:eastAsia="黑体" w:cs="黑体"/>
          <w:b w:val="0"/>
          <w:bCs w:val="0"/>
          <w:sz w:val="32"/>
          <w:szCs w:val="32"/>
        </w:rPr>
        <w:t>实施</w:t>
      </w:r>
      <w:r>
        <w:rPr>
          <w:rFonts w:hint="eastAsia" w:ascii="黑体" w:hAnsi="黑体" w:eastAsia="黑体" w:cs="黑体"/>
          <w:b w:val="0"/>
          <w:bCs w:val="0"/>
          <w:sz w:val="32"/>
          <w:szCs w:val="32"/>
          <w:lang w:val="en-US" w:eastAsia="zh-CN"/>
        </w:rPr>
        <w:t>日期</w:t>
      </w:r>
    </w:p>
    <w:p w14:paraId="679D62E4">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default"/>
          <w:lang w:val="en-US" w:eastAsia="zh-CN"/>
        </w:rPr>
      </w:pPr>
      <w:r>
        <w:rPr>
          <w:rFonts w:hint="eastAsia" w:ascii="Times New Roman" w:hAnsi="Times New Roman" w:eastAsia="仿宋_GB2312" w:cs="仿宋_GB2312"/>
          <w:b w:val="0"/>
          <w:bCs w:val="0"/>
          <w:sz w:val="32"/>
          <w:szCs w:val="32"/>
        </w:rPr>
        <w:t>该文件的</w:t>
      </w:r>
      <w:r>
        <w:rPr>
          <w:rFonts w:hint="eastAsia" w:ascii="Times New Roman" w:hAnsi="Times New Roman" w:eastAsia="仿宋_GB2312" w:cs="仿宋_GB2312"/>
          <w:b w:val="0"/>
          <w:bCs w:val="0"/>
          <w:sz w:val="32"/>
          <w:szCs w:val="32"/>
          <w:lang w:val="en-US" w:eastAsia="zh-CN"/>
        </w:rPr>
        <w:t>公布</w:t>
      </w:r>
      <w:r>
        <w:rPr>
          <w:rFonts w:hint="eastAsia" w:ascii="Times New Roman" w:hAnsi="Times New Roman" w:eastAsia="仿宋_GB2312" w:cs="仿宋_GB2312"/>
          <w:b w:val="0"/>
          <w:bCs w:val="0"/>
          <w:sz w:val="32"/>
          <w:szCs w:val="32"/>
        </w:rPr>
        <w:t>日期是</w:t>
      </w:r>
      <w:r>
        <w:rPr>
          <w:rFonts w:hint="default" w:ascii="Times New Roman" w:hAnsi="Times New Roman" w:eastAsia="仿宋_GB2312" w:cs="Times New Roman"/>
          <w:b w:val="0"/>
          <w:bCs w:val="0"/>
          <w:i w:val="0"/>
          <w:iCs w:val="0"/>
          <w:snapToGrid w:val="0"/>
          <w:kern w:val="0"/>
          <w:sz w:val="32"/>
          <w:szCs w:val="32"/>
          <w:highlight w:val="none"/>
          <w:u w:val="none"/>
          <w:lang w:val="en-US" w:eastAsia="zh-CN" w:bidi="ar-SA"/>
        </w:rPr>
        <w:t>202</w:t>
      </w:r>
      <w:r>
        <w:rPr>
          <w:rFonts w:hint="eastAsia" w:ascii="Times New Roman" w:hAnsi="Times New Roman" w:eastAsia="仿宋_GB2312" w:cs="Times New Roman"/>
          <w:b w:val="0"/>
          <w:bCs w:val="0"/>
          <w:i w:val="0"/>
          <w:iCs w:val="0"/>
          <w:snapToGrid w:val="0"/>
          <w:kern w:val="0"/>
          <w:sz w:val="32"/>
          <w:szCs w:val="32"/>
          <w:highlight w:val="none"/>
          <w:u w:val="none"/>
          <w:lang w:val="en-US" w:eastAsia="zh-CN" w:bidi="ar-SA"/>
        </w:rPr>
        <w:t>4</w:t>
      </w:r>
      <w:r>
        <w:rPr>
          <w:rFonts w:hint="default" w:ascii="Times New Roman" w:hAnsi="Times New Roman" w:eastAsia="仿宋_GB2312" w:cs="Times New Roman"/>
          <w:b w:val="0"/>
          <w:bCs w:val="0"/>
          <w:i w:val="0"/>
          <w:iCs w:val="0"/>
          <w:snapToGrid w:val="0"/>
          <w:kern w:val="0"/>
          <w:sz w:val="32"/>
          <w:szCs w:val="32"/>
          <w:highlight w:val="none"/>
          <w:u w:val="none"/>
          <w:lang w:val="en-US" w:eastAsia="zh-CN" w:bidi="ar-SA"/>
        </w:rPr>
        <w:t>年</w:t>
      </w:r>
      <w:r>
        <w:rPr>
          <w:rFonts w:hint="eastAsia" w:cs="Times New Roman"/>
          <w:b w:val="0"/>
          <w:bCs w:val="0"/>
          <w:i w:val="0"/>
          <w:iCs w:val="0"/>
          <w:snapToGrid w:val="0"/>
          <w:kern w:val="0"/>
          <w:sz w:val="32"/>
          <w:szCs w:val="32"/>
          <w:highlight w:val="none"/>
          <w:u w:val="none"/>
          <w:lang w:val="en-US" w:eastAsia="zh-CN" w:bidi="ar-SA"/>
        </w:rPr>
        <w:t>7</w:t>
      </w:r>
      <w:r>
        <w:rPr>
          <w:rFonts w:hint="default" w:ascii="Times New Roman" w:hAnsi="Times New Roman" w:eastAsia="仿宋_GB2312" w:cs="Times New Roman"/>
          <w:b w:val="0"/>
          <w:bCs w:val="0"/>
          <w:i w:val="0"/>
          <w:iCs w:val="0"/>
          <w:snapToGrid w:val="0"/>
          <w:kern w:val="0"/>
          <w:sz w:val="32"/>
          <w:szCs w:val="32"/>
          <w:highlight w:val="none"/>
          <w:u w:val="none"/>
          <w:lang w:val="en-US" w:eastAsia="zh-CN" w:bidi="ar-SA"/>
        </w:rPr>
        <w:t>月</w:t>
      </w:r>
      <w:r>
        <w:rPr>
          <w:rFonts w:hint="eastAsia" w:cs="Times New Roman"/>
          <w:b w:val="0"/>
          <w:bCs w:val="0"/>
          <w:i w:val="0"/>
          <w:iCs w:val="0"/>
          <w:snapToGrid w:val="0"/>
          <w:kern w:val="0"/>
          <w:sz w:val="32"/>
          <w:szCs w:val="32"/>
          <w:highlight w:val="none"/>
          <w:u w:val="none"/>
          <w:lang w:val="en-US" w:eastAsia="zh-CN" w:bidi="ar-SA"/>
        </w:rPr>
        <w:t>30</w:t>
      </w:r>
      <w:r>
        <w:rPr>
          <w:rFonts w:hint="default" w:ascii="Times New Roman" w:hAnsi="Times New Roman" w:eastAsia="仿宋_GB2312" w:cs="Times New Roman"/>
          <w:b w:val="0"/>
          <w:bCs w:val="0"/>
          <w:i w:val="0"/>
          <w:iCs w:val="0"/>
          <w:snapToGrid w:val="0"/>
          <w:kern w:val="0"/>
          <w:sz w:val="32"/>
          <w:szCs w:val="32"/>
          <w:highlight w:val="none"/>
          <w:u w:val="none"/>
          <w:lang w:val="en-US" w:eastAsia="zh-CN" w:bidi="ar-SA"/>
        </w:rPr>
        <w:t>日</w:t>
      </w:r>
      <w:r>
        <w:rPr>
          <w:rFonts w:hint="eastAsia" w:ascii="Times New Roman" w:hAnsi="Times New Roman" w:eastAsia="仿宋_GB2312" w:cs="仿宋_GB2312"/>
          <w:b w:val="0"/>
          <w:bCs w:val="0"/>
          <w:sz w:val="32"/>
          <w:szCs w:val="32"/>
        </w:rPr>
        <w:t>，施行日期是</w:t>
      </w:r>
      <w:r>
        <w:rPr>
          <w:rFonts w:hint="default" w:ascii="Times New Roman" w:hAnsi="Times New Roman" w:eastAsia="仿宋_GB2312" w:cs="Times New Roman"/>
          <w:b w:val="0"/>
          <w:bCs w:val="0"/>
          <w:i w:val="0"/>
          <w:iCs w:val="0"/>
          <w:snapToGrid w:val="0"/>
          <w:kern w:val="0"/>
          <w:sz w:val="32"/>
          <w:szCs w:val="32"/>
          <w:highlight w:val="none"/>
          <w:u w:val="none"/>
          <w:lang w:val="en-US" w:eastAsia="zh-CN" w:bidi="ar-SA"/>
        </w:rPr>
        <w:t>202</w:t>
      </w:r>
      <w:r>
        <w:rPr>
          <w:rFonts w:hint="eastAsia" w:ascii="Times New Roman" w:hAnsi="Times New Roman" w:eastAsia="仿宋_GB2312" w:cs="Times New Roman"/>
          <w:b w:val="0"/>
          <w:bCs w:val="0"/>
          <w:i w:val="0"/>
          <w:iCs w:val="0"/>
          <w:snapToGrid w:val="0"/>
          <w:kern w:val="0"/>
          <w:sz w:val="32"/>
          <w:szCs w:val="32"/>
          <w:highlight w:val="none"/>
          <w:u w:val="none"/>
          <w:lang w:val="en-US" w:eastAsia="zh-CN" w:bidi="ar-SA"/>
        </w:rPr>
        <w:t>4</w:t>
      </w:r>
      <w:r>
        <w:rPr>
          <w:rFonts w:hint="default" w:ascii="Times New Roman" w:hAnsi="Times New Roman" w:eastAsia="仿宋_GB2312" w:cs="Times New Roman"/>
          <w:b w:val="0"/>
          <w:bCs w:val="0"/>
          <w:i w:val="0"/>
          <w:iCs w:val="0"/>
          <w:snapToGrid w:val="0"/>
          <w:kern w:val="0"/>
          <w:sz w:val="32"/>
          <w:szCs w:val="32"/>
          <w:highlight w:val="none"/>
          <w:u w:val="none"/>
          <w:lang w:val="en-US" w:eastAsia="zh-CN" w:bidi="ar-SA"/>
        </w:rPr>
        <w:t>年</w:t>
      </w:r>
      <w:r>
        <w:rPr>
          <w:rFonts w:hint="eastAsia" w:cs="Times New Roman"/>
          <w:b w:val="0"/>
          <w:bCs w:val="0"/>
          <w:i w:val="0"/>
          <w:iCs w:val="0"/>
          <w:snapToGrid w:val="0"/>
          <w:kern w:val="0"/>
          <w:sz w:val="32"/>
          <w:szCs w:val="32"/>
          <w:highlight w:val="none"/>
          <w:u w:val="none"/>
          <w:lang w:val="en-US" w:eastAsia="zh-CN" w:bidi="ar-SA"/>
        </w:rPr>
        <w:t>9</w:t>
      </w:r>
      <w:r>
        <w:rPr>
          <w:rFonts w:hint="default" w:ascii="Times New Roman" w:hAnsi="Times New Roman" w:eastAsia="仿宋_GB2312" w:cs="Times New Roman"/>
          <w:b w:val="0"/>
          <w:bCs w:val="0"/>
          <w:i w:val="0"/>
          <w:iCs w:val="0"/>
          <w:snapToGrid w:val="0"/>
          <w:kern w:val="0"/>
          <w:sz w:val="32"/>
          <w:szCs w:val="32"/>
          <w:highlight w:val="none"/>
          <w:u w:val="none"/>
          <w:lang w:val="en-US" w:eastAsia="zh-CN" w:bidi="ar-SA"/>
        </w:rPr>
        <w:t>月</w:t>
      </w:r>
      <w:r>
        <w:rPr>
          <w:rFonts w:hint="eastAsia" w:cs="Times New Roman"/>
          <w:b w:val="0"/>
          <w:bCs w:val="0"/>
          <w:i w:val="0"/>
          <w:iCs w:val="0"/>
          <w:snapToGrid w:val="0"/>
          <w:kern w:val="0"/>
          <w:sz w:val="32"/>
          <w:szCs w:val="32"/>
          <w:highlight w:val="none"/>
          <w:u w:val="none"/>
          <w:lang w:val="en-US" w:eastAsia="zh-CN" w:bidi="ar-SA"/>
        </w:rPr>
        <w:t>20</w:t>
      </w:r>
      <w:r>
        <w:rPr>
          <w:rFonts w:hint="default" w:ascii="Times New Roman" w:hAnsi="Times New Roman" w:eastAsia="仿宋_GB2312" w:cs="Times New Roman"/>
          <w:b w:val="0"/>
          <w:bCs w:val="0"/>
          <w:i w:val="0"/>
          <w:iCs w:val="0"/>
          <w:snapToGrid w:val="0"/>
          <w:kern w:val="0"/>
          <w:sz w:val="32"/>
          <w:szCs w:val="32"/>
          <w:highlight w:val="none"/>
          <w:u w:val="none"/>
          <w:lang w:val="en-US" w:eastAsia="zh-CN" w:bidi="ar-SA"/>
        </w:rPr>
        <w:t>日</w:t>
      </w:r>
      <w:r>
        <w:rPr>
          <w:rFonts w:hint="eastAsia"/>
          <w:b w:val="0"/>
          <w:bCs w:val="0"/>
          <w:i w:val="0"/>
          <w:iCs w:val="0"/>
          <w:snapToGrid w:val="0"/>
          <w:kern w:val="0"/>
          <w:lang w:val="en-US" w:eastAsia="zh-CN"/>
        </w:rPr>
        <w:t>。</w:t>
      </w:r>
    </w:p>
    <w:sectPr>
      <w:footerReference r:id="rId5" w:type="default"/>
      <w:pgSz w:w="11906" w:h="16838"/>
      <w:pgMar w:top="2098" w:right="1474" w:bottom="1984" w:left="1474" w:header="708" w:footer="794" w:gutter="0"/>
      <w:pgNumType w:fmt="decimal"/>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52B63">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9D5487A">
                <w:pPr>
                  <w:pStyle w:val="6"/>
                  <w:keepNext w:val="0"/>
                  <w:keepLines w:val="0"/>
                  <w:pageBreakBefore w:val="0"/>
                  <w:widowControl/>
                  <w:kinsoku/>
                  <w:wordWrap/>
                  <w:overflowPunct/>
                  <w:topLinePunct w:val="0"/>
                  <w:autoSpaceDE/>
                  <w:autoSpaceDN/>
                  <w:bidi w:val="0"/>
                  <w:adjustRightInd w:val="0"/>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7F971"/>
    <w:multiLevelType w:val="singleLevel"/>
    <w:tmpl w:val="8B47F97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58"/>
  <w:drawingGridVerticalSpacing w:val="29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DRiZmEzMmYyZDBhNzhlMGEyNjhmNDYzODNjMDE5MWEifQ=="/>
  </w:docVars>
  <w:rsids>
    <w:rsidRoot w:val="00D31D50"/>
    <w:rsid w:val="00323B43"/>
    <w:rsid w:val="003D37D8"/>
    <w:rsid w:val="00426133"/>
    <w:rsid w:val="004358AB"/>
    <w:rsid w:val="008B7726"/>
    <w:rsid w:val="00D31D50"/>
    <w:rsid w:val="01AF6598"/>
    <w:rsid w:val="02EB78F5"/>
    <w:rsid w:val="03FD48E9"/>
    <w:rsid w:val="0570709B"/>
    <w:rsid w:val="0C106B68"/>
    <w:rsid w:val="0D4C7ED9"/>
    <w:rsid w:val="0E7802DB"/>
    <w:rsid w:val="0ECF2DB5"/>
    <w:rsid w:val="0ED7244F"/>
    <w:rsid w:val="0F7F174F"/>
    <w:rsid w:val="104364A2"/>
    <w:rsid w:val="10806817"/>
    <w:rsid w:val="10A63170"/>
    <w:rsid w:val="10AC760C"/>
    <w:rsid w:val="13FD4C43"/>
    <w:rsid w:val="15D927E3"/>
    <w:rsid w:val="18012888"/>
    <w:rsid w:val="18027B12"/>
    <w:rsid w:val="1C7F16B6"/>
    <w:rsid w:val="1CC6481F"/>
    <w:rsid w:val="1D106753"/>
    <w:rsid w:val="1DC13E14"/>
    <w:rsid w:val="1DDC778A"/>
    <w:rsid w:val="1E6F3A27"/>
    <w:rsid w:val="1F063889"/>
    <w:rsid w:val="1FF50EEC"/>
    <w:rsid w:val="20066E3F"/>
    <w:rsid w:val="206C7D88"/>
    <w:rsid w:val="20A164A0"/>
    <w:rsid w:val="22544D97"/>
    <w:rsid w:val="24E24F53"/>
    <w:rsid w:val="2566429C"/>
    <w:rsid w:val="268A623B"/>
    <w:rsid w:val="273D46C2"/>
    <w:rsid w:val="28B9251C"/>
    <w:rsid w:val="2B8218AC"/>
    <w:rsid w:val="2BF437BD"/>
    <w:rsid w:val="2CE915FA"/>
    <w:rsid w:val="2CFA4E04"/>
    <w:rsid w:val="2E697423"/>
    <w:rsid w:val="309230B5"/>
    <w:rsid w:val="35F7491D"/>
    <w:rsid w:val="372908C6"/>
    <w:rsid w:val="38C558F4"/>
    <w:rsid w:val="3A663AD8"/>
    <w:rsid w:val="3A7E0E22"/>
    <w:rsid w:val="3A84586E"/>
    <w:rsid w:val="3C1063F2"/>
    <w:rsid w:val="3C152AF5"/>
    <w:rsid w:val="3E1D4BFE"/>
    <w:rsid w:val="431504F2"/>
    <w:rsid w:val="435724EB"/>
    <w:rsid w:val="43C66B39"/>
    <w:rsid w:val="44892815"/>
    <w:rsid w:val="455740C4"/>
    <w:rsid w:val="45A80D73"/>
    <w:rsid w:val="49844E60"/>
    <w:rsid w:val="49C820BA"/>
    <w:rsid w:val="4B8F3A59"/>
    <w:rsid w:val="4BEC751C"/>
    <w:rsid w:val="4DA84805"/>
    <w:rsid w:val="4DAE5A5A"/>
    <w:rsid w:val="4E441A1E"/>
    <w:rsid w:val="4E9D327A"/>
    <w:rsid w:val="505446A7"/>
    <w:rsid w:val="51DD6CA4"/>
    <w:rsid w:val="52232583"/>
    <w:rsid w:val="52257263"/>
    <w:rsid w:val="52A3619C"/>
    <w:rsid w:val="52D83CFF"/>
    <w:rsid w:val="52E756D8"/>
    <w:rsid w:val="53027EE8"/>
    <w:rsid w:val="533A2430"/>
    <w:rsid w:val="53465D4B"/>
    <w:rsid w:val="53B611D5"/>
    <w:rsid w:val="558D5291"/>
    <w:rsid w:val="558E2409"/>
    <w:rsid w:val="56393F47"/>
    <w:rsid w:val="56C8186F"/>
    <w:rsid w:val="570566FB"/>
    <w:rsid w:val="58594DCC"/>
    <w:rsid w:val="59E20201"/>
    <w:rsid w:val="5B3B7F0C"/>
    <w:rsid w:val="5C463A8F"/>
    <w:rsid w:val="5DCD299C"/>
    <w:rsid w:val="5DD27C0C"/>
    <w:rsid w:val="5FA727F6"/>
    <w:rsid w:val="614D472B"/>
    <w:rsid w:val="6165658B"/>
    <w:rsid w:val="633839B4"/>
    <w:rsid w:val="66313FE8"/>
    <w:rsid w:val="67245D52"/>
    <w:rsid w:val="6C536416"/>
    <w:rsid w:val="6D0E47B3"/>
    <w:rsid w:val="6D1D4A96"/>
    <w:rsid w:val="6D415B5B"/>
    <w:rsid w:val="6F293623"/>
    <w:rsid w:val="718B4AFC"/>
    <w:rsid w:val="72807126"/>
    <w:rsid w:val="74C42127"/>
    <w:rsid w:val="75332F6F"/>
    <w:rsid w:val="75416D1D"/>
    <w:rsid w:val="755A5A0C"/>
    <w:rsid w:val="75CA0B47"/>
    <w:rsid w:val="75CC75E8"/>
    <w:rsid w:val="76CE0460"/>
    <w:rsid w:val="79917E55"/>
    <w:rsid w:val="79D04AB4"/>
    <w:rsid w:val="7AB7745D"/>
    <w:rsid w:val="7AC3155E"/>
    <w:rsid w:val="7B580C40"/>
    <w:rsid w:val="7BF00E78"/>
    <w:rsid w:val="7DE824C6"/>
    <w:rsid w:val="7E4956EC"/>
    <w:rsid w:val="7FC8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imes New Roman" w:hAnsi="Times New Roman" w:eastAsia="仿宋_GB2312" w:cs="仿宋_GB2312"/>
      <w:color w:val="000000" w:themeColor="text1"/>
      <w:sz w:val="32"/>
      <w:szCs w:val="32"/>
      <w:lang w:val="en-US" w:eastAsia="zh-CN" w:bidi="ar-SA"/>
    </w:rPr>
  </w:style>
  <w:style w:type="paragraph" w:styleId="3">
    <w:name w:val="heading 1"/>
    <w:basedOn w:val="1"/>
    <w:next w:val="1"/>
    <w:autoRedefine/>
    <w:qFormat/>
    <w:uiPriority w:val="1"/>
    <w:pPr>
      <w:autoSpaceDE w:val="0"/>
      <w:autoSpaceDN w:val="0"/>
      <w:adjustRightInd w:val="0"/>
      <w:ind w:left="486"/>
      <w:jc w:val="left"/>
      <w:outlineLvl w:val="0"/>
    </w:pPr>
    <w:rPr>
      <w:rFonts w:ascii="宋体"/>
      <w:kern w:val="0"/>
      <w:sz w:val="42"/>
      <w:szCs w:val="42"/>
    </w:rPr>
  </w:style>
  <w:style w:type="paragraph" w:styleId="4">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实施方案正文"/>
    <w:basedOn w:val="1"/>
    <w:qFormat/>
    <w:uiPriority w:val="0"/>
    <w:pPr>
      <w:ind w:firstLine="566" w:firstLineChars="202"/>
    </w:pPr>
    <w:rPr>
      <w:rFonts w:ascii="Calibri" w:hAnsi="Calibri" w:eastAsia="宋体"/>
      <w:sz w:val="21"/>
      <w:szCs w:val="28"/>
    </w:rPr>
  </w:style>
  <w:style w:type="paragraph" w:styleId="5">
    <w:name w:val="table of authorities"/>
    <w:basedOn w:val="1"/>
    <w:next w:val="1"/>
    <w:autoRedefine/>
    <w:qFormat/>
    <w:uiPriority w:val="0"/>
    <w:pPr>
      <w:ind w:left="420" w:leftChars="200"/>
    </w:pPr>
  </w:style>
  <w:style w:type="paragraph" w:styleId="6">
    <w:name w:val="footer"/>
    <w:basedOn w:val="1"/>
    <w:autoRedefine/>
    <w:semiHidden/>
    <w:unhideWhenUsed/>
    <w:qFormat/>
    <w:uiPriority w:val="99"/>
    <w:pPr>
      <w:tabs>
        <w:tab w:val="center" w:pos="4153"/>
        <w:tab w:val="right" w:pos="8306"/>
      </w:tabs>
      <w:snapToGrid w:val="0"/>
      <w:jc w:val="left"/>
    </w:pPr>
    <w:rPr>
      <w:sz w:val="18"/>
    </w:rPr>
  </w:style>
  <w:style w:type="paragraph" w:styleId="7">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autoRedefine/>
    <w:qFormat/>
    <w:uiPriority w:val="22"/>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2605</Words>
  <Characters>2679</Characters>
  <Lines>1</Lines>
  <Paragraphs>1</Paragraphs>
  <TotalTime>6</TotalTime>
  <ScaleCrop>false</ScaleCrop>
  <LinksUpToDate>false</LinksUpToDate>
  <CharactersWithSpaces>2753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CW</cp:lastModifiedBy>
  <dcterms:modified xsi:type="dcterms:W3CDTF">2025-01-06T02:51:48Z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EA9209FB0FAE4E2D86FCD8F0B3D079A9_12</vt:lpwstr>
  </property>
</Properties>
</file>