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5"/>
        </w:tabs>
        <w:kinsoku/>
        <w:wordWrap/>
        <w:overflowPunct/>
        <w:topLinePunct w:val="0"/>
        <w:autoSpaceDE/>
        <w:autoSpaceDN/>
        <w:bidi w:val="0"/>
        <w:adjustRightInd/>
        <w:snapToGrid/>
        <w:spacing w:line="1400" w:lineRule="exact"/>
        <w:ind w:right="2310" w:rightChars="1100"/>
        <w:jc w:val="distribute"/>
        <w:textAlignment w:val="auto"/>
        <w:rPr>
          <w:rFonts w:hint="eastAsia" w:ascii="方正小标宋简体" w:hAnsi="方正小标宋简体" w:eastAsia="方正小标宋简体" w:cs="方正小标宋简体"/>
          <w:color w:val="FF0000"/>
          <w:spacing w:val="-23"/>
          <w:w w:val="105"/>
          <w:sz w:val="84"/>
          <w:szCs w:val="84"/>
          <w:lang w:val="en-US" w:eastAsia="zh-CN"/>
        </w:rPr>
      </w:pPr>
      <w:r>
        <w:rPr>
          <w:color w:val="FF0000"/>
          <w:spacing w:val="-23"/>
          <w:w w:val="90"/>
          <w:sz w:val="32"/>
        </w:rPr>
        <w:pict>
          <v:shape id="文本框 7" o:spid="_x0000_s1029" o:spt="202" type="#_x0000_t202" style="position:absolute;left:0pt;margin-left:327.05pt;margin-top:21.45pt;height:128.05pt;width:140.45pt;z-index:-251655168;mso-width-relative:page;mso-height-relative:page;" fillcolor="#FFFFFF" filled="t" stroked="t" coordsize="21600,21600" o:gfxdata="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qhM42gAAAAoBAAAPAAAAAAAAAAEAIAAA&#10;ACIAAABkcnMvZG93bnJldi54bWxQSwECFAAUAAAACACHTuJAo0rg5UMCAAB3BAAADgAAAAAAAAAB&#10;ACAAAAApAQAAZHJzL2Uyb0RvYy54bWxQSwUGAAAAAAYABgBZAQAA3gUAAAAA&#10;">
            <v:path/>
            <v:fill on="t" focussize="0,0"/>
            <v:stroke weight="0.5pt" color="#FFFFFF" joinstyle="round"/>
            <v:imagedata o:title=""/>
            <o:lock v:ext="edit" aspectratio="f"/>
            <v:textbox>
              <w:txbxContent>
                <w:p>
                  <w:pPr>
                    <w:pStyle w:val="2"/>
                    <w:rPr>
                      <w:rFonts w:hint="eastAsia"/>
                      <w:spacing w:val="-62"/>
                      <w:w w:val="90"/>
                      <w:sz w:val="140"/>
                      <w:szCs w:val="140"/>
                      <w:lang w:val="en-US" w:eastAsia="zh-CN"/>
                    </w:rPr>
                  </w:pPr>
                  <w:r>
                    <w:rPr>
                      <w:rFonts w:hint="eastAsia" w:ascii="方正小标宋简体" w:hAnsi="方正小标宋简体" w:eastAsia="方正小标宋简体" w:cs="方正小标宋简体"/>
                      <w:color w:val="FF0000"/>
                      <w:spacing w:val="-62"/>
                      <w:w w:val="90"/>
                      <w:sz w:val="140"/>
                      <w:szCs w:val="140"/>
                      <w:lang w:val="en-US" w:eastAsia="zh-CN"/>
                    </w:rPr>
                    <w:t>文件</w:t>
                  </w:r>
                </w:p>
                <w:p/>
              </w:txbxContent>
            </v:textbox>
          </v:shape>
        </w:pict>
      </w:r>
      <w:r>
        <w:rPr>
          <w:rFonts w:hint="eastAsia" w:ascii="方正小标宋简体" w:hAnsi="方正小标宋简体" w:eastAsia="方正小标宋简体" w:cs="方正小标宋简体"/>
          <w:color w:val="FF0000"/>
          <w:spacing w:val="-23"/>
          <w:w w:val="105"/>
          <w:sz w:val="84"/>
          <w:szCs w:val="84"/>
          <w:lang w:val="en-US" w:eastAsia="zh-CN"/>
        </w:rPr>
        <w:t>宜良县财政局</w:t>
      </w:r>
    </w:p>
    <w:p>
      <w:pPr>
        <w:keepNext w:val="0"/>
        <w:keepLines w:val="0"/>
        <w:pageBreakBefore w:val="0"/>
        <w:widowControl w:val="0"/>
        <w:tabs>
          <w:tab w:val="left" w:pos="105"/>
        </w:tabs>
        <w:kinsoku/>
        <w:wordWrap/>
        <w:overflowPunct/>
        <w:topLinePunct w:val="0"/>
        <w:autoSpaceDE/>
        <w:autoSpaceDN/>
        <w:bidi w:val="0"/>
        <w:adjustRightInd/>
        <w:snapToGrid/>
        <w:spacing w:line="1400" w:lineRule="exact"/>
        <w:ind w:right="2310" w:rightChars="1100"/>
        <w:jc w:val="distribute"/>
        <w:textAlignment w:val="auto"/>
        <w:rPr>
          <w:rFonts w:hint="eastAsia" w:ascii="方正小标宋简体" w:hAnsi="方正小标宋简体" w:eastAsia="方正小标宋简体" w:cs="方正小标宋简体"/>
          <w:color w:val="auto"/>
          <w:spacing w:val="-23"/>
          <w:w w:val="100"/>
          <w:sz w:val="72"/>
          <w:szCs w:val="72"/>
          <w:lang w:val="en-US" w:eastAsia="zh-CN"/>
        </w:rPr>
      </w:pPr>
      <w:r>
        <w:rPr>
          <w:rFonts w:hint="eastAsia" w:ascii="方正小标宋简体" w:hAnsi="方正小标宋简体" w:eastAsia="方正小标宋简体" w:cs="方正小标宋简体"/>
          <w:color w:val="FF0000"/>
          <w:spacing w:val="-23"/>
          <w:w w:val="100"/>
          <w:sz w:val="72"/>
          <w:szCs w:val="72"/>
          <w:lang w:val="en-US" w:eastAsia="zh-CN"/>
        </w:rPr>
        <w:t>宜良县乡村振兴局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宜财联发〔2024〕18号</w:t>
      </w:r>
    </w:p>
    <w:p>
      <w:pPr>
        <w:keepNext w:val="0"/>
        <w:keepLines w:val="0"/>
        <w:pageBreakBefore w:val="0"/>
        <w:widowControl w:val="0"/>
        <w:kinsoku/>
        <w:wordWrap/>
        <w:overflowPunct/>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ascii="Calibri" w:hAnsi="Calibri" w:eastAsia="宋体" w:cs="Times New Roman"/>
          <w:color w:val="auto"/>
          <w:sz w:val="44"/>
        </w:rPr>
        <w:pict>
          <v:line id="直接连接符 8" o:spid="_x0000_s1031" o:spt="20" style="position:absolute;left:0pt;margin-left:-11.05pt;margin-top:10.8pt;height:0.8pt;width:467.3pt;z-index:251660288;mso-width-relative:page;mso-height-relative:page;" filled="f" stroked="t" coordsize="21600,21600" o:gfxdata="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vwrdcAAAAJAQAADwAAAAAAAAABACAA&#10;AAAiAAAAZHJzL2Rvd25yZXYueG1sUEsBAhQAFAAAAAgAh07iQL49uzvVAQAAagMAAA4AAAAAAAAA&#10;AQAgAAAAJgEAAGRycy9lMm9Eb2MueG1sUEsFBgAAAAAGAAYAWQEAAG0FAAAAAA==&#10;">
            <v:path arrowok="t"/>
            <v:fill on="f" focussize="0,0"/>
            <v:stroke weight="2pt" color="#FF0000" joinstyle="round"/>
            <v:imagedata o:title=""/>
            <o:lock v:ext="edit" aspectratio="f"/>
          </v:line>
        </w:pict>
      </w:r>
      <w:r>
        <w:rPr>
          <w:rFonts w:ascii="Calibri" w:hAnsi="Calibri" w:eastAsia="宋体" w:cs="Times New Roman"/>
          <w:color w:val="auto"/>
          <w:sz w:val="32"/>
        </w:rPr>
        <w:pict>
          <v:line id="直接连接符 5" o:spid="_x0000_s1030" o:spt="20" style="position:absolute;left:0pt;margin-left:-24.9pt;margin-top:9.85pt;height:0pt;width:499.5pt;z-index:251659264;mso-width-relative:page;mso-height-relative:page;" filled="f" stroked="f" coordsize="21600,21600" o:gfxdata="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HaAb9cAAAAJAQAADwAAAAAAAAABACAAAAAiAAAAZHJzL2Rvd25yZXYueG1sUEsB&#10;AhQAFAAAAAgAh07iQGqD1Uu9AQAAPAMAAA4AAAAAAAAAAQAgAAAAJgEAAGRycy9lMm9Eb2MueG1s&#10;UEsFBgAAAAAGAAYAWQEAAFUFAAAAAA==&#10;">
            <v:path arrowok="t"/>
            <v:fill on="f" focussize="0,0"/>
            <v:stroke on="f"/>
            <v:imagedata o:title=""/>
            <o:lock v:ext="edit" aspectratio="f"/>
          </v:line>
        </w:pict>
      </w:r>
    </w:p>
    <w:p>
      <w:pPr>
        <w:keepNext w:val="0"/>
        <w:keepLines w:val="0"/>
        <w:pageBreakBefore w:val="0"/>
        <w:overflowPunct/>
        <w:topLinePunct w:val="0"/>
        <w:bidi w:val="0"/>
        <w:spacing w:line="520" w:lineRule="exact"/>
        <w:rPr>
          <w:rFonts w:ascii="Arial"/>
          <w:sz w:val="21"/>
        </w:rPr>
      </w:pPr>
    </w:p>
    <w:p>
      <w:pPr>
        <w:keepNext w:val="0"/>
        <w:keepLines w:val="0"/>
        <w:pageBreakBefore w:val="0"/>
        <w:widowControl/>
        <w:kinsoku w:val="0"/>
        <w:wordWrap w:val="0"/>
        <w:overflowPunct/>
        <w:topLinePunct w:val="0"/>
        <w:autoSpaceDE w:val="0"/>
        <w:autoSpaceDN w:val="0"/>
        <w:bidi w:val="0"/>
        <w:adjustRightInd w:val="0"/>
        <w:snapToGrid w:val="0"/>
        <w:spacing w:before="0" w:after="0" w:line="520" w:lineRule="exact"/>
        <w:ind w:left="0" w:leftChars="0" w:right="0" w:firstLine="864" w:firstLineChars="200"/>
        <w:jc w:val="both"/>
        <w:textAlignment w:val="baseline"/>
        <w:rPr>
          <w:rFonts w:hint="eastAsia" w:ascii="方正小标宋简体" w:hAnsi="方正小标宋简体" w:eastAsia="方正小标宋简体" w:cs="方正小标宋简体"/>
          <w:b w:val="0"/>
          <w:bCs w:val="0"/>
          <w:spacing w:val="-4"/>
          <w:sz w:val="44"/>
          <w:szCs w:val="44"/>
          <w:lang w:eastAsia="zh-CN"/>
        </w:rPr>
      </w:pPr>
      <w:r>
        <w:rPr>
          <w:rFonts w:hint="eastAsia" w:ascii="方正小标宋简体" w:hAnsi="方正小标宋简体" w:eastAsia="方正小标宋简体" w:cs="方正小标宋简体"/>
          <w:b w:val="0"/>
          <w:bCs w:val="0"/>
          <w:spacing w:val="-4"/>
          <w:sz w:val="44"/>
          <w:szCs w:val="44"/>
        </w:rPr>
        <w:t xml:space="preserve">宜良县财政局 </w:t>
      </w:r>
      <w:r>
        <w:rPr>
          <w:rFonts w:hint="eastAsia" w:ascii="方正小标宋简体" w:hAnsi="方正小标宋简体" w:eastAsia="方正小标宋简体" w:cs="方正小标宋简体"/>
          <w:b w:val="0"/>
          <w:bCs w:val="0"/>
          <w:spacing w:val="-4"/>
          <w:sz w:val="44"/>
          <w:szCs w:val="44"/>
          <w:lang w:val="en-US" w:eastAsia="zh-CN"/>
        </w:rPr>
        <w:t xml:space="preserve"> </w:t>
      </w:r>
      <w:r>
        <w:rPr>
          <w:rFonts w:hint="eastAsia" w:ascii="方正小标宋简体" w:hAnsi="方正小标宋简体" w:eastAsia="方正小标宋简体" w:cs="方正小标宋简体"/>
          <w:b w:val="0"/>
          <w:bCs w:val="0"/>
          <w:spacing w:val="-4"/>
          <w:sz w:val="44"/>
          <w:szCs w:val="44"/>
        </w:rPr>
        <w:t>宜良县乡村振</w:t>
      </w:r>
      <w:r>
        <w:rPr>
          <w:rFonts w:hint="eastAsia" w:ascii="方正小标宋简体" w:hAnsi="方正小标宋简体" w:eastAsia="方正小标宋简体" w:cs="方正小标宋简体"/>
          <w:b w:val="0"/>
          <w:bCs w:val="0"/>
          <w:spacing w:val="-4"/>
          <w:sz w:val="44"/>
          <w:szCs w:val="44"/>
          <w:lang w:eastAsia="zh-CN"/>
        </w:rPr>
        <w:t>兴局</w:t>
      </w:r>
    </w:p>
    <w:p>
      <w:pPr>
        <w:keepNext w:val="0"/>
        <w:keepLines w:val="0"/>
        <w:pageBreakBefore w:val="0"/>
        <w:widowControl/>
        <w:kinsoku w:val="0"/>
        <w:overflowPunct/>
        <w:topLinePunct w:val="0"/>
        <w:autoSpaceDE w:val="0"/>
        <w:autoSpaceDN w:val="0"/>
        <w:bidi w:val="0"/>
        <w:adjustRightInd w:val="0"/>
        <w:snapToGrid w:val="0"/>
        <w:spacing w:line="520" w:lineRule="exact"/>
        <w:ind w:right="0"/>
        <w:jc w:val="both"/>
        <w:textAlignment w:val="baseline"/>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关于下达202</w:t>
      </w:r>
      <w:r>
        <w:rPr>
          <w:rFonts w:hint="eastAsia" w:ascii="方正小标宋简体" w:hAnsi="方正小标宋简体" w:eastAsia="方正小标宋简体" w:cs="方正小标宋简体"/>
          <w:b w:val="0"/>
          <w:bCs w:val="0"/>
          <w:spacing w:val="-4"/>
          <w:sz w:val="44"/>
          <w:szCs w:val="44"/>
          <w:lang w:val="en-US" w:eastAsia="zh-CN"/>
        </w:rPr>
        <w:t>4</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pacing w:val="-4"/>
          <w:sz w:val="44"/>
          <w:szCs w:val="44"/>
          <w:lang w:eastAsia="zh-CN"/>
        </w:rPr>
        <w:t>中央</w:t>
      </w:r>
      <w:r>
        <w:rPr>
          <w:rFonts w:hint="eastAsia" w:ascii="方正小标宋简体" w:hAnsi="方正小标宋简体" w:eastAsia="方正小标宋简体" w:cs="方正小标宋简体"/>
          <w:b w:val="0"/>
          <w:bCs w:val="0"/>
          <w:spacing w:val="-4"/>
          <w:sz w:val="44"/>
          <w:szCs w:val="44"/>
        </w:rPr>
        <w:t>财政衔接</w:t>
      </w:r>
      <w:r>
        <w:rPr>
          <w:rFonts w:hint="eastAsia" w:ascii="方正小标宋简体" w:hAnsi="方正小标宋简体" w:eastAsia="方正小标宋简体" w:cs="方正小标宋简体"/>
          <w:b w:val="0"/>
          <w:bCs w:val="0"/>
          <w:spacing w:val="-4"/>
          <w:sz w:val="44"/>
          <w:szCs w:val="44"/>
          <w:lang w:eastAsia="zh-CN"/>
        </w:rPr>
        <w:t>推进乡</w:t>
      </w:r>
      <w:r>
        <w:rPr>
          <w:rFonts w:hint="eastAsia" w:ascii="方正小标宋简体" w:hAnsi="方正小标宋简体" w:eastAsia="方正小标宋简体" w:cs="方正小标宋简体"/>
          <w:b w:val="0"/>
          <w:bCs w:val="0"/>
          <w:spacing w:val="-4"/>
          <w:sz w:val="44"/>
          <w:szCs w:val="44"/>
        </w:rPr>
        <w:t>村振兴</w:t>
      </w:r>
    </w:p>
    <w:p>
      <w:pPr>
        <w:keepNext w:val="0"/>
        <w:keepLines w:val="0"/>
        <w:pageBreakBefore w:val="0"/>
        <w:widowControl/>
        <w:kinsoku w:val="0"/>
        <w:overflowPunct/>
        <w:topLinePunct w:val="0"/>
        <w:autoSpaceDE w:val="0"/>
        <w:autoSpaceDN w:val="0"/>
        <w:bidi w:val="0"/>
        <w:adjustRightInd w:val="0"/>
        <w:snapToGrid w:val="0"/>
        <w:spacing w:line="520" w:lineRule="exact"/>
        <w:ind w:left="0" w:leftChars="0" w:right="0" w:firstLine="864" w:firstLineChars="200"/>
        <w:jc w:val="both"/>
        <w:textAlignment w:val="baseline"/>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lang w:eastAsia="zh-CN"/>
        </w:rPr>
        <w:t>补</w:t>
      </w:r>
      <w:r>
        <w:rPr>
          <w:rFonts w:hint="eastAsia" w:ascii="方正小标宋简体" w:hAnsi="方正小标宋简体" w:eastAsia="方正小标宋简体" w:cs="方正小标宋简体"/>
          <w:b w:val="0"/>
          <w:bCs w:val="0"/>
          <w:spacing w:val="-4"/>
          <w:sz w:val="44"/>
          <w:szCs w:val="44"/>
        </w:rPr>
        <w:t>助项目资金</w:t>
      </w:r>
      <w:r>
        <w:rPr>
          <w:rFonts w:hint="eastAsia" w:ascii="方正小标宋简体" w:hAnsi="方正小标宋简体" w:eastAsia="方正小标宋简体" w:cs="方正小标宋简体"/>
          <w:b w:val="0"/>
          <w:bCs w:val="0"/>
          <w:spacing w:val="-4"/>
          <w:sz w:val="44"/>
          <w:szCs w:val="44"/>
          <w:lang w:eastAsia="zh-CN"/>
        </w:rPr>
        <w:t>（第二批）</w:t>
      </w:r>
      <w:r>
        <w:rPr>
          <w:rFonts w:hint="eastAsia" w:ascii="方正小标宋简体" w:hAnsi="方正小标宋简体" w:eastAsia="方正小标宋简体" w:cs="方正小标宋简体"/>
          <w:b w:val="0"/>
          <w:bCs w:val="0"/>
          <w:spacing w:val="-4"/>
          <w:sz w:val="44"/>
          <w:szCs w:val="44"/>
        </w:rPr>
        <w:t>的通知</w:t>
      </w:r>
    </w:p>
    <w:p>
      <w:pPr>
        <w:keepNext w:val="0"/>
        <w:keepLines w:val="0"/>
        <w:pageBreakBefore w:val="0"/>
        <w:overflowPunct/>
        <w:topLinePunct w:val="0"/>
        <w:bidi w:val="0"/>
        <w:spacing w:line="520" w:lineRule="exact"/>
        <w:rPr>
          <w:rFonts w:ascii="Arial"/>
          <w:sz w:val="21"/>
        </w:rPr>
      </w:pPr>
    </w:p>
    <w:p>
      <w:pPr>
        <w:keepNext w:val="0"/>
        <w:keepLines w:val="0"/>
        <w:pageBreakBefore w:val="0"/>
        <w:overflowPunct/>
        <w:topLinePunct w:val="0"/>
        <w:bidi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匡远街道、南羊街道、北古城镇、竹山镇、县民宗局：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 xml:space="preserve">  按照“村申报、乡审核、县审批”程序，现将我县2024年度中央财政衔接推进乡村振兴补助项目资金（第二批）下达给你们，资金来源为《昆明市财政局关于下达2024年第二批中央财政</w:t>
      </w:r>
      <w:r>
        <w:rPr>
          <w:rFonts w:hint="default" w:ascii="Times New Roman" w:hAnsi="Times New Roman" w:eastAsia="仿宋_GB2312" w:cs="仿宋_GB2312"/>
          <w:snapToGrid/>
          <w:color w:val="auto"/>
          <w:kern w:val="2"/>
          <w:sz w:val="32"/>
          <w:szCs w:val="32"/>
          <w:lang w:val="en-US" w:eastAsia="zh-CN" w:bidi="ar-SA"/>
        </w:rPr>
        <w:t>衔接推进乡村振兴补助资金的通知</w:t>
      </w:r>
      <w:r>
        <w:rPr>
          <w:rFonts w:hint="eastAsia" w:ascii="Times New Roman" w:hAnsi="Times New Roman" w:eastAsia="仿宋_GB2312" w:cs="仿宋_GB2312"/>
          <w:snapToGrid/>
          <w:color w:val="auto"/>
          <w:kern w:val="2"/>
          <w:sz w:val="32"/>
          <w:szCs w:val="32"/>
          <w:lang w:val="en-US" w:eastAsia="zh-CN" w:bidi="ar-SA"/>
        </w:rPr>
        <w:t>》(昆财农〔</w:t>
      </w:r>
      <w:r>
        <w:rPr>
          <w:rFonts w:hint="default" w:ascii="Times New Roman" w:hAnsi="Times New Roman" w:eastAsia="仿宋_GB2312" w:cs="仿宋_GB2312"/>
          <w:snapToGrid/>
          <w:color w:val="auto"/>
          <w:kern w:val="2"/>
          <w:sz w:val="32"/>
          <w:szCs w:val="32"/>
          <w:lang w:val="en-US" w:eastAsia="zh-CN" w:bidi="ar-SA"/>
        </w:rPr>
        <w:t>2024</w:t>
      </w:r>
      <w:r>
        <w:rPr>
          <w:rFonts w:hint="eastAsia" w:ascii="Times New Roman" w:hAnsi="Times New Roman" w:eastAsia="仿宋_GB2312" w:cs="仿宋_GB2312"/>
          <w:snapToGrid/>
          <w:color w:val="auto"/>
          <w:kern w:val="2"/>
          <w:sz w:val="32"/>
          <w:szCs w:val="32"/>
          <w:lang w:val="en-US" w:eastAsia="zh-CN" w:bidi="ar-SA"/>
        </w:rPr>
        <w:t>〕</w:t>
      </w:r>
      <w:r>
        <w:rPr>
          <w:rFonts w:hint="default" w:ascii="Times New Roman" w:hAnsi="Times New Roman" w:eastAsia="仿宋_GB2312" w:cs="仿宋_GB2312"/>
          <w:snapToGrid/>
          <w:color w:val="auto"/>
          <w:kern w:val="2"/>
          <w:sz w:val="32"/>
          <w:szCs w:val="32"/>
          <w:lang w:val="en-US" w:eastAsia="zh-CN" w:bidi="ar-SA"/>
        </w:rPr>
        <w:t>70</w:t>
      </w:r>
      <w:r>
        <w:rPr>
          <w:rFonts w:hint="eastAsia" w:ascii="Times New Roman" w:hAnsi="Times New Roman" w:eastAsia="仿宋_GB2312" w:cs="仿宋_GB2312"/>
          <w:snapToGrid/>
          <w:color w:val="auto"/>
          <w:kern w:val="2"/>
          <w:sz w:val="32"/>
          <w:szCs w:val="32"/>
          <w:lang w:val="en-US" w:eastAsia="zh-CN" w:bidi="ar-SA"/>
        </w:rPr>
        <w:t>号)，现将相关事项通知如下：</w:t>
      </w:r>
    </w:p>
    <w:p>
      <w:pPr>
        <w:keepNext w:val="0"/>
        <w:keepLines w:val="0"/>
        <w:pageBreakBefore w:val="0"/>
        <w:wordWrap w:val="0"/>
        <w:overflowPunct/>
        <w:topLinePunct w:val="0"/>
        <w:bidi w:val="0"/>
        <w:spacing w:before="0" w:after="0" w:line="520" w:lineRule="exact"/>
        <w:ind w:right="0" w:firstLine="640" w:firstLineChars="200"/>
        <w:jc w:val="both"/>
        <w:textAlignment w:val="baseline"/>
        <w:rPr>
          <w:rFonts w:hint="eastAsia" w:ascii="黑体" w:hAnsi="黑体" w:eastAsia="黑体" w:cs="黑体"/>
          <w:sz w:val="32"/>
          <w:szCs w:val="32"/>
        </w:rPr>
      </w:pPr>
      <w:r>
        <w:rPr>
          <w:rFonts w:hint="eastAsia" w:ascii="黑体" w:hAnsi="黑体" w:eastAsia="黑体" w:cs="黑体"/>
          <w:b w:val="0"/>
          <w:i w:val="0"/>
          <w:strike w:val="0"/>
          <w:color w:val="000000"/>
          <w:sz w:val="32"/>
          <w:szCs w:val="32"/>
        </w:rPr>
        <w:t>一、项目实施管理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（一）编制实施方案。</w:t>
      </w:r>
      <w:r>
        <w:rPr>
          <w:rFonts w:hint="eastAsia" w:ascii="Times New Roman" w:hAnsi="Times New Roman" w:eastAsia="仿宋_GB2312" w:cs="仿宋_GB2312"/>
          <w:snapToGrid/>
          <w:color w:val="auto"/>
          <w:kern w:val="2"/>
          <w:sz w:val="32"/>
          <w:szCs w:val="32"/>
          <w:lang w:val="en-US" w:eastAsia="zh-CN" w:bidi="ar-SA"/>
        </w:rPr>
        <w:t>项目所在地乡镇（街道）人民政府按照一个项目一个方案要求，编制项目实施方案（红头文件），于收到资金文件5个工作日内报送县乡村振兴局。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（二）组织实施。</w:t>
      </w:r>
      <w:r>
        <w:rPr>
          <w:rFonts w:hint="eastAsia" w:ascii="Times New Roman" w:hAnsi="Times New Roman" w:eastAsia="仿宋_GB2312" w:cs="仿宋_GB2312"/>
          <w:snapToGrid/>
          <w:color w:val="auto"/>
          <w:kern w:val="2"/>
          <w:sz w:val="32"/>
          <w:szCs w:val="32"/>
          <w:lang w:val="en-US" w:eastAsia="zh-CN" w:bidi="ar-SA"/>
        </w:rPr>
        <w:t>项目实施单位要严格按照项目实施方案组织实施，不得随意变更项目建设内容，严禁挪用、滞留资金。属于政府采购范围的项目，按照政府采购执行（包括公开招投标、询价、竞争性谈判等），村级微小型项目可按照村民民主议事方式直接委托村组自建自营。要严格按照政府采购程序或公开招投标程序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（三）落实公示、公告制度。</w:t>
      </w:r>
      <w:r>
        <w:rPr>
          <w:rFonts w:hint="eastAsia" w:ascii="Times New Roman" w:hAnsi="Times New Roman" w:eastAsia="仿宋_GB2312" w:cs="仿宋_GB2312"/>
          <w:snapToGrid/>
          <w:color w:val="auto"/>
          <w:kern w:val="2"/>
          <w:sz w:val="32"/>
          <w:szCs w:val="32"/>
          <w:lang w:val="en-US" w:eastAsia="zh-CN" w:bidi="ar-SA"/>
        </w:rPr>
        <w:t>严格执行《昆明市衔接推进乡村振兴补助资金项目公示公告实施方案》</w:t>
      </w:r>
      <w:r>
        <w:rPr>
          <w:rFonts w:hint="eastAsia" w:ascii="Times New Roman" w:hAnsi="Times New Roman" w:eastAsia="仿宋_GB2312" w:cs="仿宋_GB2312"/>
          <w:snapToGrid/>
          <w:color w:val="auto"/>
          <w:kern w:val="2"/>
          <w:sz w:val="32"/>
          <w:szCs w:val="32"/>
          <w:highlight w:val="none"/>
          <w:lang w:val="en-US" w:eastAsia="zh-CN" w:bidi="ar-SA"/>
        </w:rPr>
        <w:t>（昆乡振发</w:t>
      </w:r>
      <w:r>
        <w:rPr>
          <w:rFonts w:hint="eastAsia" w:ascii="Times New Roman" w:hAnsi="Times New Roman" w:eastAsia="仿宋_GB2312" w:cs="仿宋_GB2312"/>
          <w:snapToGrid/>
          <w:color w:val="auto"/>
          <w:kern w:val="2"/>
          <w:sz w:val="32"/>
          <w:szCs w:val="32"/>
          <w:lang w:val="en-US" w:eastAsia="zh-CN" w:bidi="ar-SA"/>
        </w:rPr>
        <w:t>〔2022〕12号）文件精神，落实项目资金公示公告制度。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（四）项目验收。</w:t>
      </w:r>
      <w:r>
        <w:rPr>
          <w:rFonts w:hint="eastAsia" w:ascii="Times New Roman" w:hAnsi="Times New Roman" w:eastAsia="仿宋_GB2312" w:cs="仿宋_GB2312"/>
          <w:snapToGrid/>
          <w:color w:val="auto"/>
          <w:kern w:val="2"/>
          <w:sz w:val="32"/>
          <w:szCs w:val="32"/>
          <w:lang w:val="en-US" w:eastAsia="zh-CN" w:bidi="ar-SA"/>
        </w:rPr>
        <w:t>项目按照补助资金量实行梯度验收，具体如下：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1.补助资金在100万元及以上的项目实行县级终验制。由乡镇（街道）组织初验，初验结果报县乡村振兴局，由县乡村振兴局组织县级验收；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2.补助资金在100万元以下的项目实行乡镇终验制。 由乡镇（街道）组织验收，验收结果报县乡村振兴局，县乡村振兴局根据验收情况组织抽验。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3.县乡验收通过后，由乡镇（街道） 组织业主方、施工方按要求制作台账。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二、资金管理及拨付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highlight w:val="none"/>
          <w:lang w:val="en-US" w:eastAsia="zh-CN" w:bidi="ar-SA"/>
        </w:rPr>
        <w:t>按照</w:t>
      </w:r>
      <w:r>
        <w:rPr>
          <w:rFonts w:hint="eastAsia" w:ascii="Times New Roman" w:hAnsi="Times New Roman" w:eastAsia="仿宋_GB2312" w:cs="仿宋_GB2312"/>
          <w:snapToGrid/>
          <w:color w:val="auto"/>
          <w:kern w:val="2"/>
          <w:sz w:val="32"/>
          <w:szCs w:val="32"/>
          <w:lang w:val="en-US" w:eastAsia="zh-CN" w:bidi="ar-SA"/>
        </w:rPr>
        <w:t>财政衔接资金管理相关要求，2024年的衔接资金从财政一体化平台下达到乡镇（街道）、县属项目实施单位。涉及乡镇（街道） 的，由乡镇（街道）审批，通过国库集中支付将项目资金直接支付到施工方或项目实施单位。涉及县属项目实施单位的通过国库集中支付将项目资金直接支付到项目施工方。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napToGrid/>
          <w:color w:val="auto"/>
          <w:kern w:val="2"/>
          <w:sz w:val="32"/>
          <w:szCs w:val="32"/>
          <w:highlight w:val="yellow"/>
          <w:lang w:val="en-US" w:eastAsia="zh-CN" w:bidi="ar-SA"/>
        </w:rPr>
      </w:pPr>
      <w:r>
        <w:rPr>
          <w:rFonts w:hint="eastAsia" w:ascii="楷体_GB2312" w:hAnsi="楷体_GB2312" w:eastAsia="楷体_GB2312" w:cs="楷体_GB2312"/>
          <w:snapToGrid/>
          <w:color w:val="auto"/>
          <w:kern w:val="2"/>
          <w:sz w:val="32"/>
          <w:szCs w:val="32"/>
          <w:lang w:val="en-US" w:eastAsia="zh-CN" w:bidi="ar-SA"/>
        </w:rPr>
        <w:t>（一）项目资金使用实行乡镇（</w:t>
      </w:r>
      <w:r>
        <w:rPr>
          <w:rFonts w:hint="eastAsia" w:ascii="Times New Roman" w:hAnsi="Times New Roman" w:eastAsia="仿宋_GB2312" w:cs="仿宋_GB2312"/>
          <w:snapToGrid/>
          <w:color w:val="auto"/>
          <w:kern w:val="2"/>
          <w:sz w:val="32"/>
          <w:szCs w:val="32"/>
          <w:lang w:val="en-US" w:eastAsia="zh-CN" w:bidi="ar-SA"/>
        </w:rPr>
        <w:t>街道</w:t>
      </w:r>
      <w:r>
        <w:rPr>
          <w:rFonts w:hint="eastAsia" w:ascii="楷体_GB2312" w:hAnsi="楷体_GB2312" w:eastAsia="楷体_GB2312" w:cs="楷体_GB2312"/>
          <w:snapToGrid/>
          <w:color w:val="auto"/>
          <w:kern w:val="2"/>
          <w:sz w:val="32"/>
          <w:szCs w:val="32"/>
          <w:lang w:val="en-US" w:eastAsia="zh-CN" w:bidi="ar-SA"/>
        </w:rPr>
        <w:t>） 报账</w:t>
      </w:r>
      <w:r>
        <w:rPr>
          <w:rFonts w:hint="eastAsia" w:ascii="楷体_GB2312" w:hAnsi="楷体_GB2312" w:eastAsia="楷体_GB2312" w:cs="楷体_GB2312"/>
          <w:snapToGrid/>
          <w:color w:val="auto"/>
          <w:kern w:val="2"/>
          <w:sz w:val="32"/>
          <w:szCs w:val="32"/>
          <w:highlight w:val="none"/>
          <w:lang w:val="en-US" w:eastAsia="zh-CN" w:bidi="ar-SA"/>
        </w:rPr>
        <w:t>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要严格按照《宜良县财政局关于进一步加强财政专项扶贫资金管理的通知》（宜财〔2020〕21号）《宜良县扶贫开发领导小组关于实行财政专项扶贫资金乡镇（街道）报账制管理的通知》（宜扶领〔2020〕6号）相关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（二）项目资金实行按工程进度拨付</w:t>
      </w:r>
      <w:r>
        <w:rPr>
          <w:rFonts w:hint="eastAsia" w:ascii="楷体_GB2312" w:hAnsi="楷体_GB2312" w:eastAsia="楷体_GB2312" w:cs="楷体_GB2312"/>
          <w:snapToGrid/>
          <w:color w:val="auto"/>
          <w:kern w:val="2"/>
          <w:sz w:val="32"/>
          <w:szCs w:val="32"/>
          <w:highlight w:val="none"/>
          <w:lang w:val="en-US" w:eastAsia="zh-CN" w:bidi="ar-SA"/>
        </w:rPr>
        <w:t>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资金拨付比例：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1.项目开工建设一周后，衔接资金工程款拨付至 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2.项目竣工后，乡镇（街道）初验合格，衔接资金工程款拨付至 80%;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3.项目完成终验，衔接资金工程款拨付至 97%；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4.县乡村振兴局聘请的第三方审计单位出具项目竣工决算审核报告，问题整改且质保期满后，衔接资金工程款拨付至 100%。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（三）拨付补助资金所需附件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1.衔接资金工程款拨付至 30%时：需宜良县财政衔接乡村振兴补助项目资金报账拨付审批表、增值税发票、项目公示公告照片、 中标通知书复印件、施工合同复印件、开工图片；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2.衔接资金工程款拨付至80%时，需宜良县财政衔接乡村振兴补助项目资金报账拨付审批表、增值税发票、项目完工公告、完工图片、乡镇（街道）验收卡复印件；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3.衔接资金工程款拨付至97%时，需宜良县财政衔接乡村振兴补助项目资金报账拨付审批表、增值税发票、终验验收卡复印件；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4.衔接资金工程款拨付至100%时，需宜良县财政衔接乡村振兴补助项目资金报账拨付审批表、增值税发票、审计部门或第三方审计单位出具项目竣工决算审核报告。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三、资产管理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（一）资产所有权。</w:t>
      </w:r>
      <w:r>
        <w:rPr>
          <w:rFonts w:hint="eastAsia" w:ascii="Times New Roman" w:hAnsi="Times New Roman" w:eastAsia="仿宋_GB2312" w:cs="仿宋_GB2312"/>
          <w:snapToGrid/>
          <w:color w:val="auto"/>
          <w:kern w:val="2"/>
          <w:sz w:val="32"/>
          <w:szCs w:val="32"/>
          <w:lang w:val="en-US" w:eastAsia="zh-CN" w:bidi="ar-SA"/>
        </w:rPr>
        <w:t>依法依规对衔接资金项目建设形成的资产进行评估认定，做到协商一致、 明晰权利义务。对衔接资金投入项目所形成的可持续利用的经营性资产，所有权归项目受益村集体所有，项目竣工验收后及时移交项目资产， 确权后由村集体纳入管理。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（二）资产收益分配。</w:t>
      </w:r>
      <w:r>
        <w:rPr>
          <w:rFonts w:hint="eastAsia" w:ascii="Times New Roman" w:hAnsi="Times New Roman" w:eastAsia="仿宋_GB2312" w:cs="仿宋_GB2312"/>
          <w:snapToGrid/>
          <w:color w:val="auto"/>
          <w:kern w:val="2"/>
          <w:sz w:val="32"/>
          <w:szCs w:val="32"/>
          <w:lang w:val="en-US" w:eastAsia="zh-CN" w:bidi="ar-SA"/>
        </w:rPr>
        <w:t>项目形成的资产收益（直接到户的收益除外），由村集体通过设置公益性岗位、小型公益事业、 以奖代补助等方式进行二次分配，对象从项目关联的脱贫户、监测户、其他低收入人口中选择，重点带动无稳定收入来源的低收入建档立卡贫困户增收。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（三）资产监管。</w:t>
      </w:r>
      <w:r>
        <w:rPr>
          <w:rFonts w:hint="eastAsia" w:ascii="Times New Roman" w:hAnsi="Times New Roman" w:eastAsia="仿宋_GB2312" w:cs="仿宋_GB2312"/>
          <w:snapToGrid/>
          <w:color w:val="auto"/>
          <w:kern w:val="2"/>
          <w:sz w:val="32"/>
          <w:szCs w:val="32"/>
          <w:lang w:val="en-US" w:eastAsia="zh-CN" w:bidi="ar-SA"/>
        </w:rPr>
        <w:t>项目一经审核批准实施后，乡镇（街道）和村（社区）要建立健全事前、事中和事后全过程监管机制，做到项目实施和资金安排严格按照乡镇（街道）受益分配管理制度执行，</w:t>
      </w:r>
      <w:r>
        <w:rPr>
          <w:rFonts w:hint="eastAsia" w:ascii="Times New Roman" w:hAnsi="Times New Roman" w:eastAsia="仿宋_GB2312" w:cs="仿宋_GB2312"/>
          <w:snapToGrid/>
          <w:color w:val="000000" w:themeColor="text1"/>
          <w:kern w:val="2"/>
          <w:sz w:val="32"/>
          <w:szCs w:val="32"/>
          <w:lang w:val="en-US" w:eastAsia="zh-CN" w:bidi="ar-SA"/>
        </w:rPr>
        <w:t>明确管护主体，明确资产权属、明确管护责任，抓实后续资产管理，及时更新资产登记，</w:t>
      </w:r>
      <w:r>
        <w:rPr>
          <w:rFonts w:hint="eastAsia" w:ascii="Times New Roman" w:hAnsi="Times New Roman" w:eastAsia="仿宋_GB2312" w:cs="仿宋_GB2312"/>
          <w:snapToGrid/>
          <w:color w:val="auto"/>
          <w:kern w:val="2"/>
          <w:sz w:val="32"/>
          <w:szCs w:val="32"/>
          <w:lang w:val="en-US" w:eastAsia="zh-CN" w:bidi="ar-SA"/>
        </w:rPr>
        <w:t>以村委会为单位每年度进行一次资产公示，接受群众监督，确保资产保值增值，发挥长期效益。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四、资金绩效评价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项目验收后，严格执行资金绩效评价管理规定，做好项目绩效评价并填报项目绩效评价表。衔接资金的管理使用要严格执行相关规定，对资金投入情况、 资金拨付、 资金监管、资金使用成效等方面按规定进行全面评价，确保项目绩效评价全覆盖，达到预期效益。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五、相关要求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（一）乡镇（街道）及时将资金和项目录入“全国防返贫监测信息系统”，按照项目进度实时更新系统信息。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（二）2024年中央财政衔接资金项目必须于2024年12月31日前竣工验收，并及时收集相关台帐资料，装订成册报送至县乡村振兴局。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napToGrid/>
          <w:color w:val="auto"/>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（三）县民宗局指导好少数民族项目，县农业农村局</w:t>
      </w:r>
      <w:r>
        <w:rPr>
          <w:rFonts w:hint="eastAsia" w:ascii="Times New Roman" w:hAnsi="Times New Roman" w:eastAsia="仿宋_GB2312" w:cs="仿宋_GB2312"/>
          <w:snapToGrid/>
          <w:color w:val="000000" w:themeColor="text1"/>
          <w:kern w:val="2"/>
          <w:sz w:val="32"/>
          <w:szCs w:val="32"/>
          <w:lang w:val="en-US" w:eastAsia="zh-CN" w:bidi="ar-SA"/>
        </w:rPr>
        <w:t>及时更新项目进度，</w:t>
      </w:r>
      <w:r>
        <w:rPr>
          <w:rFonts w:hint="eastAsia" w:ascii="Times New Roman" w:hAnsi="Times New Roman" w:eastAsia="仿宋_GB2312" w:cs="仿宋_GB2312"/>
          <w:snapToGrid/>
          <w:color w:val="auto"/>
          <w:kern w:val="2"/>
          <w:sz w:val="32"/>
          <w:szCs w:val="32"/>
          <w:lang w:val="en-US" w:eastAsia="zh-CN" w:bidi="ar-SA"/>
        </w:rPr>
        <w:t>指导好项目建设、验收、资料整理工作。</w:t>
      </w:r>
    </w:p>
    <w:p>
      <w:pPr>
        <w:keepNext w:val="0"/>
        <w:keepLines w:val="0"/>
        <w:pageBreakBefore w:val="0"/>
        <w:widowControl w:val="0"/>
        <w:numPr>
          <w:ilvl w:val="0"/>
          <w:numId w:val="0"/>
        </w:numPr>
        <w:kinsoku/>
        <w:wordWrap/>
        <w:autoSpaceDE/>
        <w:autoSpaceDN/>
        <w:bidi w:val="0"/>
        <w:adjustRightInd/>
        <w:snapToGrid/>
        <w:spacing w:line="560" w:lineRule="exact"/>
        <w:ind w:left="1918" w:leftChars="304" w:hanging="1280" w:hangingChars="400"/>
        <w:jc w:val="both"/>
        <w:textAlignment w:val="auto"/>
        <w:rPr>
          <w:rFonts w:hint="eastAsia" w:ascii="Times New Roman" w:hAnsi="Times New Roman" w:eastAsia="仿宋_GB2312" w:cs="仿宋_GB2312"/>
          <w:snapToGrid/>
          <w:color w:val="auto"/>
          <w:kern w:val="2"/>
          <w:sz w:val="32"/>
          <w:szCs w:val="32"/>
          <w:lang w:val="en-US" w:eastAsia="zh-CN" w:bidi="ar-SA"/>
        </w:rPr>
      </w:pPr>
    </w:p>
    <w:p>
      <w:pPr>
        <w:keepNext w:val="0"/>
        <w:keepLines w:val="0"/>
        <w:pageBreakBefore w:val="0"/>
        <w:widowControl w:val="0"/>
        <w:numPr>
          <w:ilvl w:val="0"/>
          <w:numId w:val="0"/>
        </w:numPr>
        <w:kinsoku/>
        <w:wordWrap/>
        <w:autoSpaceDE/>
        <w:autoSpaceDN/>
        <w:bidi w:val="0"/>
        <w:adjustRightInd/>
        <w:snapToGrid/>
        <w:spacing w:line="560" w:lineRule="exact"/>
        <w:ind w:left="1918" w:leftChars="304" w:hanging="1280" w:hangingChars="400"/>
        <w:jc w:val="both"/>
        <w:textAlignment w:val="auto"/>
        <w:rPr>
          <w:rFonts w:hint="eastAsia" w:ascii="Times New Roman" w:hAnsi="Times New Roman" w:eastAsia="仿宋_GB2312" w:cs="仿宋_GB2312"/>
          <w:snapToGrid/>
          <w:color w:val="000000" w:themeColor="text1"/>
          <w:kern w:val="2"/>
          <w:sz w:val="32"/>
          <w:szCs w:val="32"/>
          <w:lang w:val="en-US" w:eastAsia="zh-CN" w:bidi="ar-SA"/>
        </w:rPr>
      </w:pPr>
      <w:r>
        <w:rPr>
          <w:rFonts w:hint="eastAsia" w:ascii="Times New Roman" w:hAnsi="Times New Roman" w:eastAsia="仿宋_GB2312" w:cs="仿宋_GB2312"/>
          <w:snapToGrid/>
          <w:color w:val="auto"/>
          <w:kern w:val="2"/>
          <w:sz w:val="32"/>
          <w:szCs w:val="32"/>
          <w:lang w:val="en-US" w:eastAsia="zh-CN" w:bidi="ar-SA"/>
        </w:rPr>
        <w:t>附件：</w:t>
      </w:r>
      <w:r>
        <w:rPr>
          <w:rFonts w:hint="eastAsia" w:ascii="Times New Roman" w:hAnsi="Times New Roman" w:eastAsia="仿宋_GB2312" w:cs="仿宋_GB2312"/>
          <w:snapToGrid/>
          <w:color w:val="000000" w:themeColor="text1"/>
          <w:kern w:val="2"/>
          <w:sz w:val="32"/>
          <w:szCs w:val="32"/>
          <w:lang w:val="en-US" w:eastAsia="zh-CN" w:bidi="ar-SA"/>
        </w:rPr>
        <w:t>1.宜良县2024年中央财政衔接推进乡村振兴补助项目资金（第二批）分配表</w:t>
      </w:r>
    </w:p>
    <w:p>
      <w:pPr>
        <w:pStyle w:val="2"/>
        <w:keepNext w:val="0"/>
        <w:keepLines w:val="0"/>
        <w:pageBreakBefore w:val="0"/>
        <w:widowControl/>
        <w:kinsoku w:val="0"/>
        <w:wordWrap/>
        <w:overflowPunct/>
        <w:topLinePunct w:val="0"/>
        <w:autoSpaceDE w:val="0"/>
        <w:autoSpaceDN w:val="0"/>
        <w:bidi w:val="0"/>
        <w:adjustRightInd w:val="0"/>
        <w:snapToGrid w:val="0"/>
        <w:ind w:left="1918" w:leftChars="304" w:hanging="1280" w:hangingChars="400"/>
        <w:jc w:val="both"/>
        <w:textAlignment w:val="baseline"/>
        <w:rPr>
          <w:rFonts w:hint="default"/>
          <w:lang w:val="en-US" w:eastAsia="zh-CN"/>
        </w:rPr>
      </w:pPr>
      <w:r>
        <w:rPr>
          <w:rFonts w:hint="eastAsia" w:ascii="Times New Roman" w:hAnsi="Times New Roman" w:eastAsia="仿宋_GB2312" w:cs="仿宋_GB2312"/>
          <w:snapToGrid/>
          <w:color w:val="000000" w:themeColor="text1"/>
          <w:kern w:val="2"/>
          <w:sz w:val="32"/>
          <w:szCs w:val="32"/>
          <w:lang w:val="en-US" w:eastAsia="zh-CN" w:bidi="ar-SA"/>
        </w:rPr>
        <w:t xml:space="preserve">             2.宜良县2024年中央财政衔接推进乡村振兴补助资金（第二批）绩效目标表</w:t>
      </w:r>
    </w:p>
    <w:p>
      <w:pPr>
        <w:pStyle w:val="18"/>
        <w:keepNext w:val="0"/>
        <w:keepLines w:val="0"/>
        <w:pageBreakBefore w:val="0"/>
        <w:widowControl w:val="0"/>
        <w:kinsoku/>
        <w:wordWrap/>
        <w:overflowPunct/>
        <w:topLinePunct w:val="0"/>
        <w:autoSpaceDN/>
        <w:bidi w:val="0"/>
        <w:spacing w:line="560" w:lineRule="exact"/>
        <w:jc w:val="center"/>
        <w:textAlignment w:val="auto"/>
        <w:rPr>
          <w:rFonts w:hint="eastAsia" w:ascii="仿宋_GB2312" w:hAnsi="仿宋_GB2312" w:eastAsia="仿宋_GB2312" w:cs="仿宋_GB2312"/>
          <w:color w:val="auto"/>
          <w:sz w:val="32"/>
          <w:szCs w:val="32"/>
          <w:lang w:val="en-US" w:eastAsia="zh-CN"/>
        </w:rPr>
      </w:pPr>
    </w:p>
    <w:p>
      <w:pPr>
        <w:pStyle w:val="18"/>
        <w:keepNext w:val="0"/>
        <w:keepLines w:val="0"/>
        <w:pageBreakBefore w:val="0"/>
        <w:widowControl w:val="0"/>
        <w:kinsoku/>
        <w:wordWrap/>
        <w:overflowPunct/>
        <w:topLinePunct w:val="0"/>
        <w:autoSpaceDN/>
        <w:bidi w:val="0"/>
        <w:spacing w:line="560" w:lineRule="exact"/>
        <w:jc w:val="center"/>
        <w:textAlignment w:val="auto"/>
        <w:rPr>
          <w:rFonts w:hint="eastAsia" w:ascii="仿宋_GB2312" w:hAnsi="仿宋_GB2312" w:eastAsia="仿宋_GB2312" w:cs="仿宋_GB2312"/>
          <w:color w:val="auto"/>
          <w:sz w:val="32"/>
          <w:szCs w:val="32"/>
          <w:lang w:val="en-US" w:eastAsia="zh-CN"/>
        </w:rPr>
      </w:pPr>
    </w:p>
    <w:p>
      <w:pPr>
        <w:pStyle w:val="18"/>
        <w:keepNext w:val="0"/>
        <w:keepLines w:val="0"/>
        <w:pageBreakBefore w:val="0"/>
        <w:widowControl w:val="0"/>
        <w:kinsoku/>
        <w:wordWrap/>
        <w:overflowPunct/>
        <w:topLinePunct w:val="0"/>
        <w:autoSpaceDN/>
        <w:bidi w:val="0"/>
        <w:spacing w:line="560" w:lineRule="exact"/>
        <w:jc w:val="center"/>
        <w:textAlignment w:val="auto"/>
        <w:rPr>
          <w:rFonts w:hint="eastAsia" w:ascii="仿宋_GB2312" w:hAnsi="仿宋_GB2312" w:eastAsia="仿宋_GB2312" w:cs="仿宋_GB2312"/>
          <w:color w:val="auto"/>
          <w:sz w:val="32"/>
          <w:szCs w:val="32"/>
          <w:lang w:val="en-US" w:eastAsia="zh-CN"/>
        </w:rPr>
      </w:pPr>
    </w:p>
    <w:p>
      <w:pPr>
        <w:pStyle w:val="18"/>
        <w:keepNext w:val="0"/>
        <w:keepLines w:val="0"/>
        <w:pageBreakBefore w:val="0"/>
        <w:widowControl w:val="0"/>
        <w:kinsoku/>
        <w:wordWrap/>
        <w:overflowPunct/>
        <w:topLinePunct w:val="0"/>
        <w:autoSpaceDN/>
        <w:bidi w:val="0"/>
        <w:spacing w:line="560" w:lineRule="exact"/>
        <w:ind w:firstLine="1923" w:firstLineChars="60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宜良县财政局   </w:t>
      </w:r>
      <w:r>
        <w:rPr>
          <w:rFonts w:hint="eastAsia" w:ascii="仿宋_GB2312" w:hAnsi="仿宋_GB2312" w:eastAsia="仿宋_GB2312" w:cs="仿宋_GB2312"/>
          <w:color w:val="auto"/>
          <w:sz w:val="32"/>
          <w:szCs w:val="32"/>
        </w:rPr>
        <w:t>宜良</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乡村振兴</w:t>
      </w:r>
      <w:r>
        <w:rPr>
          <w:rFonts w:hint="eastAsia" w:ascii="仿宋_GB2312" w:hAnsi="仿宋_GB2312" w:eastAsia="仿宋_GB2312" w:cs="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13日</w:t>
      </w:r>
    </w:p>
    <w:p>
      <w:pPr>
        <w:keepNext w:val="0"/>
        <w:keepLines w:val="0"/>
        <w:pageBreakBefore w:val="0"/>
        <w:widowControl w:val="0"/>
        <w:kinsoku/>
        <w:wordWrap/>
        <w:overflowPunct/>
        <w:autoSpaceDN/>
        <w:bidi w:val="0"/>
        <w:spacing w:line="560" w:lineRule="exact"/>
        <w:ind w:firstLine="6400" w:firstLineChars="2000"/>
        <w:textAlignment w:val="auto"/>
        <w:rPr>
          <w:rFonts w:hint="eastAsia" w:ascii="Times New Roman" w:hAnsi="Times New Roman" w:eastAsia="仿宋_GB2312" w:cs="Times New Roman"/>
          <w:color w:val="auto"/>
          <w:sz w:val="32"/>
          <w:szCs w:val="32"/>
          <w:highlight w:val="none"/>
        </w:rPr>
      </w:pPr>
    </w:p>
    <w:p>
      <w:pPr>
        <w:pStyle w:val="2"/>
        <w:rPr>
          <w:rFonts w:hint="eastAsia" w:ascii="Times New Roman" w:hAnsi="Times New Roman" w:eastAsia="仿宋_GB2312" w:cs="Times New Roman"/>
          <w:color w:val="auto"/>
          <w:sz w:val="32"/>
          <w:szCs w:val="32"/>
          <w:highlight w:val="none"/>
        </w:rPr>
      </w:pPr>
    </w:p>
    <w:p>
      <w:pPr>
        <w:pStyle w:val="3"/>
        <w:rPr>
          <w:rFonts w:hint="eastAsia" w:ascii="Times New Roman" w:hAnsi="Times New Roman" w:eastAsia="仿宋_GB2312" w:cs="Times New Roman"/>
          <w:color w:val="auto"/>
          <w:sz w:val="32"/>
          <w:szCs w:val="32"/>
          <w:highlight w:val="none"/>
        </w:rPr>
      </w:pPr>
    </w:p>
    <w:p>
      <w:pPr>
        <w:rPr>
          <w:rFonts w:hint="eastAsia" w:ascii="Times New Roman" w:hAnsi="Times New Roman" w:eastAsia="仿宋_GB2312" w:cs="Times New Roman"/>
          <w:color w:val="auto"/>
          <w:sz w:val="32"/>
          <w:szCs w:val="32"/>
          <w:highlight w:val="none"/>
        </w:rPr>
      </w:pPr>
    </w:p>
    <w:p>
      <w:pPr>
        <w:pStyle w:val="2"/>
        <w:rPr>
          <w:rFonts w:hint="eastAsia" w:ascii="Times New Roman" w:hAnsi="Times New Roman" w:eastAsia="仿宋_GB2312" w:cs="Times New Roman"/>
          <w:color w:val="auto"/>
          <w:sz w:val="32"/>
          <w:szCs w:val="32"/>
          <w:highlight w:val="none"/>
        </w:rPr>
      </w:pPr>
    </w:p>
    <w:p>
      <w:pPr>
        <w:pStyle w:val="3"/>
        <w:rPr>
          <w:rFonts w:hint="eastAsia" w:ascii="Times New Roman" w:hAnsi="Times New Roman" w:eastAsia="仿宋_GB2312" w:cs="Times New Roman"/>
          <w:color w:val="auto"/>
          <w:sz w:val="32"/>
          <w:szCs w:val="32"/>
          <w:highlight w:val="none"/>
        </w:rPr>
      </w:pPr>
    </w:p>
    <w:p>
      <w:pPr>
        <w:rPr>
          <w:rFonts w:hint="eastAsia" w:ascii="Times New Roman" w:hAnsi="Times New Roman" w:eastAsia="仿宋_GB2312" w:cs="Times New Roman"/>
          <w:color w:val="auto"/>
          <w:sz w:val="32"/>
          <w:szCs w:val="32"/>
          <w:highlight w:val="none"/>
        </w:rPr>
      </w:pPr>
    </w:p>
    <w:p>
      <w:pPr>
        <w:pStyle w:val="2"/>
        <w:rPr>
          <w:rFonts w:hint="eastAsia"/>
        </w:rPr>
      </w:pPr>
      <w:bookmarkStart w:id="0" w:name="_GoBack"/>
      <w:bookmarkEnd w:id="0"/>
    </w:p>
    <w:p>
      <w:pPr>
        <w:keepNext w:val="0"/>
        <w:keepLines w:val="0"/>
        <w:pageBreakBefore w:val="0"/>
        <w:widowControl w:val="0"/>
        <w:tabs>
          <w:tab w:val="left" w:pos="7524"/>
          <w:tab w:val="left" w:pos="8415"/>
          <w:tab w:val="left" w:pos="8613"/>
        </w:tabs>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eastAsia="仿宋_GB2312" w:cs="Times New Roman"/>
          <w:color w:val="000000"/>
          <w:spacing w:val="0"/>
          <w:kern w:val="0"/>
          <w:sz w:val="32"/>
          <w:szCs w:val="32"/>
          <w:lang w:val="en-US" w:eastAsia="zh-CN"/>
        </w:rPr>
      </w:pPr>
      <w:r>
        <w:rPr>
          <w:rFonts w:hint="default" w:ascii="Times New Roman" w:hAnsi="Times New Roman" w:eastAsia="仿宋_GB2312" w:cs="Times New Roman"/>
          <w:sz w:val="28"/>
          <w:szCs w:val="28"/>
        </w:rPr>
        <w:pict>
          <v:line id="直线 87" o:spid="_x0000_s1032" o:spt="20" style="position:absolute;left:0pt;margin-left:-13.05pt;margin-top:0pt;height:0pt;width:440.55pt;z-index:251664384;mso-width-relative:page;mso-height-relative:page;" filled="f" stroked="t" coordsize="21600,21600" o:gfxdata="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2seWXTAAAABQEAAA8AAAAAAAAAAQAgAAAAIgAAAGRycy9k&#10;b3ducmV2LnhtbFBLAQIUABQAAAAIAIdO4kClpqT1zgEAAI4DAAAOAAAAAAAAAAEAIAAAACIBAABk&#10;cnMvZTJvRG9jLnhtbFBLBQYAAAAABgAGAFkBAABiBQAAAAA=&#10;">
            <v:path arrowok="t"/>
            <v:fill on="f" focussize="0,0"/>
            <v:stroke joinstyle="round"/>
            <v:imagedata o:title=""/>
            <o:lock v:ext="edit" aspectratio="f"/>
          </v:line>
        </w:pict>
      </w:r>
      <w:r>
        <w:rPr>
          <w:rFonts w:hint="default" w:ascii="Times New Roman" w:hAnsi="Times New Roman" w:eastAsia="仿宋_GB2312" w:cs="Times New Roman"/>
          <w:sz w:val="28"/>
          <w:szCs w:val="28"/>
        </w:rPr>
        <w:pict>
          <v:line id="直线 88" o:spid="_x0000_s1033" o:spt="20" style="position:absolute;left:0pt;margin-left:-12.75pt;margin-top:26.45pt;height:0pt;width:440.55pt;z-index:251663360;mso-width-relative:page;mso-height-relative:page;" filled="f" stroked="t" coordsize="21600,21600" o:gfxdata="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z1eXvXAAAACQEAAA8AAAAAAAAAAQAgAAAAIgAAAGRy&#10;cy9kb3ducmV2LnhtbFBLAQIUABQAAAAIAIdO4kBnkJ3GzQEAAI4DAAAOAAAAAAAAAAEAIAAAACYB&#10;AABkcnMvZTJvRG9jLnhtbFBLBQYAAAAABgAGAFkBAABlBQAAAAA=&#10;">
            <v:path arrowok="t"/>
            <v:fill on="f" focussize="0,0"/>
            <v:stroke joinstyle="round"/>
            <v:imagedata o:title=""/>
            <o:lock v:ext="edit" aspectratio="f"/>
          </v:line>
        </w:pict>
      </w:r>
      <w:r>
        <w:rPr>
          <w:rFonts w:hint="default" w:ascii="Times New Roman" w:hAnsi="Times New Roman" w:eastAsia="仿宋_GB2312" w:cs="Times New Roman"/>
          <w:sz w:val="28"/>
          <w:szCs w:val="28"/>
          <w:lang w:val="zh-CN"/>
        </w:rPr>
        <w:t xml:space="preserve">宜良县财政局办公室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zh-CN"/>
        </w:rPr>
        <w:t>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lang w:val="zh-CN"/>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zh-CN"/>
        </w:rPr>
        <w:t>月</w:t>
      </w:r>
      <w:r>
        <w:rPr>
          <w:rFonts w:hint="eastAsia"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lang w:val="zh-CN"/>
        </w:rPr>
        <w:t>日印</w:t>
      </w:r>
      <w:r>
        <w:rPr>
          <w:rFonts w:hint="eastAsia" w:ascii="Times New Roman" w:hAnsi="Times New Roman" w:eastAsia="仿宋_GB2312" w:cs="Times New Roman"/>
          <w:sz w:val="28"/>
          <w:szCs w:val="28"/>
          <w:lang w:val="zh-CN"/>
        </w:rPr>
        <w:t>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pict>
        <v:shape id="_x0000_s2049" o:spid="_x0000_s2049"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owpTrIB&#10;AABZAwAADgAAAAAAAAABACAAAAAeAQAAZHJzL2Uyb0RvYy54bWxQSwUGAAAAAAYABgBZAQAAQgUA&#10;AAAA&#10;">
          <v:path/>
          <v:fill on="f" focussize="0,0"/>
          <v:stroke on="f" joinstyle="miter"/>
          <v:imagedata o:title=""/>
          <o:lock v:ext="edit"/>
          <v:textbox inset="0mm,0mm,0mm,0mm" style="mso-fit-shape-to-text:t;">
            <w:txbxContent>
              <w:p>
                <w:pP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F5EE4"/>
    <w:rsid w:val="0009644D"/>
    <w:rsid w:val="000F5EE4"/>
    <w:rsid w:val="001629DF"/>
    <w:rsid w:val="00202477"/>
    <w:rsid w:val="00263D11"/>
    <w:rsid w:val="002E764C"/>
    <w:rsid w:val="00316309"/>
    <w:rsid w:val="003F0622"/>
    <w:rsid w:val="00435E15"/>
    <w:rsid w:val="004A092A"/>
    <w:rsid w:val="004F4F58"/>
    <w:rsid w:val="0055729F"/>
    <w:rsid w:val="00687ADB"/>
    <w:rsid w:val="008F16AA"/>
    <w:rsid w:val="009673CB"/>
    <w:rsid w:val="00A259C8"/>
    <w:rsid w:val="00A4403E"/>
    <w:rsid w:val="00A74C78"/>
    <w:rsid w:val="00AB676A"/>
    <w:rsid w:val="00AC5B6C"/>
    <w:rsid w:val="00E41E61"/>
    <w:rsid w:val="00FC3C74"/>
    <w:rsid w:val="034918DB"/>
    <w:rsid w:val="07FB796B"/>
    <w:rsid w:val="08474789"/>
    <w:rsid w:val="09985F9B"/>
    <w:rsid w:val="0A042048"/>
    <w:rsid w:val="0A8551A8"/>
    <w:rsid w:val="0AE16413"/>
    <w:rsid w:val="0D347814"/>
    <w:rsid w:val="0E3F2B2F"/>
    <w:rsid w:val="12816808"/>
    <w:rsid w:val="1395372F"/>
    <w:rsid w:val="155814EB"/>
    <w:rsid w:val="16C82C15"/>
    <w:rsid w:val="193B7B10"/>
    <w:rsid w:val="195611AB"/>
    <w:rsid w:val="19D654F0"/>
    <w:rsid w:val="1BA26778"/>
    <w:rsid w:val="1F7000EE"/>
    <w:rsid w:val="212769EB"/>
    <w:rsid w:val="22055DD1"/>
    <w:rsid w:val="238D5616"/>
    <w:rsid w:val="26A57286"/>
    <w:rsid w:val="270207EA"/>
    <w:rsid w:val="2B7E263C"/>
    <w:rsid w:val="2B893A41"/>
    <w:rsid w:val="2CC80770"/>
    <w:rsid w:val="2D9960A3"/>
    <w:rsid w:val="2DC12A71"/>
    <w:rsid w:val="2E5127A3"/>
    <w:rsid w:val="2EF05266"/>
    <w:rsid w:val="338E17D0"/>
    <w:rsid w:val="36A64BC5"/>
    <w:rsid w:val="39FC1C9D"/>
    <w:rsid w:val="3A8C119B"/>
    <w:rsid w:val="3C7D6481"/>
    <w:rsid w:val="3CCE218D"/>
    <w:rsid w:val="3FAE2E69"/>
    <w:rsid w:val="3FC279D5"/>
    <w:rsid w:val="3FF00BA4"/>
    <w:rsid w:val="43565510"/>
    <w:rsid w:val="44122B39"/>
    <w:rsid w:val="442317A7"/>
    <w:rsid w:val="4580512C"/>
    <w:rsid w:val="49300625"/>
    <w:rsid w:val="497B65C5"/>
    <w:rsid w:val="4A834607"/>
    <w:rsid w:val="4ECA4FD4"/>
    <w:rsid w:val="51160F4B"/>
    <w:rsid w:val="51BC4934"/>
    <w:rsid w:val="52187EE3"/>
    <w:rsid w:val="524F570C"/>
    <w:rsid w:val="529934B9"/>
    <w:rsid w:val="53712BDE"/>
    <w:rsid w:val="55470A4D"/>
    <w:rsid w:val="5673261D"/>
    <w:rsid w:val="56E17BE8"/>
    <w:rsid w:val="58EE74C8"/>
    <w:rsid w:val="59937DFE"/>
    <w:rsid w:val="5BC35679"/>
    <w:rsid w:val="5E9D7667"/>
    <w:rsid w:val="5FC02ED7"/>
    <w:rsid w:val="5FDF19B6"/>
    <w:rsid w:val="61E554EB"/>
    <w:rsid w:val="61F112FD"/>
    <w:rsid w:val="64330A54"/>
    <w:rsid w:val="648A23AF"/>
    <w:rsid w:val="67F7407C"/>
    <w:rsid w:val="6B6763D0"/>
    <w:rsid w:val="6B6B23A9"/>
    <w:rsid w:val="6C0829D8"/>
    <w:rsid w:val="6D232542"/>
    <w:rsid w:val="72DA1744"/>
    <w:rsid w:val="75A234C1"/>
    <w:rsid w:val="75BA7443"/>
    <w:rsid w:val="78E26CD4"/>
    <w:rsid w:val="7998620E"/>
    <w:rsid w:val="7A8A23BA"/>
    <w:rsid w:val="7B1C0580"/>
    <w:rsid w:val="7BC009ED"/>
    <w:rsid w:val="7DE52BDD"/>
    <w:rsid w:val="7FEB1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index 8"/>
    <w:basedOn w:val="1"/>
    <w:next w:val="1"/>
    <w:qFormat/>
    <w:uiPriority w:val="0"/>
    <w:pPr>
      <w:ind w:left="1400" w:leftChars="1400"/>
    </w:pPr>
  </w:style>
  <w:style w:type="paragraph" w:styleId="5">
    <w:name w:val="Normal Indent"/>
    <w:basedOn w:val="1"/>
    <w:next w:val="1"/>
    <w:qFormat/>
    <w:uiPriority w:val="0"/>
    <w:rPr>
      <w:szCs w:val="20"/>
    </w:rPr>
  </w:style>
  <w:style w:type="paragraph" w:styleId="6">
    <w:name w:val="Body Text Indent"/>
    <w:basedOn w:val="1"/>
    <w:qFormat/>
    <w:uiPriority w:val="0"/>
    <w:pPr>
      <w:ind w:firstLine="660"/>
    </w:pPr>
    <w:rPr>
      <w:rFonts w:ascii="宋体"/>
    </w:rPr>
  </w:style>
  <w:style w:type="paragraph" w:styleId="7">
    <w:name w:val="Plain Text"/>
    <w:basedOn w:val="1"/>
    <w:qFormat/>
    <w:uiPriority w:val="0"/>
    <w:pPr>
      <w:ind w:firstLine="560" w:firstLineChars="200"/>
    </w:pPr>
    <w:rPr>
      <w:b/>
      <w:bCs/>
      <w:kern w:val="44"/>
      <w:sz w:val="44"/>
      <w:szCs w:val="44"/>
    </w:rPr>
  </w:style>
  <w:style w:type="paragraph" w:styleId="8">
    <w:name w:val="Date"/>
    <w:basedOn w:val="1"/>
    <w:next w:val="1"/>
    <w:link w:val="28"/>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Subtitle"/>
    <w:basedOn w:val="1"/>
    <w:next w:val="1"/>
    <w:qFormat/>
    <w:uiPriority w:val="0"/>
    <w:pPr>
      <w:widowControl/>
      <w:wordWrap w:val="0"/>
      <w:spacing w:after="60"/>
      <w:ind w:left="1024"/>
      <w:jc w:val="center"/>
    </w:pPr>
    <w:rPr>
      <w:rFonts w:ascii="Calibri" w:hAnsi="Calibri" w:eastAsia="仿宋_GB2312" w:cs="Times New Roman"/>
      <w:b/>
      <w:kern w:val="0"/>
      <w:sz w:val="32"/>
    </w:rPr>
  </w:style>
  <w:style w:type="paragraph" w:styleId="13">
    <w:name w:val="Title"/>
    <w:basedOn w:val="1"/>
    <w:qFormat/>
    <w:uiPriority w:val="0"/>
    <w:rPr>
      <w:sz w:val="32"/>
    </w:rPr>
  </w:style>
  <w:style w:type="paragraph" w:styleId="14">
    <w:name w:val="Body Text First Indent 2"/>
    <w:basedOn w:val="6"/>
    <w:qFormat/>
    <w:uiPriority w:val="0"/>
    <w:pPr>
      <w:spacing w:after="120"/>
      <w:ind w:firstLine="872"/>
    </w:pPr>
    <w:rPr>
      <w:rFonts w:asci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实施方案正文"/>
    <w:basedOn w:val="1"/>
    <w:qFormat/>
    <w:uiPriority w:val="0"/>
    <w:pPr>
      <w:ind w:firstLine="566" w:firstLineChars="202"/>
    </w:pPr>
    <w:rPr>
      <w:rFonts w:ascii="Calibri" w:hAnsi="Calibri"/>
      <w:szCs w:val="28"/>
    </w:rPr>
  </w:style>
  <w:style w:type="paragraph" w:customStyle="1" w:styleId="19">
    <w:name w:val="无间隔1"/>
    <w:basedOn w:val="1"/>
    <w:semiHidden/>
    <w:qFormat/>
    <w:uiPriority w:val="0"/>
  </w:style>
  <w:style w:type="table" w:customStyle="1" w:styleId="20">
    <w:name w:val="Table Normal"/>
    <w:unhideWhenUsed/>
    <w:qFormat/>
    <w:uiPriority w:val="0"/>
    <w:tblPr>
      <w:tblLayout w:type="fixed"/>
      <w:tblCellMar>
        <w:top w:w="0" w:type="dxa"/>
        <w:left w:w="0" w:type="dxa"/>
        <w:bottom w:w="0" w:type="dxa"/>
        <w:right w:w="0" w:type="dxa"/>
      </w:tblCellMar>
    </w:tblPr>
  </w:style>
  <w:style w:type="character" w:customStyle="1" w:styleId="21">
    <w:name w:val="font141"/>
    <w:basedOn w:val="17"/>
    <w:qFormat/>
    <w:uiPriority w:val="0"/>
    <w:rPr>
      <w:rFonts w:ascii="仿宋_GB2312" w:eastAsia="仿宋_GB2312" w:cs="仿宋_GB2312"/>
      <w:b/>
      <w:color w:val="000000"/>
      <w:sz w:val="24"/>
      <w:szCs w:val="24"/>
      <w:u w:val="none"/>
    </w:rPr>
  </w:style>
  <w:style w:type="character" w:customStyle="1" w:styleId="22">
    <w:name w:val="font101"/>
    <w:basedOn w:val="17"/>
    <w:qFormat/>
    <w:uiPriority w:val="0"/>
    <w:rPr>
      <w:rFonts w:hint="default" w:ascii="Times New Roman" w:hAnsi="Times New Roman" w:cs="Times New Roman"/>
      <w:b/>
      <w:color w:val="000000"/>
      <w:sz w:val="24"/>
      <w:szCs w:val="24"/>
      <w:u w:val="none"/>
    </w:rPr>
  </w:style>
  <w:style w:type="character" w:customStyle="1" w:styleId="23">
    <w:name w:val="font151"/>
    <w:basedOn w:val="17"/>
    <w:qFormat/>
    <w:uiPriority w:val="0"/>
    <w:rPr>
      <w:rFonts w:hint="eastAsia" w:ascii="仿宋_GB2312" w:eastAsia="仿宋_GB2312" w:cs="仿宋_GB2312"/>
      <w:b/>
      <w:color w:val="000000"/>
      <w:sz w:val="24"/>
      <w:szCs w:val="24"/>
      <w:u w:val="none"/>
    </w:rPr>
  </w:style>
  <w:style w:type="character" w:customStyle="1" w:styleId="24">
    <w:name w:val="font31"/>
    <w:basedOn w:val="17"/>
    <w:qFormat/>
    <w:uiPriority w:val="0"/>
    <w:rPr>
      <w:rFonts w:hint="eastAsia" w:ascii="仿宋_GB2312" w:eastAsia="仿宋_GB2312" w:cs="仿宋_GB2312"/>
      <w:b/>
      <w:color w:val="000000"/>
      <w:sz w:val="24"/>
      <w:szCs w:val="24"/>
      <w:u w:val="none"/>
    </w:rPr>
  </w:style>
  <w:style w:type="character" w:customStyle="1" w:styleId="25">
    <w:name w:val="font01"/>
    <w:basedOn w:val="17"/>
    <w:qFormat/>
    <w:uiPriority w:val="0"/>
    <w:rPr>
      <w:rFonts w:hint="eastAsia" w:ascii="仿宋_GB2312" w:eastAsia="仿宋_GB2312" w:cs="仿宋_GB2312"/>
      <w:b/>
      <w:color w:val="FF0000"/>
      <w:sz w:val="24"/>
      <w:szCs w:val="24"/>
      <w:u w:val="none"/>
    </w:rPr>
  </w:style>
  <w:style w:type="character" w:customStyle="1" w:styleId="26">
    <w:name w:val="font121"/>
    <w:basedOn w:val="17"/>
    <w:qFormat/>
    <w:uiPriority w:val="0"/>
    <w:rPr>
      <w:rFonts w:hint="eastAsia" w:ascii="仿宋_GB2312" w:eastAsia="仿宋_GB2312" w:cs="仿宋_GB2312"/>
      <w:b/>
      <w:color w:val="FF0000"/>
      <w:sz w:val="24"/>
      <w:szCs w:val="24"/>
      <w:u w:val="none"/>
    </w:rPr>
  </w:style>
  <w:style w:type="character" w:customStyle="1" w:styleId="27">
    <w:name w:val="font21"/>
    <w:basedOn w:val="17"/>
    <w:qFormat/>
    <w:uiPriority w:val="0"/>
    <w:rPr>
      <w:rFonts w:hint="eastAsia" w:ascii="仿宋_GB2312" w:eastAsia="仿宋_GB2312" w:cs="仿宋_GB2312"/>
      <w:color w:val="000000"/>
      <w:sz w:val="24"/>
      <w:szCs w:val="24"/>
      <w:u w:val="none"/>
    </w:rPr>
  </w:style>
  <w:style w:type="character" w:customStyle="1" w:styleId="28">
    <w:name w:val="日期 Char"/>
    <w:basedOn w:val="17"/>
    <w:link w:val="8"/>
    <w:qFormat/>
    <w:uiPriority w:val="0"/>
    <w:rPr>
      <w:rFonts w:ascii="Arial" w:hAnsi="Arial" w:eastAsia="Arial" w:cs="Arial"/>
      <w:snapToGrid w:val="0"/>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1"/>
    <customShpInfo spid="_x0000_s1030"/>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236</Words>
  <Characters>1347</Characters>
  <Lines>11</Lines>
  <Paragraphs>3</Paragraphs>
  <TotalTime>4</TotalTime>
  <ScaleCrop>false</ScaleCrop>
  <LinksUpToDate>false</LinksUpToDate>
  <CharactersWithSpaces>1580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2022-02-18T09:29:00Z</dcterms:created>
  <dc:creator>admin</dc:creator>
  <cp:lastModifiedBy>Administrator</cp:lastModifiedBy>
  <cp:lastPrinted>2023-05-15T08:29:00Z</cp:lastPrinted>
  <dcterms:modified xsi:type="dcterms:W3CDTF">2024-09-04T09:27:50Z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2022-02-18T17:26:12Z</vt:filetime>
  </property>
  <property fmtid="{D5CDD505-2E9C-101B-9397-08002B2CF9AE}" pid="4" name="KSOProductBuildVer">
    <vt:lpwstr>2052-11.8.6.8722</vt:lpwstr>
  </property>
</Properties>
</file>