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05"/>
        </w:tabs>
        <w:kinsoku/>
        <w:wordWrap/>
        <w:overflowPunct/>
        <w:topLinePunct w:val="0"/>
        <w:autoSpaceDE/>
        <w:autoSpaceDN/>
        <w:bidi w:val="0"/>
        <w:adjustRightInd/>
        <w:snapToGrid/>
        <w:spacing w:line="1400" w:lineRule="exact"/>
        <w:ind w:right="2310" w:rightChars="1100"/>
        <w:jc w:val="distribute"/>
        <w:textAlignment w:val="auto"/>
        <w:rPr>
          <w:rFonts w:hint="eastAsia" w:ascii="方正小标宋简体" w:hAnsi="方正小标宋简体" w:eastAsia="方正小标宋简体" w:cs="方正小标宋简体"/>
          <w:color w:val="FF0000"/>
          <w:spacing w:val="-23"/>
          <w:w w:val="105"/>
          <w:sz w:val="84"/>
          <w:szCs w:val="84"/>
          <w:lang w:val="en-US" w:eastAsia="zh-CN"/>
        </w:rPr>
      </w:pPr>
      <w:r>
        <w:rPr>
          <w:color w:val="FF0000"/>
          <w:spacing w:val="-23"/>
          <w:w w:val="90"/>
          <w:sz w:val="32"/>
        </w:rPr>
        <mc:AlternateContent>
          <mc:Choice Requires="wps">
            <w:drawing>
              <wp:anchor distT="0" distB="0" distL="114300" distR="114300" simplePos="0" relativeHeight="251661312" behindDoc="1" locked="0" layoutInCell="1" allowOverlap="1">
                <wp:simplePos x="0" y="0"/>
                <wp:positionH relativeFrom="column">
                  <wp:posOffset>4153535</wp:posOffset>
                </wp:positionH>
                <wp:positionV relativeFrom="paragraph">
                  <wp:posOffset>272415</wp:posOffset>
                </wp:positionV>
                <wp:extent cx="1783715" cy="1626235"/>
                <wp:effectExtent l="4445" t="4445" r="10160" b="15240"/>
                <wp:wrapNone/>
                <wp:docPr id="7" name="文本框 7"/>
                <wp:cNvGraphicFramePr/>
                <a:graphic xmlns:a="http://schemas.openxmlformats.org/drawingml/2006/main">
                  <a:graphicData uri="http://schemas.microsoft.com/office/word/2010/wordprocessingShape">
                    <wps:wsp>
                      <wps:cNvSpPr txBox="1"/>
                      <wps:spPr>
                        <a:xfrm>
                          <a:off x="1145540" y="3437890"/>
                          <a:ext cx="1783715" cy="1626235"/>
                        </a:xfrm>
                        <a:prstGeom prst="rect">
                          <a:avLst/>
                        </a:prstGeom>
                        <a:solidFill>
                          <a:schemeClr val="bg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spacing w:val="-62"/>
                                <w:w w:val="90"/>
                                <w:sz w:val="140"/>
                                <w:szCs w:val="140"/>
                                <w:lang w:val="en-US" w:eastAsia="zh-CN"/>
                              </w:rPr>
                            </w:pPr>
                            <w:r>
                              <w:rPr>
                                <w:rFonts w:hint="eastAsia" w:ascii="方正小标宋简体" w:hAnsi="方正小标宋简体" w:eastAsia="方正小标宋简体" w:cs="方正小标宋简体"/>
                                <w:color w:val="FF0000"/>
                                <w:spacing w:val="-62"/>
                                <w:w w:val="90"/>
                                <w:sz w:val="140"/>
                                <w:szCs w:val="140"/>
                                <w:lang w:val="en-US" w:eastAsia="zh-CN"/>
                              </w:rPr>
                              <w:t>文件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05pt;margin-top:21.45pt;height:128.05pt;width:140.45pt;z-index:-251655168;mso-width-relative:page;mso-height-relative:page;" fillcolor="#FFFFFF [3212]" filled="t" stroked="t" coordsize="21600,21600" o:gfxdata="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MqhM42gAAAAoBAAAPAAAAAAAAAAEAIAAA&#10;ACIAAABkcnMvZG93bnJldi54bWxQSwECFAAUAAAACACHTuJAo0rg5UMCAAB3BAAADgAAAAAAAAAB&#10;ACAAAAApAQAAZHJzL2Uyb0RvYy54bWxQSwUGAAAAAAYABgBZAQAA3gUAAAAA&#10;">
                <v:fill on="t" focussize="0,0"/>
                <v:stroke weight="0.5pt" color="#FFFFFF [3212]" joinstyle="round"/>
                <v:imagedata o:title=""/>
                <o:lock v:ext="edit" aspectratio="f"/>
                <v:textbox>
                  <w:txbxContent>
                    <w:p>
                      <w:pPr>
                        <w:pStyle w:val="4"/>
                        <w:rPr>
                          <w:rFonts w:hint="eastAsia"/>
                          <w:spacing w:val="-62"/>
                          <w:w w:val="90"/>
                          <w:sz w:val="140"/>
                          <w:szCs w:val="140"/>
                          <w:lang w:val="en-US" w:eastAsia="zh-CN"/>
                        </w:rPr>
                      </w:pPr>
                      <w:r>
                        <w:rPr>
                          <w:rFonts w:hint="eastAsia" w:ascii="方正小标宋简体" w:hAnsi="方正小标宋简体" w:eastAsia="方正小标宋简体" w:cs="方正小标宋简体"/>
                          <w:color w:val="FF0000"/>
                          <w:spacing w:val="-62"/>
                          <w:w w:val="90"/>
                          <w:sz w:val="140"/>
                          <w:szCs w:val="140"/>
                          <w:lang w:val="en-US" w:eastAsia="zh-CN"/>
                        </w:rPr>
                        <w:t>文件</w:t>
                      </w:r>
                    </w:p>
                    <w:p/>
                  </w:txbxContent>
                </v:textbox>
              </v:shape>
            </w:pict>
          </mc:Fallback>
        </mc:AlternateContent>
      </w:r>
      <w:r>
        <w:rPr>
          <w:rFonts w:hint="eastAsia" w:ascii="方正小标宋简体" w:hAnsi="方正小标宋简体" w:eastAsia="方正小标宋简体" w:cs="方正小标宋简体"/>
          <w:color w:val="FF0000"/>
          <w:spacing w:val="-23"/>
          <w:w w:val="105"/>
          <w:sz w:val="84"/>
          <w:szCs w:val="84"/>
          <w:lang w:val="en-US" w:eastAsia="zh-CN"/>
        </w:rPr>
        <w:t>宜良县财政局</w:t>
      </w:r>
    </w:p>
    <w:p>
      <w:pPr>
        <w:keepNext w:val="0"/>
        <w:keepLines w:val="0"/>
        <w:pageBreakBefore w:val="0"/>
        <w:widowControl w:val="0"/>
        <w:tabs>
          <w:tab w:val="left" w:pos="105"/>
        </w:tabs>
        <w:kinsoku/>
        <w:wordWrap/>
        <w:overflowPunct/>
        <w:topLinePunct w:val="0"/>
        <w:autoSpaceDE/>
        <w:autoSpaceDN/>
        <w:bidi w:val="0"/>
        <w:adjustRightInd/>
        <w:snapToGrid/>
        <w:spacing w:line="1400" w:lineRule="exact"/>
        <w:ind w:right="2310" w:rightChars="1100"/>
        <w:jc w:val="distribute"/>
        <w:textAlignment w:val="auto"/>
        <w:rPr>
          <w:rFonts w:hint="eastAsia" w:ascii="方正小标宋简体" w:hAnsi="方正小标宋简体" w:eastAsia="方正小标宋简体" w:cs="方正小标宋简体"/>
          <w:color w:val="auto"/>
          <w:spacing w:val="-23"/>
          <w:w w:val="100"/>
          <w:sz w:val="84"/>
          <w:szCs w:val="84"/>
          <w:lang w:val="en-US" w:eastAsia="zh-CN"/>
        </w:rPr>
      </w:pPr>
      <w:r>
        <w:rPr>
          <w:rFonts w:hint="eastAsia" w:ascii="方正小标宋简体" w:hAnsi="方正小标宋简体" w:eastAsia="方正小标宋简体" w:cs="方正小标宋简体"/>
          <w:color w:val="FF0000"/>
          <w:spacing w:val="-23"/>
          <w:w w:val="100"/>
          <w:sz w:val="84"/>
          <w:szCs w:val="84"/>
          <w:lang w:val="en-US" w:eastAsia="zh-CN"/>
        </w:rPr>
        <w:t>宜良县乡村振局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宜财联发〔2024〕2号</w:t>
      </w:r>
    </w:p>
    <w:p>
      <w:pPr>
        <w:keepNext w:val="0"/>
        <w:keepLines w:val="0"/>
        <w:pageBreakBefore w:val="0"/>
        <w:widowControl w:val="0"/>
        <w:kinsoku/>
        <w:wordWrap/>
        <w:overflowPunct/>
        <w:autoSpaceDN/>
        <w:bidi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ascii="Calibri" w:hAnsi="Calibri" w:eastAsia="宋体" w:cs="Times New Roman"/>
          <w:color w:val="auto"/>
          <w:sz w:val="44"/>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137160</wp:posOffset>
                </wp:positionV>
                <wp:extent cx="5934710" cy="10160"/>
                <wp:effectExtent l="0" t="0" r="0" b="0"/>
                <wp:wrapNone/>
                <wp:docPr id="8" name="直接连接符 8"/>
                <wp:cNvGraphicFramePr/>
                <a:graphic xmlns:a="http://schemas.openxmlformats.org/drawingml/2006/main">
                  <a:graphicData uri="http://schemas.microsoft.com/office/word/2010/wordprocessingShape">
                    <wps:wsp>
                      <wps:cNvCnPr/>
                      <wps:spPr>
                        <a:xfrm>
                          <a:off x="887095" y="2526665"/>
                          <a:ext cx="5934710" cy="10160"/>
                        </a:xfrm>
                        <a:prstGeom prst="line">
                          <a:avLst/>
                        </a:prstGeom>
                        <a:noFill/>
                        <a:ln w="25400" cap="flat" cmpd="sng" algn="ctr">
                          <a:solidFill>
                            <a:srgbClr val="FF0000"/>
                          </a:solidFill>
                          <a:prstDash val="solid"/>
                        </a:ln>
                        <a:effectLst/>
                      </wps:spPr>
                      <wps:bodyPr/>
                    </wps:wsp>
                  </a:graphicData>
                </a:graphic>
              </wp:anchor>
            </w:drawing>
          </mc:Choice>
          <mc:Fallback>
            <w:pict>
              <v:line id="_x0000_s1026" o:spid="_x0000_s1026" o:spt="20" style="position:absolute;left:0pt;margin-left:-11.05pt;margin-top:10.8pt;height:0.8pt;width:467.3pt;z-index:251660288;mso-width-relative:page;mso-height-relative:page;" filled="f" stroked="t" coordsize="21600,21600" o:gfxdata="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vwrdcAAAAJAQAADwAAAAAAAAABACAA&#10;AAAiAAAAZHJzL2Rvd25yZXYueG1sUEsBAhQAFAAAAAgAh07iQL49uzvVAQAAagMAAA4AAAAAAAAA&#10;AQAgAAAAJgEAAGRycy9lMm9Eb2MueG1sUEsFBgAAAAAGAAYAWQEAAG0FAAAAAA==&#10;">
                <v:fill on="f" focussize="0,0"/>
                <v:stroke weight="2pt" color="#FF0000" joinstyle="round"/>
                <v:imagedata o:title=""/>
                <o:lock v:ext="edit" aspectratio="f"/>
              </v:line>
            </w:pict>
          </mc:Fallback>
        </mc:AlternateContent>
      </w:r>
      <w:r>
        <w:rPr>
          <w:rFonts w:ascii="Calibri" w:hAnsi="Calibri" w:eastAsia="宋体"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-316230</wp:posOffset>
                </wp:positionH>
                <wp:positionV relativeFrom="paragraph">
                  <wp:posOffset>125095</wp:posOffset>
                </wp:positionV>
                <wp:extent cx="6343650" cy="0"/>
                <wp:effectExtent l="0" t="0" r="0" b="0"/>
                <wp:wrapNone/>
                <wp:docPr id="5" name="直接连接符 5"/>
                <wp:cNvGraphicFramePr/>
                <a:graphic xmlns:a="http://schemas.openxmlformats.org/drawingml/2006/main">
                  <a:graphicData uri="http://schemas.microsoft.com/office/word/2010/wordprocessingShape">
                    <wps:wsp>
                      <wps:cNvCnPr/>
                      <wps:spPr>
                        <a:xfrm>
                          <a:off x="655955" y="3677920"/>
                          <a:ext cx="6343650" cy="0"/>
                        </a:xfrm>
                        <a:prstGeom prst="line">
                          <a:avLst/>
                        </a:prstGeom>
                        <a:noFill/>
                        <a:ln w="9525" cap="flat" cmpd="sng" algn="ctr">
                          <a:noFill/>
                          <a:prstDash val="solid"/>
                        </a:ln>
                        <a:effectLst/>
                      </wps:spPr>
                      <wps:bodyPr/>
                    </wps:wsp>
                  </a:graphicData>
                </a:graphic>
              </wp:anchor>
            </w:drawing>
          </mc:Choice>
          <mc:Fallback>
            <w:pict>
              <v:line id="_x0000_s1026" o:spid="_x0000_s1026" o:spt="20" style="position:absolute;left:0pt;margin-left:-24.9pt;margin-top:9.85pt;height:0pt;width:499.5pt;z-index:251659264;mso-width-relative:page;mso-height-relative:page;" filled="f" stroked="f" coordsize="21600,21600" o:gfxdata="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HaAb9cAAAAJAQAADwAAAAAAAAABACAAAAAiAAAAZHJzL2Rvd25yZXYueG1sUEsB&#10;AhQAFAAAAAgAh07iQGqD1Uu9AQAAPAMAAA4AAAAAAAAAAQAgAAAAJgEAAGRycy9lMm9Eb2MueG1s&#10;UEsFBgAAAAAGAAYAWQEAAFUFAAAAAA==&#10;">
                <v:fill on="f" focussize="0,0"/>
                <v:stroke on="f"/>
                <v:imagedata o:title=""/>
                <o:lock v:ext="edit" aspectratio="f"/>
              </v:line>
            </w:pict>
          </mc:Fallback>
        </mc:AlternateContent>
      </w:r>
    </w:p>
    <w:p>
      <w:pPr>
        <w:keepNext w:val="0"/>
        <w:keepLines w:val="0"/>
        <w:pageBreakBefore w:val="0"/>
        <w:widowControl/>
        <w:kinsoku w:val="0"/>
        <w:wordWrap w:val="0"/>
        <w:overflowPunct/>
        <w:topLinePunct w:val="0"/>
        <w:autoSpaceDE w:val="0"/>
        <w:autoSpaceDN w:val="0"/>
        <w:bidi w:val="0"/>
        <w:adjustRightInd w:val="0"/>
        <w:snapToGrid w:val="0"/>
        <w:spacing w:before="0" w:after="0" w:line="500" w:lineRule="exact"/>
        <w:ind w:left="0" w:right="0" w:firstLine="0" w:firstLineChars="0"/>
        <w:jc w:val="center"/>
        <w:textAlignment w:val="baseline"/>
        <w:rPr>
          <w:rFonts w:hint="default" w:ascii="Times New Roman" w:hAnsi="Times New Roman" w:eastAsia="方正小标宋简体" w:cs="Times New Roman"/>
          <w:b w:val="0"/>
          <w:bCs w:val="0"/>
          <w:spacing w:val="-4"/>
          <w:sz w:val="44"/>
          <w:szCs w:val="44"/>
          <w:lang w:eastAsia="zh-CN"/>
        </w:rPr>
      </w:pPr>
      <w:r>
        <w:rPr>
          <w:rFonts w:hint="default" w:ascii="Times New Roman" w:hAnsi="Times New Roman" w:eastAsia="方正小标宋简体" w:cs="Times New Roman"/>
          <w:b w:val="0"/>
          <w:bCs w:val="0"/>
          <w:spacing w:val="-4"/>
          <w:sz w:val="44"/>
          <w:szCs w:val="44"/>
          <w:lang w:val="en-US" w:eastAsia="zh-CN"/>
        </w:rPr>
        <w:t xml:space="preserve"> </w:t>
      </w:r>
      <w:r>
        <w:rPr>
          <w:rFonts w:hint="default" w:ascii="Times New Roman" w:hAnsi="Times New Roman" w:eastAsia="方正小标宋简体" w:cs="Times New Roman"/>
          <w:b w:val="0"/>
          <w:bCs w:val="0"/>
          <w:spacing w:val="-4"/>
          <w:sz w:val="44"/>
          <w:szCs w:val="44"/>
        </w:rPr>
        <w:t xml:space="preserve">宜良县财政局 </w:t>
      </w:r>
      <w:r>
        <w:rPr>
          <w:rFonts w:hint="default" w:ascii="Times New Roman" w:hAnsi="Times New Roman" w:eastAsia="方正小标宋简体" w:cs="Times New Roman"/>
          <w:b w:val="0"/>
          <w:bCs w:val="0"/>
          <w:spacing w:val="-4"/>
          <w:sz w:val="44"/>
          <w:szCs w:val="44"/>
          <w:lang w:val="en-US" w:eastAsia="zh-CN"/>
        </w:rPr>
        <w:t xml:space="preserve"> </w:t>
      </w:r>
      <w:r>
        <w:rPr>
          <w:rFonts w:hint="default" w:ascii="Times New Roman" w:hAnsi="Times New Roman" w:eastAsia="方正小标宋简体" w:cs="Times New Roman"/>
          <w:b w:val="0"/>
          <w:bCs w:val="0"/>
          <w:spacing w:val="-4"/>
          <w:sz w:val="44"/>
          <w:szCs w:val="44"/>
        </w:rPr>
        <w:t>宜良县乡村振</w:t>
      </w:r>
      <w:r>
        <w:rPr>
          <w:rFonts w:hint="eastAsia" w:ascii="Times New Roman" w:hAnsi="Times New Roman" w:eastAsia="方正小标宋简体" w:cs="Times New Roman"/>
          <w:b w:val="0"/>
          <w:bCs w:val="0"/>
          <w:spacing w:val="-4"/>
          <w:sz w:val="44"/>
          <w:szCs w:val="44"/>
          <w:lang w:eastAsia="zh-CN"/>
        </w:rPr>
        <w:t>兴</w:t>
      </w:r>
      <w:r>
        <w:rPr>
          <w:rFonts w:hint="default" w:ascii="Times New Roman" w:hAnsi="Times New Roman" w:eastAsia="方正小标宋简体" w:cs="Times New Roman"/>
          <w:b w:val="0"/>
          <w:bCs w:val="0"/>
          <w:spacing w:val="-4"/>
          <w:sz w:val="44"/>
          <w:szCs w:val="44"/>
          <w:lang w:eastAsia="zh-CN"/>
        </w:rPr>
        <w:t>局</w:t>
      </w:r>
    </w:p>
    <w:p>
      <w:pPr>
        <w:keepNext w:val="0"/>
        <w:keepLines w:val="0"/>
        <w:pageBreakBefore w:val="0"/>
        <w:widowControl/>
        <w:kinsoku w:val="0"/>
        <w:overflowPunct/>
        <w:topLinePunct w:val="0"/>
        <w:autoSpaceDE w:val="0"/>
        <w:autoSpaceDN w:val="0"/>
        <w:bidi w:val="0"/>
        <w:adjustRightInd w:val="0"/>
        <w:snapToGrid w:val="0"/>
        <w:spacing w:line="500" w:lineRule="exact"/>
        <w:ind w:left="0" w:right="0" w:firstLine="0" w:firstLineChars="0"/>
        <w:jc w:val="center"/>
        <w:textAlignment w:val="baseline"/>
        <w:rPr>
          <w:rFonts w:hint="default" w:ascii="Times New Roman" w:hAnsi="Times New Roman" w:eastAsia="方正小标宋简体" w:cs="Times New Roman"/>
          <w:b w:val="0"/>
          <w:bCs w:val="0"/>
          <w:spacing w:val="-4"/>
          <w:sz w:val="44"/>
          <w:szCs w:val="44"/>
        </w:rPr>
      </w:pPr>
      <w:r>
        <w:rPr>
          <w:rFonts w:hint="default" w:ascii="Times New Roman" w:hAnsi="Times New Roman" w:eastAsia="方正小标宋简体" w:cs="Times New Roman"/>
          <w:b w:val="0"/>
          <w:bCs w:val="0"/>
          <w:spacing w:val="-4"/>
          <w:sz w:val="44"/>
          <w:szCs w:val="44"/>
        </w:rPr>
        <w:t>关于下达</w:t>
      </w:r>
      <w:r>
        <w:rPr>
          <w:rFonts w:hint="eastAsia" w:ascii="Times New Roman" w:hAnsi="Times New Roman" w:eastAsia="方正小标宋简体" w:cs="Times New Roman"/>
          <w:b w:val="0"/>
          <w:bCs w:val="0"/>
          <w:spacing w:val="-4"/>
          <w:sz w:val="44"/>
          <w:szCs w:val="44"/>
          <w:lang w:val="en-US" w:eastAsia="zh-CN"/>
        </w:rPr>
        <w:t>2024</w:t>
      </w:r>
      <w:r>
        <w:rPr>
          <w:rFonts w:hint="default" w:ascii="Times New Roman" w:hAnsi="Times New Roman" w:eastAsia="方正小标宋简体" w:cs="Times New Roman"/>
          <w:b w:val="0"/>
          <w:bCs w:val="0"/>
          <w:spacing w:val="-4"/>
          <w:sz w:val="44"/>
          <w:szCs w:val="44"/>
        </w:rPr>
        <w:t>年</w:t>
      </w:r>
      <w:r>
        <w:rPr>
          <w:rFonts w:hint="default" w:ascii="Times New Roman" w:hAnsi="Times New Roman" w:eastAsia="方正小标宋简体" w:cs="Times New Roman"/>
          <w:b w:val="0"/>
          <w:bCs w:val="0"/>
          <w:spacing w:val="-4"/>
          <w:sz w:val="44"/>
          <w:szCs w:val="44"/>
          <w:lang w:eastAsia="zh-CN"/>
        </w:rPr>
        <w:t>中央</w:t>
      </w:r>
      <w:r>
        <w:rPr>
          <w:rFonts w:hint="default" w:ascii="Times New Roman" w:hAnsi="Times New Roman" w:eastAsia="方正小标宋简体" w:cs="Times New Roman"/>
          <w:b w:val="0"/>
          <w:bCs w:val="0"/>
          <w:spacing w:val="-4"/>
          <w:sz w:val="44"/>
          <w:szCs w:val="44"/>
        </w:rPr>
        <w:t>财政衔接</w:t>
      </w:r>
      <w:r>
        <w:rPr>
          <w:rFonts w:hint="default" w:ascii="Times New Roman" w:hAnsi="Times New Roman" w:eastAsia="方正小标宋简体" w:cs="Times New Roman"/>
          <w:b w:val="0"/>
          <w:bCs w:val="0"/>
          <w:spacing w:val="-4"/>
          <w:sz w:val="44"/>
          <w:szCs w:val="44"/>
          <w:lang w:eastAsia="zh-CN"/>
        </w:rPr>
        <w:t>推进乡</w:t>
      </w:r>
      <w:r>
        <w:rPr>
          <w:rFonts w:hint="default" w:ascii="Times New Roman" w:hAnsi="Times New Roman" w:eastAsia="方正小标宋简体" w:cs="Times New Roman"/>
          <w:b w:val="0"/>
          <w:bCs w:val="0"/>
          <w:spacing w:val="-4"/>
          <w:sz w:val="44"/>
          <w:szCs w:val="44"/>
        </w:rPr>
        <w:t>村振兴</w:t>
      </w:r>
    </w:p>
    <w:p>
      <w:pPr>
        <w:keepNext w:val="0"/>
        <w:keepLines w:val="0"/>
        <w:pageBreakBefore w:val="0"/>
        <w:widowControl/>
        <w:kinsoku w:val="0"/>
        <w:overflowPunct/>
        <w:topLinePunct w:val="0"/>
        <w:autoSpaceDE w:val="0"/>
        <w:autoSpaceDN w:val="0"/>
        <w:bidi w:val="0"/>
        <w:adjustRightInd w:val="0"/>
        <w:snapToGrid w:val="0"/>
        <w:spacing w:line="500" w:lineRule="exact"/>
        <w:ind w:left="0" w:right="0" w:firstLine="0" w:firstLineChars="0"/>
        <w:jc w:val="center"/>
        <w:textAlignment w:val="baseline"/>
        <w:rPr>
          <w:rFonts w:hint="default" w:ascii="Times New Roman" w:hAnsi="Times New Roman" w:cs="Times New Roman"/>
          <w:sz w:val="21"/>
        </w:rPr>
      </w:pPr>
      <w:r>
        <w:rPr>
          <w:rFonts w:hint="default" w:ascii="Times New Roman" w:hAnsi="Times New Roman" w:eastAsia="方正小标宋简体" w:cs="Times New Roman"/>
          <w:b w:val="0"/>
          <w:bCs w:val="0"/>
          <w:spacing w:val="-4"/>
          <w:sz w:val="44"/>
          <w:szCs w:val="44"/>
        </w:rPr>
        <w:t>补助项目资金</w:t>
      </w:r>
      <w:r>
        <w:rPr>
          <w:rFonts w:hint="default" w:ascii="Times New Roman" w:hAnsi="Times New Roman" w:eastAsia="方正小标宋简体" w:cs="Times New Roman"/>
          <w:b w:val="0"/>
          <w:bCs w:val="0"/>
          <w:spacing w:val="-4"/>
          <w:sz w:val="44"/>
          <w:szCs w:val="44"/>
          <w:lang w:eastAsia="zh-CN"/>
        </w:rPr>
        <w:t>（第一批）</w:t>
      </w:r>
      <w:r>
        <w:rPr>
          <w:rFonts w:hint="default" w:ascii="Times New Roman" w:hAnsi="Times New Roman" w:eastAsia="方正小标宋简体" w:cs="Times New Roman"/>
          <w:b w:val="0"/>
          <w:bCs w:val="0"/>
          <w:spacing w:val="-4"/>
          <w:sz w:val="44"/>
          <w:szCs w:val="44"/>
        </w:rPr>
        <w:t>的通知</w:t>
      </w:r>
    </w:p>
    <w:p>
      <w:pPr>
        <w:pStyle w:val="2"/>
        <w:keepNext w:val="0"/>
        <w:keepLines w:val="0"/>
        <w:pageBreakBefore w:val="0"/>
        <w:widowControl/>
        <w:kinsoku w:val="0"/>
        <w:overflowPunct/>
        <w:topLinePunct w:val="0"/>
        <w:autoSpaceDE w:val="0"/>
        <w:autoSpaceDN w:val="0"/>
        <w:bidi w:val="0"/>
        <w:adjustRightInd w:val="0"/>
        <w:snapToGrid w:val="0"/>
        <w:spacing w:line="500" w:lineRule="exact"/>
        <w:ind w:left="0" w:leftChars="0" w:right="0" w:firstLine="640" w:firstLineChars="200"/>
        <w:jc w:val="both"/>
        <w:textAlignment w:val="baseline"/>
        <w:rPr>
          <w:rFonts w:hint="default"/>
          <w:sz w:val="32"/>
          <w:szCs w:val="32"/>
        </w:rPr>
      </w:pPr>
    </w:p>
    <w:p>
      <w:pPr>
        <w:keepNext w:val="0"/>
        <w:keepLines w:val="0"/>
        <w:pageBreakBefore w:val="0"/>
        <w:widowControl/>
        <w:kinsoku w:val="0"/>
        <w:overflowPunct/>
        <w:topLinePunct w:val="0"/>
        <w:autoSpaceDE w:val="0"/>
        <w:autoSpaceDN w:val="0"/>
        <w:bidi w:val="0"/>
        <w:adjustRightInd w:val="0"/>
        <w:snapToGrid w:val="0"/>
        <w:spacing w:line="500" w:lineRule="exact"/>
        <w:ind w:right="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w:t>
      </w:r>
      <w:r>
        <w:rPr>
          <w:rFonts w:hint="default" w:ascii="Times New Roman" w:hAnsi="Times New Roman" w:eastAsia="仿宋_GB2312" w:cs="Times New Roman"/>
          <w:sz w:val="32"/>
          <w:szCs w:val="32"/>
          <w:lang w:eastAsia="zh-CN"/>
        </w:rPr>
        <w:t>）、县委组织部、县民宗局、县林草局：</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按照“村申报、乡审核、县审批”程序，现将我县2024年度中央</w:t>
      </w:r>
      <w:r>
        <w:rPr>
          <w:rFonts w:hint="default" w:ascii="Times New Roman" w:hAnsi="Times New Roman" w:eastAsia="仿宋_GB2312" w:cs="Times New Roman"/>
          <w:snapToGrid/>
          <w:color w:val="auto"/>
          <w:kern w:val="2"/>
          <w:sz w:val="32"/>
          <w:szCs w:val="32"/>
          <w:highlight w:val="none"/>
          <w:lang w:val="en-US" w:eastAsia="zh-CN" w:bidi="ar-SA"/>
        </w:rPr>
        <w:t>财政衔接乡村振兴补助项目资金（第一批）分配情况下达给你们，上级资金文件为《云南省财政厅关于提前下达2024年中央财政衔接推进乡村振兴补助资金的通知》</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云财农〔</w:t>
      </w:r>
      <w:r>
        <w:rPr>
          <w:rFonts w:hint="eastAsia" w:ascii="Times New Roman" w:hAnsi="Times New Roman" w:eastAsia="仿宋_GB2312" w:cs="Times New Roman"/>
          <w:snapToGrid/>
          <w:color w:val="auto"/>
          <w:kern w:val="2"/>
          <w:sz w:val="32"/>
          <w:szCs w:val="32"/>
          <w:highlight w:val="none"/>
          <w:lang w:val="en-US" w:eastAsia="zh-CN" w:bidi="ar-SA"/>
        </w:rPr>
        <w:t>2023</w:t>
      </w:r>
      <w:r>
        <w:rPr>
          <w:rFonts w:hint="default" w:ascii="Times New Roman" w:hAnsi="Times New Roman" w:eastAsia="仿宋_GB2312" w:cs="Times New Roman"/>
          <w:snapToGrid/>
          <w:color w:val="auto"/>
          <w:kern w:val="2"/>
          <w:sz w:val="32"/>
          <w:szCs w:val="32"/>
          <w:highlight w:val="none"/>
          <w:lang w:val="en-US" w:eastAsia="zh-CN" w:bidi="ar-SA"/>
        </w:rPr>
        <w:t>〕202号</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，相关事项通知如下：</w:t>
      </w:r>
    </w:p>
    <w:p>
      <w:pPr>
        <w:keepNext w:val="0"/>
        <w:keepLines w:val="0"/>
        <w:pageBreakBefore w:val="0"/>
        <w:wordWrap w:val="0"/>
        <w:overflowPunct/>
        <w:topLinePunct w:val="0"/>
        <w:bidi w:val="0"/>
        <w:spacing w:before="0" w:after="0" w:line="500" w:lineRule="exact"/>
        <w:ind w:left="0" w:leftChars="0" w:right="0"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b w:val="0"/>
          <w:i w:val="0"/>
          <w:strike w:val="0"/>
          <w:color w:val="000000"/>
          <w:sz w:val="32"/>
          <w:szCs w:val="32"/>
        </w:rPr>
        <w:t>一、项目实施管理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一</w:t>
      </w: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 xml:space="preserve"> 编制实施方案</w:t>
      </w:r>
      <w:r>
        <w:rPr>
          <w:rFonts w:hint="default" w:ascii="Times New Roman" w:hAnsi="Times New Roman" w:eastAsia="仿宋_GB2312" w:cs="Times New Roman"/>
          <w:snapToGrid/>
          <w:color w:val="auto"/>
          <w:kern w:val="2"/>
          <w:sz w:val="32"/>
          <w:szCs w:val="32"/>
          <w:lang w:val="en-US" w:eastAsia="zh-CN" w:bidi="ar-SA"/>
        </w:rPr>
        <w:t>。项目所在地乡镇</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街道</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 xml:space="preserve"> 人民政府按照一个项目一个方案要求，编制项目实施方案</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红头文件</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，于收到资金文件5个工作日内报送县乡村振兴局。</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二</w:t>
      </w: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 xml:space="preserve"> 组织实施。</w:t>
      </w:r>
      <w:r>
        <w:rPr>
          <w:rFonts w:hint="default" w:ascii="Times New Roman" w:hAnsi="Times New Roman" w:eastAsia="仿宋_GB2312" w:cs="Times New Roman"/>
          <w:snapToGrid/>
          <w:color w:val="auto"/>
          <w:kern w:val="2"/>
          <w:sz w:val="32"/>
          <w:szCs w:val="32"/>
          <w:lang w:val="en-US" w:eastAsia="zh-CN" w:bidi="ar-SA"/>
        </w:rPr>
        <w:t>项目实施单位要严格按照项目实施方案组织实施，不得随意变更项目建设内容，严禁挪用、滞留资金。属于政府采购范围的项目，按照政府采购执行</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包括公开招投标、询价、竞争性谈判等</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，村级微小型项目可按照村民民主议事方式直接委托村组自建自营。要严格按照政府采购程序或公开招投标程序组织实施。</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三</w:t>
      </w: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 xml:space="preserve"> 落实公示、</w:t>
      </w:r>
      <w:r>
        <w:rPr>
          <w:rFonts w:hint="default" w:ascii="Times New Roman" w:hAnsi="Times New Roman" w:eastAsia="楷体_GB2312" w:cs="Times New Roman"/>
          <w:snapToGrid/>
          <w:color w:val="auto"/>
          <w:kern w:val="2"/>
          <w:sz w:val="32"/>
          <w:szCs w:val="32"/>
          <w:highlight w:val="none"/>
          <w:lang w:val="en-US" w:eastAsia="zh-CN" w:bidi="ar-SA"/>
        </w:rPr>
        <w:t>公告制度。</w:t>
      </w:r>
      <w:r>
        <w:rPr>
          <w:rFonts w:hint="default" w:ascii="Times New Roman" w:hAnsi="Times New Roman" w:eastAsia="仿宋_GB2312" w:cs="Times New Roman"/>
          <w:snapToGrid/>
          <w:color w:val="auto"/>
          <w:kern w:val="2"/>
          <w:sz w:val="32"/>
          <w:szCs w:val="32"/>
          <w:highlight w:val="none"/>
          <w:lang w:val="en-US" w:eastAsia="zh-CN" w:bidi="ar-SA"/>
        </w:rPr>
        <w:t>严格执行《昆明市衔接推进乡村振兴补助资金项目公示公告实施方案》</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昆乡振发〔2022〕12号</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文件精神，落实项目资金公示公告制度。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楷体_GB2312" w:cs="Times New Roman"/>
          <w:snapToGrid/>
          <w:color w:val="auto"/>
          <w:kern w:val="2"/>
          <w:sz w:val="32"/>
          <w:szCs w:val="32"/>
          <w:highlight w:val="none"/>
          <w:lang w:val="en-US" w:eastAsia="zh-CN" w:bidi="ar-SA"/>
        </w:rPr>
        <w:t>（</w:t>
      </w:r>
      <w:r>
        <w:rPr>
          <w:rFonts w:hint="default" w:ascii="Times New Roman" w:hAnsi="Times New Roman" w:eastAsia="楷体_GB2312" w:cs="Times New Roman"/>
          <w:snapToGrid/>
          <w:color w:val="auto"/>
          <w:kern w:val="2"/>
          <w:sz w:val="32"/>
          <w:szCs w:val="32"/>
          <w:highlight w:val="none"/>
          <w:lang w:val="en-US" w:eastAsia="zh-CN" w:bidi="ar-SA"/>
        </w:rPr>
        <w:t>四</w:t>
      </w:r>
      <w:r>
        <w:rPr>
          <w:rFonts w:hint="eastAsia" w:ascii="Times New Roman" w:hAnsi="Times New Roman" w:eastAsia="楷体_GB2312" w:cs="Times New Roman"/>
          <w:snapToGrid/>
          <w:color w:val="auto"/>
          <w:kern w:val="2"/>
          <w:sz w:val="32"/>
          <w:szCs w:val="32"/>
          <w:highlight w:val="none"/>
          <w:lang w:val="en-US" w:eastAsia="zh-CN" w:bidi="ar-SA"/>
        </w:rPr>
        <w:t>）</w:t>
      </w:r>
      <w:r>
        <w:rPr>
          <w:rFonts w:hint="default" w:ascii="Times New Roman" w:hAnsi="Times New Roman" w:eastAsia="楷体_GB2312" w:cs="Times New Roman"/>
          <w:snapToGrid/>
          <w:color w:val="auto"/>
          <w:kern w:val="2"/>
          <w:sz w:val="32"/>
          <w:szCs w:val="32"/>
          <w:highlight w:val="none"/>
          <w:lang w:val="en-US" w:eastAsia="zh-CN" w:bidi="ar-SA"/>
        </w:rPr>
        <w:t xml:space="preserve"> 项目验收。</w:t>
      </w:r>
      <w:r>
        <w:rPr>
          <w:rFonts w:hint="default" w:ascii="Times New Roman" w:hAnsi="Times New Roman" w:eastAsia="仿宋_GB2312" w:cs="Times New Roman"/>
          <w:snapToGrid/>
          <w:color w:val="auto"/>
          <w:kern w:val="2"/>
          <w:sz w:val="32"/>
          <w:szCs w:val="32"/>
          <w:highlight w:val="none"/>
          <w:lang w:val="en-US" w:eastAsia="zh-CN" w:bidi="ar-SA"/>
        </w:rPr>
        <w:t>项目按照补助资金量实行梯度验收，具体如下：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highlight w:val="none"/>
          <w:lang w:val="en-US" w:eastAsia="zh-CN" w:bidi="ar-SA"/>
        </w:rPr>
        <w:t>1.补助资金在100万元及以上的项目实行县级终验制。由乡镇</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街道</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组织初验，初验结果报县乡村振兴局，由县乡村振兴局组织县级验收。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highlight w:val="none"/>
          <w:lang w:val="en-US" w:eastAsia="zh-CN" w:bidi="ar-SA"/>
        </w:rPr>
        <w:t>2.补助资金在100万元以下的项目实行乡镇终验制。由乡镇</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街道</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组织验收，验收结果报县乡村振兴局，县乡村振兴局根据验收情况组织抽验。</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highlight w:val="none"/>
          <w:lang w:val="en-US" w:eastAsia="zh-CN" w:bidi="ar-SA"/>
        </w:rPr>
        <w:t>县乡验收通过后，由乡镇</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街道</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组织业主方、施工方按附件4要求制作台账。</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黑体" w:cs="Times New Roman"/>
          <w:snapToGrid/>
          <w:color w:val="auto"/>
          <w:kern w:val="2"/>
          <w:sz w:val="32"/>
          <w:szCs w:val="32"/>
          <w:highlight w:val="none"/>
          <w:lang w:val="en-US" w:eastAsia="zh-CN" w:bidi="ar-SA"/>
        </w:rPr>
      </w:pPr>
      <w:r>
        <w:rPr>
          <w:rFonts w:hint="default" w:ascii="Times New Roman" w:hAnsi="Times New Roman" w:eastAsia="黑体" w:cs="Times New Roman"/>
          <w:snapToGrid/>
          <w:color w:val="auto"/>
          <w:kern w:val="2"/>
          <w:sz w:val="32"/>
          <w:szCs w:val="32"/>
          <w:highlight w:val="none"/>
          <w:lang w:val="en-US" w:eastAsia="zh-CN" w:bidi="ar-SA"/>
        </w:rPr>
        <w:t>二、资金管理及拨付</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highlight w:val="none"/>
          <w:lang w:val="en-US" w:eastAsia="zh-CN" w:bidi="ar-SA"/>
        </w:rPr>
        <w:t>按照财政衔接资金管理相关要求，2024年的衔接资金从财政一体化平台下达到乡镇</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街道</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、县属项目实施单位。涉及乡镇</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街道</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的，由乡镇</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街道</w:t>
      </w:r>
      <w:r>
        <w:rPr>
          <w:rFonts w:hint="eastAsia" w:ascii="Times New Roman" w:hAnsi="Times New Roman" w:eastAsia="仿宋_GB2312" w:cs="Times New Roman"/>
          <w:snapToGrid/>
          <w:color w:val="auto"/>
          <w:kern w:val="2"/>
          <w:sz w:val="32"/>
          <w:szCs w:val="32"/>
          <w:highlight w:val="none"/>
          <w:lang w:val="en-US" w:eastAsia="zh-CN" w:bidi="ar-SA"/>
        </w:rPr>
        <w:t>）</w:t>
      </w:r>
      <w:r>
        <w:rPr>
          <w:rFonts w:hint="default" w:ascii="Times New Roman" w:hAnsi="Times New Roman" w:eastAsia="仿宋_GB2312" w:cs="Times New Roman"/>
          <w:snapToGrid/>
          <w:color w:val="auto"/>
          <w:kern w:val="2"/>
          <w:sz w:val="32"/>
          <w:szCs w:val="32"/>
          <w:highlight w:val="none"/>
          <w:lang w:val="en-US" w:eastAsia="zh-CN" w:bidi="ar-SA"/>
        </w:rPr>
        <w:t>审批，通过国库集中支付将项目资金直接支付到施工方或项目实施单位。涉及县属项目实施单位的通过国库集中支付将项目资金直接支付到项目施工方。</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楷体_GB2312" w:cs="Times New Roman"/>
          <w:snapToGrid/>
          <w:color w:val="auto"/>
          <w:kern w:val="2"/>
          <w:sz w:val="32"/>
          <w:szCs w:val="32"/>
          <w:highlight w:val="none"/>
          <w:lang w:val="en-US" w:eastAsia="zh-CN" w:bidi="ar-SA"/>
        </w:rPr>
      </w:pPr>
      <w:r>
        <w:rPr>
          <w:rFonts w:hint="eastAsia" w:ascii="Times New Roman" w:hAnsi="Times New Roman" w:eastAsia="楷体_GB2312" w:cs="Times New Roman"/>
          <w:snapToGrid/>
          <w:color w:val="auto"/>
          <w:kern w:val="2"/>
          <w:sz w:val="32"/>
          <w:szCs w:val="32"/>
          <w:highlight w:val="none"/>
          <w:lang w:val="en-US" w:eastAsia="zh-CN" w:bidi="ar-SA"/>
        </w:rPr>
        <w:t>（</w:t>
      </w:r>
      <w:r>
        <w:rPr>
          <w:rFonts w:hint="default" w:ascii="Times New Roman" w:hAnsi="Times New Roman" w:eastAsia="楷体_GB2312" w:cs="Times New Roman"/>
          <w:snapToGrid/>
          <w:color w:val="auto"/>
          <w:kern w:val="2"/>
          <w:sz w:val="32"/>
          <w:szCs w:val="32"/>
          <w:highlight w:val="none"/>
          <w:lang w:val="en-US" w:eastAsia="zh-CN" w:bidi="ar-SA"/>
        </w:rPr>
        <w:t>一</w:t>
      </w:r>
      <w:r>
        <w:rPr>
          <w:rFonts w:hint="eastAsia" w:ascii="Times New Roman" w:hAnsi="Times New Roman" w:eastAsia="楷体_GB2312" w:cs="Times New Roman"/>
          <w:snapToGrid/>
          <w:color w:val="auto"/>
          <w:kern w:val="2"/>
          <w:sz w:val="32"/>
          <w:szCs w:val="32"/>
          <w:highlight w:val="none"/>
          <w:lang w:val="en-US" w:eastAsia="zh-CN" w:bidi="ar-SA"/>
        </w:rPr>
        <w:t>）</w:t>
      </w:r>
      <w:r>
        <w:rPr>
          <w:rFonts w:hint="default" w:ascii="Times New Roman" w:hAnsi="Times New Roman" w:eastAsia="楷体_GB2312" w:cs="Times New Roman"/>
          <w:snapToGrid/>
          <w:color w:val="auto"/>
          <w:kern w:val="2"/>
          <w:sz w:val="32"/>
          <w:szCs w:val="32"/>
          <w:highlight w:val="none"/>
          <w:lang w:val="en-US" w:eastAsia="zh-CN" w:bidi="ar-SA"/>
        </w:rPr>
        <w:t xml:space="preserve"> 项目资金使用实行乡镇</w:t>
      </w:r>
      <w:r>
        <w:rPr>
          <w:rFonts w:hint="eastAsia" w:ascii="Times New Roman" w:hAnsi="Times New Roman" w:eastAsia="楷体_GB2312" w:cs="Times New Roman"/>
          <w:snapToGrid/>
          <w:color w:val="auto"/>
          <w:kern w:val="2"/>
          <w:sz w:val="32"/>
          <w:szCs w:val="32"/>
          <w:highlight w:val="none"/>
          <w:lang w:val="en-US" w:eastAsia="zh-CN" w:bidi="ar-SA"/>
        </w:rPr>
        <w:t>（</w:t>
      </w:r>
      <w:r>
        <w:rPr>
          <w:rFonts w:hint="default" w:ascii="Times New Roman" w:hAnsi="Times New Roman" w:eastAsia="楷体_GB2312" w:cs="Times New Roman"/>
          <w:snapToGrid/>
          <w:color w:val="auto"/>
          <w:kern w:val="2"/>
          <w:sz w:val="32"/>
          <w:szCs w:val="32"/>
          <w:highlight w:val="none"/>
          <w:lang w:val="en-US" w:eastAsia="zh-CN" w:bidi="ar-SA"/>
        </w:rPr>
        <w:t>街道</w:t>
      </w:r>
      <w:r>
        <w:rPr>
          <w:rFonts w:hint="eastAsia" w:ascii="Times New Roman" w:hAnsi="Times New Roman" w:eastAsia="楷体_GB2312" w:cs="Times New Roman"/>
          <w:snapToGrid/>
          <w:color w:val="auto"/>
          <w:kern w:val="2"/>
          <w:sz w:val="32"/>
          <w:szCs w:val="32"/>
          <w:highlight w:val="none"/>
          <w:lang w:val="en-US" w:eastAsia="zh-CN" w:bidi="ar-SA"/>
        </w:rPr>
        <w:t>）</w:t>
      </w:r>
      <w:r>
        <w:rPr>
          <w:rFonts w:hint="default" w:ascii="Times New Roman" w:hAnsi="Times New Roman" w:eastAsia="楷体_GB2312" w:cs="Times New Roman"/>
          <w:snapToGrid/>
          <w:color w:val="auto"/>
          <w:kern w:val="2"/>
          <w:sz w:val="32"/>
          <w:szCs w:val="32"/>
          <w:highlight w:val="none"/>
          <w:lang w:val="en-US" w:eastAsia="zh-CN" w:bidi="ar-SA"/>
        </w:rPr>
        <w:t>报账制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highlight w:val="none"/>
          <w:lang w:val="en-US" w:eastAsia="zh-CN" w:bidi="ar-SA"/>
        </w:rPr>
      </w:pPr>
      <w:r>
        <w:rPr>
          <w:rFonts w:hint="default" w:ascii="Times New Roman" w:hAnsi="Times New Roman" w:eastAsia="仿宋_GB2312" w:cs="Times New Roman"/>
          <w:snapToGrid/>
          <w:color w:val="auto"/>
          <w:kern w:val="2"/>
          <w:sz w:val="32"/>
          <w:szCs w:val="32"/>
          <w:lang w:val="en-US" w:eastAsia="zh-CN" w:bidi="ar-SA"/>
        </w:rPr>
        <w:t>要严格按照《宜良县财政局关于进一步加强财政专项扶贫资金管理的通知》</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宜财〔2020〕21号</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《宜良县扶贫开发领导小组关于实行财政专项扶贫资金乡镇</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街道</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报账制管理的通知》</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宜扶领〔2020〕6号</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相关规定执行</w:t>
      </w:r>
      <w:r>
        <w:rPr>
          <w:rFonts w:hint="default" w:ascii="Times New Roman" w:hAnsi="Times New Roman" w:eastAsia="仿宋_GB2312" w:cs="Times New Roman"/>
          <w:snapToGrid/>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楷体_GB2312" w:cs="Times New Roman"/>
          <w:snapToGrid/>
          <w:color w:val="auto"/>
          <w:kern w:val="2"/>
          <w:sz w:val="32"/>
          <w:szCs w:val="32"/>
          <w:highlight w:val="none"/>
          <w:lang w:val="en-US" w:eastAsia="zh-CN" w:bidi="ar-SA"/>
        </w:rPr>
      </w:pPr>
      <w:r>
        <w:rPr>
          <w:rFonts w:hint="eastAsia" w:ascii="Times New Roman" w:hAnsi="Times New Roman" w:eastAsia="楷体_GB2312" w:cs="Times New Roman"/>
          <w:snapToGrid/>
          <w:color w:val="auto"/>
          <w:kern w:val="2"/>
          <w:sz w:val="32"/>
          <w:szCs w:val="32"/>
          <w:highlight w:val="none"/>
          <w:lang w:val="en-US" w:eastAsia="zh-CN" w:bidi="ar-SA"/>
        </w:rPr>
        <w:t>（</w:t>
      </w:r>
      <w:r>
        <w:rPr>
          <w:rFonts w:hint="default" w:ascii="Times New Roman" w:hAnsi="Times New Roman" w:eastAsia="楷体_GB2312" w:cs="Times New Roman"/>
          <w:snapToGrid/>
          <w:color w:val="auto"/>
          <w:kern w:val="2"/>
          <w:sz w:val="32"/>
          <w:szCs w:val="32"/>
          <w:highlight w:val="none"/>
          <w:lang w:val="en-US" w:eastAsia="zh-CN" w:bidi="ar-SA"/>
        </w:rPr>
        <w:t>二</w:t>
      </w:r>
      <w:r>
        <w:rPr>
          <w:rFonts w:hint="eastAsia" w:ascii="Times New Roman" w:hAnsi="Times New Roman" w:eastAsia="楷体_GB2312" w:cs="Times New Roman"/>
          <w:snapToGrid/>
          <w:color w:val="auto"/>
          <w:kern w:val="2"/>
          <w:sz w:val="32"/>
          <w:szCs w:val="32"/>
          <w:highlight w:val="none"/>
          <w:lang w:val="en-US" w:eastAsia="zh-CN" w:bidi="ar-SA"/>
        </w:rPr>
        <w:t>）</w:t>
      </w:r>
      <w:r>
        <w:rPr>
          <w:rFonts w:hint="default" w:ascii="Times New Roman" w:hAnsi="Times New Roman" w:eastAsia="楷体_GB2312" w:cs="Times New Roman"/>
          <w:snapToGrid/>
          <w:color w:val="auto"/>
          <w:kern w:val="2"/>
          <w:sz w:val="32"/>
          <w:szCs w:val="32"/>
          <w:highlight w:val="none"/>
          <w:lang w:val="en-US" w:eastAsia="zh-CN" w:bidi="ar-SA"/>
        </w:rPr>
        <w:t xml:space="preserve"> 项目资金实行按工程进度拨付制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资金拨付比例：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1.项目开工建设一周后，衔接资金工程款拨付至30%；</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2.项目竣工后，乡镇</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街道</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初验合格，衔接资金工程款拨付至80%;</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3.项目完成终验，衔接资金工程款拨付至97%；</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4.县乡村振兴局聘请的第三方审计单位出具项目竣工决算审核报告，问题整改且质保期满后，衔接资金工程款拨付至100%。</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楷体_GB2312" w:cs="Times New Roman"/>
          <w:snapToGrid/>
          <w:color w:val="auto"/>
          <w:kern w:val="2"/>
          <w:sz w:val="32"/>
          <w:szCs w:val="32"/>
          <w:lang w:val="en-US" w:eastAsia="zh-CN" w:bidi="ar-SA"/>
        </w:rPr>
      </w:pP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三</w:t>
      </w: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 xml:space="preserve"> 拨付补助资金所需附件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1.衔接资金工程款拨付至30%时：需宜良县财政衔接乡村振兴补助项目资金报账拨付审批表、增值税发票、项目公示公告照片、中标通知书复印件、施工合同复印件、开工图片；</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2.衔接资金工程款拨付至80%时，需宜良县财政衔接乡村振兴补助项目资金报账拨付审批表、增值税发票、项目完工公告、完工图片、乡镇</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街道</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验收卡复印件；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3.衔接资金工程款拨付至97%时，需宜良县财政衔接乡村振兴补助项目资金报账拨付审批表、增值税发票、终验验收卡复印件；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4.衔接资金工程款拨付至100%时，需宜良县财政衔接乡村振兴补助项目资金报账拨付审批表、增值税发票、审计部门或第三方审计单位出具项目竣工决算审核报告。</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黑体" w:cs="Times New Roman"/>
          <w:snapToGrid/>
          <w:color w:val="auto"/>
          <w:kern w:val="2"/>
          <w:sz w:val="32"/>
          <w:szCs w:val="32"/>
          <w:lang w:val="en-US" w:eastAsia="zh-CN" w:bidi="ar-SA"/>
        </w:rPr>
      </w:pPr>
      <w:r>
        <w:rPr>
          <w:rFonts w:hint="default" w:ascii="Times New Roman" w:hAnsi="Times New Roman" w:eastAsia="黑体" w:cs="Times New Roman"/>
          <w:snapToGrid/>
          <w:color w:val="auto"/>
          <w:kern w:val="2"/>
          <w:sz w:val="32"/>
          <w:szCs w:val="32"/>
          <w:lang w:val="en-US" w:eastAsia="zh-CN" w:bidi="ar-SA"/>
        </w:rPr>
        <w:t>三、资产管理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一</w:t>
      </w: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 xml:space="preserve"> 资产所有权。</w:t>
      </w:r>
      <w:r>
        <w:rPr>
          <w:rFonts w:hint="default" w:ascii="Times New Roman" w:hAnsi="Times New Roman" w:eastAsia="仿宋_GB2312" w:cs="Times New Roman"/>
          <w:snapToGrid/>
          <w:color w:val="auto"/>
          <w:kern w:val="2"/>
          <w:sz w:val="32"/>
          <w:szCs w:val="32"/>
          <w:lang w:val="en-US" w:eastAsia="zh-CN" w:bidi="ar-SA"/>
        </w:rPr>
        <w:t>依法依规对衔接资金项目建设形成的资产进行评估认定，做到协商一致、明晰权利义务。对衔接资金投入项目所形成的可持续利用的经营性资产，所有权归项目受益村集体所有，项目竣工验收后及时移交项目资产，确权后由村集体纳入管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二</w:t>
      </w: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 xml:space="preserve"> 资产收益分配。</w:t>
      </w:r>
      <w:r>
        <w:rPr>
          <w:rFonts w:hint="default" w:ascii="Times New Roman" w:hAnsi="Times New Roman" w:eastAsia="仿宋_GB2312" w:cs="Times New Roman"/>
          <w:snapToGrid/>
          <w:color w:val="auto"/>
          <w:kern w:val="2"/>
          <w:sz w:val="32"/>
          <w:szCs w:val="32"/>
          <w:lang w:val="en-US" w:eastAsia="zh-CN" w:bidi="ar-SA"/>
        </w:rPr>
        <w:t>项目形成的资产收益</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直接到户的收益除外</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，由村集体通过设置公益性岗位、小型公益事业、以奖代补助等方式进行二次分配，对象从项目关联的脱贫户、监测户、其他低收入人口中选择，重点带动无稳定收入来源的低收入建档立卡贫困户增收。</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三</w:t>
      </w:r>
      <w:r>
        <w:rPr>
          <w:rFonts w:hint="eastAsia" w:ascii="Times New Roman" w:hAns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 xml:space="preserve"> 资产监管。</w:t>
      </w:r>
      <w:r>
        <w:rPr>
          <w:rFonts w:hint="default" w:ascii="Times New Roman" w:hAnsi="Times New Roman" w:eastAsia="仿宋_GB2312" w:cs="Times New Roman"/>
          <w:snapToGrid/>
          <w:color w:val="auto"/>
          <w:kern w:val="2"/>
          <w:sz w:val="32"/>
          <w:szCs w:val="32"/>
          <w:lang w:val="en-US" w:eastAsia="zh-CN" w:bidi="ar-SA"/>
        </w:rPr>
        <w:t>项目一经审核批准实施后，乡镇</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街道</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和村</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社区</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要建立健全事前、事中和事后全过程监管机制，做到项目实施和资金安排严格按照乡镇</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街道</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受益分配管理制度执行，明确管护主体，明确资产权属、明确管护责任，抓实后续资产管理，及时更新资产登记，以村委会为单位每年度进行一次资产公示，接受群众监督，确保资产保值增值，发挥长期效益。</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黑体" w:cs="Times New Roman"/>
          <w:snapToGrid/>
          <w:color w:val="auto"/>
          <w:kern w:val="2"/>
          <w:sz w:val="32"/>
          <w:szCs w:val="32"/>
          <w:lang w:val="en-US" w:eastAsia="zh-CN" w:bidi="ar-SA"/>
        </w:rPr>
      </w:pPr>
      <w:r>
        <w:rPr>
          <w:rFonts w:hint="default" w:ascii="Times New Roman" w:hAnsi="Times New Roman" w:eastAsia="黑体" w:cs="Times New Roman"/>
          <w:snapToGrid/>
          <w:color w:val="auto"/>
          <w:kern w:val="2"/>
          <w:sz w:val="32"/>
          <w:szCs w:val="32"/>
          <w:lang w:val="en-US" w:eastAsia="zh-CN" w:bidi="ar-SA"/>
        </w:rPr>
        <w:t>四、资金绩效评价</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项目验收后，严格执行资金绩效评价管理规定，做好项目绩效评价并填报项目绩效评价表。衔接资金的管理使用要严格执行相关规定，对资金投入情况、资金拨付、资金监管、资金使用成效等方面按规定进行全面评价，确保项目绩效评价全覆盖，达到预期效益。</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黑体" w:cs="Times New Roman"/>
          <w:snapToGrid/>
          <w:color w:val="auto"/>
          <w:kern w:val="2"/>
          <w:sz w:val="32"/>
          <w:szCs w:val="32"/>
          <w:lang w:val="en-US" w:eastAsia="zh-CN" w:bidi="ar-SA"/>
        </w:rPr>
      </w:pPr>
      <w:r>
        <w:rPr>
          <w:rFonts w:hint="default" w:ascii="Times New Roman" w:hAnsi="Times New Roman" w:eastAsia="黑体" w:cs="Times New Roman"/>
          <w:snapToGrid/>
          <w:color w:val="auto"/>
          <w:kern w:val="2"/>
          <w:sz w:val="32"/>
          <w:szCs w:val="32"/>
          <w:lang w:val="en-US" w:eastAsia="zh-CN" w:bidi="ar-SA"/>
        </w:rPr>
        <w:t>五、相关要求</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（一）</w:t>
      </w:r>
      <w:r>
        <w:rPr>
          <w:rFonts w:hint="default" w:ascii="Times New Roman" w:hAnsi="Times New Roman" w:eastAsia="仿宋_GB2312" w:cs="Times New Roman"/>
          <w:snapToGrid/>
          <w:color w:val="auto"/>
          <w:kern w:val="2"/>
          <w:sz w:val="32"/>
          <w:szCs w:val="32"/>
          <w:lang w:val="en-US" w:eastAsia="zh-CN" w:bidi="ar-SA"/>
        </w:rPr>
        <w:t>乡镇</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街道</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及时将资金和项目录入“全国防返贫监测信息系统”，按照项目进度实时更新系统信息。</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（二）</w:t>
      </w:r>
      <w:r>
        <w:rPr>
          <w:rFonts w:hint="default" w:ascii="Times New Roman" w:hAnsi="Times New Roman" w:eastAsia="仿宋_GB2312" w:cs="Times New Roman"/>
          <w:snapToGrid/>
          <w:color w:val="auto"/>
          <w:kern w:val="2"/>
          <w:sz w:val="32"/>
          <w:szCs w:val="32"/>
          <w:lang w:val="en-US" w:eastAsia="zh-CN" w:bidi="ar-SA"/>
        </w:rPr>
        <w:t>2024年第一批衔接资金项目必须于2024年12月31日前竣工验收，并及时收集相关台帐资料，装订成册报送至县乡村振兴局。</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（三）</w:t>
      </w:r>
      <w:r>
        <w:rPr>
          <w:rFonts w:hint="default" w:ascii="Times New Roman" w:hAnsi="Times New Roman" w:eastAsia="仿宋_GB2312" w:cs="Times New Roman"/>
          <w:snapToGrid/>
          <w:color w:val="auto"/>
          <w:kern w:val="2"/>
          <w:sz w:val="32"/>
          <w:szCs w:val="32"/>
          <w:lang w:val="en-US" w:eastAsia="zh-CN" w:bidi="ar-SA"/>
        </w:rPr>
        <w:t>县委组织部指导好壮大集体经济项目，县民宗局指导好少数民族项目，县林草局做好欠发达国有林场巩固提升项目，县农业农村局做好雨露计划、小额信贷贴息工作，及时更新项目进度，指导好项目建设、验收、资料整理工作。</w:t>
      </w:r>
    </w:p>
    <w:p>
      <w:pPr>
        <w:pStyle w:val="2"/>
        <w:keepNext w:val="0"/>
        <w:keepLines w:val="0"/>
        <w:pageBreakBefore w:val="0"/>
        <w:wordWrap/>
        <w:overflowPunct/>
        <w:topLinePunct w:val="0"/>
        <w:bidi w:val="0"/>
        <w:spacing w:line="480" w:lineRule="exact"/>
        <w:ind w:left="0" w:leftChars="0" w:firstLine="420" w:firstLineChars="200"/>
        <w:jc w:val="both"/>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918" w:leftChars="304" w:hanging="1280" w:hangingChars="4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default" w:ascii="Times New Roman" w:hAnsi="Times New Roman" w:eastAsia="仿宋_GB2312" w:cs="Times New Roman"/>
          <w:snapToGrid/>
          <w:color w:val="auto"/>
          <w:kern w:val="2"/>
          <w:sz w:val="32"/>
          <w:szCs w:val="32"/>
          <w:lang w:val="en-US" w:eastAsia="zh-CN" w:bidi="ar-SA"/>
        </w:rPr>
        <w:t>附件：</w:t>
      </w:r>
      <w:r>
        <w:rPr>
          <w:rFonts w:hint="eastAsia" w:ascii="Times New Roman" w:hAnsi="Times New Roman" w:eastAsia="仿宋_GB2312" w:cs="Times New Roman"/>
          <w:snapToGrid/>
          <w:color w:val="auto"/>
          <w:kern w:val="2"/>
          <w:sz w:val="32"/>
          <w:szCs w:val="32"/>
          <w:lang w:val="en-US" w:eastAsia="zh-CN" w:bidi="ar-SA"/>
        </w:rPr>
        <w:t>1.</w:t>
      </w:r>
      <w:r>
        <w:rPr>
          <w:rFonts w:hint="default" w:ascii="Times New Roman" w:hAnsi="Times New Roman" w:eastAsia="仿宋_GB2312" w:cs="Times New Roman"/>
          <w:snapToGrid/>
          <w:color w:val="auto"/>
          <w:kern w:val="2"/>
          <w:sz w:val="32"/>
          <w:szCs w:val="32"/>
          <w:lang w:val="en-US" w:eastAsia="zh-CN" w:bidi="ar-SA"/>
        </w:rPr>
        <w:t>宜良县2024年中央财政衔接乡村振兴补助项目资金（第一批）分配表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916" w:leftChars="760" w:hanging="320" w:hangingChars="1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2.</w:t>
      </w:r>
      <w:r>
        <w:rPr>
          <w:rFonts w:hint="default" w:ascii="Times New Roman" w:hAnsi="Times New Roman" w:eastAsia="仿宋_GB2312" w:cs="Times New Roman"/>
          <w:snapToGrid/>
          <w:color w:val="auto"/>
          <w:kern w:val="2"/>
          <w:sz w:val="32"/>
          <w:szCs w:val="32"/>
          <w:lang w:val="en-US" w:eastAsia="zh-CN" w:bidi="ar-SA"/>
        </w:rPr>
        <w:t>2024年财政衔接乡村振兴补助项目资金项目绩效目标申报表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916" w:leftChars="760" w:hanging="320" w:hangingChars="1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3.</w:t>
      </w:r>
      <w:r>
        <w:rPr>
          <w:rFonts w:hint="default" w:ascii="Times New Roman" w:hAnsi="Times New Roman" w:eastAsia="仿宋_GB2312" w:cs="Times New Roman"/>
          <w:snapToGrid/>
          <w:color w:val="auto"/>
          <w:kern w:val="2"/>
          <w:sz w:val="32"/>
          <w:szCs w:val="32"/>
          <w:lang w:val="en-US" w:eastAsia="zh-CN" w:bidi="ar-SA"/>
        </w:rPr>
        <w:t>宜良县财政衔接乡村振兴补助项目资金报账拨付审批表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1600" w:firstLineChars="5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4.</w:t>
      </w:r>
      <w:r>
        <w:rPr>
          <w:rFonts w:hint="default" w:ascii="Times New Roman" w:hAnsi="Times New Roman" w:eastAsia="仿宋_GB2312" w:cs="Times New Roman"/>
          <w:snapToGrid/>
          <w:color w:val="auto"/>
          <w:kern w:val="2"/>
          <w:sz w:val="32"/>
          <w:szCs w:val="32"/>
          <w:lang w:val="en-US" w:eastAsia="zh-CN" w:bidi="ar-SA"/>
        </w:rPr>
        <w:t>2024年财政衔接资金项目台账材料清单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1600" w:firstLineChars="5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5.</w:t>
      </w:r>
      <w:r>
        <w:rPr>
          <w:rFonts w:hint="default" w:ascii="Times New Roman" w:hAnsi="Times New Roman" w:eastAsia="仿宋_GB2312" w:cs="Times New Roman"/>
          <w:snapToGrid/>
          <w:color w:val="auto"/>
          <w:kern w:val="2"/>
          <w:sz w:val="32"/>
          <w:szCs w:val="32"/>
          <w:lang w:val="en-US" w:eastAsia="zh-CN" w:bidi="ar-SA"/>
        </w:rPr>
        <w:t>财政衔接资金产业帮扶项目实施方案</w:t>
      </w:r>
      <w:r>
        <w:rPr>
          <w:rFonts w:hint="eastAsia" w:ascii="Times New Roman" w:hAnsi="Times New Roman" w:eastAsia="仿宋_GB2312" w:cs="Times New Roman"/>
          <w:snapToGrid/>
          <w:color w:val="auto"/>
          <w:kern w:val="2"/>
          <w:sz w:val="32"/>
          <w:szCs w:val="32"/>
          <w:lang w:val="en-US" w:eastAsia="zh-CN" w:bidi="ar-SA"/>
        </w:rPr>
        <w:t>（</w:t>
      </w:r>
      <w:r>
        <w:rPr>
          <w:rFonts w:hint="default" w:ascii="Times New Roman" w:hAnsi="Times New Roman" w:eastAsia="仿宋_GB2312" w:cs="Times New Roman"/>
          <w:snapToGrid/>
          <w:color w:val="auto"/>
          <w:kern w:val="2"/>
          <w:sz w:val="32"/>
          <w:szCs w:val="32"/>
          <w:lang w:val="en-US" w:eastAsia="zh-CN" w:bidi="ar-SA"/>
        </w:rPr>
        <w:t>模板</w:t>
      </w:r>
      <w:r>
        <w:rPr>
          <w:rFonts w:hint="eastAsia" w:ascii="Times New Roman" w:hAnsi="Times New Roman" w:eastAsia="仿宋_GB2312" w:cs="Times New Roman"/>
          <w:snapToGrid/>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1600" w:firstLineChars="500"/>
        <w:jc w:val="both"/>
        <w:textAlignment w:val="auto"/>
        <w:rPr>
          <w:rFonts w:hint="default"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6.衔接资金项目公示公告模板</w:t>
      </w:r>
    </w:p>
    <w:p>
      <w:pPr>
        <w:pStyle w:val="12"/>
        <w:keepNext w:val="0"/>
        <w:keepLines w:val="0"/>
        <w:pageBreakBefore w:val="0"/>
        <w:widowControl w:val="0"/>
        <w:kinsoku/>
        <w:wordWrap/>
        <w:overflowPunct/>
        <w:topLinePunct w:val="0"/>
        <w:autoSpaceDN/>
        <w:bidi w:val="0"/>
        <w:spacing w:line="560" w:lineRule="exact"/>
        <w:jc w:val="both"/>
        <w:textAlignment w:val="auto"/>
        <w:rPr>
          <w:rFonts w:hint="default" w:ascii="Times New Roman" w:hAnsi="Times New Roman" w:eastAsia="仿宋_GB2312" w:cs="Times New Roman"/>
          <w:color w:val="auto"/>
          <w:sz w:val="32"/>
          <w:szCs w:val="32"/>
          <w:lang w:val="en-US" w:eastAsia="zh-CN"/>
        </w:rPr>
      </w:pPr>
    </w:p>
    <w:p>
      <w:pPr>
        <w:pStyle w:val="12"/>
        <w:keepNext w:val="0"/>
        <w:keepLines w:val="0"/>
        <w:pageBreakBefore w:val="0"/>
        <w:widowControl w:val="0"/>
        <w:kinsoku/>
        <w:wordWrap/>
        <w:overflowPunct/>
        <w:topLinePunct w:val="0"/>
        <w:autoSpaceDN/>
        <w:bidi w:val="0"/>
        <w:spacing w:line="560" w:lineRule="exact"/>
        <w:ind w:firstLine="1603" w:firstLineChars="501"/>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宜良县财政局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宜良</w:t>
      </w:r>
      <w:r>
        <w:rPr>
          <w:rFonts w:hint="default" w:ascii="Times New Roman" w:hAnsi="Times New Roman" w:eastAsia="仿宋_GB2312" w:cs="Times New Roman"/>
          <w:color w:val="auto"/>
          <w:sz w:val="32"/>
          <w:szCs w:val="32"/>
          <w:lang w:val="en-US" w:eastAsia="zh-CN"/>
        </w:rPr>
        <w:t>乡村振兴</w:t>
      </w:r>
      <w:r>
        <w:rPr>
          <w:rFonts w:hint="default" w:ascii="Times New Roman" w:hAnsi="Times New Roman" w:eastAsia="仿宋_GB2312" w:cs="Times New Roman"/>
          <w:color w:val="auto"/>
          <w:sz w:val="32"/>
          <w:szCs w:val="32"/>
        </w:rPr>
        <w:t>局</w:t>
      </w:r>
    </w:p>
    <w:p>
      <w:pPr>
        <w:keepNext w:val="0"/>
        <w:keepLines w:val="0"/>
        <w:pageBreakBefore w:val="0"/>
        <w:widowControl w:val="0"/>
        <w:kinsoku/>
        <w:wordWrap w:val="0"/>
        <w:overflowPunct/>
        <w:topLinePunct w:val="0"/>
        <w:autoSpaceDE/>
        <w:autoSpaceDN/>
        <w:bidi w:val="0"/>
        <w:adjustRightInd/>
        <w:snapToGrid/>
        <w:spacing w:line="560" w:lineRule="exact"/>
        <w:ind w:firstLine="2560" w:firstLineChars="800"/>
        <w:jc w:val="both"/>
        <w:textAlignment w:val="auto"/>
        <w:rPr>
          <w:rFonts w:ascii="Arial"/>
          <w:sz w:val="21"/>
        </w:rPr>
      </w:pP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 xml:space="preserve">日    </w:t>
      </w:r>
      <w:bookmarkStart w:id="0" w:name="_GoBack"/>
      <w:bookmarkEnd w:id="0"/>
    </w:p>
    <w:tbl>
      <w:tblPr>
        <w:tblStyle w:val="9"/>
        <w:tblpPr w:leftFromText="180" w:rightFromText="180" w:vertAnchor="text" w:horzAnchor="margin" w:tblpXSpec="center" w:tblpY="447"/>
        <w:tblW w:w="9060" w:type="dxa"/>
        <w:jc w:val="center"/>
        <w:tblInd w:w="0" w:type="dxa"/>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jc w:val="center"/>
        </w:trPr>
        <w:tc>
          <w:tcPr>
            <w:tcW w:w="9060" w:type="dxa"/>
            <w:tcBorders>
              <w:tl2br w:val="nil"/>
              <w:tr2bl w:val="nil"/>
            </w:tcBorders>
            <w:vAlign w:val="top"/>
          </w:tcPr>
          <w:p>
            <w:pPr>
              <w:keepNext w:val="0"/>
              <w:keepLines w:val="0"/>
              <w:pageBreakBefore w:val="0"/>
              <w:widowControl w:val="0"/>
              <w:kinsoku/>
              <w:wordWrap/>
              <w:overflowPunct/>
              <w:autoSpaceDN/>
              <w:bidi w:val="0"/>
              <w:spacing w:line="560" w:lineRule="exact"/>
              <w:textAlignment w:val="auto"/>
              <w:rPr>
                <w:rFonts w:hint="eastAsia" w:ascii="仿宋_GB2312" w:hAnsi="仿宋_GB2312" w:eastAsia="仿宋_GB2312" w:cs="仿宋_GB2312"/>
                <w:snapToGrid w:val="0"/>
                <w:color w:val="auto"/>
                <w:sz w:val="28"/>
                <w:szCs w:val="28"/>
              </w:rPr>
            </w:pPr>
            <w:r>
              <w:rPr>
                <w:rFonts w:hint="default" w:ascii="仿宋_GB2312" w:hAnsi="仿宋_GB2312" w:eastAsia="仿宋_GB2312" w:cs="仿宋_GB2312"/>
                <w:snapToGrid w:val="0"/>
                <w:color w:val="auto"/>
                <w:sz w:val="28"/>
                <w:szCs w:val="28"/>
                <w:lang w:val="en-US" w:eastAsia="zh-CN"/>
              </w:rPr>
              <w:t>宜良县</w:t>
            </w:r>
            <w:r>
              <w:rPr>
                <w:rFonts w:hint="eastAsia" w:ascii="仿宋_GB2312" w:hAnsi="仿宋_GB2312" w:eastAsia="仿宋_GB2312" w:cs="仿宋_GB2312"/>
                <w:snapToGrid w:val="0"/>
                <w:color w:val="auto"/>
                <w:sz w:val="28"/>
                <w:szCs w:val="28"/>
                <w:lang w:val="en-US" w:eastAsia="zh-CN"/>
              </w:rPr>
              <w:t xml:space="preserve">财政局办公室                       </w:t>
            </w:r>
            <w:r>
              <w:rPr>
                <w:rFonts w:hint="eastAsia" w:ascii="仿宋_GB2312" w:hAnsi="仿宋_GB2312" w:eastAsia="仿宋_GB2312" w:cs="仿宋_GB2312"/>
                <w:snapToGrid w:val="0"/>
                <w:color w:val="auto"/>
                <w:sz w:val="28"/>
                <w:szCs w:val="28"/>
              </w:rPr>
              <w:t xml:space="preserve"> 20</w:t>
            </w:r>
            <w:r>
              <w:rPr>
                <w:rFonts w:hint="eastAsia" w:ascii="仿宋_GB2312" w:hAnsi="仿宋_GB2312" w:eastAsia="仿宋_GB2312" w:cs="仿宋_GB2312"/>
                <w:snapToGrid w:val="0"/>
                <w:color w:val="auto"/>
                <w:sz w:val="28"/>
                <w:szCs w:val="28"/>
                <w:lang w:val="en-US" w:eastAsia="zh-CN"/>
              </w:rPr>
              <w:t>24</w:t>
            </w:r>
            <w:r>
              <w:rPr>
                <w:rFonts w:hint="eastAsia" w:ascii="仿宋_GB2312" w:hAnsi="仿宋_GB2312" w:eastAsia="仿宋_GB2312" w:cs="仿宋_GB2312"/>
                <w:snapToGrid w:val="0"/>
                <w:color w:val="auto"/>
                <w:sz w:val="28"/>
                <w:szCs w:val="28"/>
              </w:rPr>
              <w:t>年</w:t>
            </w:r>
            <w:r>
              <w:rPr>
                <w:rFonts w:hint="eastAsia" w:ascii="仿宋_GB2312" w:hAnsi="仿宋_GB2312" w:eastAsia="仿宋_GB2312" w:cs="仿宋_GB2312"/>
                <w:snapToGrid w:val="0"/>
                <w:color w:val="auto"/>
                <w:sz w:val="28"/>
                <w:szCs w:val="28"/>
                <w:lang w:val="en-US" w:eastAsia="zh-CN"/>
              </w:rPr>
              <w:t>1</w:t>
            </w:r>
            <w:r>
              <w:rPr>
                <w:rFonts w:hint="eastAsia" w:ascii="仿宋_GB2312" w:hAnsi="仿宋_GB2312" w:eastAsia="仿宋_GB2312" w:cs="仿宋_GB2312"/>
                <w:snapToGrid w:val="0"/>
                <w:color w:val="auto"/>
                <w:sz w:val="28"/>
                <w:szCs w:val="28"/>
              </w:rPr>
              <w:t>月</w:t>
            </w:r>
            <w:r>
              <w:rPr>
                <w:rFonts w:hint="eastAsia" w:ascii="仿宋_GB2312" w:hAnsi="仿宋_GB2312" w:eastAsia="仿宋_GB2312" w:cs="仿宋_GB2312"/>
                <w:snapToGrid w:val="0"/>
                <w:color w:val="auto"/>
                <w:sz w:val="28"/>
                <w:szCs w:val="28"/>
                <w:lang w:val="en-US" w:eastAsia="zh-CN"/>
              </w:rPr>
              <w:t>12</w:t>
            </w:r>
            <w:r>
              <w:rPr>
                <w:rFonts w:hint="eastAsia" w:ascii="仿宋_GB2312" w:hAnsi="仿宋_GB2312" w:eastAsia="仿宋_GB2312" w:cs="仿宋_GB2312"/>
                <w:snapToGrid w:val="0"/>
                <w:color w:val="auto"/>
                <w:sz w:val="28"/>
                <w:szCs w:val="28"/>
              </w:rPr>
              <w:t>日印发</w:t>
            </w:r>
          </w:p>
        </w:tc>
      </w:tr>
    </w:tbl>
    <w:p>
      <w:pPr>
        <w:keepNext w:val="0"/>
        <w:keepLines w:val="0"/>
        <w:pageBreakBefore w:val="0"/>
        <w:widowControl w:val="0"/>
        <w:kinsoku/>
        <w:wordWrap/>
        <w:overflowPunct/>
        <w:autoSpaceDN/>
        <w:bidi w:val="0"/>
        <w:spacing w:line="560" w:lineRule="exact"/>
        <w:ind w:firstLine="3520" w:firstLineChars="1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（共印</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份）</w:t>
      </w:r>
    </w:p>
    <w:sectPr>
      <w:footerReference r:id="rId3" w:type="default"/>
      <w:pgSz w:w="11910" w:h="16850"/>
      <w:pgMar w:top="2098" w:right="1531" w:bottom="1984" w:left="1531" w:header="850" w:footer="964"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default" w:ascii="Arial"/>
        <w:sz w:val="2"/>
        <w:lang w:val="en-US"/>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r>
      <w:rPr>
        <w:rFonts w:hint="eastAsia" w:eastAsia="宋体"/>
        <w:sz w:val="2"/>
        <w:lang w:val="en-US" w:eastAsia="zh-CN"/>
      </w:rPr>
      <w:t>11111122222211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JiYTFmOTk2MGM2MTlhNTk5ODk0NjY1ODIzYjIzMDgifQ=="/>
    <w:docVar w:name="KSO_WPS_MARK_KEY" w:val="65ddf877-114d-4a83-bdc9-34771e4cbe3b"/>
  </w:docVars>
  <w:rsids>
    <w:rsidRoot w:val="00000000"/>
    <w:rsid w:val="01295752"/>
    <w:rsid w:val="025A34EF"/>
    <w:rsid w:val="03E02952"/>
    <w:rsid w:val="05746676"/>
    <w:rsid w:val="064A228E"/>
    <w:rsid w:val="070103DE"/>
    <w:rsid w:val="08123F24"/>
    <w:rsid w:val="0834033F"/>
    <w:rsid w:val="0BCC227E"/>
    <w:rsid w:val="0BD30473"/>
    <w:rsid w:val="0C550884"/>
    <w:rsid w:val="0E5C5AE1"/>
    <w:rsid w:val="13402E10"/>
    <w:rsid w:val="14E21050"/>
    <w:rsid w:val="197D6A82"/>
    <w:rsid w:val="1BD90384"/>
    <w:rsid w:val="1E1B192D"/>
    <w:rsid w:val="220A31E9"/>
    <w:rsid w:val="26B119D0"/>
    <w:rsid w:val="27270EF6"/>
    <w:rsid w:val="28D43C3D"/>
    <w:rsid w:val="2C7254D9"/>
    <w:rsid w:val="308A4D25"/>
    <w:rsid w:val="31F765B4"/>
    <w:rsid w:val="32F12805"/>
    <w:rsid w:val="358918C4"/>
    <w:rsid w:val="39D625EF"/>
    <w:rsid w:val="3C683C77"/>
    <w:rsid w:val="4013785B"/>
    <w:rsid w:val="41601281"/>
    <w:rsid w:val="4473751E"/>
    <w:rsid w:val="466F6B93"/>
    <w:rsid w:val="467F21AA"/>
    <w:rsid w:val="46971BE9"/>
    <w:rsid w:val="4826597D"/>
    <w:rsid w:val="492E7EB7"/>
    <w:rsid w:val="4C8107A0"/>
    <w:rsid w:val="4FDF32AE"/>
    <w:rsid w:val="4FFF663D"/>
    <w:rsid w:val="54EE427D"/>
    <w:rsid w:val="55604334"/>
    <w:rsid w:val="57002FAE"/>
    <w:rsid w:val="58DD12BF"/>
    <w:rsid w:val="5AB0697E"/>
    <w:rsid w:val="5C3B496D"/>
    <w:rsid w:val="64A047B7"/>
    <w:rsid w:val="64BF7197"/>
    <w:rsid w:val="64DE058B"/>
    <w:rsid w:val="65D329BB"/>
    <w:rsid w:val="6B3E61B8"/>
    <w:rsid w:val="6B431148"/>
    <w:rsid w:val="6D1C4347"/>
    <w:rsid w:val="73683C95"/>
    <w:rsid w:val="73EA2369"/>
    <w:rsid w:val="79070A70"/>
    <w:rsid w:val="7B9B4A23"/>
    <w:rsid w:val="7D893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100" w:after="90" w:line="576" w:lineRule="auto"/>
      <w:outlineLvl w:val="0"/>
    </w:pPr>
    <w:rPr>
      <w:rFonts w:eastAsia="黑体"/>
      <w:b/>
      <w:kern w:val="44"/>
      <w:sz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99"/>
    <w:pPr>
      <w:ind w:firstLine="420"/>
      <w:jc w:val="both"/>
    </w:pPr>
    <w:rPr>
      <w:sz w:val="21"/>
      <w:szCs w:val="24"/>
    </w:rPr>
  </w:style>
  <w:style w:type="paragraph" w:styleId="4">
    <w:name w:val="Body Text"/>
    <w:basedOn w:val="1"/>
    <w:unhideWhenUsed/>
    <w:qFormat/>
    <w:uiPriority w:val="99"/>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paragraph" w:customStyle="1" w:styleId="12">
    <w:name w:val="实施方案正文"/>
    <w:basedOn w:val="1"/>
    <w:qFormat/>
    <w:uiPriority w:val="0"/>
    <w:pPr>
      <w:ind w:firstLine="566" w:firstLineChars="202"/>
    </w:pPr>
    <w:rPr>
      <w:rFonts w:ascii="Calibri" w:hAnsi="Calibri" w:eastAsia="宋体"/>
      <w:sz w:val="21"/>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2201</Words>
  <Characters>2295</Characters>
  <TotalTime>3</TotalTime>
  <ScaleCrop>false</ScaleCrop>
  <LinksUpToDate>false</LinksUpToDate>
  <CharactersWithSpaces>2402</CharactersWithSpaces>
  <Application>WPS Office_11.8.6.8722_F1E327BC-269C-435d-A152-05C5408002CA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2023-10-16T16:14:00Z</dcterms:created>
  <dc:creator>Kingsoft-PDF</dc:creator>
  <cp:lastModifiedBy>Administrator</cp:lastModifiedBy>
  <cp:lastPrinted>2024-01-30T03:27:00Z</cp:lastPrinted>
  <dcterms:modified xsi:type="dcterms:W3CDTF">2024-02-01T07:57:21Z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2023-10-16T16:14:16Z</vt:filetime>
  </property>
  <property fmtid="{D5CDD505-2E9C-101B-9397-08002B2CF9AE}" pid="4" name="UsrData">
    <vt:lpwstr>652cf0d5eeea390020798220wl</vt:lpwstr>
  </property>
  <property fmtid="{D5CDD505-2E9C-101B-9397-08002B2CF9AE}" pid="5" name="KSOProductBuildVer">
    <vt:lpwstr>2052-11.8.6.8722</vt:lpwstr>
  </property>
  <property fmtid="{D5CDD505-2E9C-101B-9397-08002B2CF9AE}" pid="6" name="ICV">
    <vt:lpwstr>C2CD853ADF2648DFA37886E7F7C28CEE_13</vt:lpwstr>
  </property>
</Properties>
</file>