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firstLine="0" w:firstLineChars="0"/>
        <w:jc w:val="both"/>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1：</w:t>
      </w:r>
    </w:p>
    <w:p>
      <w:pPr>
        <w:adjustRightInd/>
        <w:snapToGrid/>
        <w:spacing w:line="560" w:lineRule="exact"/>
        <w:ind w:firstLine="0" w:firstLineChars="0"/>
        <w:jc w:val="center"/>
        <w:rPr>
          <w:rFonts w:hint="eastAsia" w:ascii="方正小标宋简体" w:hAnsi="方正小标宋简体" w:eastAsia="方正小标宋简体" w:cs="方正小标宋简体"/>
          <w:spacing w:val="0"/>
          <w:sz w:val="44"/>
          <w:szCs w:val="44"/>
          <w:lang w:eastAsia="zh-CN"/>
        </w:rPr>
      </w:pPr>
    </w:p>
    <w:p>
      <w:pPr>
        <w:adjustRightInd/>
        <w:snapToGrid/>
        <w:spacing w:line="560" w:lineRule="exact"/>
        <w:ind w:firstLine="0" w:firstLineChars="0"/>
        <w:jc w:val="center"/>
        <w:rPr>
          <w:rFonts w:hint="eastAsia" w:ascii="方正小标宋简体" w:hAnsi="方正小标宋简体" w:eastAsia="方正小标宋简体" w:cs="方正小标宋简体"/>
          <w:spacing w:val="0"/>
          <w:sz w:val="44"/>
          <w:szCs w:val="44"/>
          <w:lang w:eastAsia="zh-CN"/>
        </w:rPr>
      </w:pPr>
    </w:p>
    <w:p>
      <w:pPr>
        <w:adjustRightInd/>
        <w:snapToGrid/>
        <w:spacing w:line="560" w:lineRule="exact"/>
        <w:ind w:firstLine="0" w:firstLineChars="0"/>
        <w:jc w:val="center"/>
        <w:rPr>
          <w:rFonts w:hint="eastAsia" w:ascii="方正小标宋简体" w:hAnsi="方正小标宋简体" w:eastAsia="方正小标宋简体" w:cs="方正小标宋简体"/>
          <w:spacing w:val="0"/>
          <w:sz w:val="44"/>
          <w:szCs w:val="44"/>
          <w:lang w:eastAsia="zh-CN"/>
        </w:rPr>
      </w:pPr>
    </w:p>
    <w:p>
      <w:pPr>
        <w:pStyle w:val="4"/>
        <w:rPr>
          <w:rFonts w:hint="eastAsia"/>
          <w:lang w:eastAsia="zh-CN"/>
        </w:rPr>
      </w:pPr>
    </w:p>
    <w:p>
      <w:pPr>
        <w:adjustRightInd/>
        <w:snapToGrid/>
        <w:spacing w:line="560" w:lineRule="exact"/>
        <w:ind w:firstLine="0" w:firstLineChars="0"/>
        <w:jc w:val="center"/>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spacing w:val="0"/>
          <w:sz w:val="52"/>
          <w:szCs w:val="52"/>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lang w:eastAsia="zh-CN"/>
        </w:rPr>
        <w:t>宜良县“</w:t>
      </w:r>
      <w:r>
        <w:rPr>
          <w:rFonts w:hint="eastAsia" w:ascii="方正小标宋简体" w:hAnsi="方正小标宋简体" w:eastAsia="方正小标宋简体" w:cs="方正小标宋简体"/>
          <w:spacing w:val="0"/>
          <w:sz w:val="52"/>
          <w:szCs w:val="52"/>
        </w:rPr>
        <w:t>水电气网</w:t>
      </w:r>
      <w:r>
        <w:rPr>
          <w:rFonts w:hint="eastAsia" w:ascii="方正小标宋简体" w:hAnsi="方正小标宋简体" w:eastAsia="方正小标宋简体" w:cs="方正小标宋简体"/>
          <w:spacing w:val="0"/>
          <w:sz w:val="52"/>
          <w:szCs w:val="52"/>
          <w:lang w:eastAsia="zh-CN"/>
        </w:rPr>
        <w:t>”</w:t>
      </w:r>
      <w:r>
        <w:rPr>
          <w:rFonts w:hint="eastAsia" w:ascii="方正小标宋简体" w:hAnsi="方正小标宋简体" w:eastAsia="方正小标宋简体" w:cs="方正小标宋简体"/>
          <w:spacing w:val="0"/>
          <w:sz w:val="52"/>
          <w:szCs w:val="52"/>
        </w:rPr>
        <w:t>联合报装</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spacing w:val="0"/>
          <w:sz w:val="52"/>
          <w:szCs w:val="52"/>
        </w:rPr>
      </w:pPr>
      <w:r>
        <w:rPr>
          <w:rFonts w:hint="eastAsia" w:ascii="方正小标宋简体" w:hAnsi="方正小标宋简体" w:eastAsia="方正小标宋简体" w:cs="方正小标宋简体"/>
          <w:spacing w:val="0"/>
          <w:sz w:val="52"/>
          <w:szCs w:val="52"/>
        </w:rPr>
        <w:t>“一</w:t>
      </w:r>
      <w:r>
        <w:rPr>
          <w:rFonts w:hint="eastAsia" w:ascii="方正小标宋简体" w:hAnsi="方正小标宋简体" w:eastAsia="方正小标宋简体" w:cs="方正小标宋简体"/>
          <w:spacing w:val="0"/>
          <w:sz w:val="52"/>
          <w:szCs w:val="52"/>
          <w:lang w:eastAsia="zh-CN"/>
        </w:rPr>
        <w:t>类事</w:t>
      </w:r>
      <w:r>
        <w:rPr>
          <w:rFonts w:hint="eastAsia" w:ascii="方正小标宋简体" w:hAnsi="方正小标宋简体" w:eastAsia="方正小标宋简体" w:cs="方正小标宋简体"/>
          <w:spacing w:val="0"/>
          <w:sz w:val="52"/>
          <w:szCs w:val="52"/>
        </w:rPr>
        <w:t>”办事指南</w:t>
      </w:r>
    </w:p>
    <w:p>
      <w:pPr>
        <w:pStyle w:val="9"/>
        <w:rPr>
          <w:rFonts w:hint="eastAsia" w:ascii="方正小标宋简体" w:hAnsi="方正小标宋简体" w:eastAsia="方正小标宋简体" w:cs="方正小标宋简体"/>
          <w:spacing w:val="0"/>
          <w:sz w:val="44"/>
          <w:szCs w:val="44"/>
        </w:rPr>
      </w:pPr>
    </w:p>
    <w:p>
      <w:pPr>
        <w:rPr>
          <w:rFonts w:hint="eastAsia" w:ascii="方正小标宋简体" w:hAnsi="方正小标宋简体" w:eastAsia="方正小标宋简体" w:cs="方正小标宋简体"/>
          <w:spacing w:val="0"/>
          <w:sz w:val="44"/>
          <w:szCs w:val="44"/>
        </w:rPr>
      </w:pPr>
    </w:p>
    <w:p>
      <w:pPr>
        <w:rPr>
          <w:rFonts w:hint="eastAsia" w:ascii="方正小标宋简体" w:hAnsi="方正小标宋简体" w:eastAsia="方正小标宋简体" w:cs="方正小标宋简体"/>
          <w:spacing w:val="0"/>
          <w:sz w:val="44"/>
          <w:szCs w:val="44"/>
        </w:rPr>
      </w:pPr>
    </w:p>
    <w:p>
      <w:pPr>
        <w:rPr>
          <w:rFonts w:hint="eastAsia" w:ascii="方正小标宋简体" w:hAnsi="方正小标宋简体" w:eastAsia="方正小标宋简体" w:cs="方正小标宋简体"/>
          <w:spacing w:val="0"/>
          <w:sz w:val="44"/>
          <w:szCs w:val="44"/>
        </w:rPr>
      </w:pPr>
    </w:p>
    <w:p>
      <w:pPr>
        <w:pStyle w:val="9"/>
        <w:rPr>
          <w:rFonts w:hint="eastAsia"/>
        </w:rPr>
      </w:pPr>
    </w:p>
    <w:p>
      <w:pPr>
        <w:rPr>
          <w:rFonts w:hint="eastAsia"/>
        </w:rPr>
      </w:pPr>
    </w:p>
    <w:p>
      <w:pPr>
        <w:pStyle w:val="9"/>
        <w:ind w:left="0" w:leftChars="0" w:firstLine="0" w:firstLineChars="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pacing w:val="0"/>
          <w:sz w:val="32"/>
          <w:szCs w:val="32"/>
          <w:lang w:eastAsia="zh-CN"/>
        </w:rPr>
        <w:t>宜良县住房和城乡建设局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92" w:beforeLines="50" w:after="292" w:afterLines="50" w:line="600" w:lineRule="exact"/>
        <w:ind w:firstLine="632" w:firstLineChars="200"/>
        <w:textAlignment w:val="auto"/>
        <w:rPr>
          <w:rFonts w:ascii="Times New Roman" w:hAnsi="Times New Roman" w:eastAsia="黑体" w:cs="Times New Roman"/>
          <w:sz w:val="32"/>
          <w:szCs w:val="32"/>
        </w:rPr>
      </w:pPr>
      <w:r>
        <w:rPr>
          <w:rFonts w:hint="eastAsia" w:eastAsia="黑体" w:cs="Times New Roman"/>
          <w:sz w:val="32"/>
          <w:szCs w:val="32"/>
          <w:lang w:eastAsia="zh-CN"/>
        </w:rPr>
        <w:t>一、</w:t>
      </w:r>
      <w:r>
        <w:rPr>
          <w:rFonts w:ascii="Times New Roman" w:hAnsi="Times New Roman" w:eastAsia="黑体" w:cs="Times New Roman"/>
          <w:sz w:val="32"/>
          <w:szCs w:val="32"/>
        </w:rPr>
        <w:t>基本信息</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408"/>
        <w:gridCol w:w="1725"/>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事项名称</w:t>
            </w:r>
          </w:p>
        </w:tc>
        <w:tc>
          <w:tcPr>
            <w:tcW w:w="2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sz w:val="24"/>
                <w:szCs w:val="24"/>
                <w:vertAlign w:val="baseline"/>
              </w:rPr>
            </w:pP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水电气网</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联合报装“一</w:t>
            </w:r>
            <w:r>
              <w:rPr>
                <w:rFonts w:hint="eastAsia" w:ascii="仿宋_GB2312" w:hAnsi="仿宋_GB2312" w:eastAsia="仿宋_GB2312" w:cs="仿宋_GB2312"/>
                <w:spacing w:val="0"/>
                <w:sz w:val="24"/>
                <w:szCs w:val="24"/>
                <w:lang w:eastAsia="zh-CN"/>
              </w:rPr>
              <w:t>类事</w:t>
            </w:r>
            <w:r>
              <w:rPr>
                <w:rFonts w:hint="eastAsia" w:ascii="仿宋_GB2312" w:hAnsi="仿宋_GB2312" w:eastAsia="仿宋_GB2312" w:cs="仿宋_GB2312"/>
                <w:spacing w:val="0"/>
                <w:sz w:val="24"/>
                <w:szCs w:val="24"/>
              </w:rPr>
              <w:t>”</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val="0"/>
                <w:bCs w:val="0"/>
                <w:sz w:val="30"/>
                <w:szCs w:val="30"/>
                <w:vertAlign w:val="baseline"/>
                <w:lang w:eastAsia="zh-CN"/>
              </w:rPr>
            </w:pPr>
            <w:r>
              <w:rPr>
                <w:rFonts w:hint="eastAsia" w:asciiTheme="minorEastAsia" w:hAnsiTheme="minorEastAsia" w:eastAsiaTheme="minorEastAsia" w:cstheme="minorEastAsia"/>
                <w:b w:val="0"/>
                <w:bCs w:val="0"/>
                <w:sz w:val="30"/>
                <w:szCs w:val="30"/>
                <w:vertAlign w:val="baseline"/>
                <w:lang w:eastAsia="zh-CN"/>
              </w:rPr>
              <w:t>“一类事”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val="0"/>
                <w:bCs w:val="0"/>
                <w:sz w:val="30"/>
                <w:szCs w:val="30"/>
                <w:vertAlign w:val="baseline"/>
                <w:lang w:eastAsia="zh-CN"/>
              </w:rPr>
            </w:pPr>
            <w:r>
              <w:rPr>
                <w:rFonts w:hint="eastAsia" w:asciiTheme="minorEastAsia" w:hAnsiTheme="minorEastAsia" w:eastAsiaTheme="minorEastAsia" w:cstheme="minorEastAsia"/>
                <w:b w:val="0"/>
                <w:bCs w:val="0"/>
                <w:sz w:val="30"/>
                <w:szCs w:val="30"/>
                <w:vertAlign w:val="baseline"/>
                <w:lang w:eastAsia="zh-CN"/>
              </w:rPr>
              <w:t>事项编码</w:t>
            </w:r>
          </w:p>
        </w:tc>
        <w:tc>
          <w:tcPr>
            <w:tcW w:w="274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牵头单位</w:t>
            </w:r>
          </w:p>
        </w:tc>
        <w:tc>
          <w:tcPr>
            <w:tcW w:w="2408"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宜良县住房和</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城乡建设局</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val="0"/>
                <w:bCs w:val="0"/>
                <w:sz w:val="30"/>
                <w:szCs w:val="30"/>
                <w:vertAlign w:val="baseline"/>
                <w:lang w:eastAsia="zh-CN"/>
              </w:rPr>
            </w:pPr>
            <w:r>
              <w:rPr>
                <w:rFonts w:hint="eastAsia" w:asciiTheme="minorEastAsia" w:hAnsiTheme="minorEastAsia" w:eastAsiaTheme="minorEastAsia" w:cstheme="minorEastAsia"/>
                <w:b w:val="0"/>
                <w:bCs w:val="0"/>
                <w:sz w:val="30"/>
                <w:szCs w:val="30"/>
                <w:vertAlign w:val="baseline"/>
                <w:lang w:eastAsia="zh-CN"/>
              </w:rPr>
              <w:t>配合单位</w:t>
            </w:r>
          </w:p>
        </w:tc>
        <w:tc>
          <w:tcPr>
            <w:tcW w:w="274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县发改局、县供电局、</w:t>
            </w:r>
            <w:r>
              <w:rPr>
                <w:rFonts w:hint="eastAsia" w:ascii="仿宋_GB2312" w:hAnsi="仿宋_GB2312" w:eastAsia="仿宋_GB2312" w:cs="仿宋_GB2312"/>
                <w:sz w:val="24"/>
                <w:szCs w:val="24"/>
                <w:vertAlign w:val="baseline"/>
              </w:rPr>
              <w:t>县自然资源局、县交运局、县公安局、县科工局、</w:t>
            </w:r>
            <w:r>
              <w:rPr>
                <w:rFonts w:hint="eastAsia" w:ascii="仿宋_GB2312" w:hAnsi="仿宋_GB2312" w:eastAsia="仿宋_GB2312" w:cs="仿宋_GB2312"/>
                <w:sz w:val="24"/>
                <w:szCs w:val="24"/>
                <w:vertAlign w:val="baseline"/>
                <w:lang w:eastAsia="zh-CN"/>
              </w:rPr>
              <w:t>县水务局、</w:t>
            </w:r>
            <w:r>
              <w:rPr>
                <w:rFonts w:hint="eastAsia" w:ascii="仿宋_GB2312" w:hAnsi="仿宋_GB2312" w:eastAsia="仿宋_GB2312" w:cs="仿宋_GB2312"/>
                <w:sz w:val="24"/>
                <w:szCs w:val="24"/>
                <w:vertAlign w:val="baseline"/>
              </w:rPr>
              <w:t>县</w:t>
            </w:r>
            <w:r>
              <w:rPr>
                <w:rFonts w:hint="eastAsia" w:ascii="仿宋_GB2312" w:hAnsi="仿宋_GB2312" w:eastAsia="仿宋_GB2312" w:cs="仿宋_GB2312"/>
                <w:sz w:val="24"/>
                <w:szCs w:val="24"/>
                <w:vertAlign w:val="baseline"/>
                <w:lang w:eastAsia="zh-CN"/>
              </w:rPr>
              <w:t>城管局</w:t>
            </w:r>
            <w:r>
              <w:rPr>
                <w:rFonts w:hint="eastAsia" w:ascii="仿宋_GB2312" w:hAnsi="仿宋_GB2312" w:eastAsia="仿宋_GB2312" w:cs="仿宋_GB2312"/>
                <w:sz w:val="24"/>
                <w:szCs w:val="24"/>
                <w:vertAlign w:val="baseline"/>
              </w:rPr>
              <w:t>、华润燃气公司、电信公司、移动公司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服务对象</w:t>
            </w:r>
          </w:p>
        </w:tc>
        <w:tc>
          <w:tcPr>
            <w:tcW w:w="2408"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0"/>
                <w:sz w:val="24"/>
                <w:szCs w:val="24"/>
                <w:lang w:eastAsia="zh-CN"/>
              </w:rPr>
              <w:t>企业</w:t>
            </w:r>
            <w:r>
              <w:rPr>
                <w:rFonts w:hint="eastAsia" w:ascii="仿宋_GB2312" w:hAnsi="仿宋_GB2312" w:eastAsia="仿宋_GB2312" w:cs="仿宋_GB2312"/>
                <w:kern w:val="0"/>
                <w:sz w:val="24"/>
                <w:szCs w:val="24"/>
              </w:rPr>
              <w:t>法人</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其他组织</w:t>
            </w:r>
            <w:r>
              <w:rPr>
                <w:rFonts w:hint="eastAsia" w:ascii="仿宋_GB2312" w:hAnsi="仿宋_GB2312" w:eastAsia="仿宋_GB2312" w:cs="仿宋_GB2312"/>
                <w:kern w:val="0"/>
                <w:sz w:val="24"/>
                <w:szCs w:val="24"/>
                <w:lang w:eastAsia="zh-CN"/>
              </w:rPr>
              <w:t>、个人（公民）</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val="0"/>
                <w:bCs w:val="0"/>
                <w:sz w:val="30"/>
                <w:szCs w:val="30"/>
                <w:vertAlign w:val="baseline"/>
                <w:lang w:eastAsia="zh-CN"/>
              </w:rPr>
            </w:pPr>
            <w:r>
              <w:rPr>
                <w:rFonts w:hint="eastAsia" w:asciiTheme="minorEastAsia" w:hAnsiTheme="minorEastAsia" w:eastAsiaTheme="minorEastAsia" w:cstheme="minorEastAsia"/>
                <w:b w:val="0"/>
                <w:bCs w:val="0"/>
                <w:sz w:val="30"/>
                <w:szCs w:val="30"/>
                <w:vertAlign w:val="baseline"/>
                <w:lang w:eastAsia="zh-CN"/>
              </w:rPr>
              <w:t>“一类事”涉及事项</w:t>
            </w:r>
          </w:p>
        </w:tc>
        <w:tc>
          <w:tcPr>
            <w:tcW w:w="274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水电气网</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联合报装“一</w:t>
            </w:r>
            <w:r>
              <w:rPr>
                <w:rFonts w:hint="eastAsia" w:ascii="仿宋_GB2312" w:hAnsi="仿宋_GB2312" w:eastAsia="仿宋_GB2312" w:cs="仿宋_GB2312"/>
                <w:spacing w:val="0"/>
                <w:sz w:val="24"/>
                <w:szCs w:val="24"/>
                <w:lang w:eastAsia="zh-CN"/>
              </w:rPr>
              <w:t>件事</w:t>
            </w:r>
            <w:r>
              <w:rPr>
                <w:rFonts w:hint="eastAsia" w:ascii="仿宋_GB2312" w:hAnsi="仿宋_GB2312" w:eastAsia="仿宋_GB2312" w:cs="仿宋_GB2312"/>
                <w:spacing w:val="0"/>
                <w:sz w:val="24"/>
                <w:szCs w:val="24"/>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燃气用户设施安全检查</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u w:val="none"/>
                <w:shd w:val="clear" w:color="auto" w:fill="auto"/>
                <w:lang w:val="en-US" w:eastAsia="zh-CN" w:bidi="ar"/>
              </w:rPr>
              <w:t>3.</w:t>
            </w:r>
            <w:r>
              <w:rPr>
                <w:rFonts w:hint="eastAsia" w:ascii="仿宋_GB2312" w:hAnsi="仿宋_GB2312" w:eastAsia="仿宋_GB2312" w:cs="仿宋_GB2312"/>
                <w:color w:val="auto"/>
                <w:kern w:val="0"/>
                <w:sz w:val="24"/>
                <w:szCs w:val="24"/>
                <w:highlight w:val="none"/>
                <w:u w:val="none"/>
                <w:shd w:val="clear" w:color="auto" w:fill="auto"/>
                <w:lang w:bidi="ar"/>
              </w:rPr>
              <w:t>企业市政公用基础设施接入及使用政策咨询服务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审批服务层级</w:t>
            </w:r>
          </w:p>
        </w:tc>
        <w:tc>
          <w:tcPr>
            <w:tcW w:w="6882" w:type="dxa"/>
            <w:gridSpan w:val="3"/>
            <w:vAlign w:val="center"/>
          </w:tcPr>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hAnsi="仿宋_GB2312" w:eastAsia="仿宋_GB2312" w:cs="仿宋_GB2312"/>
                <w:color w:val="auto"/>
                <w:kern w:val="0"/>
                <w:sz w:val="24"/>
                <w:szCs w:val="24"/>
                <w:highlight w:val="none"/>
                <w:u w:val="none"/>
                <w:shd w:val="clear" w:color="auto" w:fill="auto"/>
                <w:lang w:eastAsia="zh-CN" w:bidi="ar"/>
              </w:rPr>
            </w:pPr>
            <w:r>
              <w:rPr>
                <w:rFonts w:hint="eastAsia" w:eastAsia="仿宋_GB2312" w:cs="仿宋_GB2312"/>
                <w:sz w:val="24"/>
                <w:szCs w:val="24"/>
                <w:lang w:eastAsia="zh-CN"/>
              </w:rPr>
              <w:t>市级、</w:t>
            </w:r>
            <w:bookmarkStart w:id="0" w:name="_GoBack"/>
            <w:bookmarkEnd w:id="0"/>
            <w:r>
              <w:rPr>
                <w:rFonts w:hint="eastAsia" w:ascii="Times New Roman" w:hAnsi="Times New Roman" w:eastAsia="仿宋_GB2312" w:cs="仿宋_GB2312"/>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办理形式</w:t>
            </w:r>
          </w:p>
        </w:tc>
        <w:tc>
          <w:tcPr>
            <w:tcW w:w="688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r>
              <w:rPr>
                <w:rFonts w:hint="eastAsia" w:ascii="Times New Roman" w:hAnsi="Times New Roman" w:eastAsia="仿宋_GB2312" w:cs="仿宋_GB2312"/>
                <w:kern w:val="0"/>
                <w:sz w:val="24"/>
                <w:szCs w:val="24"/>
              </w:rPr>
              <w:t>网上办理、窗口办理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法定办结时限（工作日）</w:t>
            </w:r>
          </w:p>
        </w:tc>
        <w:tc>
          <w:tcPr>
            <w:tcW w:w="24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vertAlign w:val="baseline"/>
              </w:rPr>
            </w:pPr>
            <w:r>
              <w:rPr>
                <w:rFonts w:hint="eastAsia" w:ascii="Times New Roman" w:hAnsi="Times New Roman" w:eastAsia="仿宋_GB2312" w:cs="仿宋_GB2312"/>
                <w:kern w:val="0"/>
                <w:sz w:val="24"/>
                <w:szCs w:val="24"/>
              </w:rPr>
              <w:t>22个工作日</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承诺办结时限（工作日）</w:t>
            </w:r>
          </w:p>
        </w:tc>
        <w:tc>
          <w:tcPr>
            <w:tcW w:w="27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szCs w:val="24"/>
              </w:rPr>
              <w:t>5个工作日（市政公用外线接入工程审批办结时限，水电气网的业务开通时限以各企业公布的时限为准）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是否收费</w:t>
            </w:r>
          </w:p>
        </w:tc>
        <w:tc>
          <w:tcPr>
            <w:tcW w:w="240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vertAlign w:val="baseline"/>
                <w:lang w:eastAsia="zh-CN"/>
              </w:rPr>
            </w:pPr>
            <w:r>
              <w:rPr>
                <w:rFonts w:hint="eastAsia" w:ascii="仿宋_GB2312" w:hAnsi="仿宋_GB2312" w:eastAsia="仿宋_GB2312" w:cs="仿宋_GB2312"/>
                <w:kern w:val="0"/>
                <w:sz w:val="24"/>
                <w:szCs w:val="24"/>
              </w:rPr>
              <w:t>否（本次联合报装接入服务流程不收取费用,</w:t>
            </w:r>
            <w:r>
              <w:rPr>
                <w:rFonts w:hint="eastAsia" w:ascii="仿宋_GB2312" w:hAnsi="仿宋_GB2312" w:eastAsia="仿宋_GB2312" w:cs="仿宋_GB2312"/>
                <w:kern w:val="0"/>
                <w:sz w:val="24"/>
                <w:szCs w:val="24"/>
                <w:lang w:eastAsia="zh-CN"/>
              </w:rPr>
              <w:t>道路挖掘修复</w:t>
            </w:r>
            <w:r>
              <w:rPr>
                <w:rFonts w:hint="eastAsia" w:ascii="仿宋_GB2312" w:hAnsi="仿宋_GB2312" w:eastAsia="仿宋_GB2312" w:cs="仿宋_GB2312"/>
                <w:kern w:val="0"/>
                <w:sz w:val="24"/>
                <w:szCs w:val="24"/>
              </w:rPr>
              <w:t>费用按有关规定执行）</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线下跑动</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vertAlign w:val="baseline"/>
                <w:lang w:eastAsia="zh-CN"/>
              </w:rPr>
              <w:t>次数</w:t>
            </w:r>
          </w:p>
        </w:tc>
        <w:tc>
          <w:tcPr>
            <w:tcW w:w="274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线下跑一次原因和环节</w:t>
            </w:r>
          </w:p>
        </w:tc>
        <w:tc>
          <w:tcPr>
            <w:tcW w:w="2408"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原件核验、</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现场踏勘、检查</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网上办理</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深度</w:t>
            </w:r>
          </w:p>
        </w:tc>
        <w:tc>
          <w:tcPr>
            <w:tcW w:w="274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是否支持</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预约办理</w:t>
            </w:r>
          </w:p>
        </w:tc>
        <w:tc>
          <w:tcPr>
            <w:tcW w:w="2408"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p>
        </w:tc>
        <w:tc>
          <w:tcPr>
            <w:tcW w:w="172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有无中介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服务</w:t>
            </w:r>
          </w:p>
        </w:tc>
        <w:tc>
          <w:tcPr>
            <w:tcW w:w="274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联办能力</w:t>
            </w:r>
          </w:p>
        </w:tc>
        <w:tc>
          <w:tcPr>
            <w:tcW w:w="688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容缺受理（用电报装）、联合勘验、联合审查、安全检查（燃气）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咨询方式</w:t>
            </w:r>
          </w:p>
        </w:tc>
        <w:tc>
          <w:tcPr>
            <w:tcW w:w="688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1.现场咨询：云南省昆明市宜良县公园大道1号宜良县政务服务中心二楼33号住建窗口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2.电话咨询：0871—67599031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监督方式</w:t>
            </w:r>
          </w:p>
        </w:tc>
        <w:tc>
          <w:tcPr>
            <w:tcW w:w="688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1.现场投诉：云南省昆明市宜良</w:t>
            </w:r>
            <w:r>
              <w:rPr>
                <w:rFonts w:hint="eastAsia" w:ascii="仿宋_GB2312" w:hAnsi="仿宋_GB2312" w:eastAsia="仿宋_GB2312" w:cs="仿宋_GB2312"/>
                <w:i w:val="0"/>
                <w:caps w:val="0"/>
                <w:color w:val="auto"/>
                <w:spacing w:val="0"/>
                <w:sz w:val="24"/>
                <w:szCs w:val="24"/>
                <w:shd w:val="clear" w:fill="FFFFFF"/>
              </w:rPr>
              <w:t>永昌街清远北巷宜良县</w:t>
            </w:r>
            <w:r>
              <w:rPr>
                <w:rFonts w:hint="eastAsia" w:ascii="仿宋_GB2312" w:hAnsi="仿宋_GB2312" w:eastAsia="仿宋_GB2312" w:cs="仿宋_GB2312"/>
                <w:i w:val="0"/>
                <w:caps w:val="0"/>
                <w:color w:val="auto"/>
                <w:spacing w:val="0"/>
                <w:sz w:val="24"/>
                <w:szCs w:val="24"/>
                <w:shd w:val="clear" w:fill="FFFFFF"/>
                <w:lang w:eastAsia="zh-CN"/>
              </w:rPr>
              <w:t>住房和城乡建设局三楼</w:t>
            </w:r>
            <w:r>
              <w:rPr>
                <w:rFonts w:hint="eastAsia" w:ascii="仿宋_GB2312" w:hAnsi="仿宋_GB2312" w:eastAsia="仿宋_GB2312" w:cs="仿宋_GB2312"/>
                <w:i w:val="0"/>
                <w:caps w:val="0"/>
                <w:color w:val="auto"/>
                <w:spacing w:val="0"/>
                <w:sz w:val="24"/>
                <w:szCs w:val="24"/>
                <w:shd w:val="clear" w:fill="FFFFFF"/>
                <w:lang w:val="en-US" w:eastAsia="zh-CN"/>
              </w:rPr>
              <w:t>302行政审批服务科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2.电话投诉：0871—67523885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办理时间</w:t>
            </w:r>
          </w:p>
        </w:tc>
        <w:tc>
          <w:tcPr>
            <w:tcW w:w="688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星期一至星期五：上午</w:t>
            </w:r>
            <w:r>
              <w:rPr>
                <w:rFonts w:hint="eastAsia" w:ascii="仿宋_GB2312" w:hAnsi="仿宋_GB2312" w:eastAsia="仿宋_GB2312" w:cs="仿宋_GB2312"/>
                <w:color w:val="auto"/>
                <w:sz w:val="24"/>
                <w:szCs w:val="24"/>
                <w:vertAlign w:val="baseline"/>
                <w:lang w:val="en-US" w:eastAsia="zh-CN"/>
              </w:rPr>
              <w:t>8:30—12:00，下午13:30—17:00（法定节假日按国家假期安排调整办理时间）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066"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办理地址</w:t>
            </w:r>
          </w:p>
        </w:tc>
        <w:tc>
          <w:tcPr>
            <w:tcW w:w="6882" w:type="dxa"/>
            <w:gridSpan w:val="3"/>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lang w:val="en-US" w:eastAsia="zh-CN"/>
              </w:rPr>
              <w:t>云南省昆明市宜良县公园大道1号宜良县政务服务中心二楼33号住建窗口</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292" w:beforeLines="50" w:after="292" w:afterLines="50" w:line="600" w:lineRule="exact"/>
        <w:ind w:leftChars="0" w:firstLine="632" w:firstLineChars="200"/>
        <w:textAlignment w:val="auto"/>
        <w:rPr>
          <w:rFonts w:hint="eastAsia" w:ascii="仿宋_GB2312" w:hAnsi="仿宋_GB2312" w:eastAsia="仿宋_GB2312" w:cs="仿宋_GB2312"/>
          <w:spacing w:val="0"/>
          <w:sz w:val="24"/>
          <w:szCs w:val="24"/>
        </w:rPr>
      </w:pPr>
      <w:r>
        <w:rPr>
          <w:rFonts w:hint="eastAsia" w:ascii="黑体" w:hAnsi="黑体" w:eastAsia="黑体" w:cs="黑体"/>
          <w:sz w:val="32"/>
          <w:szCs w:val="32"/>
          <w:lang w:eastAsia="zh-CN"/>
        </w:rPr>
        <w:t>二、设定和实施依据</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水电气网</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联合报装“一</w:t>
      </w:r>
      <w:r>
        <w:rPr>
          <w:rFonts w:hint="eastAsia" w:ascii="楷体_GB2312" w:hAnsi="楷体_GB2312" w:eastAsia="楷体_GB2312" w:cs="楷体_GB2312"/>
          <w:spacing w:val="0"/>
          <w:sz w:val="32"/>
          <w:szCs w:val="32"/>
          <w:lang w:eastAsia="zh-CN"/>
        </w:rPr>
        <w:t>件事</w:t>
      </w:r>
      <w:r>
        <w:rPr>
          <w:rFonts w:hint="eastAsia" w:ascii="楷体_GB2312" w:hAnsi="楷体_GB2312" w:eastAsia="楷体_GB2312" w:cs="楷体_GB2312"/>
          <w:spacing w:val="0"/>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32"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eastAsia="zh-CN"/>
        </w:rPr>
        <w:t>按照云南省</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水电气网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联合报装“一</w:t>
      </w:r>
      <w:r>
        <w:rPr>
          <w:rFonts w:hint="eastAsia" w:ascii="仿宋_GB2312" w:hAnsi="仿宋_GB2312" w:eastAsia="仿宋_GB2312" w:cs="仿宋_GB2312"/>
          <w:spacing w:val="0"/>
          <w:sz w:val="32"/>
          <w:szCs w:val="32"/>
          <w:lang w:eastAsia="zh-CN"/>
        </w:rPr>
        <w:t>类事</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事项设定。</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燃气用户设施安全检查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根据《</w:t>
      </w:r>
      <w:r>
        <w:rPr>
          <w:rFonts w:hint="eastAsia" w:ascii="仿宋_GB2312" w:hAnsi="仿宋_GB2312" w:eastAsia="仿宋_GB2312" w:cs="仿宋_GB2312"/>
          <w:i w:val="0"/>
          <w:iCs w:val="0"/>
          <w:caps w:val="0"/>
          <w:color w:val="333333"/>
          <w:spacing w:val="0"/>
          <w:kern w:val="0"/>
          <w:sz w:val="32"/>
          <w:szCs w:val="32"/>
          <w:lang w:val="en-US" w:eastAsia="zh-CN" w:bidi="ar"/>
        </w:rPr>
        <w:t>云南省燃气管理条例</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第十八条 燃气经营企业应当按照燃气服务标准提供服务，向用户持续、稳定、安全供应符合国家质量标准的燃气，明确告知用户需具备的安全用气条件和注意事项，定期对用户的用气场所、燃气设施免费进行安全检查，并做好安全检查记录。</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楷体_GB2312" w:hAnsi="楷体_GB2312" w:eastAsia="楷体_GB2312" w:cs="楷体_GB2312"/>
          <w:color w:val="auto"/>
          <w:kern w:val="0"/>
          <w:sz w:val="32"/>
          <w:szCs w:val="32"/>
          <w:highlight w:val="none"/>
          <w:u w:val="none"/>
          <w:shd w:val="clear" w:color="auto" w:fill="auto"/>
          <w:lang w:bidi="ar"/>
        </w:rPr>
      </w:pPr>
      <w:r>
        <w:rPr>
          <w:rFonts w:hint="eastAsia" w:ascii="楷体_GB2312" w:hAnsi="楷体_GB2312" w:eastAsia="楷体_GB2312" w:cs="楷体_GB2312"/>
          <w:color w:val="auto"/>
          <w:kern w:val="0"/>
          <w:sz w:val="32"/>
          <w:szCs w:val="32"/>
          <w:highlight w:val="none"/>
          <w:u w:val="none"/>
          <w:shd w:val="clear" w:color="auto" w:fill="auto"/>
          <w:lang w:val="en-US" w:eastAsia="zh-CN" w:bidi="ar"/>
        </w:rPr>
        <w:t>（三）</w:t>
      </w:r>
      <w:r>
        <w:rPr>
          <w:rFonts w:hint="eastAsia" w:ascii="楷体_GB2312" w:hAnsi="楷体_GB2312" w:eastAsia="楷体_GB2312" w:cs="楷体_GB2312"/>
          <w:color w:val="auto"/>
          <w:kern w:val="0"/>
          <w:sz w:val="32"/>
          <w:szCs w:val="32"/>
          <w:highlight w:val="none"/>
          <w:u w:val="none"/>
          <w:shd w:val="clear" w:color="auto" w:fill="auto"/>
          <w:lang w:bidi="ar"/>
        </w:rPr>
        <w:t>企业市政公用基础设施接入及使用政策咨询</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rPr>
      </w:pPr>
      <w:r>
        <w:rPr>
          <w:rFonts w:hint="eastAsia" w:ascii="仿宋_GB2312" w:hAnsi="仿宋_GB2312" w:eastAsia="仿宋_GB2312" w:cs="仿宋_GB2312"/>
          <w:kern w:val="0"/>
          <w:sz w:val="32"/>
          <w:szCs w:val="32"/>
          <w:lang w:eastAsia="zh-CN"/>
        </w:rPr>
        <w:t>根据《国务院办公厅关于加快推进“一件事一次办”打造政务服务升级版的指导意见》（国办发</w:t>
      </w:r>
      <w:r>
        <w:rPr>
          <w:rFonts w:hint="eastAsia" w:ascii="仿宋_GB2312" w:hAnsi="仿宋_GB2312" w:eastAsia="仿宋_GB2312" w:cs="仿宋_GB2312"/>
          <w:kern w:val="0"/>
          <w:sz w:val="32"/>
          <w:szCs w:val="32"/>
          <w:lang w:val="en-US" w:eastAsia="zh-CN"/>
        </w:rPr>
        <w:t>[2022]32号</w:t>
      </w:r>
      <w:r>
        <w:rPr>
          <w:rFonts w:hint="eastAsia" w:ascii="仿宋_GB2312" w:hAnsi="仿宋_GB2312" w:eastAsia="仿宋_GB2312" w:cs="仿宋_GB2312"/>
          <w:kern w:val="0"/>
          <w:sz w:val="32"/>
          <w:szCs w:val="32"/>
          <w:lang w:eastAsia="zh-CN"/>
        </w:rPr>
        <w:t>）和《云南省人民政府办公厅关于印发云南省加快推进“一件事一次办”打造政务服务升级版工作方案的通知》（云政发</w:t>
      </w:r>
      <w:r>
        <w:rPr>
          <w:rFonts w:hint="eastAsia" w:ascii="仿宋_GB2312" w:hAnsi="仿宋_GB2312" w:eastAsia="仿宋_GB2312" w:cs="仿宋_GB2312"/>
          <w:kern w:val="0"/>
          <w:sz w:val="32"/>
          <w:szCs w:val="32"/>
          <w:lang w:val="en-US" w:eastAsia="zh-CN"/>
        </w:rPr>
        <w:t>[2022]89号</w:t>
      </w:r>
      <w:r>
        <w:rPr>
          <w:rFonts w:hint="eastAsia" w:ascii="仿宋_GB2312" w:hAnsi="仿宋_GB2312" w:eastAsia="仿宋_GB2312" w:cs="仿宋_GB2312"/>
          <w:kern w:val="0"/>
          <w:sz w:val="32"/>
          <w:szCs w:val="32"/>
          <w:lang w:eastAsia="zh-CN"/>
        </w:rPr>
        <w:t>）精神。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92" w:beforeLines="50" w:after="292" w:afterLines="50" w:line="600" w:lineRule="exact"/>
        <w:ind w:leftChars="0"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适用范围</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（一）“</w:t>
      </w:r>
      <w:r>
        <w:rPr>
          <w:rFonts w:hint="eastAsia" w:ascii="楷体_GB2312" w:hAnsi="楷体_GB2312" w:eastAsia="楷体_GB2312" w:cs="楷体_GB2312"/>
          <w:spacing w:val="0"/>
          <w:sz w:val="32"/>
          <w:szCs w:val="32"/>
        </w:rPr>
        <w:t>水电气网</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联合报装“一</w:t>
      </w:r>
      <w:r>
        <w:rPr>
          <w:rFonts w:hint="eastAsia" w:ascii="楷体_GB2312" w:hAnsi="楷体_GB2312" w:eastAsia="楷体_GB2312" w:cs="楷体_GB2312"/>
          <w:spacing w:val="0"/>
          <w:sz w:val="32"/>
          <w:szCs w:val="32"/>
          <w:lang w:eastAsia="zh-CN"/>
        </w:rPr>
        <w:t>件事</w:t>
      </w:r>
      <w:r>
        <w:rPr>
          <w:rFonts w:hint="eastAsia" w:ascii="楷体_GB2312" w:hAnsi="楷体_GB2312" w:eastAsia="楷体_GB2312" w:cs="楷体_GB2312"/>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w:t>
      </w:r>
      <w:r>
        <w:rPr>
          <w:rFonts w:hint="eastAsia" w:eastAsia="仿宋_GB2312" w:cs="仿宋_GB2312"/>
          <w:sz w:val="32"/>
          <w:szCs w:val="32"/>
          <w:lang w:eastAsia="zh-CN"/>
        </w:rPr>
        <w:t>县</w:t>
      </w:r>
      <w:r>
        <w:rPr>
          <w:rFonts w:hint="eastAsia" w:ascii="Times New Roman" w:hAnsi="Times New Roman" w:eastAsia="仿宋_GB2312" w:cs="仿宋_GB2312"/>
          <w:sz w:val="32"/>
          <w:szCs w:val="32"/>
        </w:rPr>
        <w:t>范围内新建、改建、扩建房屋建筑和市政基础设施工程建设项目涉及的供水、供电、</w:t>
      </w:r>
      <w:r>
        <w:rPr>
          <w:rFonts w:hint="eastAsia" w:ascii="Times New Roman" w:hAnsi="Times New Roman" w:eastAsia="仿宋_GB2312" w:cs="仿宋_GB2312"/>
          <w:kern w:val="0"/>
          <w:sz w:val="32"/>
          <w:szCs w:val="32"/>
        </w:rPr>
        <w:t>供气</w:t>
      </w:r>
      <w:r>
        <w:rPr>
          <w:rFonts w:hint="eastAsia" w:ascii="Times New Roman" w:hAnsi="Times New Roman" w:eastAsia="仿宋_GB2312" w:cs="仿宋_GB2312"/>
          <w:b/>
          <w:bCs/>
          <w:kern w:val="0"/>
          <w:sz w:val="32"/>
          <w:szCs w:val="32"/>
        </w:rPr>
        <w:t>、</w:t>
      </w:r>
      <w:r>
        <w:rPr>
          <w:rFonts w:hint="eastAsia" w:ascii="Times New Roman" w:hAnsi="Times New Roman" w:eastAsia="仿宋_GB2312" w:cs="仿宋_GB2312"/>
          <w:sz w:val="32"/>
          <w:szCs w:val="32"/>
        </w:rPr>
        <w:t>用网等市政公用服务报装接入及外线接入工程审批。</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燃气用户设施安全检查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lang w:eastAsia="zh-CN"/>
        </w:rPr>
      </w:pPr>
      <w:r>
        <w:rPr>
          <w:rFonts w:hint="eastAsia" w:ascii="仿宋_GB2312" w:hAnsi="仿宋_GB2312" w:eastAsia="仿宋_GB2312" w:cs="仿宋_GB2312"/>
          <w:sz w:val="32"/>
          <w:szCs w:val="32"/>
        </w:rPr>
        <w:t>每年提供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次上门安全检查服务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rPr>
        <w:t>对用户的用气场所、燃气设施免费进行安全检查，并做好安全检查记录</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楷体_GB2312" w:hAnsi="楷体_GB2312" w:eastAsia="楷体_GB2312" w:cs="楷体_GB2312"/>
          <w:color w:val="auto"/>
          <w:kern w:val="0"/>
          <w:sz w:val="32"/>
          <w:szCs w:val="32"/>
          <w:highlight w:val="none"/>
          <w:u w:val="none"/>
          <w:shd w:val="clear" w:color="auto" w:fill="auto"/>
          <w:lang w:bidi="ar"/>
        </w:rPr>
      </w:pPr>
      <w:r>
        <w:rPr>
          <w:rFonts w:hint="eastAsia" w:ascii="楷体_GB2312" w:hAnsi="楷体_GB2312" w:eastAsia="楷体_GB2312" w:cs="楷体_GB2312"/>
          <w:color w:val="auto"/>
          <w:kern w:val="0"/>
          <w:sz w:val="32"/>
          <w:szCs w:val="32"/>
          <w:highlight w:val="none"/>
          <w:u w:val="none"/>
          <w:shd w:val="clear" w:color="auto" w:fill="auto"/>
          <w:lang w:val="en-US" w:eastAsia="zh-CN" w:bidi="ar"/>
        </w:rPr>
        <w:t>（三）</w:t>
      </w:r>
      <w:r>
        <w:rPr>
          <w:rFonts w:hint="eastAsia" w:ascii="楷体_GB2312" w:hAnsi="楷体_GB2312" w:eastAsia="楷体_GB2312" w:cs="楷体_GB2312"/>
          <w:color w:val="auto"/>
          <w:kern w:val="0"/>
          <w:sz w:val="32"/>
          <w:szCs w:val="32"/>
          <w:highlight w:val="none"/>
          <w:u w:val="none"/>
          <w:shd w:val="clear" w:color="auto" w:fill="auto"/>
          <w:lang w:bidi="ar"/>
        </w:rPr>
        <w:t>企业市政公用基础设施接入及使用政策咨询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center"/>
        <w:rPr>
          <w:rFonts w:hint="eastAsia"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auto"/>
          <w:lang w:bidi="ar"/>
        </w:rPr>
        <w:t>企业市政公用基础设施接入及使用政策咨询</w:t>
      </w:r>
      <w:r>
        <w:rPr>
          <w:rFonts w:hint="eastAsia" w:ascii="仿宋_GB2312" w:hAnsi="仿宋_GB2312" w:eastAsia="仿宋_GB2312" w:cs="仿宋_GB2312"/>
          <w:color w:val="auto"/>
          <w:kern w:val="0"/>
          <w:sz w:val="32"/>
          <w:szCs w:val="32"/>
          <w:highlight w:val="none"/>
          <w:u w:val="none"/>
          <w:shd w:val="clear" w:color="auto" w:fill="auto"/>
          <w:lang w:eastAsia="zh-CN" w:bidi="ar"/>
        </w:rPr>
        <w:t>增值</w:t>
      </w:r>
      <w:r>
        <w:rPr>
          <w:rFonts w:hint="eastAsia" w:ascii="仿宋_GB2312" w:hAnsi="仿宋_GB2312" w:eastAsia="仿宋_GB2312" w:cs="仿宋_GB2312"/>
          <w:color w:val="auto"/>
          <w:kern w:val="0"/>
          <w:sz w:val="32"/>
          <w:szCs w:val="32"/>
          <w:highlight w:val="none"/>
          <w:u w:val="none"/>
          <w:shd w:val="clear" w:color="auto" w:fill="auto"/>
          <w:lang w:bidi="ar"/>
        </w:rPr>
        <w:t>服务</w:t>
      </w:r>
      <w:r>
        <w:rPr>
          <w:rFonts w:hint="eastAsia" w:ascii="仿宋_GB2312" w:hAnsi="仿宋_GB2312" w:eastAsia="仿宋_GB2312" w:cs="仿宋_GB2312"/>
          <w:kern w:val="0"/>
          <w:sz w:val="32"/>
          <w:szCs w:val="32"/>
          <w:lang w:eastAsia="zh-CN"/>
        </w:rPr>
        <w:t>包括“水电气”综合窗口提供的“一站式”服务，如供水、供电、燃气等咨询业务受理办理，旨在加快提升政务服务便利化水平，提高群众办事满意度，减少企业和群众办理相关业务的成本和时间，而且通过整合政府、社会、市场资源，根据企业和群众的需求，提供额外的服务，解决实际问题，</w:t>
      </w:r>
      <w:r>
        <w:rPr>
          <w:rFonts w:hint="eastAsia" w:ascii="仿宋_GB2312" w:hAnsi="仿宋_GB2312" w:eastAsia="仿宋_GB2312" w:cs="仿宋_GB2312"/>
          <w:sz w:val="32"/>
          <w:szCs w:val="32"/>
          <w:lang w:eastAsia="zh-CN"/>
        </w:rPr>
        <w:t>在基本政务服务便捷化的基础上，为企业提供的精准化、个性化服务，</w:t>
      </w:r>
      <w:r>
        <w:rPr>
          <w:rFonts w:hint="eastAsia" w:ascii="仿宋_GB2312" w:hAnsi="仿宋_GB2312" w:eastAsia="仿宋_GB2312" w:cs="仿宋_GB2312"/>
          <w:kern w:val="0"/>
          <w:sz w:val="32"/>
          <w:szCs w:val="32"/>
          <w:lang w:eastAsia="zh-CN"/>
        </w:rPr>
        <w:t>满足服务对象的具体需求‌。</w:t>
      </w:r>
    </w:p>
    <w:p>
      <w:pPr>
        <w:keepNext w:val="0"/>
        <w:keepLines w:val="0"/>
        <w:pageBreakBefore w:val="0"/>
        <w:widowControl w:val="0"/>
        <w:kinsoku/>
        <w:wordWrap/>
        <w:overflowPunct/>
        <w:topLinePunct w:val="0"/>
        <w:autoSpaceDE/>
        <w:autoSpaceDN/>
        <w:bidi w:val="0"/>
        <w:adjustRightInd w:val="0"/>
        <w:snapToGrid w:val="0"/>
        <w:spacing w:before="292" w:beforeLines="50" w:after="292" w:afterLines="50"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lang w:eastAsia="zh-CN"/>
        </w:rPr>
      </w:pPr>
      <w:r>
        <w:rPr>
          <w:rFonts w:hint="eastAsia" w:ascii="Times New Roman" w:hAnsi="Times New Roman" w:eastAsia="仿宋_GB2312"/>
          <w:sz w:val="32"/>
          <w:szCs w:val="32"/>
        </w:rPr>
        <w:t>水电气暖网联合报装的申报主体是行政区域内需要办理供水、供电、燃气、通信报装的的新建、改建、扩建房屋建筑工程和市政基础设施工程项目建设单位。水电气暖网外线接入工程联合审批的申报主体是水电气网外线工程建设单位</w:t>
      </w:r>
      <w:r>
        <w:rPr>
          <w:rFonts w:ascii="Times New Roman" w:hAnsi="Times New Roman" w:eastAsia="仿宋_GB2312"/>
          <w:sz w:val="32"/>
          <w:szCs w:val="32"/>
        </w:rPr>
        <w:t>。</w:t>
      </w: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before="292" w:beforeLines="50" w:after="292" w:afterLines="50" w:line="60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五、申报须知</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办理条件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工程建设项目新建、改建、扩建，依法按照基本建设程序涉及水电气网联合报装。</w:t>
      </w:r>
    </w:p>
    <w:p>
      <w:pPr>
        <w:pStyle w:val="9"/>
        <w:keepNext w:val="0"/>
        <w:keepLines w:val="0"/>
        <w:pageBreakBefore w:val="0"/>
        <w:widowControl w:val="0"/>
        <w:numPr>
          <w:ilvl w:val="0"/>
          <w:numId w:val="0"/>
        </w:numPr>
        <w:kinsoku/>
        <w:wordWrap/>
        <w:overflowPunct/>
        <w:topLinePunct w:val="0"/>
        <w:autoSpaceDE/>
        <w:autoSpaceDN/>
        <w:bidi w:val="0"/>
        <w:spacing w:after="0" w:line="60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（二）办理流程须知</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水电气网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联合报装“一</w:t>
      </w:r>
      <w:r>
        <w:rPr>
          <w:rFonts w:hint="eastAsia" w:ascii="仿宋_GB2312" w:hAnsi="仿宋_GB2312" w:eastAsia="仿宋_GB2312" w:cs="仿宋_GB2312"/>
          <w:spacing w:val="0"/>
          <w:sz w:val="32"/>
          <w:szCs w:val="32"/>
          <w:lang w:eastAsia="zh-CN"/>
        </w:rPr>
        <w:t>件事</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spacing w:line="60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用水、用电、用气、用网市政公用基础设施报装可在施工许可或竣工验收阶段办理，在主体工程施工阶段完成相关设施建设，竣工验收后直接办理接入事宜。</w:t>
      </w:r>
      <w:r>
        <w:rPr>
          <w:rFonts w:hint="eastAsia" w:ascii="仿宋_GB2312" w:hAnsi="仿宋_GB2312" w:eastAsia="仿宋_GB2312" w:cs="仿宋_GB2312"/>
          <w:i w:val="0"/>
          <w:caps w:val="0"/>
          <w:color w:val="333333"/>
          <w:spacing w:val="0"/>
          <w:sz w:val="32"/>
          <w:szCs w:val="32"/>
          <w:shd w:val="clear" w:fill="FFFFFF"/>
          <w:lang w:eastAsia="zh-CN"/>
        </w:rPr>
        <w:t>具体流程事宜</w:t>
      </w:r>
      <w:r>
        <w:rPr>
          <w:rFonts w:hint="eastAsia" w:ascii="仿宋_GB2312" w:hAnsi="仿宋_GB2312" w:eastAsia="仿宋_GB2312" w:cs="仿宋_GB2312"/>
          <w:sz w:val="32"/>
          <w:szCs w:val="32"/>
          <w:lang w:val="en-US" w:eastAsia="zh-CN"/>
        </w:rPr>
        <w:t>详见第七项办理流程图。</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rPr>
        <w:t>燃气用户设施安全检查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rPr>
        <w:t>定年度安全检查服务计划；</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客户管理员按计划入户为客户服务；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不在家客户粘贴到访不遇单预约；</w:t>
      </w:r>
    </w:p>
    <w:p>
      <w:pPr>
        <w:pStyle w:val="2"/>
        <w:keepNext w:val="0"/>
        <w:keepLines w:val="0"/>
        <w:pageBreakBefore w:val="0"/>
        <w:widowControl w:val="0"/>
        <w:kinsoku/>
        <w:wordWrap/>
        <w:overflowPunct/>
        <w:topLinePunct w:val="0"/>
        <w:autoSpaceDE/>
        <w:autoSpaceDN/>
        <w:bidi w:val="0"/>
        <w:spacing w:line="600" w:lineRule="exact"/>
        <w:ind w:left="0" w:lef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再次上门（客户也要主动预约，公司派员上门）。</w:t>
      </w:r>
    </w:p>
    <w:p>
      <w:pPr>
        <w:pStyle w:val="4"/>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rPr>
          <w:rFonts w:hint="eastAsia" w:ascii="仿宋_GB2312" w:hAnsi="仿宋_GB2312" w:eastAsia="仿宋_GB2312" w:cs="仿宋_GB2312"/>
          <w:color w:val="auto"/>
          <w:kern w:val="0"/>
          <w:sz w:val="32"/>
          <w:szCs w:val="32"/>
          <w:highlight w:val="none"/>
          <w:u w:val="none"/>
          <w:shd w:val="clear" w:color="auto" w:fill="auto"/>
          <w:lang w:bidi="ar"/>
        </w:rPr>
      </w:pPr>
      <w:r>
        <w:rPr>
          <w:rFonts w:hint="eastAsia" w:ascii="仿宋_GB2312" w:hAnsi="仿宋_GB2312" w:eastAsia="仿宋_GB2312" w:cs="仿宋_GB2312"/>
          <w:color w:val="auto"/>
          <w:kern w:val="0"/>
          <w:sz w:val="32"/>
          <w:szCs w:val="32"/>
          <w:highlight w:val="none"/>
          <w:u w:val="none"/>
          <w:shd w:val="clear" w:color="auto" w:fill="auto"/>
          <w:lang w:val="en-US" w:eastAsia="zh-CN" w:bidi="ar"/>
        </w:rPr>
        <w:t>3</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auto"/>
          <w:kern w:val="0"/>
          <w:sz w:val="32"/>
          <w:szCs w:val="32"/>
          <w:highlight w:val="none"/>
          <w:u w:val="none"/>
          <w:shd w:val="clear" w:color="auto" w:fill="auto"/>
          <w:lang w:bidi="ar"/>
        </w:rPr>
        <w:t>企业市政公用基础设施接入及使用政策咨询</w:t>
      </w:r>
    </w:p>
    <w:p>
      <w:pPr>
        <w:pStyle w:val="2"/>
        <w:keepNext w:val="0"/>
        <w:keepLines w:val="0"/>
        <w:pageBreakBefore w:val="0"/>
        <w:widowControl w:val="0"/>
        <w:kinsoku/>
        <w:wordWrap/>
        <w:overflowPunct/>
        <w:topLinePunct w:val="0"/>
        <w:autoSpaceDE/>
        <w:autoSpaceDN/>
        <w:bidi w:val="0"/>
        <w:spacing w:line="600" w:lineRule="exact"/>
        <w:ind w:left="0" w:leftChars="0" w:firstLine="632" w:firstLineChars="200"/>
        <w:rPr>
          <w:rFonts w:hint="eastAsia" w:eastAsia="仿宋_GB2312"/>
          <w:sz w:val="32"/>
          <w:szCs w:val="32"/>
          <w:lang w:eastAsia="zh-CN"/>
        </w:rPr>
      </w:pPr>
      <w:r>
        <w:rPr>
          <w:rFonts w:hint="eastAsia" w:ascii="仿宋_GB2312" w:hAnsi="仿宋_GB2312" w:eastAsia="仿宋_GB2312" w:cs="仿宋_GB2312"/>
          <w:b w:val="0"/>
          <w:bCs w:val="0"/>
          <w:sz w:val="32"/>
          <w:szCs w:val="32"/>
          <w:vertAlign w:val="baseline"/>
          <w:lang w:eastAsia="zh-CN"/>
        </w:rPr>
        <w:t>现场咨询，由窗口人员解答。</w:t>
      </w:r>
    </w:p>
    <w:p>
      <w:pPr>
        <w:pStyle w:val="3"/>
        <w:rPr>
          <w:rFonts w:hint="eastAsia" w:eastAsia="仿宋_GB2312"/>
          <w:sz w:val="32"/>
          <w:szCs w:val="32"/>
          <w:lang w:eastAsia="zh-CN"/>
        </w:rPr>
      </w:pPr>
    </w:p>
    <w:p>
      <w:pPr>
        <w:pStyle w:val="3"/>
        <w:rPr>
          <w:rFonts w:hint="eastAsia" w:eastAsia="仿宋_GB2312"/>
          <w:sz w:val="32"/>
          <w:szCs w:val="32"/>
          <w:lang w:eastAsia="zh-CN"/>
        </w:rPr>
        <w:sectPr>
          <w:footerReference r:id="rId3" w:type="default"/>
          <w:pgSz w:w="11906" w:h="16838"/>
          <w:pgMar w:top="1701" w:right="1587" w:bottom="1814" w:left="1587" w:header="851" w:footer="992" w:gutter="0"/>
          <w:pgNumType w:fmt="decimal"/>
          <w:cols w:space="0" w:num="1"/>
          <w:rtlGutter w:val="0"/>
          <w:docGrid w:type="linesAndChars" w:linePitch="579" w:charSpace="-849"/>
        </w:sect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292" w:beforeLines="50" w:after="292" w:afterLines="50"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申请材料</w:t>
      </w:r>
    </w:p>
    <w:tbl>
      <w:tblPr>
        <w:tblStyle w:val="11"/>
        <w:tblW w:w="13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77"/>
        <w:gridCol w:w="2922"/>
        <w:gridCol w:w="812"/>
        <w:gridCol w:w="813"/>
        <w:gridCol w:w="1537"/>
        <w:gridCol w:w="913"/>
        <w:gridCol w:w="937"/>
        <w:gridCol w:w="145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421" w:type="dxa"/>
            <w:vAlign w:val="center"/>
          </w:tcPr>
          <w:p>
            <w:pPr>
              <w:pStyle w:val="4"/>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eastAsia="宋体"/>
                <w:vertAlign w:val="baseline"/>
                <w:lang w:eastAsia="zh-CN"/>
              </w:rPr>
            </w:pPr>
            <w:r>
              <w:rPr>
                <w:rFonts w:hint="eastAsia"/>
                <w:vertAlign w:val="baseline"/>
                <w:lang w:eastAsia="zh-CN"/>
              </w:rPr>
              <w:t>序号</w:t>
            </w:r>
          </w:p>
        </w:tc>
        <w:tc>
          <w:tcPr>
            <w:tcW w:w="1377" w:type="dxa"/>
            <w:vAlign w:val="center"/>
          </w:tcPr>
          <w:p>
            <w:pPr>
              <w:pStyle w:val="4"/>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default"/>
                <w:vertAlign w:val="baseline"/>
                <w:lang w:val="en-US" w:eastAsia="zh-CN"/>
              </w:rPr>
            </w:pPr>
            <w:r>
              <w:rPr>
                <w:rFonts w:hint="eastAsia"/>
                <w:vertAlign w:val="baseline"/>
                <w:lang w:val="en-US" w:eastAsia="zh-CN"/>
              </w:rPr>
              <w:t>事项名称</w:t>
            </w:r>
          </w:p>
        </w:tc>
        <w:tc>
          <w:tcPr>
            <w:tcW w:w="2922" w:type="dxa"/>
            <w:vAlign w:val="center"/>
          </w:tcPr>
          <w:p>
            <w:pPr>
              <w:pStyle w:val="4"/>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eastAsia="宋体"/>
                <w:vertAlign w:val="baseline"/>
                <w:lang w:eastAsia="zh-CN"/>
              </w:rPr>
            </w:pPr>
            <w:r>
              <w:rPr>
                <w:rFonts w:hint="eastAsia"/>
                <w:vertAlign w:val="baseline"/>
                <w:lang w:eastAsia="zh-CN"/>
              </w:rPr>
              <w:t>材料名称</w:t>
            </w:r>
          </w:p>
        </w:tc>
        <w:tc>
          <w:tcPr>
            <w:tcW w:w="812"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vertAlign w:val="baseline"/>
                <w:lang w:eastAsia="zh-CN"/>
              </w:rPr>
            </w:pPr>
            <w:r>
              <w:rPr>
                <w:rFonts w:hint="default" w:ascii="Times New Roman" w:hAnsi="Times New Roman" w:eastAsia="宋体" w:cs="Times New Roman"/>
                <w:kern w:val="0"/>
                <w:sz w:val="21"/>
                <w:szCs w:val="21"/>
              </w:rPr>
              <w:t>材料类型</w:t>
            </w:r>
          </w:p>
        </w:tc>
        <w:tc>
          <w:tcPr>
            <w:tcW w:w="813"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eastAsia="宋体"/>
                <w:vertAlign w:val="baseline"/>
                <w:lang w:eastAsia="zh-CN"/>
              </w:rPr>
            </w:pPr>
            <w:r>
              <w:rPr>
                <w:rFonts w:hint="default" w:ascii="Times New Roman" w:hAnsi="Times New Roman" w:eastAsia="宋体" w:cs="Times New Roman"/>
                <w:kern w:val="0"/>
                <w:sz w:val="21"/>
                <w:szCs w:val="21"/>
              </w:rPr>
              <w:t>材料形式</w:t>
            </w:r>
          </w:p>
        </w:tc>
        <w:tc>
          <w:tcPr>
            <w:tcW w:w="1537"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eastAsia="宋体"/>
                <w:vertAlign w:val="baseline"/>
                <w:lang w:eastAsia="zh-CN"/>
              </w:rPr>
            </w:pPr>
            <w:r>
              <w:rPr>
                <w:rFonts w:hint="default" w:ascii="Times New Roman" w:hAnsi="Times New Roman" w:eastAsia="宋体" w:cs="Times New Roman"/>
                <w:kern w:val="0"/>
                <w:sz w:val="21"/>
                <w:szCs w:val="21"/>
              </w:rPr>
              <w:t>来源渠道</w:t>
            </w:r>
          </w:p>
        </w:tc>
        <w:tc>
          <w:tcPr>
            <w:tcW w:w="913"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vertAlign w:val="baseline"/>
                <w:lang w:eastAsia="zh-CN"/>
              </w:rPr>
            </w:pPr>
            <w:r>
              <w:rPr>
                <w:rFonts w:hint="default" w:ascii="Times New Roman" w:hAnsi="Times New Roman" w:eastAsia="宋体" w:cs="Times New Roman"/>
                <w:kern w:val="0"/>
                <w:sz w:val="21"/>
                <w:szCs w:val="21"/>
              </w:rPr>
              <w:t>纸质材料份数</w:t>
            </w:r>
          </w:p>
        </w:tc>
        <w:tc>
          <w:tcPr>
            <w:tcW w:w="937"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vertAlign w:val="baseline"/>
                <w:lang w:eastAsia="zh-CN"/>
              </w:rPr>
            </w:pPr>
            <w:r>
              <w:rPr>
                <w:rFonts w:hint="default" w:ascii="Times New Roman" w:hAnsi="Times New Roman" w:eastAsia="宋体" w:cs="Times New Roman"/>
                <w:kern w:val="0"/>
                <w:sz w:val="21"/>
                <w:szCs w:val="21"/>
              </w:rPr>
              <w:t>材料必要性</w:t>
            </w:r>
          </w:p>
        </w:tc>
        <w:tc>
          <w:tcPr>
            <w:tcW w:w="1450"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vertAlign w:val="baseline"/>
                <w:lang w:eastAsia="zh-CN"/>
              </w:rPr>
            </w:pPr>
            <w:r>
              <w:rPr>
                <w:rFonts w:hint="default" w:ascii="Times New Roman" w:hAnsi="Times New Roman" w:eastAsia="宋体" w:cs="Times New Roman"/>
                <w:kern w:val="0"/>
                <w:sz w:val="21"/>
                <w:szCs w:val="21"/>
              </w:rPr>
              <w:t>非必要材料涉及情形</w:t>
            </w:r>
          </w:p>
        </w:tc>
        <w:tc>
          <w:tcPr>
            <w:tcW w:w="2111" w:type="dxa"/>
            <w:vAlign w:val="center"/>
          </w:tcPr>
          <w:p>
            <w:pPr>
              <w:pStyle w:val="13"/>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vertAlign w:val="baseline"/>
                <w:lang w:eastAsia="zh-CN"/>
              </w:rPr>
            </w:pPr>
            <w:r>
              <w:rPr>
                <w:rFonts w:hint="default" w:ascii="Times New Roman" w:hAnsi="Times New Roman" w:eastAsia="宋体" w:cs="Times New Roman"/>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1377"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lang w:bidi="ar"/>
              </w:rPr>
            </w:pPr>
            <w:r>
              <w:rPr>
                <w:rFonts w:hint="eastAsia" w:ascii="仿宋_GB2312" w:hAnsi="仿宋_GB2312" w:eastAsia="仿宋_GB2312" w:cs="仿宋_GB2312"/>
                <w:b w:val="0"/>
                <w:bCs w:val="0"/>
                <w:spacing w:val="0"/>
                <w:sz w:val="21"/>
                <w:szCs w:val="21"/>
                <w:lang w:eastAsia="zh-CN"/>
              </w:rPr>
              <w:t>“</w:t>
            </w:r>
            <w:r>
              <w:rPr>
                <w:rFonts w:hint="eastAsia" w:ascii="仿宋_GB2312" w:hAnsi="仿宋_GB2312" w:eastAsia="仿宋_GB2312" w:cs="仿宋_GB2312"/>
                <w:b w:val="0"/>
                <w:bCs w:val="0"/>
                <w:spacing w:val="0"/>
                <w:sz w:val="21"/>
                <w:szCs w:val="21"/>
              </w:rPr>
              <w:t>水电气网</w:t>
            </w:r>
            <w:r>
              <w:rPr>
                <w:rFonts w:hint="eastAsia" w:ascii="仿宋_GB2312" w:hAnsi="仿宋_GB2312" w:eastAsia="仿宋_GB2312" w:cs="仿宋_GB2312"/>
                <w:b w:val="0"/>
                <w:bCs w:val="0"/>
                <w:spacing w:val="0"/>
                <w:sz w:val="21"/>
                <w:szCs w:val="21"/>
                <w:lang w:eastAsia="zh-CN"/>
              </w:rPr>
              <w:t>”</w:t>
            </w:r>
            <w:r>
              <w:rPr>
                <w:rFonts w:hint="eastAsia" w:ascii="仿宋_GB2312" w:hAnsi="仿宋_GB2312" w:eastAsia="仿宋_GB2312" w:cs="仿宋_GB2312"/>
                <w:b w:val="0"/>
                <w:bCs w:val="0"/>
                <w:spacing w:val="0"/>
                <w:sz w:val="21"/>
                <w:szCs w:val="21"/>
              </w:rPr>
              <w:t>联合报装“一</w:t>
            </w:r>
            <w:r>
              <w:rPr>
                <w:rFonts w:hint="eastAsia" w:ascii="仿宋_GB2312" w:hAnsi="仿宋_GB2312" w:eastAsia="仿宋_GB2312" w:cs="仿宋_GB2312"/>
                <w:b w:val="0"/>
                <w:bCs w:val="0"/>
                <w:spacing w:val="0"/>
                <w:sz w:val="21"/>
                <w:szCs w:val="21"/>
                <w:lang w:eastAsia="zh-CN"/>
              </w:rPr>
              <w:t>类事</w:t>
            </w:r>
            <w:r>
              <w:rPr>
                <w:rFonts w:hint="eastAsia" w:ascii="仿宋_GB2312" w:hAnsi="仿宋_GB2312" w:eastAsia="仿宋_GB2312" w:cs="仿宋_GB2312"/>
                <w:b w:val="0"/>
                <w:bCs w:val="0"/>
                <w:spacing w:val="0"/>
                <w:sz w:val="21"/>
                <w:szCs w:val="21"/>
              </w:rPr>
              <w:t>”</w:t>
            </w:r>
          </w:p>
        </w:tc>
        <w:tc>
          <w:tcPr>
            <w:tcW w:w="292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sz w:val="21"/>
                <w:szCs w:val="21"/>
                <w:vertAlign w:val="baseline"/>
                <w:lang w:val="en-US"/>
              </w:rPr>
            </w:pPr>
            <w:r>
              <w:rPr>
                <w:rFonts w:hint="eastAsia" w:ascii="仿宋_GB2312" w:hAnsi="仿宋_GB2312" w:eastAsia="仿宋_GB2312" w:cs="仿宋_GB2312"/>
                <w:b w:val="0"/>
                <w:bCs w:val="0"/>
                <w:sz w:val="21"/>
                <w:szCs w:val="21"/>
                <w:lang w:bidi="ar"/>
              </w:rPr>
              <w:t>水电气网联合报装“一件事”申请表</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原件</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纸质</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申请人自备</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eastAsia="zh-CN"/>
              </w:rPr>
              <w:t>必要</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rPr>
            </w:pPr>
            <w:r>
              <w:rPr>
                <w:rFonts w:hint="eastAsia" w:ascii="仿宋_GB2312" w:hAnsi="仿宋_GB2312" w:eastAsia="仿宋_GB2312" w:cs="仿宋_GB2312"/>
                <w:b w:val="0"/>
                <w:bCs w:val="0"/>
                <w:sz w:val="21"/>
                <w:szCs w:val="21"/>
                <w:vertAlign w:val="baseline"/>
                <w:lang w:val="en-US" w:eastAsia="zh-CN"/>
              </w:rPr>
              <w:t>/</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377"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kern w:val="0"/>
                <w:sz w:val="21"/>
                <w:szCs w:val="21"/>
              </w:rPr>
            </w:pPr>
          </w:p>
        </w:tc>
        <w:tc>
          <w:tcPr>
            <w:tcW w:w="292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kern w:val="0"/>
                <w:sz w:val="21"/>
                <w:szCs w:val="21"/>
              </w:rPr>
              <w:t>水电气网市政公用外线接入工程审批申请表</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原件</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纸质</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val="en-US" w:eastAsia="zh-CN"/>
              </w:rPr>
              <w:t>申请人自备</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必要</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val="en-US" w:eastAsia="zh-CN"/>
              </w:rPr>
              <w:t>/</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21"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37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kern w:val="0"/>
                <w:sz w:val="21"/>
                <w:szCs w:val="21"/>
              </w:rPr>
            </w:pPr>
          </w:p>
        </w:tc>
        <w:tc>
          <w:tcPr>
            <w:tcW w:w="292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kern w:val="0"/>
                <w:sz w:val="21"/>
                <w:szCs w:val="21"/>
              </w:rPr>
              <w:t>授权委托书</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原件</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eastAsia="zh-CN"/>
              </w:rPr>
              <w:t>纸质</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val="en-US" w:eastAsia="zh-CN"/>
              </w:rPr>
              <w:t>申请人自备</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非必要</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color w:val="000000"/>
                <w:kern w:val="0"/>
                <w:sz w:val="21"/>
                <w:szCs w:val="21"/>
                <w:highlight w:val="none"/>
                <w:lang w:val="en-US" w:eastAsia="zh-CN" w:bidi="ar-SA"/>
              </w:rPr>
              <w:t>委托办理</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21"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377"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kern w:val="0"/>
                <w:sz w:val="21"/>
                <w:szCs w:val="21"/>
              </w:rPr>
            </w:pPr>
          </w:p>
        </w:tc>
        <w:tc>
          <w:tcPr>
            <w:tcW w:w="292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被委托人</w:t>
            </w:r>
            <w:r>
              <w:rPr>
                <w:rFonts w:hint="eastAsia" w:ascii="仿宋_GB2312" w:hAnsi="仿宋_GB2312" w:eastAsia="仿宋_GB2312" w:cs="仿宋_GB2312"/>
                <w:b w:val="0"/>
                <w:bCs w:val="0"/>
                <w:kern w:val="0"/>
                <w:sz w:val="21"/>
                <w:szCs w:val="21"/>
                <w:lang w:eastAsia="zh-CN"/>
              </w:rPr>
              <w:t>有效</w:t>
            </w:r>
            <w:r>
              <w:rPr>
                <w:rFonts w:hint="eastAsia" w:ascii="仿宋_GB2312" w:hAnsi="仿宋_GB2312" w:eastAsia="仿宋_GB2312" w:cs="仿宋_GB2312"/>
                <w:b w:val="0"/>
                <w:bCs w:val="0"/>
                <w:kern w:val="0"/>
                <w:sz w:val="21"/>
                <w:szCs w:val="21"/>
              </w:rPr>
              <w:t>身份证</w:t>
            </w:r>
            <w:r>
              <w:rPr>
                <w:rFonts w:hint="eastAsia" w:ascii="仿宋_GB2312" w:hAnsi="仿宋_GB2312" w:eastAsia="仿宋_GB2312" w:cs="仿宋_GB2312"/>
                <w:b w:val="0"/>
                <w:bCs w:val="0"/>
                <w:kern w:val="0"/>
                <w:sz w:val="21"/>
                <w:szCs w:val="21"/>
                <w:lang w:eastAsia="zh-CN"/>
              </w:rPr>
              <w:t>明</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原件</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eastAsia="zh-CN"/>
              </w:rPr>
              <w:t>纸质</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sz w:val="21"/>
                <w:szCs w:val="21"/>
                <w:vertAlign w:val="baseline"/>
                <w:lang w:val="en-US" w:eastAsia="zh-CN"/>
              </w:rPr>
              <w:t>申请人自备</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非必要</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rPr>
            </w:pPr>
            <w:r>
              <w:rPr>
                <w:rFonts w:hint="eastAsia" w:ascii="仿宋_GB2312" w:hAnsi="仿宋_GB2312" w:eastAsia="仿宋_GB2312" w:cs="仿宋_GB2312"/>
                <w:b w:val="0"/>
                <w:bCs w:val="0"/>
                <w:color w:val="000000"/>
                <w:kern w:val="0"/>
                <w:sz w:val="21"/>
                <w:szCs w:val="21"/>
                <w:highlight w:val="none"/>
                <w:lang w:val="en-US" w:eastAsia="zh-CN" w:bidi="ar-SA"/>
              </w:rPr>
              <w:t>委托办理</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42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137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燃气用户设施安全检查</w:t>
            </w:r>
          </w:p>
        </w:tc>
        <w:tc>
          <w:tcPr>
            <w:tcW w:w="292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sz w:val="21"/>
                <w:szCs w:val="21"/>
              </w:rPr>
              <w:t>燃气用户设施安全检查</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例行上门现场检查</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val="en-US" w:eastAsia="zh-CN"/>
              </w:rPr>
              <w:t>/</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eastAsia="zh-CN"/>
              </w:rPr>
              <w:t>无申请材料，例行上门检查，检查结果由检查人员</w:t>
            </w:r>
            <w:r>
              <w:rPr>
                <w:rFonts w:hint="eastAsia" w:ascii="仿宋_GB2312" w:hAnsi="仿宋_GB2312" w:eastAsia="仿宋_GB2312" w:cs="仿宋_GB2312"/>
                <w:b w:val="0"/>
                <w:bCs w:val="0"/>
                <w:sz w:val="21"/>
                <w:szCs w:val="21"/>
                <w:vertAlign w:val="baseline"/>
                <w:lang w:val="en-US" w:eastAsia="zh-CN"/>
              </w:rPr>
              <w:t>现场</w:t>
            </w:r>
            <w:r>
              <w:rPr>
                <w:rFonts w:hint="eastAsia" w:ascii="仿宋_GB2312" w:hAnsi="仿宋_GB2312" w:eastAsia="仿宋_GB2312" w:cs="仿宋_GB2312"/>
                <w:b w:val="0"/>
                <w:bCs w:val="0"/>
                <w:sz w:val="21"/>
                <w:szCs w:val="21"/>
                <w:vertAlign w:val="baseline"/>
                <w:lang w:eastAsia="zh-CN"/>
              </w:rPr>
              <w:t>通过</w:t>
            </w:r>
            <w:r>
              <w:rPr>
                <w:rFonts w:hint="eastAsia" w:ascii="仿宋_GB2312" w:hAnsi="仿宋_GB2312" w:eastAsia="仿宋_GB2312" w:cs="仿宋_GB2312"/>
                <w:b w:val="0"/>
                <w:bCs w:val="0"/>
                <w:sz w:val="21"/>
                <w:szCs w:val="21"/>
                <w:vertAlign w:val="baseline"/>
                <w:lang w:val="en-US" w:eastAsia="zh-CN"/>
              </w:rPr>
              <w:t>“案件录入”系统操作填写完成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jc w:val="center"/>
        </w:trPr>
        <w:tc>
          <w:tcPr>
            <w:tcW w:w="42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1377"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eastAsia" w:ascii="仿宋_GB2312" w:hAnsi="仿宋_GB2312" w:eastAsia="仿宋_GB2312" w:cs="仿宋_GB2312"/>
                <w:b w:val="0"/>
                <w:bCs w:val="0"/>
                <w:color w:val="auto"/>
                <w:kern w:val="0"/>
                <w:sz w:val="21"/>
                <w:szCs w:val="21"/>
                <w:highlight w:val="none"/>
                <w:u w:val="none"/>
                <w:shd w:val="clear" w:color="auto" w:fill="auto"/>
                <w:lang w:bidi="ar"/>
              </w:rPr>
            </w:pPr>
            <w:r>
              <w:rPr>
                <w:rFonts w:hint="eastAsia" w:ascii="仿宋_GB2312" w:hAnsi="仿宋_GB2312" w:eastAsia="仿宋_GB2312" w:cs="仿宋_GB2312"/>
                <w:b w:val="0"/>
                <w:bCs w:val="0"/>
                <w:color w:val="auto"/>
                <w:kern w:val="0"/>
                <w:sz w:val="21"/>
                <w:szCs w:val="21"/>
                <w:highlight w:val="none"/>
                <w:u w:val="none"/>
                <w:shd w:val="clear" w:color="auto" w:fill="auto"/>
                <w:lang w:bidi="ar"/>
              </w:rPr>
              <w:t>企业市政公用基础设施接入及使用政策咨询</w:t>
            </w:r>
          </w:p>
        </w:tc>
        <w:tc>
          <w:tcPr>
            <w:tcW w:w="292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auto"/>
                <w:kern w:val="0"/>
                <w:sz w:val="21"/>
                <w:szCs w:val="21"/>
                <w:highlight w:val="none"/>
                <w:u w:val="none"/>
                <w:shd w:val="clear" w:color="auto" w:fill="auto"/>
                <w:lang w:bidi="ar"/>
              </w:rPr>
              <w:t>企业市政公用基础设施接入及使用政策咨询</w:t>
            </w:r>
          </w:p>
        </w:tc>
        <w:tc>
          <w:tcPr>
            <w:tcW w:w="812"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现场咨询</w:t>
            </w:r>
          </w:p>
        </w:tc>
        <w:tc>
          <w:tcPr>
            <w:tcW w:w="8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val="en-US" w:eastAsia="zh-CN"/>
              </w:rPr>
              <w:t>/</w:t>
            </w:r>
          </w:p>
        </w:tc>
        <w:tc>
          <w:tcPr>
            <w:tcW w:w="15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913"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937"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1450"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w:t>
            </w:r>
          </w:p>
        </w:tc>
        <w:tc>
          <w:tcPr>
            <w:tcW w:w="2111" w:type="dxa"/>
            <w:vAlign w:val="center"/>
          </w:tcPr>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无申请材料，现场咨询，由窗口人员现场解答</w:t>
            </w:r>
          </w:p>
        </w:tc>
      </w:tr>
    </w:tbl>
    <w:p>
      <w:pPr>
        <w:pStyle w:val="2"/>
        <w:rPr>
          <w:rFonts w:hint="eastAsia" w:ascii="黑体" w:hAnsi="黑体" w:eastAsia="黑体" w:cs="黑体"/>
          <w:kern w:val="0"/>
          <w:sz w:val="32"/>
          <w:szCs w:val="32"/>
          <w:lang w:eastAsia="zh-CN"/>
        </w:rPr>
        <w:sectPr>
          <w:pgSz w:w="16838" w:h="11906" w:orient="landscape"/>
          <w:pgMar w:top="1587" w:right="1701" w:bottom="1587" w:left="1814" w:header="851" w:footer="992" w:gutter="0"/>
          <w:pgNumType w:fmt="decimal"/>
          <w:cols w:space="0" w:num="1"/>
          <w:rtlGutter w:val="0"/>
          <w:docGrid w:type="linesAndChars" w:linePitch="579" w:charSpace="-849"/>
        </w:sectPr>
      </w:pPr>
    </w:p>
    <w:p>
      <w:pPr>
        <w:pStyle w:val="4"/>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color w:val="auto"/>
          <w:kern w:val="2"/>
          <w:sz w:val="32"/>
          <w:szCs w:val="32"/>
          <w:lang w:val="en-US" w:eastAsia="zh-CN" w:bidi="zh-CN"/>
        </w:rPr>
        <w:drawing>
          <wp:anchor distT="0" distB="0" distL="114300" distR="114300" simplePos="0" relativeHeight="251659264" behindDoc="1" locked="0" layoutInCell="1" allowOverlap="1">
            <wp:simplePos x="0" y="0"/>
            <wp:positionH relativeFrom="column">
              <wp:posOffset>-197485</wp:posOffset>
            </wp:positionH>
            <wp:positionV relativeFrom="paragraph">
              <wp:posOffset>371475</wp:posOffset>
            </wp:positionV>
            <wp:extent cx="5887720" cy="8387080"/>
            <wp:effectExtent l="0" t="0" r="17780" b="0"/>
            <wp:wrapTight wrapText="bothSides">
              <wp:wrapPolygon>
                <wp:start x="0" y="0"/>
                <wp:lineTo x="0" y="21538"/>
                <wp:lineTo x="21525" y="21538"/>
                <wp:lineTo x="21525" y="0"/>
                <wp:lineTo x="0" y="0"/>
              </wp:wrapPolygon>
            </wp:wrapTight>
            <wp:docPr id="1" name="图片 15" descr="1f3006c5c5a02a3ec9bfaedc2ce0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1f3006c5c5a02a3ec9bfaedc2ce0fc8"/>
                    <pic:cNvPicPr>
                      <a:picLocks noChangeAspect="1"/>
                    </pic:cNvPicPr>
                  </pic:nvPicPr>
                  <pic:blipFill>
                    <a:blip r:embed="rId5"/>
                    <a:stretch>
                      <a:fillRect/>
                    </a:stretch>
                  </pic:blipFill>
                  <pic:spPr>
                    <a:xfrm>
                      <a:off x="0" y="0"/>
                      <a:ext cx="5887720" cy="8387080"/>
                    </a:xfrm>
                    <a:prstGeom prst="rect">
                      <a:avLst/>
                    </a:prstGeom>
                    <a:noFill/>
                    <a:ln>
                      <a:noFill/>
                    </a:ln>
                  </pic:spPr>
                </pic:pic>
              </a:graphicData>
            </a:graphic>
          </wp:anchor>
        </w:drawing>
      </w:r>
      <w:r>
        <w:rPr>
          <w:rFonts w:hint="eastAsia" w:ascii="黑体" w:hAnsi="黑体" w:eastAsia="黑体" w:cs="黑体"/>
          <w:sz w:val="32"/>
          <w:szCs w:val="32"/>
          <w:lang w:val="en-US" w:eastAsia="zh-CN"/>
        </w:rPr>
        <w:t>办理流程图</w:t>
      </w:r>
    </w:p>
    <w:sectPr>
      <w:pgSz w:w="11906" w:h="16838"/>
      <w:pgMar w:top="1701" w:right="1587" w:bottom="1814" w:left="1587" w:header="851" w:footer="992"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47BD"/>
    <w:multiLevelType w:val="singleLevel"/>
    <w:tmpl w:val="751D47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zc3NDU1NDQ1ZDg5YjVmODY5NjdjNTVhNTQ5NDgifQ=="/>
  </w:docVars>
  <w:rsids>
    <w:rsidRoot w:val="2D5F6222"/>
    <w:rsid w:val="0188256F"/>
    <w:rsid w:val="07DA297B"/>
    <w:rsid w:val="0B4D67FD"/>
    <w:rsid w:val="0E9D4D65"/>
    <w:rsid w:val="11504FA9"/>
    <w:rsid w:val="12FC1C8D"/>
    <w:rsid w:val="15325CB3"/>
    <w:rsid w:val="17574C91"/>
    <w:rsid w:val="19C52B95"/>
    <w:rsid w:val="1A427310"/>
    <w:rsid w:val="1ABB7634"/>
    <w:rsid w:val="20965535"/>
    <w:rsid w:val="23150A8E"/>
    <w:rsid w:val="233269A6"/>
    <w:rsid w:val="2D5F6222"/>
    <w:rsid w:val="2DB531BF"/>
    <w:rsid w:val="2FE40855"/>
    <w:rsid w:val="32EA7649"/>
    <w:rsid w:val="3DC75D67"/>
    <w:rsid w:val="3FAE7BB8"/>
    <w:rsid w:val="43704A99"/>
    <w:rsid w:val="50124B22"/>
    <w:rsid w:val="50B375C0"/>
    <w:rsid w:val="556322B1"/>
    <w:rsid w:val="5B2250E1"/>
    <w:rsid w:val="5B6000B0"/>
    <w:rsid w:val="5C081E0D"/>
    <w:rsid w:val="5E5E7799"/>
    <w:rsid w:val="621F0D3A"/>
    <w:rsid w:val="65D97AFA"/>
    <w:rsid w:val="67587F97"/>
    <w:rsid w:val="71907658"/>
    <w:rsid w:val="7761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next w:val="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4">
    <w:name w:val="Normal Indent"/>
    <w:basedOn w:val="1"/>
    <w:next w:val="1"/>
    <w:qFormat/>
    <w:uiPriority w:val="0"/>
    <w:pPr>
      <w:ind w:firstLine="420"/>
    </w:pPr>
  </w:style>
  <w:style w:type="paragraph" w:styleId="5">
    <w:name w:val="Body Text Indent"/>
    <w:basedOn w:val="1"/>
    <w:next w:val="4"/>
    <w:qFormat/>
    <w:uiPriority w:val="0"/>
    <w:pPr>
      <w:spacing w:after="120"/>
      <w:ind w:left="420" w:leftChars="200"/>
    </w:pPr>
    <w:rPr>
      <w:rFonts w:ascii="Times New Roman" w:hAnsi="Times New Roman"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756</Words>
  <Characters>803</Characters>
  <Lines>0</Lines>
  <Paragraphs>0</Paragraphs>
  <TotalTime>8</TotalTime>
  <ScaleCrop>false</ScaleCrop>
  <LinksUpToDate>false</LinksUpToDate>
  <CharactersWithSpaces>803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2024-05-24T09:24:00Z</dcterms:created>
  <dc:creator>赵月峰</dc:creator>
  <cp:lastModifiedBy>Yuki</cp:lastModifiedBy>
  <cp:lastPrinted>2024-09-14T01:50:00Z</cp:lastPrinted>
  <dcterms:modified xsi:type="dcterms:W3CDTF">2024-09-23T08:38:58Z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35FFE5BEA8854BFEB2B45E059CFA87CF_11</vt:lpwstr>
  </property>
</Properties>
</file>