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outlineLvl w:val="0"/>
        <w:rPr>
          <w:rFonts w:hint="eastAsia" w:ascii="方正小标宋简体" w:hAnsi="方正小标宋简体" w:eastAsia="方正小标宋简体" w:cs="方正小标宋简体"/>
          <w:b w:val="0"/>
          <w:bCs w:val="0"/>
          <w:snapToGrid w:val="0"/>
          <w:kern w:val="0"/>
          <w:sz w:val="44"/>
          <w:szCs w:val="44"/>
          <w:lang w:val="en-US" w:eastAsia="zh-CN"/>
        </w:rPr>
      </w:pPr>
      <w:r>
        <w:rPr>
          <w:rFonts w:hint="eastAsia" w:ascii="方正小标宋简体" w:hAnsi="方正小标宋简体" w:eastAsia="方正小标宋简体" w:cs="方正小标宋简体"/>
          <w:b w:val="0"/>
          <w:bCs w:val="0"/>
          <w:snapToGrid w:val="0"/>
          <w:kern w:val="0"/>
          <w:sz w:val="44"/>
          <w:szCs w:val="44"/>
          <w:lang w:val="en-US" w:eastAsia="zh-CN"/>
        </w:rPr>
        <w:t>宜良县住宅专项维修资金续交实施细则</w:t>
      </w:r>
    </w:p>
    <w:p>
      <w:pPr>
        <w:pStyle w:val="2"/>
        <w:jc w:val="center"/>
        <w:rPr>
          <w:rFonts w:hint="eastAsia"/>
          <w:lang w:val="en-US"/>
        </w:rPr>
      </w:pPr>
      <w:r>
        <w:rPr>
          <w:rFonts w:hint="eastAsia" w:ascii="仿宋_GB2312" w:hAnsi="仿宋_GB2312" w:eastAsia="仿宋_GB2312" w:cs="仿宋_GB2312"/>
          <w:b w:val="0"/>
          <w:bCs w:val="0"/>
          <w:spacing w:val="0"/>
          <w:position w:val="0"/>
          <w:sz w:val="32"/>
          <w:szCs w:val="32"/>
          <w:lang w:eastAsia="zh-CN"/>
        </w:rPr>
        <w:t>（征求意见稿）</w:t>
      </w:r>
    </w:p>
    <w:p>
      <w:pPr>
        <w:keepNext w:val="0"/>
        <w:keepLines w:val="0"/>
        <w:pageBreakBefore w:val="0"/>
        <w:widowControl/>
        <w:kinsoku/>
        <w:wordWrap/>
        <w:overflowPunct/>
        <w:autoSpaceDE/>
        <w:autoSpaceDN/>
        <w:bidi w:val="0"/>
        <w:adjustRightInd w:val="0"/>
        <w:snapToGrid w:val="0"/>
        <w:spacing w:line="520" w:lineRule="exact"/>
        <w:jc w:val="center"/>
        <w:textAlignment w:val="auto"/>
        <w:outlineLvl w:val="0"/>
        <w:rPr>
          <w:rFonts w:hint="default" w:ascii="Times New Roman" w:hAnsi="Times New Roman" w:eastAsia="方正小标宋_GBK" w:cs="Times New Roman"/>
          <w:b/>
          <w:bCs/>
          <w:snapToGrid w:val="0"/>
          <w:kern w:val="0"/>
          <w:sz w:val="32"/>
          <w:szCs w:val="32"/>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spacing w:val="0"/>
          <w:kern w:val="0"/>
          <w:sz w:val="32"/>
          <w:szCs w:val="32"/>
          <w:lang w:val="en-US" w:eastAsia="zh-CN" w:bidi="ar"/>
        </w:rPr>
      </w:pPr>
      <w:r>
        <w:rPr>
          <w:rFonts w:hint="eastAsia" w:ascii="Times New Roman" w:hAnsi="Times New Roman" w:cs="Times New Roman"/>
          <w:b/>
          <w:bCs/>
          <w:snapToGrid w:val="0"/>
          <w:spacing w:val="0"/>
          <w:kern w:val="0"/>
          <w:sz w:val="32"/>
          <w:szCs w:val="32"/>
          <w:lang w:val="en-US" w:eastAsia="zh-CN" w:bidi="ar"/>
        </w:rPr>
        <w:t xml:space="preserve">第一条 </w:t>
      </w:r>
      <w:r>
        <w:rPr>
          <w:rFonts w:hint="eastAsia" w:ascii="Times New Roman" w:hAnsi="Times New Roman" w:cs="Times New Roman"/>
          <w:snapToGrid w:val="0"/>
          <w:spacing w:val="0"/>
          <w:kern w:val="0"/>
          <w:sz w:val="32"/>
          <w:szCs w:val="32"/>
          <w:lang w:val="en-US" w:eastAsia="zh-CN" w:bidi="ar"/>
        </w:rPr>
        <w:t>为规范宜良县住宅专项维修资金</w:t>
      </w:r>
      <w:r>
        <w:rPr>
          <w:rFonts w:hint="eastAsia" w:ascii="Times New Roman" w:hAnsi="Times New Roman" w:cs="Times New Roman"/>
          <w:b/>
          <w:bCs/>
          <w:snapToGrid w:val="0"/>
          <w:spacing w:val="0"/>
          <w:kern w:val="0"/>
          <w:sz w:val="32"/>
          <w:szCs w:val="32"/>
          <w:lang w:val="en-US" w:eastAsia="zh-CN" w:bidi="ar"/>
        </w:rPr>
        <w:t>（以下简称“维修资金”）</w:t>
      </w:r>
      <w:r>
        <w:rPr>
          <w:rFonts w:hint="eastAsia" w:ascii="Times New Roman" w:hAnsi="Times New Roman" w:cs="Times New Roman"/>
          <w:snapToGrid w:val="0"/>
          <w:spacing w:val="0"/>
          <w:kern w:val="0"/>
          <w:sz w:val="32"/>
          <w:szCs w:val="32"/>
          <w:lang w:val="en-US" w:eastAsia="zh-CN" w:bidi="ar"/>
        </w:rPr>
        <w:t>续交管理工作，保障住宅共用部位、共用设施设备维修和正常使用，维护业主合法权益，根据《住宅专项维修资金管理办法》等有关规定，结合本县实际，制定本实施细则。</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spacing w:val="0"/>
          <w:kern w:val="0"/>
          <w:sz w:val="32"/>
          <w:szCs w:val="32"/>
          <w:lang w:val="en-US" w:eastAsia="zh-CN" w:bidi="ar"/>
        </w:rPr>
      </w:pPr>
      <w:r>
        <w:rPr>
          <w:rFonts w:hint="eastAsia" w:ascii="Times New Roman" w:hAnsi="Times New Roman" w:cs="Times New Roman"/>
          <w:b/>
          <w:bCs/>
          <w:snapToGrid w:val="0"/>
          <w:spacing w:val="0"/>
          <w:kern w:val="0"/>
          <w:sz w:val="32"/>
          <w:szCs w:val="32"/>
          <w:lang w:val="en-US" w:eastAsia="zh-CN" w:bidi="ar"/>
        </w:rPr>
        <w:t xml:space="preserve">第二条 </w:t>
      </w:r>
      <w:r>
        <w:rPr>
          <w:rFonts w:hint="eastAsia" w:ascii="Times New Roman" w:hAnsi="Times New Roman" w:cs="Times New Roman"/>
          <w:snapToGrid w:val="0"/>
          <w:spacing w:val="0"/>
          <w:kern w:val="0"/>
          <w:sz w:val="32"/>
          <w:szCs w:val="32"/>
          <w:lang w:val="en-US" w:eastAsia="zh-CN" w:bidi="ar"/>
        </w:rPr>
        <w:t>宜良县主城行政区域内住宅维修资金续交适用本细则。</w:t>
      </w:r>
    </w:p>
    <w:p>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hint="eastAsia" w:ascii="Times New Roman" w:hAnsi="Times New Roman" w:cs="Times New Roman"/>
          <w:snapToGrid w:val="0"/>
          <w:spacing w:val="0"/>
          <w:kern w:val="0"/>
          <w:sz w:val="32"/>
          <w:szCs w:val="32"/>
          <w:lang w:val="en-US" w:eastAsia="zh-CN" w:bidi="ar"/>
        </w:rPr>
      </w:pPr>
      <w:r>
        <w:rPr>
          <w:rFonts w:hint="eastAsia" w:ascii="Times New Roman" w:hAnsi="Times New Roman" w:cs="Times New Roman"/>
          <w:snapToGrid w:val="0"/>
          <w:spacing w:val="0"/>
          <w:kern w:val="0"/>
          <w:sz w:val="32"/>
          <w:szCs w:val="32"/>
          <w:lang w:val="en-US" w:eastAsia="zh-CN" w:bidi="ar"/>
        </w:rPr>
        <w:t>本细则维修资金续交，是指物业管理区域内房屋首期维修资金已交存到县住房和城乡建设局</w:t>
      </w:r>
      <w:r>
        <w:rPr>
          <w:rFonts w:hint="eastAsia" w:ascii="Times New Roman" w:hAnsi="Times New Roman" w:cs="Times New Roman"/>
          <w:b/>
          <w:bCs/>
          <w:snapToGrid w:val="0"/>
          <w:spacing w:val="0"/>
          <w:kern w:val="0"/>
          <w:sz w:val="32"/>
          <w:szCs w:val="32"/>
          <w:lang w:val="en-US" w:eastAsia="zh-CN" w:bidi="ar"/>
        </w:rPr>
        <w:t>（以下简称“县住建局”）</w:t>
      </w:r>
      <w:r>
        <w:rPr>
          <w:rFonts w:hint="eastAsia" w:ascii="Times New Roman" w:hAnsi="Times New Roman" w:cs="Times New Roman"/>
          <w:snapToGrid w:val="0"/>
          <w:spacing w:val="0"/>
          <w:kern w:val="0"/>
          <w:sz w:val="32"/>
          <w:szCs w:val="32"/>
          <w:lang w:val="en-US" w:eastAsia="zh-CN" w:bidi="ar"/>
        </w:rPr>
        <w:t>指定专户；因物业管理区域内住宅共用部位、共用设施设备维修、更新或改造需要，根据物业服务企业、业主委员会等使用资金申请，经县住建局审核拨付使用维修资金后，相关房屋户门号分户账面维修资金余额已不足首期交存额30%（含）的，由业主按约定方式续交维修资金的活动。</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FF0000"/>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 xml:space="preserve">第三条 </w:t>
      </w:r>
      <w:r>
        <w:rPr>
          <w:rFonts w:hint="eastAsia" w:ascii="Times New Roman" w:hAnsi="Times New Roman" w:cs="Times New Roman"/>
          <w:snapToGrid w:val="0"/>
          <w:color w:val="auto"/>
          <w:spacing w:val="0"/>
          <w:kern w:val="0"/>
          <w:sz w:val="32"/>
          <w:szCs w:val="32"/>
          <w:lang w:val="en-US" w:eastAsia="zh-CN" w:bidi="ar"/>
        </w:rPr>
        <w:t>县住建局对宜良县维修资金续交工作进行监督指导。</w:t>
      </w: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left="0" w:leftChars="0" w:right="0" w:rightChars="0" w:firstLine="643" w:firstLineChars="200"/>
        <w:jc w:val="both"/>
        <w:textAlignment w:val="auto"/>
        <w:outlineLvl w:val="9"/>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left="0" w:leftChars="0" w:right="0" w:rightChars="0" w:firstLine="643" w:firstLineChars="200"/>
        <w:jc w:val="both"/>
        <w:textAlignment w:val="auto"/>
        <w:outlineLvl w:val="9"/>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 xml:space="preserve">第四条 </w:t>
      </w:r>
      <w:r>
        <w:rPr>
          <w:rFonts w:hint="eastAsia" w:ascii="Times New Roman" w:hAnsi="Times New Roman" w:cs="Times New Roman"/>
          <w:snapToGrid w:val="0"/>
          <w:color w:val="auto"/>
          <w:spacing w:val="0"/>
          <w:kern w:val="0"/>
          <w:sz w:val="32"/>
          <w:szCs w:val="32"/>
          <w:lang w:val="en-US" w:eastAsia="zh-CN" w:bidi="ar"/>
        </w:rPr>
        <w:t>物业管理区域内房屋户门号分户账面维修资金余额不足首期交存额30%的，应当及时续交。</w:t>
      </w: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left="0" w:leftChars="0" w:right="0" w:rightChars="0" w:firstLine="643" w:firstLineChars="200"/>
        <w:jc w:val="both"/>
        <w:textAlignment w:val="auto"/>
        <w:outlineLvl w:val="9"/>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left="0" w:leftChars="0" w:right="0" w:rightChars="0" w:firstLine="643" w:firstLineChars="200"/>
        <w:jc w:val="both"/>
        <w:textAlignment w:val="auto"/>
        <w:outlineLvl w:val="9"/>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 xml:space="preserve">第五条 </w:t>
      </w:r>
      <w:r>
        <w:rPr>
          <w:rFonts w:hint="eastAsia" w:ascii="Times New Roman" w:hAnsi="Times New Roman" w:cs="Times New Roman"/>
          <w:snapToGrid w:val="0"/>
          <w:color w:val="auto"/>
          <w:spacing w:val="0"/>
          <w:kern w:val="0"/>
          <w:sz w:val="32"/>
          <w:szCs w:val="32"/>
          <w:lang w:val="en-US" w:eastAsia="zh-CN" w:bidi="ar"/>
        </w:rPr>
        <w:t>物业管理区域内发生房屋户门号分户账面余额不足首期交存额30%的，由县住建局将首期交存维修资金金额、分户账面维修资金余额等信息在小区内显著位置公示，告知相关业主、物业服务企业；已成立业主大会选举业主委员会的，同时告知业主委员会。</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 xml:space="preserve">第六条 </w:t>
      </w:r>
      <w:r>
        <w:rPr>
          <w:rFonts w:hint="eastAsia" w:ascii="Times New Roman" w:hAnsi="Times New Roman" w:cs="Times New Roman"/>
          <w:snapToGrid w:val="0"/>
          <w:color w:val="auto"/>
          <w:spacing w:val="0"/>
          <w:kern w:val="0"/>
          <w:sz w:val="32"/>
          <w:szCs w:val="32"/>
          <w:lang w:val="en-US" w:eastAsia="zh-CN" w:bidi="ar"/>
        </w:rPr>
        <w:t>维修资金续交工作按本物业管理区域续交方案实施；续交方案应当明确维修资金续交义务人、续交标准、续交方式、续交时限等内容：</w:t>
      </w:r>
    </w:p>
    <w:p>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snapToGrid w:val="0"/>
          <w:color w:val="auto"/>
          <w:spacing w:val="0"/>
          <w:kern w:val="0"/>
          <w:sz w:val="32"/>
          <w:szCs w:val="32"/>
          <w:lang w:val="en-US" w:eastAsia="zh-CN" w:bidi="ar"/>
        </w:rPr>
        <w:t>（一）已成立业主委员会的，续交方案由业主委员会提出，由业主大会决定；</w:t>
      </w:r>
    </w:p>
    <w:p>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snapToGrid w:val="0"/>
          <w:color w:val="auto"/>
          <w:spacing w:val="0"/>
          <w:kern w:val="0"/>
          <w:sz w:val="32"/>
          <w:szCs w:val="32"/>
          <w:lang w:val="en-US" w:eastAsia="zh-CN" w:bidi="ar"/>
        </w:rPr>
        <w:t>（二）未成立业主大会或者已成立业主大会但未选举业主委员会的，续交方案由物业服务企业或相关业主提出，交由业主共同决定。</w:t>
      </w:r>
      <w:bookmarkStart w:id="0" w:name="_GoBack"/>
      <w:bookmarkEnd w:id="0"/>
    </w:p>
    <w:p>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hint="eastAsia" w:ascii="Times New Roman" w:hAnsi="Times New Roman" w:cs="Times New Roman"/>
          <w:b w:val="0"/>
          <w:bCs w:val="0"/>
          <w:snapToGrid w:val="0"/>
          <w:color w:val="auto"/>
          <w:spacing w:val="0"/>
          <w:kern w:val="0"/>
          <w:sz w:val="32"/>
          <w:szCs w:val="32"/>
          <w:lang w:val="en-US" w:eastAsia="zh-CN" w:bidi="ar"/>
        </w:rPr>
      </w:pPr>
      <w:r>
        <w:rPr>
          <w:rFonts w:hint="eastAsia" w:ascii="Times New Roman" w:hAnsi="Times New Roman" w:cs="Times New Roman"/>
          <w:snapToGrid w:val="0"/>
          <w:color w:val="auto"/>
          <w:spacing w:val="0"/>
          <w:kern w:val="0"/>
          <w:sz w:val="32"/>
          <w:szCs w:val="32"/>
          <w:lang w:val="en-US" w:eastAsia="zh-CN" w:bidi="ar"/>
        </w:rPr>
        <w:t>续交标准可以结合本物业管理区域内住宅共用部位、共用设施设备的完好程度及使用管理等情况，以及结合今后对该住宅共用部位、共用设施设备的维修、更新或改造的需要，由业主大会决定或者由业主共同决定。</w:t>
      </w:r>
      <w:r>
        <w:rPr>
          <w:rFonts w:hint="eastAsia" w:ascii="Times New Roman" w:hAnsi="Times New Roman" w:cs="Times New Roman"/>
          <w:b w:val="0"/>
          <w:bCs w:val="0"/>
          <w:snapToGrid w:val="0"/>
          <w:color w:val="auto"/>
          <w:spacing w:val="0"/>
          <w:kern w:val="0"/>
          <w:sz w:val="32"/>
          <w:szCs w:val="32"/>
          <w:lang w:val="en-US" w:eastAsia="zh-CN" w:bidi="ar"/>
        </w:rPr>
        <w:t>但维修资金余额加上续交资金不得低于首期归集维修资金金额的70%。</w:t>
      </w:r>
    </w:p>
    <w:p>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hint="eastAsia" w:ascii="Times New Roman" w:hAnsi="Times New Roman" w:cs="Times New Roman"/>
          <w:snapToGrid w:val="0"/>
          <w:color w:val="auto"/>
          <w:spacing w:val="0"/>
          <w:kern w:val="0"/>
          <w:sz w:val="32"/>
          <w:szCs w:val="32"/>
          <w:highlight w:val="none"/>
          <w:lang w:val="en-US" w:eastAsia="zh-CN" w:bidi="ar"/>
        </w:rPr>
      </w:pPr>
      <w:r>
        <w:rPr>
          <w:rFonts w:hint="eastAsia" w:ascii="Times New Roman" w:hAnsi="Times New Roman" w:cs="Times New Roman"/>
          <w:snapToGrid w:val="0"/>
          <w:color w:val="auto"/>
          <w:spacing w:val="0"/>
          <w:kern w:val="0"/>
          <w:sz w:val="32"/>
          <w:szCs w:val="32"/>
          <w:highlight w:val="none"/>
          <w:lang w:val="en-US" w:eastAsia="zh-CN" w:bidi="ar"/>
        </w:rPr>
        <w:t>续交方案由专有部分面积占比3/4以上的业主且人数占比3/4以上的业主参与表决，并经参与表决专有部分面积3/4以上的业主且参与表决人数3/4以上的业主同意。</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 xml:space="preserve">第七条 </w:t>
      </w:r>
      <w:r>
        <w:rPr>
          <w:rFonts w:hint="eastAsia" w:ascii="Times New Roman" w:hAnsi="Times New Roman" w:cs="Times New Roman"/>
          <w:snapToGrid w:val="0"/>
          <w:color w:val="auto"/>
          <w:spacing w:val="0"/>
          <w:kern w:val="0"/>
          <w:sz w:val="32"/>
          <w:szCs w:val="32"/>
          <w:lang w:val="en-US" w:eastAsia="zh-CN" w:bidi="ar"/>
        </w:rPr>
        <w:t>未制定本物业管理区域维修资金续交方案的，也可直接由业主按自拥有房屋首期住宅维修资金交存标准续交。</w:t>
      </w: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left="0" w:leftChars="0" w:right="0" w:rightChars="0" w:firstLine="643" w:firstLineChars="200"/>
        <w:jc w:val="both"/>
        <w:textAlignment w:val="auto"/>
        <w:outlineLvl w:val="9"/>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left="0" w:leftChars="0" w:right="0" w:rightChars="0" w:firstLine="643" w:firstLineChars="200"/>
        <w:jc w:val="both"/>
        <w:textAlignment w:val="auto"/>
        <w:outlineLvl w:val="9"/>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第八条</w:t>
      </w:r>
      <w:r>
        <w:rPr>
          <w:rFonts w:hint="eastAsia" w:ascii="Times New Roman" w:hAnsi="Times New Roman" w:cs="Times New Roman"/>
          <w:snapToGrid w:val="0"/>
          <w:color w:val="auto"/>
          <w:spacing w:val="0"/>
          <w:kern w:val="0"/>
          <w:sz w:val="32"/>
          <w:szCs w:val="32"/>
          <w:lang w:val="en-US" w:eastAsia="zh-CN" w:bidi="ar"/>
        </w:rPr>
        <w:t xml:space="preserve"> 续交方案已确定维修资金续交标准或直接按首期住宅维修资金交存标准的，由相关房屋业主持身份证件、房屋权属证书等材料，向县住建局指定专户管理银行交存。</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第九条</w:t>
      </w:r>
      <w:r>
        <w:rPr>
          <w:rFonts w:hint="eastAsia" w:ascii="Times New Roman" w:hAnsi="Times New Roman" w:cs="Times New Roman"/>
          <w:snapToGrid w:val="0"/>
          <w:color w:val="auto"/>
          <w:spacing w:val="0"/>
          <w:kern w:val="0"/>
          <w:sz w:val="32"/>
          <w:szCs w:val="32"/>
          <w:lang w:val="en-US" w:eastAsia="zh-CN" w:bidi="ar"/>
        </w:rPr>
        <w:t xml:space="preserve"> 利用本物业管理区域内业主的公共收益转作为维修资金的，按照相关业主专有部分面积所占比例确定并分配给相应房屋户门号分户账进行管理。</w:t>
      </w: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left="0" w:leftChars="0" w:right="0" w:rightChars="0" w:firstLine="643" w:firstLineChars="200"/>
        <w:jc w:val="both"/>
        <w:textAlignment w:val="auto"/>
        <w:outlineLvl w:val="9"/>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left="0" w:leftChars="0" w:right="0" w:rightChars="0" w:firstLine="643" w:firstLineChars="200"/>
        <w:jc w:val="both"/>
        <w:textAlignment w:val="auto"/>
        <w:outlineLvl w:val="9"/>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第十条</w:t>
      </w:r>
      <w:r>
        <w:rPr>
          <w:rFonts w:hint="eastAsia" w:ascii="Times New Roman" w:hAnsi="Times New Roman" w:cs="Times New Roman"/>
          <w:snapToGrid w:val="0"/>
          <w:color w:val="auto"/>
          <w:spacing w:val="0"/>
          <w:kern w:val="0"/>
          <w:sz w:val="32"/>
          <w:szCs w:val="32"/>
          <w:lang w:val="en-US" w:eastAsia="zh-CN" w:bidi="ar"/>
        </w:rPr>
        <w:t xml:space="preserve"> 专户管理银行收到续交的维修资金后，应当向续交人出具维修资金专用票据。</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第十一条</w:t>
      </w:r>
      <w:r>
        <w:rPr>
          <w:rFonts w:hint="eastAsia" w:ascii="Times New Roman" w:hAnsi="Times New Roman" w:cs="Times New Roman"/>
          <w:snapToGrid w:val="0"/>
          <w:color w:val="auto"/>
          <w:spacing w:val="0"/>
          <w:kern w:val="0"/>
          <w:sz w:val="32"/>
          <w:szCs w:val="32"/>
          <w:lang w:val="en-US" w:eastAsia="zh-CN" w:bidi="ar"/>
        </w:rPr>
        <w:t xml:space="preserve"> 房屋所有权转让，依规向专户管理银行办理房屋户门号分户账更名手续后，发生本办法第四条规定情形的，应当按照本细则及有关规定及时续交。</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第十二条</w:t>
      </w:r>
      <w:r>
        <w:rPr>
          <w:rFonts w:hint="eastAsia" w:ascii="Times New Roman" w:hAnsi="Times New Roman" w:cs="Times New Roman"/>
          <w:snapToGrid w:val="0"/>
          <w:color w:val="auto"/>
          <w:spacing w:val="0"/>
          <w:kern w:val="0"/>
          <w:sz w:val="32"/>
          <w:szCs w:val="32"/>
          <w:lang w:val="en-US" w:eastAsia="zh-CN" w:bidi="ar"/>
        </w:rPr>
        <w:t xml:space="preserve"> 维修资金续交后的专户存储、使用监督等管理工作，按《住宅专项维修资金管理办法》及有关规定执行。</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第十三条</w:t>
      </w:r>
      <w:r>
        <w:rPr>
          <w:rFonts w:hint="eastAsia" w:ascii="Times New Roman" w:hAnsi="Times New Roman" w:cs="Times New Roman"/>
          <w:snapToGrid w:val="0"/>
          <w:color w:val="auto"/>
          <w:spacing w:val="0"/>
          <w:kern w:val="0"/>
          <w:sz w:val="32"/>
          <w:szCs w:val="32"/>
          <w:lang w:val="en-US" w:eastAsia="zh-CN" w:bidi="ar"/>
        </w:rPr>
        <w:t xml:space="preserve"> 业主委员会、物业服务企业依规配合县住建局做好本物业管理区域维修资金续交相关工作。业主拒不按本细则第六条、第七条规定的续交方案及标准续交维修资金的，业主委员会应督促其限期交纳。</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第十四条</w:t>
      </w:r>
      <w:r>
        <w:rPr>
          <w:rFonts w:hint="eastAsia" w:ascii="Times New Roman" w:hAnsi="Times New Roman" w:cs="Times New Roman"/>
          <w:snapToGrid w:val="0"/>
          <w:color w:val="auto"/>
          <w:spacing w:val="0"/>
          <w:kern w:val="0"/>
          <w:sz w:val="32"/>
          <w:szCs w:val="32"/>
          <w:lang w:val="en-US" w:eastAsia="zh-CN" w:bidi="ar"/>
        </w:rPr>
        <w:t xml:space="preserve"> 县住建局及其他相关单位工作人员，在维修资金续交工作中玩忽职守、滥用职权、徇私舞弊的，依法依规追究相关责任人的责任。</w:t>
      </w: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eastAsia" w:ascii="Times New Roman" w:hAnsi="Times New Roman" w:cs="Times New Roman"/>
          <w:b/>
          <w:bCs/>
          <w:snapToGrid w:val="0"/>
          <w:color w:val="auto"/>
          <w:spacing w:val="0"/>
          <w:kern w:val="0"/>
          <w:sz w:val="32"/>
          <w:szCs w:val="32"/>
          <w:lang w:val="en-US" w:eastAsia="zh-CN" w:bidi="ar"/>
        </w:rPr>
      </w:pPr>
    </w:p>
    <w:p>
      <w:pPr>
        <w:keepNext w:val="0"/>
        <w:keepLines w:val="0"/>
        <w:pageBreakBefore w:val="0"/>
        <w:widowControl w:val="0"/>
        <w:kinsoku/>
        <w:wordWrap/>
        <w:overflowPunct/>
        <w:topLinePunct/>
        <w:autoSpaceDE/>
        <w:autoSpaceDN/>
        <w:bidi w:val="0"/>
        <w:adjustRightInd w:val="0"/>
        <w:snapToGrid w:val="0"/>
        <w:spacing w:line="520" w:lineRule="exact"/>
        <w:ind w:firstLine="643" w:firstLineChars="200"/>
        <w:textAlignment w:val="auto"/>
        <w:rPr>
          <w:rFonts w:hint="default" w:ascii="Times New Roman" w:hAnsi="Times New Roman" w:cs="Times New Roman"/>
          <w:snapToGrid w:val="0"/>
          <w:color w:val="auto"/>
          <w:spacing w:val="0"/>
          <w:kern w:val="0"/>
          <w:sz w:val="32"/>
          <w:szCs w:val="32"/>
          <w:lang w:val="en-US" w:eastAsia="zh-CN" w:bidi="ar"/>
        </w:rPr>
      </w:pPr>
      <w:r>
        <w:rPr>
          <w:rFonts w:hint="eastAsia" w:ascii="Times New Roman" w:hAnsi="Times New Roman" w:cs="Times New Roman"/>
          <w:b/>
          <w:bCs/>
          <w:snapToGrid w:val="0"/>
          <w:color w:val="auto"/>
          <w:spacing w:val="0"/>
          <w:kern w:val="0"/>
          <w:sz w:val="32"/>
          <w:szCs w:val="32"/>
          <w:lang w:val="en-US" w:eastAsia="zh-CN" w:bidi="ar"/>
        </w:rPr>
        <w:t>第十五条</w:t>
      </w:r>
      <w:r>
        <w:rPr>
          <w:rFonts w:hint="eastAsia" w:ascii="Times New Roman" w:hAnsi="Times New Roman" w:cs="Times New Roman"/>
          <w:snapToGrid w:val="0"/>
          <w:color w:val="auto"/>
          <w:spacing w:val="0"/>
          <w:kern w:val="0"/>
          <w:sz w:val="32"/>
          <w:szCs w:val="32"/>
          <w:lang w:val="en-US" w:eastAsia="zh-CN" w:bidi="ar"/>
        </w:rPr>
        <w:t xml:space="preserve"> 本实施细则</w:t>
      </w:r>
      <w:r>
        <w:rPr>
          <w:rFonts w:hint="eastAsia" w:ascii="Times New Roman" w:hAnsi="Times New Roman" w:cs="Times New Roman"/>
          <w:snapToGrid w:val="0"/>
          <w:color w:val="auto"/>
          <w:spacing w:val="0"/>
          <w:kern w:val="0"/>
          <w:sz w:val="32"/>
          <w:szCs w:val="32"/>
          <w:highlight w:val="none"/>
          <w:lang w:val="en-US" w:eastAsia="zh-CN" w:bidi="ar"/>
        </w:rPr>
        <w:t>自向社会公布30日后施行，由</w:t>
      </w:r>
      <w:r>
        <w:rPr>
          <w:rFonts w:hint="eastAsia" w:ascii="Times New Roman" w:hAnsi="Times New Roman" w:cs="Times New Roman"/>
          <w:snapToGrid w:val="0"/>
          <w:color w:val="auto"/>
          <w:spacing w:val="0"/>
          <w:kern w:val="0"/>
          <w:sz w:val="32"/>
          <w:szCs w:val="32"/>
          <w:lang w:val="en-US" w:eastAsia="zh-CN" w:bidi="ar"/>
        </w:rPr>
        <w:t>县住建局负责解释。</w:t>
      </w:r>
    </w:p>
    <w:sectPr>
      <w:headerReference r:id="rId3" w:type="default"/>
      <w:footerReference r:id="rId4" w:type="default"/>
      <w:pgSz w:w="11906" w:h="16838"/>
      <w:pgMar w:top="1701" w:right="1474" w:bottom="1134" w:left="1587" w:header="851" w:footer="737"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Cw5y/Y4AgAAbwQAAA4AAABkcnMvZTJvRG9jLnhtbK1UzY7T&#10;MBC+I/EOlu80aYFVVTVdla2KkCp2pQVxdh2nieQ/2W6T8gDwBpy4cN/n6nPw2Wm6aOGwBy7p2DP+&#10;Zr5vZjq/7pQkB+F8Y3RBx6OcEqG5KRu9K+jnT+tXU0p8YLpk0mhR0KPw9Hrx8sW8tTMxMbWRpXAE&#10;INrPWlvQOgQ7yzLPa6GYHxkrNJyVcYoFHN0uKx1rga5kNsnzq6w1rrTOcOE9ble9k54R3XMATVU1&#10;XKwM3yuhQ4/qhGQBlHzdWE8XqdqqEjzcVpUXgciCgmlIXySBvY3fbDFns51jtm74uQT2nBKecFKs&#10;0Uh6gVqxwMjeNX9BqYY7400VRtyorCeSFAGLcf5Em/uaWZG4QGpvL6L7/wfLPx7uHGnKgr6hRDOF&#10;hp9+fD/9fDj9+kYmUZ7W+hmi7i3iQvfOdBia4d7jMrLuKqfiL/gQ+CHu8SKu6ALh8dF0Mp3mcHH4&#10;hgPws8fn1vnwXhhFolFQh+4lUdlh40MfOoTEbNqsGylTB6UmbUGvXr/N04OLB+BSx1iRZuEMEyn1&#10;pUcrdNvuzHNryiNoOtPPibd83aCUDfPhjjkMBsrH6oRbfCppkNKcLUpq477+6z7Go1/wUtJi0Aqq&#10;sVeUyA8afQRgGAw3GNvB0Ht1YzC5Y6yk5cnEAxfkYFbOqC/Yp2XMARfTHJkKGgbzJvTDjn3kYrlM&#10;QXvrml3dP8AUWhY2+t7ymCZK5e1yHyBtUjwK1KuCTsUD5jD17LwzcdD/PKeox/+J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r4B+1gAAAAgBAAAPAAAAAAAAAAEAIAAAACIAAABkcnMvZG93bnJl&#10;di54bWxQSwECFAAUAAAACACHTuJALDnL9jgCAABvBAAADgAAAAAAAAABACAAAAAlAQAAZHJzL2Uy&#10;b0RvYy54bWxQSwUGAAAAAAYABgBZAQAAzwUAAAAA&#10;">
              <v:fill on="f" focussize="0,0"/>
              <v:stroke on="f" weight="0.5pt"/>
              <v:imagedata o:title=""/>
              <o:lock v:ext="edit" aspectratio="f"/>
              <v:textbox inset="0mm,0mm,0mm,0mm" style="mso-fit-shape-to-text:t;">
                <w:txbxContent>
                  <w:p>
                    <w:pPr>
                      <w:snapToGrid w:val="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60"/>
  <w:drawingGridVerticalSpacing w:val="22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ZmEzMmYyZDBhNzhlMGEyNjhmNDYzODNjMDE5MWEifQ=="/>
  </w:docVars>
  <w:rsids>
    <w:rsidRoot w:val="005C6C45"/>
    <w:rsid w:val="00027E7A"/>
    <w:rsid w:val="00074623"/>
    <w:rsid w:val="0008480A"/>
    <w:rsid w:val="000A14F1"/>
    <w:rsid w:val="000B0C86"/>
    <w:rsid w:val="001B6145"/>
    <w:rsid w:val="001D4C91"/>
    <w:rsid w:val="0028022A"/>
    <w:rsid w:val="002D570A"/>
    <w:rsid w:val="003E0B05"/>
    <w:rsid w:val="004008BA"/>
    <w:rsid w:val="00433358"/>
    <w:rsid w:val="0048058D"/>
    <w:rsid w:val="00540EFC"/>
    <w:rsid w:val="0055773D"/>
    <w:rsid w:val="005C6C45"/>
    <w:rsid w:val="006446CF"/>
    <w:rsid w:val="006B6E1F"/>
    <w:rsid w:val="006D5D82"/>
    <w:rsid w:val="006E0928"/>
    <w:rsid w:val="006E7547"/>
    <w:rsid w:val="006F7DA2"/>
    <w:rsid w:val="007F7A7C"/>
    <w:rsid w:val="00815E07"/>
    <w:rsid w:val="008B79BB"/>
    <w:rsid w:val="0090337F"/>
    <w:rsid w:val="009A2CBC"/>
    <w:rsid w:val="009C2BDD"/>
    <w:rsid w:val="009D6BFC"/>
    <w:rsid w:val="009F0579"/>
    <w:rsid w:val="009F7ED6"/>
    <w:rsid w:val="00A3035F"/>
    <w:rsid w:val="00AF1027"/>
    <w:rsid w:val="00B03185"/>
    <w:rsid w:val="00B10AED"/>
    <w:rsid w:val="00B2051C"/>
    <w:rsid w:val="00B7559F"/>
    <w:rsid w:val="00B803DA"/>
    <w:rsid w:val="00C070A2"/>
    <w:rsid w:val="00C23707"/>
    <w:rsid w:val="00C46347"/>
    <w:rsid w:val="00C64C4F"/>
    <w:rsid w:val="00C90B1E"/>
    <w:rsid w:val="00D6219B"/>
    <w:rsid w:val="00D71D90"/>
    <w:rsid w:val="00DA4573"/>
    <w:rsid w:val="00DD0D6D"/>
    <w:rsid w:val="00EB5323"/>
    <w:rsid w:val="00EE1E0B"/>
    <w:rsid w:val="00EF54E7"/>
    <w:rsid w:val="00F06D9A"/>
    <w:rsid w:val="00F13145"/>
    <w:rsid w:val="00FB6957"/>
    <w:rsid w:val="00FF2929"/>
    <w:rsid w:val="0141042C"/>
    <w:rsid w:val="01847883"/>
    <w:rsid w:val="01AC6F62"/>
    <w:rsid w:val="03424BB5"/>
    <w:rsid w:val="039F5A76"/>
    <w:rsid w:val="04B9310C"/>
    <w:rsid w:val="05686FE5"/>
    <w:rsid w:val="056E4670"/>
    <w:rsid w:val="062A4C9D"/>
    <w:rsid w:val="0679286E"/>
    <w:rsid w:val="06CF32A2"/>
    <w:rsid w:val="073407B7"/>
    <w:rsid w:val="076B4585"/>
    <w:rsid w:val="07A50D69"/>
    <w:rsid w:val="083647FA"/>
    <w:rsid w:val="09367C2A"/>
    <w:rsid w:val="0A7871E0"/>
    <w:rsid w:val="0A802B70"/>
    <w:rsid w:val="0A856C30"/>
    <w:rsid w:val="0B643C30"/>
    <w:rsid w:val="0BCF39F1"/>
    <w:rsid w:val="0BEA1715"/>
    <w:rsid w:val="0C1405A1"/>
    <w:rsid w:val="0DE770D9"/>
    <w:rsid w:val="0E1775B4"/>
    <w:rsid w:val="0E79794F"/>
    <w:rsid w:val="0EF5608B"/>
    <w:rsid w:val="107273E4"/>
    <w:rsid w:val="1086482B"/>
    <w:rsid w:val="10894D9E"/>
    <w:rsid w:val="122052BE"/>
    <w:rsid w:val="13EE754B"/>
    <w:rsid w:val="14E011DF"/>
    <w:rsid w:val="17F15212"/>
    <w:rsid w:val="183C5756"/>
    <w:rsid w:val="19936DDB"/>
    <w:rsid w:val="1B9E651F"/>
    <w:rsid w:val="1BEFD545"/>
    <w:rsid w:val="1C565EC7"/>
    <w:rsid w:val="1C665D9F"/>
    <w:rsid w:val="1D5D9920"/>
    <w:rsid w:val="1F957B07"/>
    <w:rsid w:val="20123704"/>
    <w:rsid w:val="20C92B38"/>
    <w:rsid w:val="21E5391D"/>
    <w:rsid w:val="21ED2C9D"/>
    <w:rsid w:val="23B2308C"/>
    <w:rsid w:val="23D14FA0"/>
    <w:rsid w:val="25957CD7"/>
    <w:rsid w:val="26746697"/>
    <w:rsid w:val="275F023D"/>
    <w:rsid w:val="283D6925"/>
    <w:rsid w:val="29AE3F11"/>
    <w:rsid w:val="2A3F0C0B"/>
    <w:rsid w:val="2B33295C"/>
    <w:rsid w:val="2D936B5D"/>
    <w:rsid w:val="2DCB5A33"/>
    <w:rsid w:val="2E307791"/>
    <w:rsid w:val="305F2FC5"/>
    <w:rsid w:val="312A4F37"/>
    <w:rsid w:val="32173F6E"/>
    <w:rsid w:val="32224AC1"/>
    <w:rsid w:val="3277054C"/>
    <w:rsid w:val="32AE43BA"/>
    <w:rsid w:val="32CF69DC"/>
    <w:rsid w:val="33C70D52"/>
    <w:rsid w:val="34776E05"/>
    <w:rsid w:val="361B6144"/>
    <w:rsid w:val="373E7F7F"/>
    <w:rsid w:val="376D505B"/>
    <w:rsid w:val="39426157"/>
    <w:rsid w:val="3AE62EC1"/>
    <w:rsid w:val="3D1354D7"/>
    <w:rsid w:val="3D2E004A"/>
    <w:rsid w:val="3D96690B"/>
    <w:rsid w:val="3FEF082C"/>
    <w:rsid w:val="408A590A"/>
    <w:rsid w:val="419C76EA"/>
    <w:rsid w:val="41ED6DC4"/>
    <w:rsid w:val="42116764"/>
    <w:rsid w:val="426D3D31"/>
    <w:rsid w:val="428E2AA0"/>
    <w:rsid w:val="44B534B8"/>
    <w:rsid w:val="44F86499"/>
    <w:rsid w:val="46600123"/>
    <w:rsid w:val="47022708"/>
    <w:rsid w:val="4797899E"/>
    <w:rsid w:val="48115115"/>
    <w:rsid w:val="49232D7F"/>
    <w:rsid w:val="4A904BFD"/>
    <w:rsid w:val="4AB37A6F"/>
    <w:rsid w:val="4C3319E0"/>
    <w:rsid w:val="4CAF2F00"/>
    <w:rsid w:val="4EE74318"/>
    <w:rsid w:val="4F4A1B85"/>
    <w:rsid w:val="4FAE3051"/>
    <w:rsid w:val="508A0F26"/>
    <w:rsid w:val="509914A6"/>
    <w:rsid w:val="50D10570"/>
    <w:rsid w:val="511E7181"/>
    <w:rsid w:val="514B5F42"/>
    <w:rsid w:val="522462CE"/>
    <w:rsid w:val="52DE6CCF"/>
    <w:rsid w:val="53B77E85"/>
    <w:rsid w:val="53CE5B5E"/>
    <w:rsid w:val="53FF2A71"/>
    <w:rsid w:val="55505759"/>
    <w:rsid w:val="55BB1854"/>
    <w:rsid w:val="56BC785B"/>
    <w:rsid w:val="574B7262"/>
    <w:rsid w:val="577F45E5"/>
    <w:rsid w:val="57DB5535"/>
    <w:rsid w:val="57F86689"/>
    <w:rsid w:val="5A3745A8"/>
    <w:rsid w:val="5BF681E1"/>
    <w:rsid w:val="5D98223D"/>
    <w:rsid w:val="5E5A40AD"/>
    <w:rsid w:val="5E6311BD"/>
    <w:rsid w:val="5F5E6F63"/>
    <w:rsid w:val="62195750"/>
    <w:rsid w:val="638A476D"/>
    <w:rsid w:val="66023138"/>
    <w:rsid w:val="671D2D43"/>
    <w:rsid w:val="67392526"/>
    <w:rsid w:val="68924B13"/>
    <w:rsid w:val="6A045939"/>
    <w:rsid w:val="6B3250D1"/>
    <w:rsid w:val="6C0152A4"/>
    <w:rsid w:val="6C6E6F17"/>
    <w:rsid w:val="6CCD18F4"/>
    <w:rsid w:val="6D98312E"/>
    <w:rsid w:val="6E2B2A9F"/>
    <w:rsid w:val="703E0176"/>
    <w:rsid w:val="72130F28"/>
    <w:rsid w:val="729005EA"/>
    <w:rsid w:val="75956926"/>
    <w:rsid w:val="7608040F"/>
    <w:rsid w:val="77AFDDAE"/>
    <w:rsid w:val="77EC3A6F"/>
    <w:rsid w:val="78633340"/>
    <w:rsid w:val="7B611AA5"/>
    <w:rsid w:val="7E1066EF"/>
    <w:rsid w:val="7E376F74"/>
    <w:rsid w:val="7F571610"/>
    <w:rsid w:val="7FFFFC33"/>
    <w:rsid w:val="BC3A27BC"/>
    <w:rsid w:val="EEF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autoRedefine/>
    <w:qFormat/>
    <w:uiPriority w:val="1"/>
    <w:pPr>
      <w:autoSpaceDE w:val="0"/>
      <w:autoSpaceDN w:val="0"/>
      <w:adjustRightInd w:val="0"/>
      <w:ind w:left="486"/>
      <w:jc w:val="left"/>
      <w:outlineLvl w:val="0"/>
    </w:pPr>
    <w:rPr>
      <w:rFonts w:ascii="宋体"/>
      <w:kern w:val="0"/>
      <w:sz w:val="42"/>
      <w:szCs w:val="42"/>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kern w:val="0"/>
      <w:szCs w:val="21"/>
    </w:rPr>
  </w:style>
  <w:style w:type="paragraph" w:styleId="4">
    <w:name w:val="Balloon Text"/>
    <w:basedOn w:val="1"/>
    <w:link w:val="17"/>
    <w:autoRedefine/>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unhideWhenUsed/>
    <w:qFormat/>
    <w:uiPriority w:val="99"/>
  </w:style>
  <w:style w:type="character" w:customStyle="1" w:styleId="11">
    <w:name w:val="公文标题"/>
    <w:basedOn w:val="9"/>
    <w:autoRedefine/>
    <w:qFormat/>
    <w:uiPriority w:val="99"/>
    <w:rPr>
      <w:sz w:val="44"/>
      <w:szCs w:val="44"/>
    </w:rPr>
  </w:style>
  <w:style w:type="paragraph" w:customStyle="1" w:styleId="12">
    <w:name w:val="Char Char Char1 Char"/>
    <w:basedOn w:val="1"/>
    <w:autoRedefine/>
    <w:qFormat/>
    <w:uiPriority w:val="0"/>
    <w:rPr>
      <w:rFonts w:ascii="Calibri" w:hAnsi="Calibri" w:cs="Times New Roman"/>
      <w:kern w:val="0"/>
    </w:rPr>
  </w:style>
  <w:style w:type="paragraph" w:customStyle="1" w:styleId="13">
    <w:name w:val="正文 New New New New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
    <w:name w:val="正文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批注框文本 Char"/>
    <w:basedOn w:val="9"/>
    <w:link w:val="4"/>
    <w:autoRedefine/>
    <w:semiHidden/>
    <w:qFormat/>
    <w:uiPriority w:val="99"/>
    <w:rPr>
      <w:rFonts w:ascii="仿宋_GB2312" w:eastAsia="仿宋_GB2312"/>
      <w:sz w:val="18"/>
      <w:szCs w:val="18"/>
    </w:rPr>
  </w:style>
  <w:style w:type="character" w:customStyle="1" w:styleId="18">
    <w:name w:val="页眉 Char"/>
    <w:basedOn w:val="9"/>
    <w:link w:val="6"/>
    <w:autoRedefine/>
    <w:semiHidden/>
    <w:qFormat/>
    <w:uiPriority w:val="99"/>
    <w:rPr>
      <w:rFonts w:ascii="仿宋_GB2312" w:eastAsia="仿宋_GB2312"/>
      <w:sz w:val="18"/>
      <w:szCs w:val="18"/>
    </w:rPr>
  </w:style>
  <w:style w:type="character" w:customStyle="1" w:styleId="19">
    <w:name w:val="页脚 Char"/>
    <w:basedOn w:val="9"/>
    <w:link w:val="5"/>
    <w:autoRedefine/>
    <w:semiHidden/>
    <w:qFormat/>
    <w:uiPriority w:val="99"/>
    <w:rPr>
      <w:rFonts w:ascii="仿宋_GB2312" w:eastAsia="仿宋_GB2312"/>
      <w:sz w:val="18"/>
      <w:szCs w:val="18"/>
    </w:rPr>
  </w:style>
  <w:style w:type="paragraph" w:customStyle="1" w:styleId="20">
    <w:name w:val="正文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正文 New New New New New New New New New New New New New New New New New New New New New New New New New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2">
    <w:name w:val="正文 New New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4">
    <w:name w:val="正文 New New New New New"/>
    <w:autoRedefine/>
    <w:qFormat/>
    <w:uiPriority w:val="0"/>
    <w:pPr>
      <w:widowControl w:val="0"/>
      <w:jc w:val="both"/>
    </w:pPr>
    <w:rPr>
      <w:rFonts w:eastAsia="仿宋_GB2312" w:asciiTheme="minorHAnsi" w:hAnsiTheme="minorHAnsi" w:cstheme="minorBidi"/>
      <w:sz w:val="32"/>
      <w:szCs w:val="32"/>
      <w:lang w:val="en-US" w:eastAsia="zh-CN" w:bidi="ar-SA"/>
    </w:rPr>
  </w:style>
  <w:style w:type="paragraph" w:customStyle="1" w:styleId="25">
    <w:name w:val="_Style 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6">
    <w:name w:val="公文签发日期"/>
    <w:basedOn w:val="9"/>
    <w:autoRedefine/>
    <w:qFormat/>
    <w:uiPriority w:val="0"/>
    <w:rPr>
      <w:rFonts w:hint="eastAsia" w:ascii="仿宋_GB2312" w:eastAsia="仿宋_GB2312"/>
      <w:sz w:val="32"/>
    </w:rPr>
  </w:style>
  <w:style w:type="paragraph" w:customStyle="1" w:styleId="27">
    <w:name w:val="正文 New New New New"/>
    <w:autoRedefine/>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customStyle="1" w:styleId="28">
    <w:name w:val="正文文本 (7)"/>
    <w:basedOn w:val="1"/>
    <w:link w:val="29"/>
    <w:autoRedefine/>
    <w:qFormat/>
    <w:uiPriority w:val="0"/>
    <w:pPr>
      <w:shd w:val="clear" w:color="auto" w:fill="FFFFFF"/>
      <w:spacing w:before="60" w:line="200" w:lineRule="exact"/>
      <w:jc w:val="distribute"/>
    </w:pPr>
    <w:rPr>
      <w:rFonts w:ascii="MingLiU" w:eastAsia="MingLiU"/>
      <w:spacing w:val="10"/>
      <w:kern w:val="0"/>
      <w:sz w:val="11"/>
      <w:szCs w:val="11"/>
    </w:rPr>
  </w:style>
  <w:style w:type="character" w:customStyle="1" w:styleId="29">
    <w:name w:val="正文文本 (7)_"/>
    <w:basedOn w:val="9"/>
    <w:link w:val="28"/>
    <w:autoRedefine/>
    <w:qFormat/>
    <w:uiPriority w:val="0"/>
    <w:rPr>
      <w:rFonts w:ascii="MingLiU" w:eastAsia="MingLiU"/>
      <w:spacing w:val="10"/>
      <w:kern w:val="0"/>
      <w:sz w:val="11"/>
      <w:szCs w:val="11"/>
    </w:rPr>
  </w:style>
  <w:style w:type="paragraph" w:customStyle="1" w:styleId="30">
    <w:name w:val="p0"/>
    <w:basedOn w:val="1"/>
    <w:autoRedefine/>
    <w:qFormat/>
    <w:uiPriority w:val="0"/>
    <w:pPr>
      <w:widowControl/>
    </w:pPr>
    <w:rPr>
      <w:kern w:val="0"/>
      <w:szCs w:val="21"/>
    </w:rPr>
  </w:style>
  <w:style w:type="paragraph" w:customStyle="1" w:styleId="31">
    <w:name w:val="List Paragraph"/>
    <w:basedOn w:val="1"/>
    <w:autoRedefine/>
    <w:qFormat/>
    <w:uiPriority w:val="99"/>
    <w:pPr>
      <w:ind w:firstLine="420" w:firstLineChars="200"/>
    </w:pPr>
  </w:style>
  <w:style w:type="paragraph" w:customStyle="1" w:styleId="32">
    <w:name w:val="Normal Indent1"/>
    <w:basedOn w:val="1"/>
    <w:autoRedefine/>
    <w:qFormat/>
    <w:uiPriority w:val="0"/>
    <w:pPr>
      <w:snapToGrid w:val="0"/>
      <w:spacing w:line="300" w:lineRule="auto"/>
      <w:ind w:firstLine="556"/>
    </w:pPr>
    <w:rPr>
      <w:rFonts w:ascii="仿宋_GB2312" w:hAnsi="Calibri"/>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1392</Words>
  <Characters>1409</Characters>
  <Lines>111</Lines>
  <Paragraphs>31</Paragraphs>
  <TotalTime>1</TotalTime>
  <ScaleCrop>false</ScaleCrop>
  <LinksUpToDate>false</LinksUpToDate>
  <CharactersWithSpaces>1424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2017-04-18T15:01:00Z</dcterms:created>
  <dc:creator>hp</dc:creator>
  <cp:lastModifiedBy>CW</cp:lastModifiedBy>
  <cp:lastPrinted>2022-01-24T17:21:00Z</cp:lastPrinted>
  <dcterms:modified xsi:type="dcterms:W3CDTF">2024-07-05T07:24:30Z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00FED9953D704EFF9BA447A0D9A7643F</vt:lpwstr>
  </property>
</Properties>
</file>