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40E6D">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i w:val="0"/>
          <w:iCs w:val="0"/>
          <w:color w:val="auto"/>
          <w:sz w:val="44"/>
          <w:szCs w:val="44"/>
        </w:rPr>
      </w:pPr>
      <w:r>
        <w:rPr>
          <w:rFonts w:hint="eastAsia" w:ascii="方正小标宋简体" w:hAnsi="方正小标宋简体" w:eastAsia="方正小标宋简体" w:cs="方正小标宋简体"/>
          <w:i w:val="0"/>
          <w:iCs w:val="0"/>
          <w:color w:val="auto"/>
          <w:sz w:val="44"/>
          <w:szCs w:val="44"/>
          <w:lang w:eastAsia="zh-CN"/>
        </w:rPr>
        <w:t>关于《宜良县存量房交易资金监管实施细则（征求意见稿）》</w:t>
      </w:r>
      <w:r>
        <w:rPr>
          <w:rFonts w:hint="eastAsia" w:ascii="方正小标宋简体" w:hAnsi="方正小标宋简体" w:eastAsia="方正小标宋简体" w:cs="方正小标宋简体"/>
          <w:i w:val="0"/>
          <w:iCs w:val="0"/>
          <w:color w:val="auto"/>
          <w:sz w:val="44"/>
          <w:szCs w:val="44"/>
        </w:rPr>
        <w:t>的</w:t>
      </w:r>
      <w:r>
        <w:rPr>
          <w:rFonts w:hint="eastAsia" w:ascii="方正小标宋简体" w:hAnsi="方正小标宋简体" w:eastAsia="方正小标宋简体" w:cs="方正小标宋简体"/>
          <w:i w:val="0"/>
          <w:iCs w:val="0"/>
          <w:color w:val="auto"/>
          <w:sz w:val="44"/>
          <w:szCs w:val="44"/>
          <w:lang w:eastAsia="zh-CN"/>
        </w:rPr>
        <w:t>编制</w:t>
      </w:r>
      <w:r>
        <w:rPr>
          <w:rFonts w:hint="eastAsia" w:ascii="方正小标宋简体" w:hAnsi="方正小标宋简体" w:eastAsia="方正小标宋简体" w:cs="方正小标宋简体"/>
          <w:i w:val="0"/>
          <w:iCs w:val="0"/>
          <w:color w:val="auto"/>
          <w:sz w:val="44"/>
          <w:szCs w:val="44"/>
        </w:rPr>
        <w:t>说明</w:t>
      </w:r>
    </w:p>
    <w:p w14:paraId="26094A98">
      <w:pPr>
        <w:keepNext w:val="0"/>
        <w:keepLines w:val="0"/>
        <w:pageBreakBefore w:val="0"/>
        <w:widowControl w:val="0"/>
        <w:kinsoku/>
        <w:wordWrap/>
        <w:overflowPunct/>
        <w:topLinePunct/>
        <w:autoSpaceDE/>
        <w:autoSpaceDN/>
        <w:bidi w:val="0"/>
        <w:adjustRightInd w:val="0"/>
        <w:snapToGrid w:val="0"/>
        <w:spacing w:after="0" w:line="560" w:lineRule="exact"/>
        <w:ind w:left="0" w:leftChars="0"/>
        <w:textAlignment w:val="auto"/>
        <w:rPr>
          <w:rFonts w:hint="eastAsia"/>
          <w:i w:val="0"/>
          <w:iCs w:val="0"/>
          <w:color w:val="auto"/>
        </w:rPr>
      </w:pPr>
    </w:p>
    <w:p w14:paraId="2B545E71">
      <w:pPr>
        <w:keepNext w:val="0"/>
        <w:keepLines w:val="0"/>
        <w:pageBreakBefore w:val="0"/>
        <w:widowControl w:val="0"/>
        <w:numPr>
          <w:ilvl w:val="0"/>
          <w:numId w:val="0"/>
        </w:numPr>
        <w:kinsoku/>
        <w:wordWrap/>
        <w:overflowPunct/>
        <w:topLinePunct/>
        <w:autoSpaceDE/>
        <w:autoSpaceDN/>
        <w:bidi w:val="0"/>
        <w:adjustRightInd w:val="0"/>
        <w:snapToGrid w:val="0"/>
        <w:spacing w:after="0" w:line="560" w:lineRule="exact"/>
        <w:ind w:left="0" w:leftChars="0" w:firstLine="632" w:firstLineChars="200"/>
        <w:jc w:val="both"/>
        <w:textAlignment w:val="auto"/>
        <w:rPr>
          <w:rFonts w:hint="eastAsia" w:eastAsia="黑体" w:cs="黑体"/>
          <w:i w:val="0"/>
          <w:iCs w:val="0"/>
          <w:snapToGrid w:val="0"/>
          <w:color w:val="auto"/>
          <w:kern w:val="0"/>
          <w:lang w:val="en-US" w:eastAsia="zh-CN"/>
        </w:rPr>
      </w:pPr>
      <w:r>
        <w:rPr>
          <w:rFonts w:hint="eastAsia" w:eastAsia="黑体" w:cs="黑体"/>
          <w:i w:val="0"/>
          <w:iCs w:val="0"/>
          <w:snapToGrid w:val="0"/>
          <w:color w:val="auto"/>
          <w:kern w:val="0"/>
          <w:lang w:val="en-US" w:eastAsia="zh-CN"/>
        </w:rPr>
        <w:t>一、制定文件的必要性</w:t>
      </w:r>
    </w:p>
    <w:p w14:paraId="39E840B6">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制定背景：</w:t>
      </w:r>
      <w:r>
        <w:rPr>
          <w:rFonts w:hint="default" w:ascii="Times New Roman" w:hAnsi="Times New Roman" w:eastAsia="仿宋_GB2312" w:cs="Times New Roman"/>
          <w:color w:val="auto"/>
          <w:spacing w:val="0"/>
          <w:position w:val="0"/>
          <w:sz w:val="32"/>
          <w:szCs w:val="32"/>
          <w:lang w:eastAsia="zh-CN"/>
        </w:rPr>
        <w:t>为</w:t>
      </w:r>
      <w:r>
        <w:rPr>
          <w:rFonts w:hint="default" w:ascii="Times New Roman" w:hAnsi="Times New Roman" w:eastAsia="仿宋_GB2312" w:cs="Times New Roman"/>
          <w:color w:val="auto"/>
          <w:spacing w:val="0"/>
          <w:position w:val="0"/>
          <w:sz w:val="32"/>
          <w:szCs w:val="32"/>
        </w:rPr>
        <w:t>维护房地产交易秩序，规范存量房交易资金监督管理，</w:t>
      </w:r>
      <w:r>
        <w:rPr>
          <w:rFonts w:hint="default" w:ascii="Times New Roman" w:hAnsi="Times New Roman" w:eastAsia="仿宋_GB2312" w:cs="Times New Roman"/>
          <w:color w:val="auto"/>
          <w:spacing w:val="0"/>
          <w:position w:val="0"/>
          <w:sz w:val="32"/>
          <w:szCs w:val="32"/>
          <w:lang w:eastAsia="zh-CN"/>
        </w:rPr>
        <w:t>保护交易当事人合法权益，</w:t>
      </w:r>
      <w:r>
        <w:rPr>
          <w:rFonts w:hint="default" w:ascii="Times New Roman" w:hAnsi="Times New Roman" w:eastAsia="仿宋_GB2312" w:cs="Times New Roman"/>
          <w:color w:val="auto"/>
          <w:spacing w:val="0"/>
          <w:position w:val="0"/>
          <w:sz w:val="32"/>
          <w:szCs w:val="32"/>
        </w:rPr>
        <w:t>保障存量房交易资金安全，根据《住房城乡建设部等部门关于加强房地产中介管理促进行业健康发展的意见》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建房〔2016〕168号</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、《住房城乡建设部关于进一步规范和加强房屋网签备案工作的指导意见》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建房〔2018〕128号</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《住房和城乡建设部关于提升房屋网签备案服务效能的意见》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建房规〔2020〕4号</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等有关规定，</w:t>
      </w:r>
      <w:r>
        <w:rPr>
          <w:rFonts w:hint="default" w:ascii="Times New Roman" w:hAnsi="Times New Roman" w:eastAsia="仿宋_GB2312" w:cs="Times New Roman"/>
          <w:color w:val="auto"/>
          <w:sz w:val="32"/>
          <w:szCs w:val="32"/>
          <w:lang w:val="en-US" w:eastAsia="zh-CN"/>
        </w:rPr>
        <w:t>制定该实施细则</w:t>
      </w:r>
      <w:r>
        <w:rPr>
          <w:rFonts w:hint="default"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val="en-US" w:eastAsia="zh-CN"/>
        </w:rPr>
        <w:t>自</w:t>
      </w:r>
      <w:r>
        <w:rPr>
          <w:rFonts w:hint="default" w:ascii="Times New Roman" w:hAnsi="Times New Roman" w:eastAsia="仿宋_GB2312" w:cs="Times New Roman"/>
          <w:snapToGrid w:val="0"/>
          <w:color w:val="auto"/>
          <w:spacing w:val="0"/>
          <w:kern w:val="0"/>
          <w:sz w:val="32"/>
          <w:szCs w:val="32"/>
          <w:highlight w:val="none"/>
          <w:lang w:val="en-US" w:eastAsia="zh-CN" w:bidi="ar"/>
        </w:rPr>
        <w:t>202</w:t>
      </w:r>
      <w:r>
        <w:rPr>
          <w:rFonts w:hint="eastAsia" w:ascii="Times New Roman" w:hAnsi="Times New Roman" w:eastAsia="仿宋_GB2312" w:cs="Times New Roman"/>
          <w:snapToGrid w:val="0"/>
          <w:color w:val="auto"/>
          <w:spacing w:val="0"/>
          <w:kern w:val="0"/>
          <w:sz w:val="32"/>
          <w:szCs w:val="32"/>
          <w:highlight w:val="none"/>
          <w:lang w:val="en-US" w:eastAsia="zh-CN" w:bidi="ar"/>
        </w:rPr>
        <w:t>3</w:t>
      </w:r>
      <w:r>
        <w:rPr>
          <w:rFonts w:hint="default" w:ascii="Times New Roman" w:hAnsi="Times New Roman" w:eastAsia="仿宋_GB2312" w:cs="Times New Roman"/>
          <w:snapToGrid w:val="0"/>
          <w:color w:val="auto"/>
          <w:spacing w:val="0"/>
          <w:kern w:val="0"/>
          <w:sz w:val="32"/>
          <w:szCs w:val="32"/>
          <w:highlight w:val="none"/>
          <w:lang w:val="en-US" w:eastAsia="zh-CN" w:bidi="ar"/>
        </w:rPr>
        <w:t>年</w:t>
      </w:r>
      <w:r>
        <w:rPr>
          <w:rFonts w:hint="eastAsia" w:ascii="Times New Roman" w:hAnsi="Times New Roman" w:eastAsia="仿宋_GB2312" w:cs="Times New Roman"/>
          <w:snapToGrid w:val="0"/>
          <w:color w:val="auto"/>
          <w:spacing w:val="0"/>
          <w:kern w:val="0"/>
          <w:sz w:val="32"/>
          <w:szCs w:val="32"/>
          <w:highlight w:val="none"/>
          <w:lang w:val="en-US" w:eastAsia="zh-CN" w:bidi="ar"/>
        </w:rPr>
        <w:t>12</w:t>
      </w:r>
      <w:r>
        <w:rPr>
          <w:rFonts w:hint="default" w:ascii="Times New Roman" w:hAnsi="Times New Roman" w:eastAsia="仿宋_GB2312" w:cs="Times New Roman"/>
          <w:snapToGrid w:val="0"/>
          <w:color w:val="auto"/>
          <w:spacing w:val="0"/>
          <w:kern w:val="0"/>
          <w:sz w:val="32"/>
          <w:szCs w:val="32"/>
          <w:highlight w:val="none"/>
          <w:lang w:val="en-US" w:eastAsia="zh-CN" w:bidi="ar"/>
        </w:rPr>
        <w:t>月</w:t>
      </w:r>
      <w:r>
        <w:rPr>
          <w:rFonts w:hint="eastAsia" w:cs="Times New Roman"/>
          <w:snapToGrid w:val="0"/>
          <w:color w:val="auto"/>
          <w:spacing w:val="0"/>
          <w:kern w:val="0"/>
          <w:sz w:val="32"/>
          <w:szCs w:val="32"/>
          <w:highlight w:val="none"/>
          <w:lang w:val="en-US" w:eastAsia="zh-CN" w:bidi="ar"/>
        </w:rPr>
        <w:t>开始</w:t>
      </w:r>
      <w:r>
        <w:rPr>
          <w:rFonts w:hint="default" w:ascii="Times New Roman" w:hAnsi="Times New Roman" w:eastAsia="仿宋_GB2312" w:cs="Times New Roman"/>
          <w:snapToGrid w:val="0"/>
          <w:color w:val="auto"/>
          <w:spacing w:val="0"/>
          <w:kern w:val="0"/>
          <w:sz w:val="32"/>
          <w:szCs w:val="32"/>
          <w:highlight w:val="none"/>
          <w:lang w:val="en-US" w:eastAsia="zh-CN" w:bidi="ar"/>
        </w:rPr>
        <w:t>，</w:t>
      </w:r>
      <w:r>
        <w:rPr>
          <w:rFonts w:hint="eastAsia" w:ascii="Times New Roman" w:hAnsi="Times New Roman" w:eastAsia="仿宋_GB2312" w:cs="Times New Roman"/>
          <w:snapToGrid w:val="0"/>
          <w:color w:val="auto"/>
          <w:spacing w:val="0"/>
          <w:kern w:val="0"/>
          <w:sz w:val="32"/>
          <w:szCs w:val="32"/>
          <w:highlight w:val="none"/>
          <w:lang w:val="en-US" w:eastAsia="zh-CN" w:bidi="ar"/>
        </w:rPr>
        <w:t>县住建</w:t>
      </w:r>
      <w:r>
        <w:rPr>
          <w:rFonts w:hint="default" w:ascii="Times New Roman" w:hAnsi="Times New Roman" w:eastAsia="仿宋_GB2312" w:cs="Times New Roman"/>
          <w:snapToGrid w:val="0"/>
          <w:color w:val="auto"/>
          <w:spacing w:val="0"/>
          <w:kern w:val="0"/>
          <w:sz w:val="32"/>
          <w:szCs w:val="32"/>
          <w:highlight w:val="none"/>
          <w:lang w:val="en-US" w:eastAsia="zh-CN" w:bidi="ar"/>
        </w:rPr>
        <w:t>局多次组织讨论，并征求县司法局</w:t>
      </w:r>
      <w:r>
        <w:rPr>
          <w:rFonts w:hint="eastAsia" w:ascii="Times New Roman" w:hAnsi="Times New Roman" w:eastAsia="仿宋_GB2312" w:cs="Times New Roman"/>
          <w:snapToGrid w:val="0"/>
          <w:color w:val="auto"/>
          <w:spacing w:val="0"/>
          <w:kern w:val="0"/>
          <w:sz w:val="32"/>
          <w:szCs w:val="32"/>
          <w:highlight w:val="none"/>
          <w:lang w:val="en-US" w:eastAsia="zh-CN" w:bidi="ar"/>
        </w:rPr>
        <w:t>、县自然资源局</w:t>
      </w:r>
      <w:r>
        <w:rPr>
          <w:rFonts w:hint="default" w:ascii="Times New Roman" w:hAnsi="Times New Roman" w:eastAsia="仿宋_GB2312" w:cs="Times New Roman"/>
          <w:snapToGrid w:val="0"/>
          <w:color w:val="auto"/>
          <w:spacing w:val="0"/>
          <w:kern w:val="0"/>
          <w:sz w:val="32"/>
          <w:szCs w:val="32"/>
          <w:highlight w:val="none"/>
          <w:lang w:val="en-US" w:eastAsia="zh-CN" w:bidi="ar"/>
        </w:rPr>
        <w:t>及凌云律师事务所意见，修改完善后形成征求意见稿。</w:t>
      </w:r>
    </w:p>
    <w:p w14:paraId="5942A76F">
      <w:pPr>
        <w:pStyle w:val="2"/>
        <w:keepNext w:val="0"/>
        <w:keepLines w:val="0"/>
        <w:pageBreakBefore w:val="0"/>
        <w:widowControl w:val="0"/>
        <w:numPr>
          <w:ilvl w:val="0"/>
          <w:numId w:val="0"/>
        </w:numPr>
        <w:kinsoku/>
        <w:wordWrap/>
        <w:overflowPunct/>
        <w:topLinePunct/>
        <w:autoSpaceDE/>
        <w:autoSpaceDN/>
        <w:bidi w:val="0"/>
        <w:adjustRightInd w:val="0"/>
        <w:snapToGrid/>
        <w:spacing w:after="0" w:line="560" w:lineRule="exact"/>
        <w:ind w:left="0" w:leftChars="0" w:firstLine="63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2.必要性：</w:t>
      </w:r>
      <w:r>
        <w:rPr>
          <w:rFonts w:hint="eastAsia" w:ascii="仿宋_GB2312" w:hAnsi="仿宋_GB2312" w:eastAsia="仿宋_GB2312" w:cs="仿宋_GB2312"/>
          <w:color w:val="auto"/>
          <w:sz w:val="32"/>
          <w:szCs w:val="40"/>
          <w:lang w:val="en-US" w:eastAsia="zh-CN"/>
        </w:rPr>
        <w:t>近年来，</w:t>
      </w:r>
      <w:r>
        <w:rPr>
          <w:rFonts w:hint="default" w:ascii="Times New Roman" w:hAnsi="Times New Roman" w:eastAsia="仿宋_GB2312" w:cs="Times New Roman"/>
          <w:color w:val="auto"/>
          <w:sz w:val="32"/>
          <w:szCs w:val="40"/>
          <w:lang w:val="en-US" w:eastAsia="zh-CN"/>
        </w:rPr>
        <w:t>随着住房制度改革逐步深入，国家宏观经济政策驱动，存量房市场呈现出良好的发展势头。然而二手房交易的纠纷却不断增加，层出不穷的矛盾纠纷让买卖双方都倍感困扰，究其根源，就是缺乏对交易资金的监管。实行存量房交易资金监管，是加强房地产行业管理、落实调控政策、规范市场秩序、维护群众合法权益的重要手段，是促进房地产市场平衡</w:t>
      </w:r>
      <w:r>
        <w:rPr>
          <w:rFonts w:hint="eastAsia" w:ascii="仿宋_GB2312" w:hAnsi="仿宋_GB2312" w:eastAsia="仿宋_GB2312" w:cs="仿宋_GB2312"/>
          <w:color w:val="auto"/>
          <w:sz w:val="32"/>
          <w:szCs w:val="40"/>
          <w:lang w:val="en-US" w:eastAsia="zh-CN"/>
        </w:rPr>
        <w:t>健康发展的基础性工作。</w:t>
      </w:r>
    </w:p>
    <w:p w14:paraId="51001139">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default" w:ascii="Times New Roman" w:hAnsi="Times New Roman" w:eastAsia="仿宋_GB2312" w:cs="Times New Roman"/>
          <w:b/>
          <w:bCs/>
          <w:color w:val="auto"/>
          <w:sz w:val="32"/>
          <w:szCs w:val="32"/>
          <w:highlight w:val="none"/>
          <w:lang w:val="en-US" w:eastAsia="zh-CN"/>
        </w:rPr>
        <w:t>3.可行性：</w:t>
      </w:r>
      <w:r>
        <w:rPr>
          <w:rFonts w:hint="eastAsia" w:ascii="仿宋_GB2312" w:hAnsi="仿宋_GB2312" w:eastAsia="仿宋_GB2312" w:cs="仿宋_GB2312"/>
          <w:i w:val="0"/>
          <w:iCs w:val="0"/>
          <w:caps w:val="0"/>
          <w:color w:val="auto"/>
          <w:spacing w:val="0"/>
          <w:sz w:val="32"/>
          <w:szCs w:val="32"/>
          <w:shd w:val="clear" w:color="auto" w:fill="FFFFFF"/>
        </w:rPr>
        <w:t>存量房交易资金监管相当于为二手房买卖提供了</w:t>
      </w:r>
      <w:r>
        <w:rPr>
          <w:rFonts w:hint="eastAsia" w:ascii="仿宋_GB2312" w:hAnsi="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安全支付</w:t>
      </w:r>
      <w:r>
        <w:rPr>
          <w:rFonts w:hint="eastAsia" w:ascii="仿宋_GB2312" w:hAnsi="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功能</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进行存量房交易资金监管可有效提升存量房交易安全与效率</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对于买方，规避了业主蓄意骗款、资金交割后对方不配合过户等风险，切实保证了交易安全；对于卖方，交易资金提前划入监管账户，保证买方有足够资金购买房屋，规避了中断交易的风险。</w:t>
      </w:r>
    </w:p>
    <w:p w14:paraId="0991428D">
      <w:pPr>
        <w:keepNext w:val="0"/>
        <w:keepLines w:val="0"/>
        <w:pageBreakBefore w:val="0"/>
        <w:widowControl w:val="0"/>
        <w:kinsoku/>
        <w:wordWrap/>
        <w:overflowPunct/>
        <w:topLinePunct/>
        <w:autoSpaceDE/>
        <w:autoSpaceDN/>
        <w:bidi w:val="0"/>
        <w:adjustRightInd w:val="0"/>
        <w:snapToGrid w:val="0"/>
        <w:spacing w:after="0" w:line="560" w:lineRule="exact"/>
        <w:ind w:left="0" w:leftChars="0" w:firstLine="632" w:firstLineChars="200"/>
        <w:jc w:val="both"/>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b/>
          <w:bCs/>
          <w:color w:val="auto"/>
          <w:sz w:val="32"/>
          <w:szCs w:val="32"/>
          <w:highlight w:val="none"/>
          <w:lang w:val="en-US" w:eastAsia="zh-CN"/>
        </w:rPr>
        <w:t>4.合理性：</w:t>
      </w:r>
      <w:r>
        <w:rPr>
          <w:rFonts w:hint="default" w:ascii="Times New Roman" w:hAnsi="Times New Roman" w:eastAsia="仿宋_GB2312" w:cs="Times New Roman"/>
          <w:i w:val="0"/>
          <w:iCs w:val="0"/>
          <w:caps w:val="0"/>
          <w:color w:val="auto"/>
          <w:spacing w:val="0"/>
          <w:sz w:val="32"/>
          <w:szCs w:val="32"/>
          <w:shd w:val="clear" w:color="auto" w:fill="FFFFFF"/>
        </w:rPr>
        <w:t>实施存量房资金监管优势突出</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00F3FF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val="0"/>
        <w:snapToGrid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w:t>
      </w: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政府监管更放心：由</w:t>
      </w:r>
      <w:r>
        <w:rPr>
          <w:rFonts w:hint="default" w:ascii="Times New Roman" w:hAnsi="Times New Roman" w:eastAsia="仿宋_GB2312" w:cs="Times New Roman"/>
          <w:i w:val="0"/>
          <w:iCs w:val="0"/>
          <w:caps w:val="0"/>
          <w:color w:val="auto"/>
          <w:spacing w:val="0"/>
          <w:sz w:val="32"/>
          <w:szCs w:val="32"/>
          <w:shd w:val="clear" w:color="auto" w:fill="FFFFFF"/>
          <w:lang w:eastAsia="zh-CN"/>
        </w:rPr>
        <w:t>县住建</w:t>
      </w:r>
      <w:r>
        <w:rPr>
          <w:rFonts w:hint="default" w:ascii="Times New Roman" w:hAnsi="Times New Roman" w:eastAsia="仿宋_GB2312" w:cs="Times New Roman"/>
          <w:i w:val="0"/>
          <w:iCs w:val="0"/>
          <w:caps w:val="0"/>
          <w:color w:val="auto"/>
          <w:spacing w:val="0"/>
          <w:sz w:val="32"/>
          <w:szCs w:val="32"/>
          <w:shd w:val="clear" w:color="auto" w:fill="FFFFFF"/>
        </w:rPr>
        <w:t>局负责统筹、指导、监督全</w:t>
      </w:r>
      <w:r>
        <w:rPr>
          <w:rFonts w:hint="default" w:ascii="Times New Roman" w:hAnsi="Times New Roman" w:eastAsia="仿宋_GB2312" w:cs="Times New Roman"/>
          <w:i w:val="0"/>
          <w:iCs w:val="0"/>
          <w:caps w:val="0"/>
          <w:color w:val="auto"/>
          <w:spacing w:val="0"/>
          <w:sz w:val="32"/>
          <w:szCs w:val="32"/>
          <w:shd w:val="clear" w:color="auto" w:fill="FFFFFF"/>
          <w:lang w:eastAsia="zh-CN"/>
        </w:rPr>
        <w:t>县</w:t>
      </w:r>
      <w:r>
        <w:rPr>
          <w:rFonts w:hint="default" w:ascii="Times New Roman" w:hAnsi="Times New Roman" w:eastAsia="仿宋_GB2312" w:cs="Times New Roman"/>
          <w:i w:val="0"/>
          <w:iCs w:val="0"/>
          <w:caps w:val="0"/>
          <w:color w:val="auto"/>
          <w:spacing w:val="0"/>
          <w:sz w:val="32"/>
          <w:szCs w:val="32"/>
          <w:shd w:val="clear" w:color="auto" w:fill="FFFFFF"/>
        </w:rPr>
        <w:t>存量房交易资金监管工作。</w:t>
      </w:r>
    </w:p>
    <w:p w14:paraId="62ADFC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w:t>
      </w: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线下</w:t>
      </w:r>
      <w:r>
        <w:rPr>
          <w:rFonts w:hint="default" w:ascii="Times New Roman" w:hAnsi="Times New Roman" w:eastAsia="仿宋_GB2312" w:cs="Times New Roman"/>
          <w:i w:val="0"/>
          <w:iCs w:val="0"/>
          <w:caps w:val="0"/>
          <w:color w:val="auto"/>
          <w:spacing w:val="0"/>
          <w:sz w:val="32"/>
          <w:szCs w:val="32"/>
          <w:shd w:val="clear" w:color="auto" w:fill="FFFFFF"/>
          <w:lang w:eastAsia="zh-CN"/>
        </w:rPr>
        <w:t>办理</w:t>
      </w:r>
      <w:r>
        <w:rPr>
          <w:rFonts w:hint="default" w:ascii="Times New Roman" w:hAnsi="Times New Roman" w:eastAsia="仿宋_GB2312" w:cs="Times New Roman"/>
          <w:i w:val="0"/>
          <w:iCs w:val="0"/>
          <w:caps w:val="0"/>
          <w:color w:val="auto"/>
          <w:spacing w:val="0"/>
          <w:sz w:val="32"/>
          <w:szCs w:val="32"/>
          <w:shd w:val="clear" w:color="auto" w:fill="FFFFFF"/>
        </w:rPr>
        <w:t>更省心：买卖双方可选择线下办理买卖合同签约、监管协议签订、监管资金缴存等各项业务，待监管资金达到拨付条件后，</w:t>
      </w:r>
      <w:r>
        <w:rPr>
          <w:rFonts w:hint="default" w:ascii="Times New Roman" w:hAnsi="Times New Roman" w:eastAsia="仿宋_GB2312" w:cs="Times New Roman"/>
          <w:i w:val="0"/>
          <w:iCs w:val="0"/>
          <w:caps w:val="0"/>
          <w:color w:val="auto"/>
          <w:spacing w:val="0"/>
          <w:sz w:val="32"/>
          <w:szCs w:val="32"/>
          <w:shd w:val="clear" w:color="auto" w:fill="FFFFFF"/>
          <w:lang w:eastAsia="zh-CN"/>
        </w:rPr>
        <w:t>经相关当事人提出资金划转</w:t>
      </w:r>
      <w:r>
        <w:rPr>
          <w:rFonts w:hint="default" w:ascii="Times New Roman" w:hAnsi="Times New Roman" w:eastAsia="仿宋_GB2312" w:cs="Times New Roman"/>
          <w:i w:val="0"/>
          <w:iCs w:val="0"/>
          <w:caps w:val="0"/>
          <w:color w:val="auto"/>
          <w:spacing w:val="0"/>
          <w:sz w:val="32"/>
          <w:szCs w:val="32"/>
          <w:shd w:val="clear" w:color="auto" w:fill="FFFFFF"/>
        </w:rPr>
        <w:t>申请，即可按协议约定</w:t>
      </w:r>
      <w:r>
        <w:rPr>
          <w:rFonts w:hint="default" w:ascii="Times New Roman" w:hAnsi="Times New Roman" w:eastAsia="仿宋_GB2312" w:cs="Times New Roman"/>
          <w:i w:val="0"/>
          <w:iCs w:val="0"/>
          <w:caps w:val="0"/>
          <w:color w:val="auto"/>
          <w:spacing w:val="0"/>
          <w:sz w:val="32"/>
          <w:szCs w:val="32"/>
          <w:shd w:val="clear" w:color="auto" w:fill="FFFFFF"/>
          <w:lang w:eastAsia="zh-CN"/>
        </w:rPr>
        <w:t>在时限内</w:t>
      </w:r>
      <w:r>
        <w:rPr>
          <w:rFonts w:hint="default" w:ascii="Times New Roman" w:hAnsi="Times New Roman" w:eastAsia="仿宋_GB2312" w:cs="Times New Roman"/>
          <w:i w:val="0"/>
          <w:iCs w:val="0"/>
          <w:caps w:val="0"/>
          <w:color w:val="auto"/>
          <w:spacing w:val="0"/>
          <w:sz w:val="32"/>
          <w:szCs w:val="32"/>
          <w:shd w:val="clear" w:color="auto" w:fill="FFFFFF"/>
        </w:rPr>
        <w:t>转入卖方账户。</w:t>
      </w:r>
    </w:p>
    <w:p w14:paraId="59650A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免费办理更贴心：资金监管不收取任何费用。</w:t>
      </w:r>
    </w:p>
    <w:p w14:paraId="1D6F5B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eastAsia" w:ascii="Times New Roman" w:hAnsi="Times New Roman"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行业规范更舒心：明确</w:t>
      </w:r>
      <w:r>
        <w:rPr>
          <w:rFonts w:hint="default" w:ascii="Times New Roman" w:hAnsi="Times New Roman" w:eastAsia="仿宋_GB2312" w:cs="Times New Roman"/>
          <w:color w:val="auto"/>
          <w:spacing w:val="0"/>
          <w:position w:val="0"/>
          <w:sz w:val="32"/>
          <w:szCs w:val="32"/>
        </w:rPr>
        <w:t>房地产经纪机构和按揭贷款银行</w:t>
      </w:r>
      <w:r>
        <w:rPr>
          <w:rFonts w:hint="default" w:ascii="Times New Roman" w:hAnsi="Times New Roman" w:eastAsia="仿宋_GB2312" w:cs="Times New Roman"/>
          <w:i w:val="0"/>
          <w:iCs w:val="0"/>
          <w:caps w:val="0"/>
          <w:color w:val="auto"/>
          <w:spacing w:val="0"/>
          <w:sz w:val="32"/>
          <w:szCs w:val="32"/>
          <w:shd w:val="clear" w:color="auto" w:fill="FFFFFF"/>
        </w:rPr>
        <w:t>不得通过监管账户以外的</w:t>
      </w:r>
      <w:r>
        <w:rPr>
          <w:rFonts w:hint="default" w:ascii="Times New Roman" w:hAnsi="Times New Roman" w:eastAsia="仿宋_GB2312" w:cs="Times New Roman"/>
          <w:color w:val="auto"/>
          <w:spacing w:val="0"/>
          <w:position w:val="0"/>
          <w:sz w:val="32"/>
          <w:szCs w:val="32"/>
        </w:rPr>
        <w:t>其他银</w:t>
      </w:r>
      <w:r>
        <w:rPr>
          <w:rFonts w:hint="default" w:ascii="Times New Roman" w:hAnsi="Times New Roman" w:eastAsia="仿宋_GB2312" w:cs="Times New Roman"/>
          <w:color w:val="auto"/>
          <w:spacing w:val="0"/>
          <w:position w:val="0"/>
          <w:sz w:val="32"/>
          <w:szCs w:val="32"/>
          <w:highlight w:val="none"/>
        </w:rPr>
        <w:t>行</w:t>
      </w:r>
      <w:r>
        <w:rPr>
          <w:rFonts w:hint="default" w:ascii="Times New Roman" w:hAnsi="Times New Roman" w:eastAsia="仿宋_GB2312" w:cs="Times New Roman"/>
          <w:i w:val="0"/>
          <w:iCs w:val="0"/>
          <w:caps w:val="0"/>
          <w:color w:val="auto"/>
          <w:spacing w:val="0"/>
          <w:sz w:val="32"/>
          <w:szCs w:val="32"/>
          <w:shd w:val="clear" w:color="auto" w:fill="FFFFFF"/>
        </w:rPr>
        <w:t>账户代收代付交易资金。</w:t>
      </w:r>
    </w:p>
    <w:p w14:paraId="623BD175">
      <w:pPr>
        <w:keepNext w:val="0"/>
        <w:keepLines w:val="0"/>
        <w:pageBreakBefore w:val="0"/>
        <w:widowControl w:val="0"/>
        <w:kinsoku/>
        <w:wordWrap/>
        <w:overflowPunct/>
        <w:topLinePunct/>
        <w:autoSpaceDE/>
        <w:autoSpaceDN/>
        <w:bidi w:val="0"/>
        <w:adjustRightInd w:val="0"/>
        <w:snapToGrid w:val="0"/>
        <w:spacing w:after="0" w:line="560" w:lineRule="exact"/>
        <w:ind w:left="0" w:leftChars="0" w:firstLine="632" w:firstLineChars="200"/>
        <w:jc w:val="both"/>
        <w:textAlignment w:val="auto"/>
        <w:rPr>
          <w:rFonts w:hint="eastAsia" w:eastAsia="黑体" w:cs="黑体"/>
          <w:i w:val="0"/>
          <w:iCs w:val="0"/>
          <w:snapToGrid w:val="0"/>
          <w:color w:val="auto"/>
          <w:kern w:val="0"/>
          <w:lang w:val="en-US" w:eastAsia="zh-CN"/>
        </w:rPr>
      </w:pPr>
      <w:r>
        <w:rPr>
          <w:rFonts w:hint="eastAsia" w:ascii="Times New Roman" w:hAnsi="Times New Roman" w:eastAsia="黑体" w:cs="黑体"/>
          <w:i w:val="0"/>
          <w:iCs w:val="0"/>
          <w:snapToGrid w:val="0"/>
          <w:color w:val="auto"/>
          <w:kern w:val="0"/>
          <w:lang w:val="en-US" w:eastAsia="zh-CN"/>
        </w:rPr>
        <w:t>二、</w:t>
      </w:r>
      <w:r>
        <w:rPr>
          <w:rFonts w:hint="eastAsia" w:eastAsia="黑体" w:cs="黑体"/>
          <w:i w:val="0"/>
          <w:iCs w:val="0"/>
          <w:snapToGrid w:val="0"/>
          <w:color w:val="auto"/>
          <w:kern w:val="0"/>
          <w:lang w:val="en-US" w:eastAsia="zh-CN"/>
        </w:rPr>
        <w:t>文件制定依据</w:t>
      </w:r>
    </w:p>
    <w:p w14:paraId="7D1E52A4">
      <w:pPr>
        <w:keepNext w:val="0"/>
        <w:keepLines w:val="0"/>
        <w:pageBreakBefore w:val="0"/>
        <w:widowControl w:val="0"/>
        <w:kinsoku/>
        <w:wordWrap/>
        <w:overflowPunct/>
        <w:topLinePunct/>
        <w:autoSpaceDE/>
        <w:autoSpaceDN/>
        <w:bidi w:val="0"/>
        <w:adjustRightInd w:val="0"/>
        <w:snapToGrid w:val="0"/>
        <w:spacing w:after="0" w:line="560" w:lineRule="exact"/>
        <w:ind w:left="0" w:leftChars="0" w:firstLine="632" w:firstLineChars="200"/>
        <w:jc w:val="both"/>
        <w:textAlignment w:val="auto"/>
        <w:rPr>
          <w:rFonts w:hint="eastAsia" w:ascii="Times New Roman" w:hAnsi="Times New Roman" w:eastAsia="仿宋_GB2312" w:cs="Times New Roman"/>
          <w:b w:val="0"/>
          <w:bCs w:val="0"/>
          <w:color w:val="auto"/>
          <w:spacing w:val="0"/>
          <w:position w:val="0"/>
          <w:sz w:val="32"/>
          <w:szCs w:val="32"/>
          <w:lang w:eastAsia="zh-CN"/>
        </w:rPr>
      </w:pPr>
      <w:r>
        <w:rPr>
          <w:rFonts w:hint="eastAsia" w:ascii="Times New Roman" w:hAnsi="Times New Roman" w:eastAsia="仿宋_GB2312" w:cs="Times New Roman"/>
          <w:b w:val="0"/>
          <w:bCs w:val="0"/>
          <w:color w:val="auto"/>
          <w:spacing w:val="0"/>
          <w:position w:val="0"/>
          <w:sz w:val="32"/>
          <w:szCs w:val="32"/>
          <w:lang w:val="en-US" w:eastAsia="zh-CN"/>
        </w:rPr>
        <w:t>1.</w:t>
      </w:r>
      <w:r>
        <w:rPr>
          <w:rFonts w:hint="default" w:ascii="Times New Roman" w:hAnsi="Times New Roman" w:eastAsia="仿宋_GB2312" w:cs="Times New Roman"/>
          <w:b w:val="0"/>
          <w:bCs w:val="0"/>
          <w:color w:val="auto"/>
          <w:spacing w:val="0"/>
          <w:position w:val="0"/>
          <w:sz w:val="32"/>
          <w:szCs w:val="32"/>
        </w:rPr>
        <w:t>《住房城乡建设部等部门关于加强房地产中介管理促进行业健康发展的意见》</w:t>
      </w:r>
      <w:r>
        <w:rPr>
          <w:rFonts w:hint="default" w:ascii="Times New Roman" w:hAnsi="Times New Roman" w:eastAsia="仿宋_GB2312" w:cs="Times New Roman"/>
          <w:b w:val="0"/>
          <w:bCs w:val="0"/>
          <w:color w:val="auto"/>
          <w:spacing w:val="0"/>
          <w:position w:val="0"/>
          <w:sz w:val="32"/>
          <w:szCs w:val="32"/>
          <w:lang w:eastAsia="zh-CN"/>
        </w:rPr>
        <w:t>（</w:t>
      </w:r>
      <w:r>
        <w:rPr>
          <w:rFonts w:hint="default" w:ascii="Times New Roman" w:hAnsi="Times New Roman" w:eastAsia="仿宋_GB2312" w:cs="Times New Roman"/>
          <w:b w:val="0"/>
          <w:bCs w:val="0"/>
          <w:color w:val="auto"/>
          <w:spacing w:val="0"/>
          <w:position w:val="0"/>
          <w:sz w:val="32"/>
          <w:szCs w:val="32"/>
        </w:rPr>
        <w:t>建房〔2016〕168号</w:t>
      </w:r>
      <w:r>
        <w:rPr>
          <w:rFonts w:hint="default" w:ascii="Times New Roman" w:hAnsi="Times New Roman" w:eastAsia="仿宋_GB2312" w:cs="Times New Roman"/>
          <w:b w:val="0"/>
          <w:bCs w:val="0"/>
          <w:color w:val="auto"/>
          <w:spacing w:val="0"/>
          <w:position w:val="0"/>
          <w:sz w:val="32"/>
          <w:szCs w:val="32"/>
          <w:lang w:eastAsia="zh-CN"/>
        </w:rPr>
        <w:t>）</w:t>
      </w:r>
      <w:r>
        <w:rPr>
          <w:rFonts w:hint="eastAsia" w:ascii="Times New Roman" w:hAnsi="Times New Roman" w:eastAsia="仿宋_GB2312" w:cs="Times New Roman"/>
          <w:b w:val="0"/>
          <w:bCs w:val="0"/>
          <w:color w:val="auto"/>
          <w:spacing w:val="0"/>
          <w:position w:val="0"/>
          <w:sz w:val="32"/>
          <w:szCs w:val="32"/>
          <w:lang w:eastAsia="zh-CN"/>
        </w:rPr>
        <w:t>。</w:t>
      </w:r>
    </w:p>
    <w:p w14:paraId="4E86E2F6">
      <w:pPr>
        <w:keepNext w:val="0"/>
        <w:keepLines w:val="0"/>
        <w:pageBreakBefore w:val="0"/>
        <w:widowControl w:val="0"/>
        <w:kinsoku/>
        <w:wordWrap/>
        <w:overflowPunct/>
        <w:topLinePunct/>
        <w:autoSpaceDE/>
        <w:autoSpaceDN/>
        <w:bidi w:val="0"/>
        <w:adjustRightInd w:val="0"/>
        <w:snapToGrid w:val="0"/>
        <w:spacing w:after="0" w:line="560" w:lineRule="exact"/>
        <w:ind w:left="0" w:leftChars="0" w:firstLine="632" w:firstLineChars="200"/>
        <w:jc w:val="both"/>
        <w:textAlignment w:val="auto"/>
        <w:rPr>
          <w:rFonts w:hint="eastAsia" w:ascii="Times New Roman" w:hAnsi="Times New Roman" w:eastAsia="仿宋_GB2312" w:cs="Times New Roman"/>
          <w:b w:val="0"/>
          <w:bCs w:val="0"/>
          <w:color w:val="auto"/>
          <w:spacing w:val="0"/>
          <w:position w:val="0"/>
          <w:sz w:val="32"/>
          <w:szCs w:val="32"/>
          <w:lang w:eastAsia="zh-CN"/>
        </w:rPr>
      </w:pPr>
      <w:r>
        <w:rPr>
          <w:rFonts w:hint="eastAsia" w:ascii="Times New Roman" w:hAnsi="Times New Roman" w:eastAsia="仿宋_GB2312" w:cs="Times New Roman"/>
          <w:b w:val="0"/>
          <w:bCs w:val="0"/>
          <w:color w:val="auto"/>
          <w:spacing w:val="0"/>
          <w:position w:val="0"/>
          <w:sz w:val="32"/>
          <w:szCs w:val="32"/>
          <w:lang w:val="en-US" w:eastAsia="zh-CN"/>
        </w:rPr>
        <w:t>2.</w:t>
      </w:r>
      <w:r>
        <w:rPr>
          <w:rFonts w:hint="default" w:ascii="Times New Roman" w:hAnsi="Times New Roman" w:eastAsia="仿宋_GB2312" w:cs="Times New Roman"/>
          <w:b w:val="0"/>
          <w:bCs w:val="0"/>
          <w:color w:val="auto"/>
          <w:spacing w:val="0"/>
          <w:position w:val="0"/>
          <w:sz w:val="32"/>
          <w:szCs w:val="32"/>
        </w:rPr>
        <w:t>《住房城乡建设部关于进一步规范和加强房屋网签备案工作的指导意见》</w:t>
      </w:r>
      <w:r>
        <w:rPr>
          <w:rFonts w:hint="default" w:ascii="Times New Roman" w:hAnsi="Times New Roman" w:eastAsia="仿宋_GB2312" w:cs="Times New Roman"/>
          <w:b w:val="0"/>
          <w:bCs w:val="0"/>
          <w:color w:val="auto"/>
          <w:spacing w:val="0"/>
          <w:position w:val="0"/>
          <w:sz w:val="32"/>
          <w:szCs w:val="32"/>
          <w:lang w:eastAsia="zh-CN"/>
        </w:rPr>
        <w:t>（</w:t>
      </w:r>
      <w:r>
        <w:rPr>
          <w:rFonts w:hint="default" w:ascii="Times New Roman" w:hAnsi="Times New Roman" w:eastAsia="仿宋_GB2312" w:cs="Times New Roman"/>
          <w:b w:val="0"/>
          <w:bCs w:val="0"/>
          <w:color w:val="auto"/>
          <w:spacing w:val="0"/>
          <w:position w:val="0"/>
          <w:sz w:val="32"/>
          <w:szCs w:val="32"/>
        </w:rPr>
        <w:t>建房〔2018〕128号</w:t>
      </w:r>
      <w:r>
        <w:rPr>
          <w:rFonts w:hint="default" w:ascii="Times New Roman" w:hAnsi="Times New Roman" w:eastAsia="仿宋_GB2312" w:cs="Times New Roman"/>
          <w:b w:val="0"/>
          <w:bCs w:val="0"/>
          <w:color w:val="auto"/>
          <w:spacing w:val="0"/>
          <w:position w:val="0"/>
          <w:sz w:val="32"/>
          <w:szCs w:val="32"/>
          <w:lang w:eastAsia="zh-CN"/>
        </w:rPr>
        <w:t>）</w:t>
      </w:r>
      <w:r>
        <w:rPr>
          <w:rFonts w:hint="eastAsia" w:ascii="Times New Roman" w:hAnsi="Times New Roman" w:eastAsia="仿宋_GB2312" w:cs="Times New Roman"/>
          <w:b w:val="0"/>
          <w:bCs w:val="0"/>
          <w:color w:val="auto"/>
          <w:spacing w:val="0"/>
          <w:position w:val="0"/>
          <w:sz w:val="32"/>
          <w:szCs w:val="32"/>
          <w:lang w:eastAsia="zh-CN"/>
        </w:rPr>
        <w:t>。</w:t>
      </w:r>
    </w:p>
    <w:p w14:paraId="26EF4991">
      <w:pPr>
        <w:keepNext w:val="0"/>
        <w:keepLines w:val="0"/>
        <w:pageBreakBefore w:val="0"/>
        <w:widowControl w:val="0"/>
        <w:suppressLineNumbers w:val="0"/>
        <w:kinsoku/>
        <w:wordWrap/>
        <w:overflowPunct/>
        <w:topLinePunct/>
        <w:autoSpaceDE/>
        <w:autoSpaceDN/>
        <w:bidi w:val="0"/>
        <w:adjustRightInd w:val="0"/>
        <w:snapToGrid w:val="0"/>
        <w:spacing w:after="0" w:line="560" w:lineRule="exact"/>
        <w:ind w:left="0" w:leftChars="0" w:firstLine="632" w:firstLineChars="200"/>
        <w:jc w:val="both"/>
        <w:textAlignment w:val="auto"/>
        <w:rPr>
          <w:b w:val="0"/>
          <w:bCs w:val="0"/>
          <w:color w:val="auto"/>
        </w:rPr>
      </w:pPr>
      <w:r>
        <w:rPr>
          <w:rFonts w:hint="eastAsia" w:ascii="Times New Roman" w:hAnsi="Times New Roman" w:eastAsia="仿宋_GB2312" w:cs="Times New Roman"/>
          <w:b w:val="0"/>
          <w:bCs w:val="0"/>
          <w:color w:val="auto"/>
          <w:spacing w:val="0"/>
          <w:position w:val="0"/>
          <w:sz w:val="32"/>
          <w:szCs w:val="32"/>
          <w:lang w:val="en-US" w:eastAsia="zh-CN"/>
        </w:rPr>
        <w:t>3.</w:t>
      </w:r>
      <w:r>
        <w:rPr>
          <w:rFonts w:hint="default" w:ascii="Times New Roman" w:hAnsi="Times New Roman" w:eastAsia="仿宋_GB2312" w:cs="Times New Roman"/>
          <w:b w:val="0"/>
          <w:bCs w:val="0"/>
          <w:color w:val="auto"/>
          <w:spacing w:val="0"/>
          <w:position w:val="0"/>
          <w:sz w:val="32"/>
          <w:szCs w:val="32"/>
        </w:rPr>
        <w:t>《住房和城乡建设部关于提升房屋网签备案服务效能的意见》</w:t>
      </w:r>
      <w:r>
        <w:rPr>
          <w:rFonts w:hint="default" w:ascii="Times New Roman" w:hAnsi="Times New Roman" w:eastAsia="仿宋_GB2312" w:cs="Times New Roman"/>
          <w:b w:val="0"/>
          <w:bCs w:val="0"/>
          <w:color w:val="auto"/>
          <w:spacing w:val="0"/>
          <w:position w:val="0"/>
          <w:sz w:val="32"/>
          <w:szCs w:val="32"/>
          <w:lang w:eastAsia="zh-CN"/>
        </w:rPr>
        <w:t>（</w:t>
      </w:r>
      <w:r>
        <w:rPr>
          <w:rFonts w:hint="default" w:ascii="Times New Roman" w:hAnsi="Times New Roman" w:eastAsia="仿宋_GB2312" w:cs="Times New Roman"/>
          <w:b w:val="0"/>
          <w:bCs w:val="0"/>
          <w:color w:val="auto"/>
          <w:spacing w:val="0"/>
          <w:position w:val="0"/>
          <w:sz w:val="32"/>
          <w:szCs w:val="32"/>
        </w:rPr>
        <w:t>建房规〔2020〕4号</w:t>
      </w:r>
      <w:r>
        <w:rPr>
          <w:rFonts w:hint="default" w:ascii="Times New Roman" w:hAnsi="Times New Roman" w:eastAsia="仿宋_GB2312" w:cs="Times New Roman"/>
          <w:b w:val="0"/>
          <w:bCs w:val="0"/>
          <w:color w:val="auto"/>
          <w:spacing w:val="0"/>
          <w:position w:val="0"/>
          <w:sz w:val="32"/>
          <w:szCs w:val="32"/>
          <w:lang w:eastAsia="zh-CN"/>
        </w:rPr>
        <w:t>）。</w:t>
      </w:r>
    </w:p>
    <w:p w14:paraId="6FE4DD3E">
      <w:pPr>
        <w:keepNext w:val="0"/>
        <w:keepLines w:val="0"/>
        <w:pageBreakBefore w:val="0"/>
        <w:widowControl w:val="0"/>
        <w:kinsoku/>
        <w:wordWrap/>
        <w:overflowPunct/>
        <w:topLinePunct/>
        <w:autoSpaceDE/>
        <w:autoSpaceDN/>
        <w:bidi w:val="0"/>
        <w:adjustRightInd w:val="0"/>
        <w:snapToGrid w:val="0"/>
        <w:spacing w:after="0" w:line="560" w:lineRule="exact"/>
        <w:ind w:left="0" w:leftChars="0" w:firstLine="632" w:firstLineChars="200"/>
        <w:jc w:val="both"/>
        <w:textAlignment w:val="auto"/>
        <w:rPr>
          <w:rFonts w:hint="eastAsia"/>
          <w:i w:val="0"/>
          <w:iCs w:val="0"/>
          <w:snapToGrid w:val="0"/>
          <w:color w:val="auto"/>
          <w:kern w:val="0"/>
          <w:lang w:val="en-US" w:eastAsia="zh-CN"/>
        </w:rPr>
      </w:pPr>
      <w:r>
        <w:rPr>
          <w:rFonts w:hint="eastAsia" w:ascii="Times New Roman" w:hAnsi="Times New Roman" w:eastAsia="黑体" w:cs="黑体"/>
          <w:i w:val="0"/>
          <w:iCs w:val="0"/>
          <w:color w:val="auto"/>
          <w:kern w:val="2"/>
          <w:lang w:val="en-US" w:eastAsia="zh-CN"/>
        </w:rPr>
        <w:t>三、</w:t>
      </w:r>
      <w:r>
        <w:rPr>
          <w:rFonts w:hint="eastAsia" w:eastAsia="黑体" w:cs="黑体"/>
          <w:i w:val="0"/>
          <w:iCs w:val="0"/>
          <w:color w:val="auto"/>
          <w:kern w:val="2"/>
          <w:lang w:val="en-US" w:eastAsia="zh-CN"/>
        </w:rPr>
        <w:t>规定的主要措施</w:t>
      </w:r>
    </w:p>
    <w:p w14:paraId="4CD9F2E8">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全文共十</w:t>
      </w:r>
      <w:r>
        <w:rPr>
          <w:rFonts w:hint="eastAsia" w:cs="Times New Roman"/>
          <w:b w:val="0"/>
          <w:bCs w:val="0"/>
          <w:color w:val="auto"/>
          <w:kern w:val="0"/>
          <w:sz w:val="32"/>
          <w:szCs w:val="32"/>
          <w:highlight w:val="none"/>
          <w:lang w:val="en-US" w:eastAsia="zh-CN" w:bidi="ar"/>
        </w:rPr>
        <w:t>一</w:t>
      </w:r>
      <w:r>
        <w:rPr>
          <w:rFonts w:hint="default" w:ascii="Times New Roman" w:hAnsi="Times New Roman" w:eastAsia="仿宋_GB2312" w:cs="Times New Roman"/>
          <w:b w:val="0"/>
          <w:bCs w:val="0"/>
          <w:color w:val="auto"/>
          <w:kern w:val="0"/>
          <w:sz w:val="32"/>
          <w:szCs w:val="32"/>
          <w:highlight w:val="none"/>
          <w:lang w:val="en-US" w:eastAsia="zh-CN" w:bidi="ar"/>
        </w:rPr>
        <w:t>项内容</w:t>
      </w:r>
      <w:r>
        <w:rPr>
          <w:rFonts w:hint="eastAsia" w:ascii="Times New Roman" w:hAnsi="Times New Roman" w:eastAsia="仿宋_GB2312" w:cs="Times New Roman"/>
          <w:b w:val="0"/>
          <w:bCs w:val="0"/>
          <w:color w:val="auto"/>
          <w:kern w:val="0"/>
          <w:sz w:val="32"/>
          <w:szCs w:val="32"/>
          <w:highlight w:val="none"/>
          <w:lang w:val="en-US" w:eastAsia="zh-CN" w:bidi="ar"/>
        </w:rPr>
        <w:t>：</w:t>
      </w:r>
    </w:p>
    <w:p w14:paraId="72B52F8C">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lang w:val="en-US" w:eastAsia="zh-CN" w:bidi="ar"/>
        </w:rPr>
        <w:t>第一项至第三项分别对</w:t>
      </w:r>
      <w:r>
        <w:rPr>
          <w:rFonts w:hint="default" w:ascii="Times New Roman" w:hAnsi="Times New Roman" w:eastAsia="仿宋_GB2312" w:cs="Times New Roman"/>
          <w:b w:val="0"/>
          <w:bCs w:val="0"/>
          <w:color w:val="auto"/>
          <w:spacing w:val="0"/>
          <w:position w:val="0"/>
          <w:sz w:val="32"/>
          <w:szCs w:val="32"/>
          <w:highlight w:val="none"/>
        </w:rPr>
        <w:t>存量房</w:t>
      </w:r>
      <w:r>
        <w:rPr>
          <w:rFonts w:hint="default"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存量房交易资金</w:t>
      </w:r>
      <w:r>
        <w:rPr>
          <w:rFonts w:hint="default"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存量房交易资金监管</w:t>
      </w:r>
      <w:r>
        <w:rPr>
          <w:rFonts w:hint="default" w:ascii="Times New Roman" w:hAnsi="Times New Roman" w:eastAsia="仿宋_GB2312" w:cs="Times New Roman"/>
          <w:b w:val="0"/>
          <w:bCs w:val="0"/>
          <w:color w:val="auto"/>
          <w:spacing w:val="0"/>
          <w:position w:val="0"/>
          <w:sz w:val="32"/>
          <w:szCs w:val="32"/>
          <w:highlight w:val="none"/>
          <w:lang w:eastAsia="zh-CN"/>
        </w:rPr>
        <w:t>进行了解释；</w:t>
      </w:r>
    </w:p>
    <w:p w14:paraId="6C8B6699">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第四项明确了监管单位的职能职责；</w:t>
      </w:r>
    </w:p>
    <w:p w14:paraId="4F15D4C9">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第五项明确了</w:t>
      </w:r>
      <w:r>
        <w:rPr>
          <w:rFonts w:hint="default" w:ascii="Times New Roman" w:hAnsi="Times New Roman" w:eastAsia="仿宋_GB2312" w:cs="Times New Roman"/>
          <w:b w:val="0"/>
          <w:bCs w:val="0"/>
          <w:color w:val="auto"/>
          <w:spacing w:val="0"/>
          <w:position w:val="0"/>
          <w:sz w:val="32"/>
          <w:szCs w:val="32"/>
          <w:highlight w:val="none"/>
        </w:rPr>
        <w:t>资金监管范围</w:t>
      </w:r>
      <w:r>
        <w:rPr>
          <w:rFonts w:hint="default" w:ascii="Times New Roman" w:hAnsi="Times New Roman" w:eastAsia="仿宋_GB2312" w:cs="Times New Roman"/>
          <w:b w:val="0"/>
          <w:bCs w:val="0"/>
          <w:color w:val="auto"/>
          <w:spacing w:val="0"/>
          <w:position w:val="0"/>
          <w:sz w:val="32"/>
          <w:szCs w:val="32"/>
          <w:highlight w:val="none"/>
          <w:lang w:eastAsia="zh-CN"/>
        </w:rPr>
        <w:t>；</w:t>
      </w:r>
    </w:p>
    <w:p w14:paraId="46BEB107">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第六项明确了</w:t>
      </w:r>
      <w:r>
        <w:rPr>
          <w:rFonts w:hint="default" w:ascii="Times New Roman" w:hAnsi="Times New Roman" w:eastAsia="仿宋_GB2312" w:cs="Times New Roman"/>
          <w:b w:val="0"/>
          <w:bCs w:val="0"/>
          <w:color w:val="auto"/>
          <w:spacing w:val="0"/>
          <w:position w:val="0"/>
          <w:sz w:val="32"/>
          <w:szCs w:val="32"/>
          <w:highlight w:val="none"/>
        </w:rPr>
        <w:t>资金监管流程</w:t>
      </w:r>
      <w:r>
        <w:rPr>
          <w:rFonts w:hint="default" w:ascii="Times New Roman" w:hAnsi="Times New Roman" w:eastAsia="仿宋_GB2312" w:cs="Times New Roman"/>
          <w:b w:val="0"/>
          <w:bCs w:val="0"/>
          <w:color w:val="auto"/>
          <w:spacing w:val="0"/>
          <w:position w:val="0"/>
          <w:sz w:val="32"/>
          <w:szCs w:val="32"/>
          <w:highlight w:val="none"/>
          <w:lang w:eastAsia="zh-CN"/>
        </w:rPr>
        <w:t>（分为</w:t>
      </w:r>
      <w:r>
        <w:rPr>
          <w:rFonts w:hint="default" w:ascii="Times New Roman" w:hAnsi="Times New Roman" w:eastAsia="仿宋_GB2312" w:cs="Times New Roman"/>
          <w:b w:val="0"/>
          <w:bCs w:val="0"/>
          <w:color w:val="auto"/>
          <w:spacing w:val="0"/>
          <w:position w:val="0"/>
          <w:sz w:val="32"/>
          <w:szCs w:val="32"/>
        </w:rPr>
        <w:t>买方不申请办理按揭贷款</w:t>
      </w:r>
      <w:r>
        <w:rPr>
          <w:rFonts w:hint="default" w:ascii="Times New Roman" w:hAnsi="Times New Roman" w:eastAsia="仿宋_GB2312" w:cs="Times New Roman"/>
          <w:b w:val="0"/>
          <w:bCs w:val="0"/>
          <w:color w:val="auto"/>
          <w:spacing w:val="0"/>
          <w:position w:val="0"/>
          <w:sz w:val="32"/>
          <w:szCs w:val="32"/>
          <w:lang w:eastAsia="zh-CN"/>
        </w:rPr>
        <w:t>和</w:t>
      </w:r>
      <w:r>
        <w:rPr>
          <w:rFonts w:hint="default" w:ascii="Times New Roman" w:hAnsi="Times New Roman" w:eastAsia="仿宋_GB2312" w:cs="Times New Roman"/>
          <w:b w:val="0"/>
          <w:bCs w:val="0"/>
          <w:color w:val="auto"/>
          <w:spacing w:val="0"/>
          <w:position w:val="0"/>
          <w:sz w:val="32"/>
          <w:szCs w:val="32"/>
        </w:rPr>
        <w:t>买方申请办理按揭贷款</w:t>
      </w:r>
      <w:r>
        <w:rPr>
          <w:rFonts w:hint="default" w:ascii="Times New Roman" w:hAnsi="Times New Roman" w:eastAsia="仿宋_GB2312" w:cs="Times New Roman"/>
          <w:b w:val="0"/>
          <w:bCs w:val="0"/>
          <w:color w:val="auto"/>
          <w:spacing w:val="0"/>
          <w:position w:val="0"/>
          <w:sz w:val="32"/>
          <w:szCs w:val="32"/>
          <w:lang w:eastAsia="zh-CN"/>
        </w:rPr>
        <w:t>两类</w:t>
      </w:r>
      <w:r>
        <w:rPr>
          <w:rFonts w:hint="default" w:ascii="Times New Roman" w:hAnsi="Times New Roman" w:eastAsia="仿宋_GB2312" w:cs="Times New Roman"/>
          <w:b w:val="0"/>
          <w:bCs w:val="0"/>
          <w:color w:val="auto"/>
          <w:spacing w:val="0"/>
          <w:position w:val="0"/>
          <w:sz w:val="32"/>
          <w:szCs w:val="32"/>
          <w:highlight w:val="none"/>
          <w:lang w:eastAsia="zh-CN"/>
        </w:rPr>
        <w:t>）；</w:t>
      </w:r>
    </w:p>
    <w:p w14:paraId="68178988">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第七项明确了</w:t>
      </w:r>
      <w:r>
        <w:rPr>
          <w:rFonts w:hint="default" w:ascii="Times New Roman" w:hAnsi="Times New Roman" w:eastAsia="仿宋_GB2312" w:cs="Times New Roman"/>
          <w:b w:val="0"/>
          <w:bCs w:val="0"/>
          <w:color w:val="auto"/>
          <w:spacing w:val="0"/>
          <w:position w:val="0"/>
          <w:sz w:val="32"/>
          <w:szCs w:val="32"/>
          <w:highlight w:val="none"/>
        </w:rPr>
        <w:t>监管资金划转</w:t>
      </w:r>
      <w:r>
        <w:rPr>
          <w:rFonts w:hint="default" w:ascii="Times New Roman" w:hAnsi="Times New Roman" w:eastAsia="仿宋_GB2312" w:cs="Times New Roman"/>
          <w:b w:val="0"/>
          <w:bCs w:val="0"/>
          <w:color w:val="auto"/>
          <w:spacing w:val="0"/>
          <w:position w:val="0"/>
          <w:sz w:val="32"/>
          <w:szCs w:val="32"/>
          <w:highlight w:val="none"/>
          <w:lang w:eastAsia="zh-CN"/>
        </w:rPr>
        <w:t>的</w:t>
      </w:r>
      <w:r>
        <w:rPr>
          <w:rFonts w:hint="eastAsia" w:ascii="Times New Roman" w:hAnsi="Times New Roman" w:eastAsia="仿宋_GB2312" w:cs="Times New Roman"/>
          <w:b w:val="0"/>
          <w:bCs w:val="0"/>
          <w:color w:val="auto"/>
          <w:spacing w:val="0"/>
          <w:position w:val="0"/>
          <w:sz w:val="32"/>
          <w:szCs w:val="32"/>
          <w:highlight w:val="none"/>
          <w:lang w:eastAsia="zh-CN"/>
        </w:rPr>
        <w:t>方式和</w:t>
      </w:r>
      <w:r>
        <w:rPr>
          <w:rFonts w:hint="default" w:ascii="Times New Roman" w:hAnsi="Times New Roman" w:eastAsia="仿宋_GB2312" w:cs="Times New Roman"/>
          <w:b w:val="0"/>
          <w:bCs w:val="0"/>
          <w:color w:val="auto"/>
          <w:spacing w:val="0"/>
          <w:position w:val="0"/>
          <w:sz w:val="32"/>
          <w:szCs w:val="32"/>
          <w:highlight w:val="none"/>
          <w:lang w:eastAsia="zh-CN"/>
        </w:rPr>
        <w:t>时限；</w:t>
      </w:r>
    </w:p>
    <w:p w14:paraId="50DADF46">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第八项明确了</w:t>
      </w:r>
      <w:r>
        <w:rPr>
          <w:rFonts w:hint="default" w:ascii="Times New Roman" w:hAnsi="Times New Roman" w:eastAsia="仿宋_GB2312" w:cs="Times New Roman"/>
          <w:b w:val="0"/>
          <w:bCs w:val="0"/>
          <w:color w:val="auto"/>
          <w:spacing w:val="0"/>
          <w:position w:val="0"/>
          <w:sz w:val="32"/>
          <w:szCs w:val="32"/>
          <w:highlight w:val="none"/>
        </w:rPr>
        <w:t>《买卖合同》变更涉及房价款内容的，应同时变更《监管协议》相应的内容</w:t>
      </w:r>
      <w:r>
        <w:rPr>
          <w:rFonts w:hint="default" w:ascii="Times New Roman" w:hAnsi="Times New Roman" w:eastAsia="仿宋_GB2312" w:cs="Times New Roman"/>
          <w:b w:val="0"/>
          <w:bCs w:val="0"/>
          <w:color w:val="auto"/>
          <w:spacing w:val="0"/>
          <w:position w:val="0"/>
          <w:sz w:val="32"/>
          <w:szCs w:val="32"/>
          <w:highlight w:val="none"/>
          <w:lang w:eastAsia="zh-CN"/>
        </w:rPr>
        <w:t>；</w:t>
      </w:r>
    </w:p>
    <w:p w14:paraId="5F4B5B7B">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第九项明确了</w:t>
      </w:r>
      <w:r>
        <w:rPr>
          <w:rFonts w:hint="default" w:ascii="Times New Roman" w:hAnsi="Times New Roman" w:eastAsia="仿宋_GB2312" w:cs="Times New Roman"/>
          <w:b w:val="0"/>
          <w:bCs w:val="0"/>
          <w:color w:val="auto"/>
          <w:spacing w:val="0"/>
          <w:position w:val="0"/>
          <w:sz w:val="32"/>
          <w:szCs w:val="32"/>
          <w:highlight w:val="none"/>
        </w:rPr>
        <w:t>交易双方可申请解除交易资金监管</w:t>
      </w:r>
      <w:r>
        <w:rPr>
          <w:rFonts w:hint="default" w:ascii="Times New Roman" w:hAnsi="Times New Roman" w:eastAsia="仿宋_GB2312" w:cs="Times New Roman"/>
          <w:b w:val="0"/>
          <w:bCs w:val="0"/>
          <w:color w:val="auto"/>
          <w:spacing w:val="0"/>
          <w:position w:val="0"/>
          <w:sz w:val="32"/>
          <w:szCs w:val="32"/>
          <w:highlight w:val="none"/>
          <w:lang w:eastAsia="zh-CN"/>
        </w:rPr>
        <w:t>的</w:t>
      </w:r>
      <w:r>
        <w:rPr>
          <w:rFonts w:hint="default" w:ascii="Times New Roman" w:hAnsi="Times New Roman" w:eastAsia="仿宋_GB2312" w:cs="Times New Roman"/>
          <w:b w:val="0"/>
          <w:bCs w:val="0"/>
          <w:color w:val="auto"/>
          <w:spacing w:val="0"/>
          <w:position w:val="0"/>
          <w:sz w:val="32"/>
          <w:szCs w:val="32"/>
          <w:highlight w:val="none"/>
          <w:lang w:val="en-US" w:eastAsia="zh-CN"/>
        </w:rPr>
        <w:t>4类情形以及</w:t>
      </w:r>
      <w:r>
        <w:rPr>
          <w:rFonts w:hint="default" w:ascii="Times New Roman" w:hAnsi="Times New Roman" w:eastAsia="仿宋_GB2312" w:cs="Times New Roman"/>
          <w:b w:val="0"/>
          <w:bCs w:val="0"/>
          <w:color w:val="auto"/>
          <w:spacing w:val="0"/>
          <w:position w:val="0"/>
          <w:sz w:val="32"/>
          <w:szCs w:val="32"/>
          <w:highlight w:val="none"/>
        </w:rPr>
        <w:t>解除交易资金监管</w:t>
      </w:r>
      <w:r>
        <w:rPr>
          <w:rFonts w:hint="default" w:ascii="Times New Roman" w:hAnsi="Times New Roman" w:eastAsia="仿宋_GB2312" w:cs="Times New Roman"/>
          <w:b w:val="0"/>
          <w:bCs w:val="0"/>
          <w:color w:val="auto"/>
          <w:spacing w:val="0"/>
          <w:position w:val="0"/>
          <w:sz w:val="32"/>
          <w:szCs w:val="32"/>
          <w:highlight w:val="none"/>
          <w:lang w:eastAsia="zh-CN"/>
        </w:rPr>
        <w:t>后退回交易资金涉及事项；</w:t>
      </w:r>
    </w:p>
    <w:p w14:paraId="7835B425">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eastAsia="zh-CN"/>
        </w:rPr>
      </w:pPr>
      <w:r>
        <w:rPr>
          <w:rFonts w:hint="default" w:ascii="Times New Roman" w:hAnsi="Times New Roman" w:eastAsia="仿宋_GB2312" w:cs="Times New Roman"/>
          <w:b w:val="0"/>
          <w:bCs w:val="0"/>
          <w:color w:val="auto"/>
          <w:spacing w:val="0"/>
          <w:position w:val="0"/>
          <w:sz w:val="32"/>
          <w:szCs w:val="32"/>
          <w:highlight w:val="none"/>
          <w:lang w:eastAsia="zh-CN"/>
        </w:rPr>
        <w:t>第十项明确了</w:t>
      </w:r>
      <w:r>
        <w:rPr>
          <w:rFonts w:hint="default" w:ascii="Times New Roman" w:hAnsi="Times New Roman" w:eastAsia="仿宋_GB2312" w:cs="Times New Roman"/>
          <w:b w:val="0"/>
          <w:bCs w:val="0"/>
          <w:color w:val="auto"/>
          <w:spacing w:val="0"/>
          <w:position w:val="0"/>
          <w:sz w:val="32"/>
          <w:szCs w:val="32"/>
          <w:highlight w:val="none"/>
        </w:rPr>
        <w:t>交易资金监管账户管理</w:t>
      </w:r>
      <w:r>
        <w:rPr>
          <w:rFonts w:hint="default" w:ascii="Times New Roman" w:hAnsi="Times New Roman" w:eastAsia="仿宋_GB2312" w:cs="Times New Roman"/>
          <w:b w:val="0"/>
          <w:bCs w:val="0"/>
          <w:color w:val="auto"/>
          <w:spacing w:val="0"/>
          <w:position w:val="0"/>
          <w:sz w:val="32"/>
          <w:szCs w:val="32"/>
          <w:highlight w:val="none"/>
          <w:lang w:eastAsia="zh-CN"/>
        </w:rPr>
        <w:t>等内容；</w:t>
      </w:r>
    </w:p>
    <w:p w14:paraId="37BA80DD">
      <w:pPr>
        <w:keepNext w:val="0"/>
        <w:keepLines w:val="0"/>
        <w:pageBreakBefore w:val="0"/>
        <w:widowControl w:val="0"/>
        <w:kinsoku/>
        <w:wordWrap/>
        <w:overflowPunct/>
        <w:topLinePunct/>
        <w:autoSpaceDE/>
        <w:autoSpaceDN/>
        <w:bidi w:val="0"/>
        <w:adjustRightInd/>
        <w:snapToGrid/>
        <w:spacing w:after="0" w:line="560" w:lineRule="exact"/>
        <w:ind w:left="0" w:leftChars="0" w:firstLine="632" w:firstLineChars="200"/>
        <w:jc w:val="both"/>
        <w:textAlignment w:val="auto"/>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pacing w:val="0"/>
          <w:position w:val="0"/>
          <w:sz w:val="32"/>
          <w:szCs w:val="32"/>
          <w:highlight w:val="none"/>
          <w:lang w:eastAsia="zh-CN"/>
        </w:rPr>
        <w:t>第十一项明确了</w:t>
      </w:r>
      <w:r>
        <w:rPr>
          <w:rFonts w:hint="default" w:ascii="Times New Roman" w:hAnsi="Times New Roman" w:eastAsia="仿宋_GB2312" w:cs="Times New Roman"/>
          <w:b w:val="0"/>
          <w:bCs w:val="0"/>
          <w:color w:val="auto"/>
          <w:spacing w:val="0"/>
          <w:position w:val="0"/>
          <w:sz w:val="32"/>
          <w:szCs w:val="32"/>
          <w:highlight w:val="none"/>
        </w:rPr>
        <w:t>房地产经纪机构</w:t>
      </w:r>
      <w:r>
        <w:rPr>
          <w:rFonts w:hint="default" w:ascii="Times New Roman" w:hAnsi="Times New Roman" w:eastAsia="仿宋_GB2312" w:cs="Times New Roman"/>
          <w:b w:val="0"/>
          <w:bCs w:val="0"/>
          <w:color w:val="auto"/>
          <w:spacing w:val="0"/>
          <w:position w:val="0"/>
          <w:sz w:val="32"/>
          <w:szCs w:val="32"/>
          <w:highlight w:val="none"/>
          <w:lang w:eastAsia="zh-CN"/>
        </w:rPr>
        <w:t>及其</w:t>
      </w:r>
      <w:r>
        <w:rPr>
          <w:rFonts w:hint="default" w:ascii="Times New Roman" w:hAnsi="Times New Roman" w:eastAsia="仿宋_GB2312" w:cs="Times New Roman"/>
          <w:b w:val="0"/>
          <w:bCs w:val="0"/>
          <w:color w:val="auto"/>
          <w:spacing w:val="0"/>
          <w:position w:val="0"/>
          <w:sz w:val="32"/>
          <w:szCs w:val="32"/>
          <w:highlight w:val="none"/>
        </w:rPr>
        <w:t>从业人员</w:t>
      </w:r>
      <w:r>
        <w:rPr>
          <w:rFonts w:hint="default"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买卖双方</w:t>
      </w:r>
      <w:r>
        <w:rPr>
          <w:rFonts w:hint="default"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从事存量房交易资金监管的相关职能部门及其工作人员</w:t>
      </w:r>
      <w:r>
        <w:rPr>
          <w:rFonts w:hint="default" w:ascii="Times New Roman" w:hAnsi="Times New Roman" w:eastAsia="仿宋_GB2312" w:cs="Times New Roman"/>
          <w:b w:val="0"/>
          <w:bCs w:val="0"/>
          <w:color w:val="auto"/>
          <w:spacing w:val="0"/>
          <w:position w:val="0"/>
          <w:sz w:val="32"/>
          <w:szCs w:val="32"/>
          <w:highlight w:val="none"/>
          <w:lang w:eastAsia="zh-CN"/>
        </w:rPr>
        <w:t>的法律责任</w:t>
      </w:r>
      <w:r>
        <w:rPr>
          <w:rFonts w:hint="eastAsia" w:cs="Times New Roman"/>
          <w:b w:val="0"/>
          <w:bCs w:val="0"/>
          <w:snapToGrid w:val="0"/>
          <w:color w:val="auto"/>
          <w:spacing w:val="0"/>
          <w:kern w:val="0"/>
          <w:sz w:val="32"/>
          <w:szCs w:val="32"/>
          <w:highlight w:val="none"/>
          <w:lang w:val="en-US" w:eastAsia="zh-CN" w:bidi="ar"/>
        </w:rPr>
        <w:t>；</w:t>
      </w:r>
    </w:p>
    <w:p w14:paraId="19EE37E5">
      <w:pPr>
        <w:keepNext w:val="0"/>
        <w:keepLines w:val="0"/>
        <w:pageBreakBefore w:val="0"/>
        <w:widowControl w:val="0"/>
        <w:kinsoku/>
        <w:wordWrap/>
        <w:overflowPunct/>
        <w:topLinePunct/>
        <w:autoSpaceDE/>
        <w:autoSpaceDN/>
        <w:bidi w:val="0"/>
        <w:adjustRightInd w:val="0"/>
        <w:snapToGrid w:val="0"/>
        <w:spacing w:after="0" w:line="560" w:lineRule="exact"/>
        <w:ind w:left="0" w:leftChars="0" w:firstLine="632" w:firstLineChars="200"/>
        <w:jc w:val="both"/>
        <w:textAlignment w:val="baseline"/>
        <w:rPr>
          <w:rFonts w:hint="default"/>
          <w:color w:val="auto"/>
          <w:lang w:val="en-US" w:eastAsia="zh-CN"/>
        </w:rPr>
      </w:pPr>
      <w:r>
        <w:rPr>
          <w:rFonts w:hint="eastAsia" w:ascii="Times New Roman" w:hAnsi="Times New Roman" w:eastAsia="仿宋_GB2312" w:cs="Times New Roman"/>
          <w:b w:val="0"/>
          <w:bCs w:val="0"/>
          <w:snapToGrid w:val="0"/>
          <w:color w:val="auto"/>
          <w:spacing w:val="0"/>
          <w:kern w:val="0"/>
          <w:sz w:val="32"/>
          <w:szCs w:val="32"/>
          <w:highlight w:val="none"/>
          <w:lang w:val="en-US" w:eastAsia="zh-CN" w:bidi="ar"/>
        </w:rPr>
        <w:t>文本后附</w:t>
      </w:r>
      <w:r>
        <w:rPr>
          <w:rFonts w:hint="default" w:ascii="Times New Roman" w:hAnsi="Times New Roman" w:eastAsia="仿宋_GB2312" w:cs="Times New Roman"/>
          <w:b w:val="0"/>
          <w:bCs w:val="0"/>
          <w:color w:val="auto"/>
          <w:spacing w:val="0"/>
          <w:position w:val="0"/>
          <w:sz w:val="32"/>
          <w:szCs w:val="32"/>
          <w:highlight w:val="none"/>
          <w:lang w:eastAsia="zh-CN"/>
        </w:rPr>
        <w:t>宜良县</w:t>
      </w:r>
      <w:r>
        <w:rPr>
          <w:rFonts w:hint="default" w:ascii="Times New Roman" w:hAnsi="Times New Roman" w:eastAsia="仿宋_GB2312" w:cs="Times New Roman"/>
          <w:b w:val="0"/>
          <w:bCs w:val="0"/>
          <w:color w:val="auto"/>
          <w:spacing w:val="0"/>
          <w:position w:val="0"/>
          <w:sz w:val="32"/>
          <w:szCs w:val="32"/>
          <w:highlight w:val="none"/>
        </w:rPr>
        <w:t>存量房交易资金监管协议</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四方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转移登记完</w:t>
      </w:r>
      <w:r>
        <w:rPr>
          <w:rFonts w:hint="default" w:ascii="Times New Roman" w:hAnsi="Times New Roman" w:eastAsia="仿宋_GB2312" w:cs="Times New Roman"/>
          <w:b w:val="0"/>
          <w:bCs w:val="0"/>
          <w:color w:val="auto"/>
          <w:spacing w:val="0"/>
          <w:position w:val="0"/>
          <w:sz w:val="32"/>
          <w:szCs w:val="32"/>
          <w:highlight w:val="none"/>
        </w:rPr>
        <w:t>成后监管资金划转申请书</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四方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解除存量房交易资金监管申请书</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三方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自愿放弃存量房交易资金监管的声明</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三方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lang w:eastAsia="zh-CN"/>
        </w:rPr>
        <w:t>宜良县</w:t>
      </w:r>
      <w:r>
        <w:rPr>
          <w:rFonts w:hint="default" w:ascii="Times New Roman" w:hAnsi="Times New Roman" w:eastAsia="仿宋_GB2312" w:cs="Times New Roman"/>
          <w:b w:val="0"/>
          <w:bCs w:val="0"/>
          <w:color w:val="auto"/>
          <w:spacing w:val="0"/>
          <w:position w:val="0"/>
          <w:sz w:val="32"/>
          <w:szCs w:val="32"/>
          <w:highlight w:val="none"/>
        </w:rPr>
        <w:t>存量房交易资金监管协议</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三方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转移登记完</w:t>
      </w:r>
      <w:r>
        <w:rPr>
          <w:rFonts w:hint="default" w:ascii="Times New Roman" w:hAnsi="Times New Roman" w:eastAsia="仿宋_GB2312" w:cs="Times New Roman"/>
          <w:b w:val="0"/>
          <w:bCs w:val="0"/>
          <w:color w:val="auto"/>
          <w:spacing w:val="0"/>
          <w:position w:val="0"/>
          <w:sz w:val="32"/>
          <w:szCs w:val="32"/>
          <w:highlight w:val="none"/>
        </w:rPr>
        <w:t>成后监管资金划转申请书</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三方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解除存量房交易资金监管申请书</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双方</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自愿放弃存量房交易资金监管的声明</w:t>
      </w:r>
      <w:r>
        <w:rPr>
          <w:rFonts w:hint="eastAsia" w:ascii="Times New Roman" w:hAnsi="Times New Roman" w:eastAsia="仿宋_GB2312" w:cs="Times New Roman"/>
          <w:b w:val="0"/>
          <w:bCs w:val="0"/>
          <w:color w:val="auto"/>
          <w:spacing w:val="0"/>
          <w:position w:val="0"/>
          <w:sz w:val="32"/>
          <w:szCs w:val="32"/>
          <w:highlight w:val="none"/>
          <w:lang w:eastAsia="zh-CN"/>
        </w:rPr>
        <w:t>（</w:t>
      </w:r>
      <w:r>
        <w:rPr>
          <w:rFonts w:hint="default" w:ascii="Times New Roman" w:hAnsi="Times New Roman" w:eastAsia="仿宋_GB2312" w:cs="Times New Roman"/>
          <w:b w:val="0"/>
          <w:bCs w:val="0"/>
          <w:color w:val="auto"/>
          <w:spacing w:val="0"/>
          <w:position w:val="0"/>
          <w:sz w:val="32"/>
          <w:szCs w:val="32"/>
          <w:highlight w:val="none"/>
        </w:rPr>
        <w:t>双方</w:t>
      </w:r>
      <w:r>
        <w:rPr>
          <w:rFonts w:hint="eastAsia" w:ascii="Times New Roman" w:hAnsi="Times New Roman" w:eastAsia="仿宋_GB2312" w:cs="Times New Roman"/>
          <w:b w:val="0"/>
          <w:bCs w:val="0"/>
          <w:color w:val="auto"/>
          <w:spacing w:val="0"/>
          <w:position w:val="0"/>
          <w:sz w:val="32"/>
          <w:szCs w:val="32"/>
          <w:highlight w:val="none"/>
          <w:lang w:eastAsia="zh-CN"/>
        </w:rPr>
        <w:t>）等</w:t>
      </w:r>
      <w:r>
        <w:rPr>
          <w:rFonts w:hint="eastAsia" w:ascii="Times New Roman" w:hAnsi="Times New Roman" w:eastAsia="仿宋_GB2312" w:cs="Times New Roman"/>
          <w:b w:val="0"/>
          <w:bCs w:val="0"/>
          <w:snapToGrid w:val="0"/>
          <w:color w:val="auto"/>
          <w:spacing w:val="0"/>
          <w:kern w:val="0"/>
          <w:sz w:val="32"/>
          <w:szCs w:val="32"/>
          <w:highlight w:val="none"/>
          <w:lang w:val="en-US" w:eastAsia="zh-CN" w:bidi="ar"/>
        </w:rPr>
        <w:t>8个附件。</w:t>
      </w:r>
      <w:bookmarkStart w:id="0" w:name="_GoBack"/>
      <w:bookmarkEnd w:id="0"/>
    </w:p>
    <w:sectPr>
      <w:footerReference r:id="rId5" w:type="default"/>
      <w:pgSz w:w="11906" w:h="16838"/>
      <w:pgMar w:top="1701" w:right="1474" w:bottom="1134" w:left="1587" w:header="708" w:footer="850"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656D">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A89714">
                <w:pPr>
                  <w:pStyle w:val="5"/>
                  <w:keepNext w:val="0"/>
                  <w:keepLines w:val="0"/>
                  <w:pageBreakBefore w:val="0"/>
                  <w:widowControl/>
                  <w:kinsoku/>
                  <w:wordWrap/>
                  <w:overflowPunct/>
                  <w:topLinePunct w:val="0"/>
                  <w:autoSpaceDE/>
                  <w:autoSpaceDN/>
                  <w:bidi w:val="0"/>
                  <w:adjustRightInd w:val="0"/>
                  <w:snapToGrid w:val="0"/>
                  <w:ind w:left="320" w:leftChars="100" w:right="3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58"/>
  <w:drawingGridVerticalSpacing w:val="29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RiZmEzMmYyZDBhNzhlMGEyNjhmNDYzODNjMDE5MWEifQ=="/>
  </w:docVars>
  <w:rsids>
    <w:rsidRoot w:val="00D31D50"/>
    <w:rsid w:val="00323B43"/>
    <w:rsid w:val="003D37D8"/>
    <w:rsid w:val="00426133"/>
    <w:rsid w:val="004358AB"/>
    <w:rsid w:val="008B7726"/>
    <w:rsid w:val="00D31D50"/>
    <w:rsid w:val="02EB78F5"/>
    <w:rsid w:val="03FD48E9"/>
    <w:rsid w:val="058D37B8"/>
    <w:rsid w:val="060F2551"/>
    <w:rsid w:val="06B65BAF"/>
    <w:rsid w:val="077C1812"/>
    <w:rsid w:val="08430582"/>
    <w:rsid w:val="088C278F"/>
    <w:rsid w:val="09CE25B1"/>
    <w:rsid w:val="0A7D5FCD"/>
    <w:rsid w:val="0B4772EB"/>
    <w:rsid w:val="0B720882"/>
    <w:rsid w:val="0C032502"/>
    <w:rsid w:val="0C081E2D"/>
    <w:rsid w:val="0C106B68"/>
    <w:rsid w:val="0C4A6383"/>
    <w:rsid w:val="0CB669C4"/>
    <w:rsid w:val="0ED7244F"/>
    <w:rsid w:val="0F0742EB"/>
    <w:rsid w:val="104364A2"/>
    <w:rsid w:val="11427629"/>
    <w:rsid w:val="139F6384"/>
    <w:rsid w:val="14213E6D"/>
    <w:rsid w:val="14237B00"/>
    <w:rsid w:val="16A175A1"/>
    <w:rsid w:val="17B20DDC"/>
    <w:rsid w:val="18235277"/>
    <w:rsid w:val="194F6D87"/>
    <w:rsid w:val="19EE47F1"/>
    <w:rsid w:val="19FE07AD"/>
    <w:rsid w:val="1C7F16B6"/>
    <w:rsid w:val="1C8A3C0B"/>
    <w:rsid w:val="1CED1726"/>
    <w:rsid w:val="1D106753"/>
    <w:rsid w:val="1D28001A"/>
    <w:rsid w:val="1DDC778A"/>
    <w:rsid w:val="205B35A8"/>
    <w:rsid w:val="20A164A0"/>
    <w:rsid w:val="223E4FD9"/>
    <w:rsid w:val="23F01D83"/>
    <w:rsid w:val="24E24F53"/>
    <w:rsid w:val="25851CFD"/>
    <w:rsid w:val="26FF2413"/>
    <w:rsid w:val="290355CA"/>
    <w:rsid w:val="2DC01BA9"/>
    <w:rsid w:val="2E697423"/>
    <w:rsid w:val="309230B5"/>
    <w:rsid w:val="3121492E"/>
    <w:rsid w:val="35831E3A"/>
    <w:rsid w:val="35F7491D"/>
    <w:rsid w:val="372908C6"/>
    <w:rsid w:val="383258D7"/>
    <w:rsid w:val="3A84586E"/>
    <w:rsid w:val="3B530501"/>
    <w:rsid w:val="3CF04860"/>
    <w:rsid w:val="3E1D4BFE"/>
    <w:rsid w:val="3FE146FD"/>
    <w:rsid w:val="40A84686"/>
    <w:rsid w:val="431504F2"/>
    <w:rsid w:val="44594825"/>
    <w:rsid w:val="44892815"/>
    <w:rsid w:val="44D72653"/>
    <w:rsid w:val="45062140"/>
    <w:rsid w:val="45A80FDB"/>
    <w:rsid w:val="466A1E85"/>
    <w:rsid w:val="49844E60"/>
    <w:rsid w:val="498F68D5"/>
    <w:rsid w:val="49C820BA"/>
    <w:rsid w:val="4A09316F"/>
    <w:rsid w:val="4A780701"/>
    <w:rsid w:val="4B8F3A59"/>
    <w:rsid w:val="4BEC751C"/>
    <w:rsid w:val="4D8B58D8"/>
    <w:rsid w:val="4DAE5A5A"/>
    <w:rsid w:val="501E6ED7"/>
    <w:rsid w:val="50320D5F"/>
    <w:rsid w:val="51844B18"/>
    <w:rsid w:val="52232583"/>
    <w:rsid w:val="52257263"/>
    <w:rsid w:val="52A3619C"/>
    <w:rsid w:val="52D83CFF"/>
    <w:rsid w:val="52E756D8"/>
    <w:rsid w:val="53465D4B"/>
    <w:rsid w:val="53B611D5"/>
    <w:rsid w:val="53CE29C2"/>
    <w:rsid w:val="54A44E17"/>
    <w:rsid w:val="554A7E27"/>
    <w:rsid w:val="55C1171E"/>
    <w:rsid w:val="55D50038"/>
    <w:rsid w:val="570566FB"/>
    <w:rsid w:val="576056AA"/>
    <w:rsid w:val="59983914"/>
    <w:rsid w:val="5A6E6D04"/>
    <w:rsid w:val="5B3B7F0C"/>
    <w:rsid w:val="5C463A8F"/>
    <w:rsid w:val="5DCD299C"/>
    <w:rsid w:val="5FA727F6"/>
    <w:rsid w:val="624A590A"/>
    <w:rsid w:val="62AD10B2"/>
    <w:rsid w:val="62DF55EA"/>
    <w:rsid w:val="633839B4"/>
    <w:rsid w:val="648C045C"/>
    <w:rsid w:val="67245D52"/>
    <w:rsid w:val="6C536416"/>
    <w:rsid w:val="6D0E47B3"/>
    <w:rsid w:val="6F293623"/>
    <w:rsid w:val="718B4AFC"/>
    <w:rsid w:val="724A3704"/>
    <w:rsid w:val="72807126"/>
    <w:rsid w:val="75332F6F"/>
    <w:rsid w:val="75416D1D"/>
    <w:rsid w:val="75CC75E8"/>
    <w:rsid w:val="76CE0460"/>
    <w:rsid w:val="77EE482F"/>
    <w:rsid w:val="79144124"/>
    <w:rsid w:val="7B664D99"/>
    <w:rsid w:val="7B9652C4"/>
    <w:rsid w:val="7BF00E78"/>
    <w:rsid w:val="7CCD4D16"/>
    <w:rsid w:val="7CDE27C9"/>
    <w:rsid w:val="7DE82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imes New Roman" w:hAnsi="Times New Roman" w:eastAsia="仿宋_GB2312" w:cs="仿宋_GB2312"/>
      <w:color w:val="000000" w:themeColor="text1"/>
      <w:sz w:val="32"/>
      <w:szCs w:val="32"/>
      <w:lang w:val="en-US" w:eastAsia="zh-CN" w:bidi="ar-SA"/>
    </w:rPr>
  </w:style>
  <w:style w:type="paragraph" w:styleId="2">
    <w:name w:val="heading 1"/>
    <w:basedOn w:val="1"/>
    <w:next w:val="1"/>
    <w:autoRedefine/>
    <w:qFormat/>
    <w:uiPriority w:val="1"/>
    <w:pPr>
      <w:autoSpaceDE w:val="0"/>
      <w:autoSpaceDN w:val="0"/>
      <w:adjustRightInd w:val="0"/>
      <w:ind w:left="486"/>
      <w:jc w:val="left"/>
      <w:outlineLvl w:val="0"/>
    </w:pPr>
    <w:rPr>
      <w:rFonts w:ascii="宋体"/>
      <w:kern w:val="0"/>
      <w:sz w:val="42"/>
      <w:szCs w:val="42"/>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autoRedefine/>
    <w:qFormat/>
    <w:uiPriority w:val="22"/>
    <w:rPr>
      <w:b/>
    </w:rPr>
  </w:style>
  <w:style w:type="paragraph" w:customStyle="1" w:styleId="11">
    <w:name w:val="实施方案正文"/>
    <w:basedOn w:val="1"/>
    <w:qFormat/>
    <w:uiPriority w:val="0"/>
    <w:pPr>
      <w:ind w:firstLine="566" w:firstLineChars="202"/>
    </w:pPr>
    <w:rPr>
      <w:rFonts w:ascii="Calibri" w:hAnsi="Calibri" w:eastAsia="宋体"/>
      <w:sz w:val="2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1478</Words>
  <Characters>1515</Characters>
  <Lines>1</Lines>
  <Paragraphs>1</Paragraphs>
  <TotalTime>7</TotalTime>
  <ScaleCrop>false</ScaleCrop>
  <LinksUpToDate>false</LinksUpToDate>
  <CharactersWithSpaces>1515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CW</cp:lastModifiedBy>
  <dcterms:modified xsi:type="dcterms:W3CDTF">2024-09-09T07:44:51Z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EA9209FB0FAE4E2D86FCD8F0B3D079A9_12</vt:lpwstr>
  </property>
</Properties>
</file>