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1FE4B">
      <w:pPr>
        <w:bidi w:val="0"/>
        <w:jc w:val="center"/>
        <w:rPr>
          <w:rFonts w:hint="eastAsia" w:asciiTheme="minorEastAsia" w:hAnsiTheme="minorEastAsia" w:eastAsiaTheme="minorEastAsia" w:cstheme="minorEastAsia"/>
          <w:sz w:val="44"/>
          <w:szCs w:val="44"/>
          <w:lang w:val="en-US" w:eastAsia="zh-CN"/>
        </w:rPr>
      </w:pPr>
    </w:p>
    <w:p w14:paraId="7C1C9FFF">
      <w:pPr>
        <w:bidi w:val="0"/>
        <w:jc w:val="both"/>
        <w:rPr>
          <w:rFonts w:hint="eastAsia" w:asciiTheme="minorEastAsia" w:hAnsiTheme="minorEastAsia" w:eastAsiaTheme="minorEastAsia" w:cstheme="minorEastAsia"/>
          <w:sz w:val="44"/>
          <w:szCs w:val="44"/>
          <w:lang w:val="en-US" w:eastAsia="zh-CN"/>
        </w:rPr>
      </w:pPr>
    </w:p>
    <w:p w14:paraId="6F3BFDA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宜良县住房和城乡建设局</w:t>
      </w:r>
    </w:p>
    <w:p w14:paraId="15F5218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关于印发宜良县住宅专项维修资金续交</w:t>
      </w:r>
    </w:p>
    <w:p w14:paraId="64AB75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实施细则的通知</w:t>
      </w:r>
    </w:p>
    <w:p w14:paraId="5A9DA7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宜住建规〔</w:t>
      </w:r>
      <w:r>
        <w:rPr>
          <w:rFonts w:hint="default" w:ascii="Times New Roman" w:hAnsi="Times New Roman" w:eastAsia="楷体_GB2312" w:cs="Times New Roman"/>
          <w:i w:val="0"/>
          <w:caps w:val="0"/>
          <w:color w:val="333333"/>
          <w:spacing w:val="0"/>
          <w:sz w:val="32"/>
          <w:szCs w:val="32"/>
          <w:shd w:val="clear" w:fill="FFFFFF"/>
          <w:lang w:val="en-US" w:eastAsia="zh-CN"/>
        </w:rPr>
        <w:t>2024</w:t>
      </w:r>
      <w:r>
        <w:rPr>
          <w:rFonts w:hint="eastAsia" w:ascii="楷体_GB2312" w:hAnsi="楷体_GB2312" w:eastAsia="楷体_GB2312" w:cs="楷体_GB2312"/>
          <w:i w:val="0"/>
          <w:caps w:val="0"/>
          <w:color w:val="333333"/>
          <w:spacing w:val="0"/>
          <w:sz w:val="32"/>
          <w:szCs w:val="32"/>
          <w:shd w:val="clear" w:fill="FFFFFF"/>
          <w:lang w:val="en-US" w:eastAsia="zh-CN"/>
        </w:rPr>
        <w:t>〕</w:t>
      </w:r>
      <w:r>
        <w:rPr>
          <w:rFonts w:hint="default" w:ascii="Times New Roman" w:hAnsi="Times New Roman" w:eastAsia="楷体_GB2312" w:cs="Times New Roman"/>
          <w:i w:val="0"/>
          <w:caps w:val="0"/>
          <w:color w:val="333333"/>
          <w:spacing w:val="0"/>
          <w:sz w:val="32"/>
          <w:szCs w:val="32"/>
          <w:shd w:val="clear" w:fill="FFFFFF"/>
          <w:lang w:val="en-US" w:eastAsia="zh-CN"/>
        </w:rPr>
        <w:t>1</w:t>
      </w:r>
      <w:r>
        <w:rPr>
          <w:rFonts w:hint="eastAsia" w:ascii="楷体_GB2312" w:hAnsi="楷体_GB2312" w:eastAsia="楷体_GB2312" w:cs="楷体_GB2312"/>
          <w:i w:val="0"/>
          <w:caps w:val="0"/>
          <w:color w:val="333333"/>
          <w:spacing w:val="0"/>
          <w:sz w:val="32"/>
          <w:szCs w:val="32"/>
          <w:shd w:val="clear" w:fill="FFFFFF"/>
          <w:lang w:val="en-US" w:eastAsia="zh-CN"/>
        </w:rPr>
        <w:t>号</w:t>
      </w:r>
    </w:p>
    <w:p w14:paraId="43CF1342">
      <w:pPr>
        <w:pStyle w:val="11"/>
        <w:rPr>
          <w:rFonts w:hint="eastAsia"/>
          <w:lang w:val="en-US" w:eastAsia="zh-CN"/>
        </w:rPr>
      </w:pPr>
    </w:p>
    <w:p w14:paraId="70D9AC92">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both"/>
        <w:textAlignment w:val="auto"/>
        <w:rPr>
          <w:rFonts w:hint="default" w:ascii="宋体" w:hAnsi="宋体" w:eastAsia="仿宋_GB2312" w:cs="仿宋_GB2312"/>
          <w:snapToGrid w:val="0"/>
          <w:color w:val="000000"/>
          <w:spacing w:val="0"/>
          <w:kern w:val="0"/>
          <w:sz w:val="32"/>
          <w:szCs w:val="32"/>
        </w:rPr>
      </w:pPr>
      <w:r>
        <w:rPr>
          <w:rFonts w:hint="default" w:ascii="宋体" w:hAnsi="宋体" w:eastAsia="仿宋_GB2312" w:cs="仿宋_GB2312"/>
          <w:snapToGrid w:val="0"/>
          <w:color w:val="000000"/>
          <w:spacing w:val="0"/>
          <w:kern w:val="0"/>
          <w:sz w:val="32"/>
          <w:szCs w:val="32"/>
        </w:rPr>
        <w:t>各乡镇（街道）、产业园区、县直各单位、省市垂直管理单位：</w:t>
      </w:r>
    </w:p>
    <w:p w14:paraId="6ADB5A3F">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both"/>
        <w:textAlignment w:val="auto"/>
        <w:rPr>
          <w:rFonts w:hint="default" w:ascii="宋体" w:hAnsi="宋体" w:eastAsia="仿宋_GB2312" w:cs="仿宋_GB2312"/>
          <w:snapToGrid w:val="0"/>
          <w:color w:val="000000"/>
          <w:spacing w:val="0"/>
          <w:kern w:val="0"/>
          <w:sz w:val="32"/>
          <w:szCs w:val="32"/>
        </w:rPr>
      </w:pPr>
      <w:r>
        <w:rPr>
          <w:rFonts w:hint="default" w:ascii="宋体" w:hAnsi="宋体" w:eastAsia="仿宋_GB2312" w:cs="仿宋_GB2312"/>
          <w:snapToGrid w:val="0"/>
          <w:color w:val="000000"/>
          <w:spacing w:val="0"/>
          <w:kern w:val="0"/>
          <w:sz w:val="32"/>
          <w:szCs w:val="32"/>
        </w:rPr>
        <w:t>现将《宜良县住宅专项维修资金续交实施细则》印发给你们，请认真贯彻执行。</w:t>
      </w:r>
    </w:p>
    <w:p w14:paraId="6C493048">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right"/>
        <w:textAlignment w:val="auto"/>
        <w:rPr>
          <w:rFonts w:hint="eastAsia" w:ascii="宋体" w:hAnsi="宋体" w:eastAsia="仿宋_GB2312" w:cs="仿宋_GB2312"/>
          <w:snapToGrid w:val="0"/>
          <w:color w:val="000000"/>
          <w:spacing w:val="0"/>
          <w:kern w:val="0"/>
          <w:sz w:val="32"/>
          <w:szCs w:val="32"/>
          <w:lang w:val="en-US" w:eastAsia="zh-CN"/>
        </w:rPr>
      </w:pPr>
      <w:r>
        <w:rPr>
          <w:rFonts w:hint="eastAsia" w:ascii="宋体" w:hAnsi="宋体" w:eastAsia="仿宋_GB2312" w:cs="仿宋_GB2312"/>
          <w:snapToGrid w:val="0"/>
          <w:color w:val="000000"/>
          <w:spacing w:val="0"/>
          <w:kern w:val="0"/>
          <w:sz w:val="32"/>
          <w:szCs w:val="32"/>
          <w:lang w:val="en-US" w:eastAsia="zh-CN"/>
        </w:rPr>
        <w:t xml:space="preserve"> </w:t>
      </w:r>
    </w:p>
    <w:p w14:paraId="565F6728">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right"/>
        <w:textAlignment w:val="auto"/>
        <w:rPr>
          <w:rFonts w:hint="eastAsia" w:ascii="宋体" w:hAnsi="宋体" w:eastAsia="仿宋_GB2312" w:cs="仿宋_GB2312"/>
          <w:snapToGrid w:val="0"/>
          <w:color w:val="000000"/>
          <w:spacing w:val="0"/>
          <w:kern w:val="0"/>
          <w:sz w:val="32"/>
          <w:szCs w:val="32"/>
          <w:lang w:val="en-US" w:eastAsia="zh-CN"/>
        </w:rPr>
      </w:pPr>
    </w:p>
    <w:p w14:paraId="102EBBFA">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right"/>
        <w:textAlignment w:val="auto"/>
        <w:rPr>
          <w:rFonts w:hint="eastAsia" w:ascii="宋体" w:hAnsi="宋体" w:eastAsia="仿宋_GB2312" w:cs="仿宋_GB2312"/>
          <w:snapToGrid w:val="0"/>
          <w:color w:val="000000"/>
          <w:spacing w:val="0"/>
          <w:kern w:val="0"/>
          <w:sz w:val="32"/>
          <w:szCs w:val="32"/>
          <w:lang w:val="en-US" w:eastAsia="zh-CN"/>
        </w:rPr>
      </w:pPr>
    </w:p>
    <w:p w14:paraId="7F08D160">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right"/>
        <w:textAlignment w:val="auto"/>
        <w:rPr>
          <w:rFonts w:hint="default" w:ascii="宋体" w:hAnsi="宋体" w:eastAsia="仿宋_GB2312" w:cs="仿宋_GB2312"/>
          <w:snapToGrid w:val="0"/>
          <w:color w:val="000000"/>
          <w:spacing w:val="0"/>
          <w:kern w:val="0"/>
          <w:sz w:val="32"/>
          <w:szCs w:val="32"/>
          <w:lang w:val="en-US" w:eastAsia="zh-CN"/>
        </w:rPr>
      </w:pPr>
      <w:r>
        <w:rPr>
          <w:rFonts w:hint="eastAsia" w:ascii="宋体" w:hAnsi="宋体" w:eastAsia="仿宋_GB2312" w:cs="仿宋_GB2312"/>
          <w:snapToGrid w:val="0"/>
          <w:color w:val="000000"/>
          <w:spacing w:val="0"/>
          <w:kern w:val="0"/>
          <w:sz w:val="32"/>
          <w:szCs w:val="32"/>
          <w:lang w:val="en-US" w:eastAsia="zh-CN"/>
        </w:rPr>
        <w:t xml:space="preserve"> 宜良县住房和城乡建设局     </w:t>
      </w:r>
    </w:p>
    <w:p w14:paraId="14A20B68">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right"/>
        <w:textAlignment w:val="auto"/>
        <w:rPr>
          <w:rFonts w:hint="default" w:ascii="宋体" w:hAnsi="宋体" w:eastAsia="仿宋_GB2312" w:cs="仿宋_GB2312"/>
          <w:snapToGrid w:val="0"/>
          <w:color w:val="000000"/>
          <w:spacing w:val="0"/>
          <w:kern w:val="0"/>
          <w:sz w:val="32"/>
          <w:szCs w:val="32"/>
          <w:lang w:val="en-US" w:eastAsia="zh-CN"/>
        </w:rPr>
      </w:pPr>
      <w:r>
        <w:rPr>
          <w:rFonts w:hint="eastAsia" w:ascii="宋体" w:hAnsi="宋体" w:eastAsia="仿宋_GB2312" w:cs="仿宋_GB2312"/>
          <w:snapToGrid w:val="0"/>
          <w:color w:val="000000"/>
          <w:spacing w:val="0"/>
          <w:kern w:val="0"/>
          <w:sz w:val="32"/>
          <w:szCs w:val="32"/>
          <w:lang w:val="en-US" w:eastAsia="zh-CN"/>
        </w:rPr>
        <w:t xml:space="preserve"> </w:t>
      </w:r>
      <w:r>
        <w:rPr>
          <w:rFonts w:hint="default" w:ascii="宋体" w:hAnsi="宋体" w:eastAsia="仿宋_GB2312" w:cs="仿宋_GB2312"/>
          <w:snapToGrid w:val="0"/>
          <w:color w:val="000000"/>
          <w:spacing w:val="0"/>
          <w:kern w:val="0"/>
          <w:sz w:val="32"/>
          <w:szCs w:val="32"/>
        </w:rPr>
        <w:t>20</w:t>
      </w:r>
      <w:r>
        <w:rPr>
          <w:rFonts w:hint="eastAsia" w:ascii="宋体" w:hAnsi="宋体" w:eastAsia="仿宋_GB2312" w:cs="仿宋_GB2312"/>
          <w:snapToGrid w:val="0"/>
          <w:color w:val="000000"/>
          <w:spacing w:val="0"/>
          <w:kern w:val="0"/>
          <w:sz w:val="32"/>
          <w:szCs w:val="32"/>
        </w:rPr>
        <w:t>2</w:t>
      </w:r>
      <w:r>
        <w:rPr>
          <w:rFonts w:hint="eastAsia" w:ascii="宋体" w:hAnsi="宋体" w:eastAsia="仿宋_GB2312" w:cs="仿宋_GB2312"/>
          <w:snapToGrid w:val="0"/>
          <w:color w:val="000000"/>
          <w:spacing w:val="0"/>
          <w:kern w:val="0"/>
          <w:sz w:val="32"/>
          <w:szCs w:val="32"/>
          <w:lang w:val="en-US" w:eastAsia="zh-CN"/>
        </w:rPr>
        <w:t>4</w:t>
      </w:r>
      <w:r>
        <w:rPr>
          <w:rFonts w:hint="default" w:ascii="宋体" w:hAnsi="宋体" w:eastAsia="仿宋_GB2312" w:cs="仿宋_GB2312"/>
          <w:snapToGrid w:val="0"/>
          <w:color w:val="000000"/>
          <w:spacing w:val="0"/>
          <w:kern w:val="0"/>
          <w:sz w:val="32"/>
          <w:szCs w:val="32"/>
        </w:rPr>
        <w:t>年</w:t>
      </w:r>
      <w:r>
        <w:rPr>
          <w:rFonts w:hint="eastAsia" w:ascii="宋体" w:hAnsi="宋体" w:eastAsia="仿宋_GB2312" w:cs="仿宋_GB2312"/>
          <w:snapToGrid w:val="0"/>
          <w:color w:val="000000"/>
          <w:spacing w:val="0"/>
          <w:kern w:val="0"/>
          <w:sz w:val="32"/>
          <w:szCs w:val="32"/>
          <w:lang w:val="en-US" w:eastAsia="zh-CN"/>
        </w:rPr>
        <w:t>7</w:t>
      </w:r>
      <w:r>
        <w:rPr>
          <w:rFonts w:hint="default" w:ascii="宋体" w:hAnsi="宋体" w:eastAsia="仿宋_GB2312" w:cs="仿宋_GB2312"/>
          <w:snapToGrid w:val="0"/>
          <w:color w:val="000000"/>
          <w:spacing w:val="0"/>
          <w:kern w:val="0"/>
          <w:sz w:val="32"/>
          <w:szCs w:val="32"/>
        </w:rPr>
        <w:t>月</w:t>
      </w:r>
      <w:r>
        <w:rPr>
          <w:rFonts w:hint="eastAsia" w:ascii="宋体" w:hAnsi="宋体" w:eastAsia="仿宋_GB2312" w:cs="仿宋_GB2312"/>
          <w:snapToGrid w:val="0"/>
          <w:color w:val="000000"/>
          <w:spacing w:val="0"/>
          <w:kern w:val="0"/>
          <w:sz w:val="32"/>
          <w:szCs w:val="32"/>
          <w:lang w:val="en-US" w:eastAsia="zh-CN"/>
        </w:rPr>
        <w:t>29</w:t>
      </w:r>
      <w:r>
        <w:rPr>
          <w:rFonts w:hint="default" w:ascii="宋体" w:hAnsi="宋体" w:eastAsia="仿宋_GB2312" w:cs="仿宋_GB2312"/>
          <w:snapToGrid w:val="0"/>
          <w:color w:val="000000"/>
          <w:spacing w:val="0"/>
          <w:kern w:val="0"/>
          <w:sz w:val="32"/>
          <w:szCs w:val="32"/>
        </w:rPr>
        <w:t>日</w:t>
      </w:r>
      <w:r>
        <w:rPr>
          <w:rFonts w:hint="eastAsia" w:ascii="宋体" w:hAnsi="宋体" w:eastAsia="仿宋_GB2312" w:cs="仿宋_GB2312"/>
          <w:snapToGrid w:val="0"/>
          <w:color w:val="000000"/>
          <w:spacing w:val="0"/>
          <w:kern w:val="0"/>
          <w:sz w:val="32"/>
          <w:szCs w:val="32"/>
          <w:lang w:val="en-US" w:eastAsia="zh-CN"/>
        </w:rPr>
        <w:t xml:space="preserve">        </w:t>
      </w:r>
    </w:p>
    <w:p w14:paraId="07C0922A">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both"/>
        <w:textAlignment w:val="auto"/>
        <w:rPr>
          <w:rFonts w:hint="eastAsia" w:ascii="宋体" w:hAnsi="宋体" w:eastAsia="仿宋_GB2312" w:cs="仿宋_GB2312"/>
          <w:snapToGrid w:val="0"/>
          <w:color w:val="000000"/>
          <w:spacing w:val="0"/>
          <w:kern w:val="0"/>
          <w:sz w:val="32"/>
          <w:szCs w:val="32"/>
        </w:rPr>
      </w:pPr>
      <w:r>
        <w:rPr>
          <w:rFonts w:hint="eastAsia" w:ascii="宋体" w:hAnsi="宋体" w:eastAsia="仿宋_GB2312" w:cs="仿宋_GB2312"/>
          <w:snapToGrid w:val="0"/>
          <w:color w:val="000000"/>
          <w:spacing w:val="0"/>
          <w:kern w:val="0"/>
          <w:sz w:val="32"/>
          <w:szCs w:val="32"/>
          <w:lang w:val="en-US" w:eastAsia="zh-CN"/>
        </w:rPr>
        <w:t>（此件公开发布）</w:t>
      </w:r>
    </w:p>
    <w:p w14:paraId="26915C97">
      <w:pPr>
        <w:keepNext w:val="0"/>
        <w:keepLines w:val="0"/>
        <w:pageBreakBefore w:val="0"/>
        <w:widowControl w:val="0"/>
        <w:kinsoku/>
        <w:wordWrap/>
        <w:overflowPunct/>
        <w:topLinePunct/>
        <w:autoSpaceDE w:val="0"/>
        <w:autoSpaceDN/>
        <w:bidi w:val="0"/>
        <w:adjustRightInd w:val="0"/>
        <w:snapToGrid w:val="0"/>
        <w:spacing w:after="0" w:line="560" w:lineRule="exact"/>
        <w:ind w:left="0" w:firstLine="640" w:firstLineChars="200"/>
        <w:jc w:val="both"/>
        <w:textAlignment w:val="auto"/>
        <w:rPr>
          <w:rFonts w:hint="eastAsia" w:ascii="宋体" w:hAnsi="宋体" w:eastAsia="仿宋_GB2312" w:cs="仿宋_GB2312"/>
          <w:snapToGrid w:val="0"/>
          <w:color w:val="000000"/>
          <w:spacing w:val="0"/>
          <w:kern w:val="0"/>
          <w:sz w:val="32"/>
          <w:szCs w:val="32"/>
        </w:rPr>
      </w:pPr>
    </w:p>
    <w:p w14:paraId="1C3BD25B">
      <w:pPr>
        <w:keepNext w:val="0"/>
        <w:keepLines w:val="0"/>
        <w:pageBreakBefore w:val="0"/>
        <w:widowControl w:val="0"/>
        <w:kinsoku/>
        <w:wordWrap w:val="0"/>
        <w:overflowPunct/>
        <w:topLinePunct/>
        <w:autoSpaceDE w:val="0"/>
        <w:autoSpaceDN/>
        <w:bidi w:val="0"/>
        <w:adjustRightInd w:val="0"/>
        <w:snapToGrid w:val="0"/>
        <w:spacing w:after="0" w:line="560" w:lineRule="exact"/>
        <w:ind w:left="0" w:leftChars="0" w:right="0" w:rightChars="0" w:firstLine="0" w:firstLineChars="0"/>
        <w:jc w:val="right"/>
        <w:textAlignment w:val="auto"/>
        <w:rPr>
          <w:rFonts w:hint="eastAsia" w:ascii="宋体" w:hAnsi="宋体" w:eastAsia="仿宋_GB2312" w:cs="仿宋_GB2312"/>
          <w:color w:val="000000"/>
          <w:spacing w:val="0"/>
          <w:sz w:val="32"/>
          <w:szCs w:val="32"/>
        </w:rPr>
      </w:pPr>
    </w:p>
    <w:p w14:paraId="2150E9B6">
      <w:pPr>
        <w:keepNext w:val="0"/>
        <w:keepLines w:val="0"/>
        <w:pageBreakBefore w:val="0"/>
        <w:widowControl w:val="0"/>
        <w:kinsoku/>
        <w:wordWrap w:val="0"/>
        <w:overflowPunct/>
        <w:topLinePunct/>
        <w:autoSpaceDE w:val="0"/>
        <w:autoSpaceDN/>
        <w:bidi w:val="0"/>
        <w:adjustRightInd w:val="0"/>
        <w:snapToGrid w:val="0"/>
        <w:spacing w:after="0" w:line="560" w:lineRule="exact"/>
        <w:ind w:left="0" w:leftChars="0" w:right="0" w:rightChars="0" w:firstLine="0" w:firstLineChars="0"/>
        <w:jc w:val="right"/>
        <w:textAlignment w:val="auto"/>
        <w:rPr>
          <w:rFonts w:hint="eastAsia" w:ascii="宋体" w:hAnsi="宋体" w:eastAsia="仿宋_GB2312" w:cs="仿宋_GB2312"/>
          <w:color w:val="000000"/>
          <w:spacing w:val="0"/>
          <w:sz w:val="32"/>
          <w:szCs w:val="32"/>
        </w:rPr>
      </w:pPr>
    </w:p>
    <w:p w14:paraId="4DD47478">
      <w:pPr>
        <w:keepNext w:val="0"/>
        <w:keepLines w:val="0"/>
        <w:pageBreakBefore w:val="0"/>
        <w:widowControl w:val="0"/>
        <w:kinsoku/>
        <w:wordWrap/>
        <w:overflowPunct/>
        <w:topLinePunct/>
        <w:autoSpaceDE w:val="0"/>
        <w:autoSpaceDN/>
        <w:bidi w:val="0"/>
        <w:adjustRightInd w:val="0"/>
        <w:snapToGrid w:val="0"/>
        <w:spacing w:after="0" w:line="560" w:lineRule="exact"/>
        <w:ind w:left="0" w:leftChars="0" w:right="0" w:rightChars="0" w:firstLine="0" w:firstLineChars="0"/>
        <w:jc w:val="right"/>
        <w:textAlignment w:val="auto"/>
        <w:rPr>
          <w:rFonts w:hint="eastAsia" w:ascii="宋体" w:hAnsi="宋体" w:eastAsia="仿宋_GB2312" w:cs="仿宋_GB2312"/>
          <w:color w:val="000000"/>
          <w:spacing w:val="0"/>
          <w:sz w:val="32"/>
          <w:szCs w:val="32"/>
        </w:rPr>
      </w:pPr>
    </w:p>
    <w:p w14:paraId="46F8F3CC">
      <w:pPr>
        <w:keepNext w:val="0"/>
        <w:keepLines w:val="0"/>
        <w:pageBreakBefore w:val="0"/>
        <w:widowControl/>
        <w:kinsoku/>
        <w:wordWrap/>
        <w:overflowPunct/>
        <w:autoSpaceDE/>
        <w:autoSpaceDN/>
        <w:bidi w:val="0"/>
        <w:adjustRightInd w:val="0"/>
        <w:snapToGrid w:val="0"/>
        <w:spacing w:after="0" w:line="560" w:lineRule="exact"/>
        <w:ind w:left="0" w:leftChars="0" w:right="0" w:rightChars="0"/>
        <w:jc w:val="center"/>
        <w:textAlignment w:val="auto"/>
        <w:outlineLvl w:val="0"/>
        <w:rPr>
          <w:rFonts w:hint="eastAsia" w:ascii="方正小标宋简体" w:hAnsi="方正小标宋简体" w:eastAsia="方正小标宋简体" w:cs="方正小标宋简体"/>
          <w:b w:val="0"/>
          <w:bCs w:val="0"/>
          <w:snapToGrid w:val="0"/>
          <w:kern w:val="0"/>
          <w:sz w:val="44"/>
          <w:szCs w:val="44"/>
          <w:lang w:val="en-US" w:eastAsia="zh-CN"/>
        </w:rPr>
      </w:pPr>
    </w:p>
    <w:p w14:paraId="38A419A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color w:val="auto"/>
          <w:kern w:val="2"/>
          <w:sz w:val="44"/>
          <w:szCs w:val="44"/>
          <w:lang w:val="en-US" w:eastAsia="zh-CN" w:bidi="ar-SA"/>
        </w:rPr>
      </w:pPr>
      <w:r>
        <w:rPr>
          <w:rFonts w:hint="eastAsia" w:asciiTheme="minorEastAsia" w:hAnsiTheme="minorEastAsia" w:eastAsiaTheme="minorEastAsia" w:cstheme="minorEastAsia"/>
          <w:color w:val="auto"/>
          <w:kern w:val="2"/>
          <w:sz w:val="44"/>
          <w:szCs w:val="44"/>
          <w:lang w:val="en-US" w:eastAsia="zh-CN" w:bidi="ar-SA"/>
        </w:rPr>
        <w:t>宜良县住宅专项维修资金续交实施细则</w:t>
      </w:r>
    </w:p>
    <w:p w14:paraId="3DDF7476">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3" w:firstLineChars="200"/>
        <w:textAlignment w:val="auto"/>
        <w:rPr>
          <w:rFonts w:hint="eastAsia" w:ascii="Times New Roman" w:hAnsi="Times New Roman" w:cs="Times New Roman"/>
          <w:b/>
          <w:bCs/>
          <w:snapToGrid w:val="0"/>
          <w:spacing w:val="0"/>
          <w:kern w:val="0"/>
          <w:sz w:val="32"/>
          <w:szCs w:val="32"/>
          <w:lang w:val="en-US" w:eastAsia="zh-CN" w:bidi="ar"/>
        </w:rPr>
      </w:pPr>
    </w:p>
    <w:p w14:paraId="361FCABA">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spacing w:val="0"/>
          <w:kern w:val="0"/>
          <w:sz w:val="32"/>
          <w:szCs w:val="32"/>
          <w:lang w:val="en-US" w:eastAsia="zh-CN" w:bidi="ar"/>
        </w:rPr>
      </w:pPr>
      <w:r>
        <w:rPr>
          <w:rFonts w:hint="eastAsia" w:ascii="黑体" w:hAnsi="黑体" w:eastAsia="黑体" w:cs="黑体"/>
          <w:b w:val="0"/>
          <w:bCs w:val="0"/>
          <w:snapToGrid w:val="0"/>
          <w:spacing w:val="0"/>
          <w:kern w:val="0"/>
          <w:sz w:val="32"/>
          <w:szCs w:val="32"/>
          <w:lang w:val="en-US" w:eastAsia="zh-CN" w:bidi="ar"/>
        </w:rPr>
        <w:t>第一条</w:t>
      </w:r>
      <w:r>
        <w:rPr>
          <w:rFonts w:hint="eastAsia" w:ascii="Times New Roman" w:hAnsi="Times New Roman" w:cs="Times New Roman"/>
          <w:b w:val="0"/>
          <w:bCs w:val="0"/>
          <w:snapToGrid w:val="0"/>
          <w:spacing w:val="0"/>
          <w:kern w:val="0"/>
          <w:sz w:val="32"/>
          <w:szCs w:val="32"/>
          <w:lang w:val="en-US" w:eastAsia="zh-CN" w:bidi="ar"/>
        </w:rPr>
        <w:t xml:space="preserve">  </w:t>
      </w:r>
      <w:r>
        <w:rPr>
          <w:rFonts w:hint="eastAsia" w:ascii="仿宋_GB2312" w:hAnsi="仿宋_GB2312" w:eastAsia="仿宋_GB2312" w:cs="仿宋_GB2312"/>
          <w:b w:val="0"/>
          <w:bCs w:val="0"/>
          <w:snapToGrid w:val="0"/>
          <w:spacing w:val="0"/>
          <w:kern w:val="0"/>
          <w:sz w:val="32"/>
          <w:szCs w:val="32"/>
          <w:lang w:val="en-US" w:eastAsia="zh-CN" w:bidi="ar"/>
        </w:rPr>
        <w:t>为规范宜良县住宅专项维修资金（以下简称“维修资金”）续交管理工作，保障住宅共用部位、共用设施设备维修和正常使用，维护业主合法权益，根据《住宅专项维修资金管理办法》等有关规定，结合本县实际，制定本实施细则。</w:t>
      </w:r>
    </w:p>
    <w:p w14:paraId="6ECEA2FE">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spacing w:val="0"/>
          <w:kern w:val="0"/>
          <w:sz w:val="32"/>
          <w:szCs w:val="32"/>
          <w:lang w:val="en-US" w:eastAsia="zh-CN" w:bidi="ar"/>
        </w:rPr>
      </w:pPr>
      <w:r>
        <w:rPr>
          <w:rFonts w:hint="eastAsia" w:ascii="黑体" w:hAnsi="黑体" w:eastAsia="黑体" w:cs="黑体"/>
          <w:b w:val="0"/>
          <w:bCs w:val="0"/>
          <w:snapToGrid w:val="0"/>
          <w:spacing w:val="0"/>
          <w:kern w:val="0"/>
          <w:sz w:val="32"/>
          <w:szCs w:val="32"/>
          <w:lang w:val="en-US" w:eastAsia="zh-CN" w:bidi="ar"/>
        </w:rPr>
        <w:t>第二条</w:t>
      </w:r>
      <w:r>
        <w:rPr>
          <w:rFonts w:hint="eastAsia" w:ascii="Times New Roman" w:hAnsi="Times New Roman" w:cs="Times New Roman"/>
          <w:b w:val="0"/>
          <w:bCs w:val="0"/>
          <w:snapToGrid w:val="0"/>
          <w:spacing w:val="0"/>
          <w:kern w:val="0"/>
          <w:sz w:val="32"/>
          <w:szCs w:val="32"/>
          <w:lang w:val="en-US" w:eastAsia="zh-CN" w:bidi="ar"/>
        </w:rPr>
        <w:t xml:space="preserve">  </w:t>
      </w:r>
      <w:r>
        <w:rPr>
          <w:rFonts w:hint="eastAsia" w:ascii="仿宋_GB2312" w:hAnsi="仿宋_GB2312" w:eastAsia="仿宋_GB2312" w:cs="仿宋_GB2312"/>
          <w:b w:val="0"/>
          <w:bCs w:val="0"/>
          <w:snapToGrid w:val="0"/>
          <w:spacing w:val="0"/>
          <w:kern w:val="0"/>
          <w:sz w:val="32"/>
          <w:szCs w:val="32"/>
          <w:lang w:val="en-US" w:eastAsia="zh-CN" w:bidi="ar"/>
        </w:rPr>
        <w:t>宜良县主城行政区</w:t>
      </w:r>
      <w:bookmarkStart w:id="0" w:name="_GoBack"/>
      <w:bookmarkEnd w:id="0"/>
      <w:r>
        <w:rPr>
          <w:rFonts w:hint="eastAsia" w:ascii="仿宋_GB2312" w:hAnsi="仿宋_GB2312" w:eastAsia="仿宋_GB2312" w:cs="仿宋_GB2312"/>
          <w:b w:val="0"/>
          <w:bCs w:val="0"/>
          <w:snapToGrid w:val="0"/>
          <w:spacing w:val="0"/>
          <w:kern w:val="0"/>
          <w:sz w:val="32"/>
          <w:szCs w:val="32"/>
          <w:lang w:val="en-US" w:eastAsia="zh-CN" w:bidi="ar"/>
        </w:rPr>
        <w:t>域内住宅维修资金续交适用本细则。</w:t>
      </w:r>
    </w:p>
    <w:p w14:paraId="4D774558">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spacing w:val="0"/>
          <w:kern w:val="0"/>
          <w:sz w:val="32"/>
          <w:szCs w:val="32"/>
          <w:lang w:val="en-US" w:eastAsia="zh-CN" w:bidi="ar"/>
        </w:rPr>
      </w:pPr>
      <w:r>
        <w:rPr>
          <w:rFonts w:hint="eastAsia" w:ascii="仿宋_GB2312" w:hAnsi="仿宋_GB2312" w:eastAsia="仿宋_GB2312" w:cs="仿宋_GB2312"/>
          <w:b w:val="0"/>
          <w:bCs w:val="0"/>
          <w:snapToGrid w:val="0"/>
          <w:spacing w:val="0"/>
          <w:kern w:val="0"/>
          <w:sz w:val="32"/>
          <w:szCs w:val="32"/>
          <w:lang w:val="en-US" w:eastAsia="zh-CN" w:bidi="ar"/>
        </w:rPr>
        <w:t>本细则维修资金续交，是指物业管理区域内房屋首期维修资金已交存到县住建局指定专户；因物业管理区域内住宅共用部位、共用设施设备维修、更新或改造需要，根据物业服务企业、业主委员会等使用资金申请，经县住建局审核拨付使用维修资金后，相关房屋户门号分户账面维修资金余额已不足首期交存额30%（含）的，由业主按约定方式续交维修资金的活动。</w:t>
      </w:r>
    </w:p>
    <w:p w14:paraId="2843FB60">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spacing w:val="0"/>
          <w:kern w:val="0"/>
          <w:sz w:val="32"/>
          <w:szCs w:val="32"/>
          <w:lang w:val="en-US" w:eastAsia="zh-CN" w:bidi="ar"/>
        </w:rPr>
        <w:t>第三条</w:t>
      </w:r>
      <w:r>
        <w:rPr>
          <w:rFonts w:hint="eastAsia" w:ascii="仿宋_GB2312" w:hAnsi="仿宋_GB2312" w:eastAsia="仿宋_GB2312" w:cs="仿宋_GB2312"/>
          <w:b w:val="0"/>
          <w:bCs w:val="0"/>
          <w:snapToGrid w:val="0"/>
          <w:spacing w:val="0"/>
          <w:kern w:val="0"/>
          <w:sz w:val="32"/>
          <w:szCs w:val="32"/>
          <w:lang w:val="en-US" w:eastAsia="zh-CN" w:bidi="ar"/>
        </w:rPr>
        <w:t xml:space="preserve">  县住建局对宜良县维修资金续交工作进行监督</w:t>
      </w:r>
      <w:r>
        <w:rPr>
          <w:rFonts w:hint="eastAsia" w:ascii="仿宋_GB2312" w:hAnsi="仿宋_GB2312" w:eastAsia="仿宋_GB2312" w:cs="仿宋_GB2312"/>
          <w:b w:val="0"/>
          <w:bCs w:val="0"/>
          <w:snapToGrid w:val="0"/>
          <w:color w:val="auto"/>
          <w:spacing w:val="0"/>
          <w:kern w:val="0"/>
          <w:sz w:val="32"/>
          <w:szCs w:val="32"/>
          <w:lang w:val="en-US" w:eastAsia="zh-CN" w:bidi="ar"/>
        </w:rPr>
        <w:t>指导。</w:t>
      </w:r>
    </w:p>
    <w:p w14:paraId="10C6998E">
      <w:pPr>
        <w:keepNext w:val="0"/>
        <w:keepLines w:val="0"/>
        <w:pageBreakBefore w:val="0"/>
        <w:widowControl w:val="0"/>
        <w:numPr>
          <w:ilvl w:val="0"/>
          <w:numId w:val="0"/>
        </w:numPr>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Times New Roman" w:hAnsi="Times New Roman" w:cs="Times New Roman"/>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第四条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物业管理区域内房屋户门号分户账面维修资金余额不足首期交存额30%的，应当及时续交。</w:t>
      </w:r>
    </w:p>
    <w:p w14:paraId="0CD75F64">
      <w:pPr>
        <w:keepNext w:val="0"/>
        <w:keepLines w:val="0"/>
        <w:pageBreakBefore w:val="0"/>
        <w:widowControl w:val="0"/>
        <w:numPr>
          <w:ilvl w:val="0"/>
          <w:numId w:val="0"/>
        </w:numPr>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Times New Roman" w:hAnsi="Times New Roman" w:cs="Times New Roman"/>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 xml:space="preserve">第五条 </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物业管理区域内发生房屋户门号分户账面余额不足首期交存额30%的，由县住建局将首期交存维修资金金额、分户账面维修资金余额等信息在小区内显著位置公示，告知相关业主、物业服务企业；已成立业主大会选举业主委员会的，同时告知业主委员会。</w:t>
      </w:r>
    </w:p>
    <w:p w14:paraId="6778C181">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第六条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 xml:space="preserve"> 维修资金续交工作按本物业管理区域续交方案实施；续交方案应当明确维修资金续交义务人、续交标准、续交方式、续交时限等内容：</w:t>
      </w:r>
    </w:p>
    <w:p w14:paraId="2160B952">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仿宋_GB2312" w:hAnsi="仿宋_GB2312" w:eastAsia="仿宋_GB2312" w:cs="仿宋_GB2312"/>
          <w:b w:val="0"/>
          <w:bCs w:val="0"/>
          <w:snapToGrid w:val="0"/>
          <w:color w:val="auto"/>
          <w:spacing w:val="0"/>
          <w:kern w:val="0"/>
          <w:sz w:val="32"/>
          <w:szCs w:val="32"/>
          <w:lang w:val="en-US" w:eastAsia="zh-CN" w:bidi="ar"/>
        </w:rPr>
        <w:t>（一）已成立业主委员会的，续交方案由业主委员会提出，由业主大会决定；</w:t>
      </w:r>
    </w:p>
    <w:p w14:paraId="32E00185">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仿宋_GB2312" w:hAnsi="仿宋_GB2312" w:eastAsia="仿宋_GB2312" w:cs="仿宋_GB2312"/>
          <w:b w:val="0"/>
          <w:bCs w:val="0"/>
          <w:snapToGrid w:val="0"/>
          <w:color w:val="auto"/>
          <w:spacing w:val="0"/>
          <w:kern w:val="0"/>
          <w:sz w:val="32"/>
          <w:szCs w:val="32"/>
          <w:lang w:val="en-US" w:eastAsia="zh-CN" w:bidi="ar"/>
        </w:rPr>
        <w:t>（二）未成立业主大会或者已成立业主大会但未选举业主委员会的，续交方案由物业服务企业或相关业主提出，交由业主共同决定。</w:t>
      </w:r>
    </w:p>
    <w:p w14:paraId="2DC1E120">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仿宋_GB2312" w:hAnsi="仿宋_GB2312" w:eastAsia="仿宋_GB2312" w:cs="仿宋_GB2312"/>
          <w:b w:val="0"/>
          <w:bCs w:val="0"/>
          <w:snapToGrid w:val="0"/>
          <w:color w:val="auto"/>
          <w:spacing w:val="0"/>
          <w:kern w:val="0"/>
          <w:sz w:val="32"/>
          <w:szCs w:val="32"/>
          <w:lang w:val="en-US" w:eastAsia="zh-CN" w:bidi="ar"/>
        </w:rPr>
        <w:t>续交标准可以结合本物业管理区域内住宅共用部位、共用设施设备的完好程度及使用管理等情况，以及结合今后对该住宅共用部位、共用设施设备的维修、更新或改造的需要，由业主大会决定或者由业主共同决定。但维修资金余额加上续交资金不得低于首期归集维修资金金额的70%。</w:t>
      </w:r>
    </w:p>
    <w:p w14:paraId="53D4394D">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仿宋_GB2312" w:hAnsi="仿宋_GB2312" w:eastAsia="仿宋_GB2312" w:cs="仿宋_GB2312"/>
          <w:b w:val="0"/>
          <w:bCs w:val="0"/>
          <w:snapToGrid w:val="0"/>
          <w:color w:val="auto"/>
          <w:spacing w:val="0"/>
          <w:kern w:val="0"/>
          <w:sz w:val="32"/>
          <w:szCs w:val="32"/>
          <w:lang w:val="en-US" w:eastAsia="zh-CN" w:bidi="ar"/>
        </w:rPr>
        <w:t>续交方案由专有部分面积占比3/4以上的业主且人数占比3/4以上的业主参与表决，并经参与表决专有部分面积3/4以上的业主且参与表决人数3/4以上的业主同意。</w:t>
      </w:r>
    </w:p>
    <w:p w14:paraId="2D757AFA">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第七条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未制定本物业管理区域维修资金续交方案的，也可直接由业主按自拥有房屋首期住宅维修资金交存标准续交。</w:t>
      </w:r>
    </w:p>
    <w:p w14:paraId="7772927E">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第八条</w:t>
      </w:r>
      <w:r>
        <w:rPr>
          <w:rFonts w:hint="eastAsia" w:ascii="仿宋_GB2312" w:hAnsi="仿宋_GB2312" w:eastAsia="仿宋_GB2312" w:cs="仿宋_GB2312"/>
          <w:b w:val="0"/>
          <w:bCs w:val="0"/>
          <w:snapToGrid w:val="0"/>
          <w:color w:val="auto"/>
          <w:spacing w:val="0"/>
          <w:kern w:val="0"/>
          <w:sz w:val="32"/>
          <w:szCs w:val="32"/>
          <w:lang w:val="en-US" w:eastAsia="zh-CN" w:bidi="ar"/>
        </w:rPr>
        <w:t xml:space="preserve">  续交方案已确定维修资金续交标准或直接按首期住宅维修资金交存标准的，由相关房屋业主持身份证件、房屋权属证书等材料，向县住建局指定专户管理银行交存。</w:t>
      </w:r>
    </w:p>
    <w:p w14:paraId="57E8AC83">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Times New Roman" w:hAnsi="Times New Roman" w:cs="Times New Roman"/>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第九条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利用本物业管理区域内业主的公共收益转作为维修资金的，按照相关业主专有部分面积所占比例确定并分配给相应房屋户门号分户账进行管理</w:t>
      </w:r>
      <w:r>
        <w:rPr>
          <w:rFonts w:hint="eastAsia" w:ascii="Times New Roman" w:hAnsi="Times New Roman" w:cs="Times New Roman"/>
          <w:b w:val="0"/>
          <w:bCs w:val="0"/>
          <w:snapToGrid w:val="0"/>
          <w:color w:val="auto"/>
          <w:spacing w:val="0"/>
          <w:kern w:val="0"/>
          <w:sz w:val="32"/>
          <w:szCs w:val="32"/>
          <w:lang w:val="en-US" w:eastAsia="zh-CN" w:bidi="ar"/>
        </w:rPr>
        <w:t>。</w:t>
      </w:r>
    </w:p>
    <w:p w14:paraId="630AD495">
      <w:pPr>
        <w:keepNext w:val="0"/>
        <w:keepLines w:val="0"/>
        <w:pageBreakBefore w:val="0"/>
        <w:widowControl w:val="0"/>
        <w:numPr>
          <w:ilvl w:val="0"/>
          <w:numId w:val="0"/>
        </w:numPr>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Times New Roman" w:hAnsi="Times New Roman" w:cs="Times New Roman"/>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第十条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专户管理银行收到续交的维修资金后，应当向续交人出具维修资金专用票据。</w:t>
      </w:r>
    </w:p>
    <w:p w14:paraId="6C1F47E7">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 xml:space="preserve">第十一条 </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房屋所有权转让，依规向专户管理银行办理房屋户门号分户账更名手续后，发生本办法第四条规定情形的，应当按照本细则及有关规定及时续交。</w:t>
      </w:r>
    </w:p>
    <w:p w14:paraId="27026203">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Times New Roman" w:hAnsi="Times New Roman" w:cs="Times New Roman"/>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第十二条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维修资金续交后的专户存储、使用监督等管理工作，按《住宅专项维修资金管理办法》及有关规定执行。</w:t>
      </w:r>
    </w:p>
    <w:p w14:paraId="40CBEFDD">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第十三条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业主委员会、物业服务企业依规配合县住建局做好本物业管理区域维修资金续交相关工作。业主拒不按本细则第六条、第七条规定的续交方案及标准续交维修资金的，业主委员会应督促其限期交纳。</w:t>
      </w:r>
    </w:p>
    <w:p w14:paraId="01E15660">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第十四条</w:t>
      </w:r>
      <w:r>
        <w:rPr>
          <w:rFonts w:hint="eastAsia" w:ascii="Times New Roman" w:hAnsi="Times New Roman" w:cs="Times New Roman"/>
          <w:b w:val="0"/>
          <w:bCs w:val="0"/>
          <w:snapToGrid w:val="0"/>
          <w:color w:val="auto"/>
          <w:spacing w:val="0"/>
          <w:kern w:val="0"/>
          <w:sz w:val="32"/>
          <w:szCs w:val="32"/>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县住建局及其他相关单位工作人员，在维修资金续交工作中玩忽职守、滥用职权、徇私舞弊的，依法依规追究相关责任人的责任。</w:t>
      </w:r>
    </w:p>
    <w:p w14:paraId="65C5F4EB">
      <w:pPr>
        <w:keepNext w:val="0"/>
        <w:keepLines w:val="0"/>
        <w:pageBreakBefore w:val="0"/>
        <w:widowControl w:val="0"/>
        <w:kinsoku/>
        <w:wordWrap/>
        <w:overflowPunct/>
        <w:topLinePunct/>
        <w:autoSpaceDE/>
        <w:autoSpaceDN/>
        <w:bidi w:val="0"/>
        <w:adjustRightInd w:val="0"/>
        <w:snapToGrid w:val="0"/>
        <w:spacing w:after="0" w:line="560" w:lineRule="exact"/>
        <w:ind w:left="0" w:leftChars="0" w:right="0" w:rightChars="0" w:firstLine="640" w:firstLineChars="200"/>
        <w:jc w:val="both"/>
        <w:textAlignment w:val="auto"/>
        <w:rPr>
          <w:rFonts w:hint="default" w:ascii="仿宋_GB2312" w:hAnsi="仿宋_GB2312" w:eastAsia="仿宋_GB2312" w:cs="仿宋_GB2312"/>
          <w:b w:val="0"/>
          <w:bCs w:val="0"/>
          <w:snapToGrid w:val="0"/>
          <w:color w:val="auto"/>
          <w:spacing w:val="0"/>
          <w:kern w:val="0"/>
          <w:sz w:val="32"/>
          <w:szCs w:val="32"/>
          <w:lang w:val="en-US" w:eastAsia="zh-CN" w:bidi="ar"/>
        </w:rPr>
      </w:pPr>
      <w:r>
        <w:rPr>
          <w:rFonts w:hint="eastAsia" w:ascii="黑体" w:hAnsi="黑体" w:eastAsia="黑体" w:cs="黑体"/>
          <w:b w:val="0"/>
          <w:bCs w:val="0"/>
          <w:snapToGrid w:val="0"/>
          <w:color w:val="auto"/>
          <w:spacing w:val="0"/>
          <w:kern w:val="0"/>
          <w:sz w:val="32"/>
          <w:szCs w:val="32"/>
          <w:lang w:val="en-US" w:eastAsia="zh-CN" w:bidi="ar"/>
        </w:rPr>
        <w:t>第十五条</w:t>
      </w:r>
      <w:r>
        <w:rPr>
          <w:rFonts w:hint="eastAsia" w:ascii="Times New Roman" w:hAnsi="Times New Roman" w:cs="Times New Roman"/>
          <w:b w:val="0"/>
          <w:bCs w:val="0"/>
          <w:snapToGrid w:val="0"/>
          <w:color w:val="auto"/>
          <w:spacing w:val="0"/>
          <w:kern w:val="0"/>
          <w:sz w:val="32"/>
          <w:szCs w:val="32"/>
          <w:highlight w:val="none"/>
          <w:lang w:val="en-US" w:eastAsia="zh-CN" w:bidi="ar"/>
        </w:rPr>
        <w:t xml:space="preserve">  </w:t>
      </w:r>
      <w:r>
        <w:rPr>
          <w:rFonts w:hint="eastAsia" w:ascii="仿宋_GB2312" w:hAnsi="仿宋_GB2312" w:eastAsia="仿宋_GB2312" w:cs="仿宋_GB2312"/>
          <w:b w:val="0"/>
          <w:bCs w:val="0"/>
          <w:snapToGrid w:val="0"/>
          <w:color w:val="auto"/>
          <w:spacing w:val="0"/>
          <w:kern w:val="0"/>
          <w:sz w:val="32"/>
          <w:szCs w:val="32"/>
          <w:lang w:val="en-US" w:eastAsia="zh-CN" w:bidi="ar"/>
        </w:rPr>
        <w:t>本实施细则自2024年9月20日起施行，由县住建局负责解释。</w:t>
      </w:r>
    </w:p>
    <w:p w14:paraId="18CE8CB3">
      <w:pPr>
        <w:keepNext w:val="0"/>
        <w:keepLines w:val="0"/>
        <w:pageBreakBefore w:val="0"/>
        <w:widowControl w:val="0"/>
        <w:kinsoku/>
        <w:wordWrap/>
        <w:overflowPunct/>
        <w:topLinePunct w:val="0"/>
        <w:autoSpaceDE/>
        <w:autoSpaceDN/>
        <w:bidi w:val="0"/>
        <w:snapToGrid w:val="0"/>
        <w:spacing w:line="520" w:lineRule="exact"/>
        <w:ind w:right="0" w:rightChars="0"/>
        <w:textAlignment w:val="auto"/>
        <w:rPr>
          <w:rFonts w:hint="eastAsia" w:ascii="宋体" w:hAnsi="宋体"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321B">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5819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258197">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400A934">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宜良县人民政府发布     </w:t>
    </w:r>
  </w:p>
  <w:p w14:paraId="6263BAD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2D59">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FADFD8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宜良县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OThhZDM3MzIyYTYzNDExN2FhYzY5MGUwN2I3NWEifQ=="/>
  </w:docVars>
  <w:rsids>
    <w:rsidRoot w:val="00172A27"/>
    <w:rsid w:val="019E71BD"/>
    <w:rsid w:val="02826646"/>
    <w:rsid w:val="028946B3"/>
    <w:rsid w:val="034E2B96"/>
    <w:rsid w:val="03B71BFC"/>
    <w:rsid w:val="03FA5560"/>
    <w:rsid w:val="04744086"/>
    <w:rsid w:val="049E7378"/>
    <w:rsid w:val="04B679C3"/>
    <w:rsid w:val="059D46CB"/>
    <w:rsid w:val="05CD6F88"/>
    <w:rsid w:val="080F63D8"/>
    <w:rsid w:val="09301445"/>
    <w:rsid w:val="09341458"/>
    <w:rsid w:val="0950245B"/>
    <w:rsid w:val="09AE2594"/>
    <w:rsid w:val="0ABE1637"/>
    <w:rsid w:val="0B0912D7"/>
    <w:rsid w:val="0BCD589C"/>
    <w:rsid w:val="0BF57C87"/>
    <w:rsid w:val="10173820"/>
    <w:rsid w:val="12172241"/>
    <w:rsid w:val="12253795"/>
    <w:rsid w:val="13823582"/>
    <w:rsid w:val="13DC24AC"/>
    <w:rsid w:val="14A6438A"/>
    <w:rsid w:val="14FF195B"/>
    <w:rsid w:val="152822AB"/>
    <w:rsid w:val="152D2DCA"/>
    <w:rsid w:val="15CA1881"/>
    <w:rsid w:val="1BEF4851"/>
    <w:rsid w:val="1C4D5BB3"/>
    <w:rsid w:val="1C7E3508"/>
    <w:rsid w:val="1DEC284C"/>
    <w:rsid w:val="1E6523AC"/>
    <w:rsid w:val="1EE87D62"/>
    <w:rsid w:val="1FD85C62"/>
    <w:rsid w:val="1FF90002"/>
    <w:rsid w:val="209E4572"/>
    <w:rsid w:val="20CB77D7"/>
    <w:rsid w:val="212B5B49"/>
    <w:rsid w:val="217D1671"/>
    <w:rsid w:val="21D87219"/>
    <w:rsid w:val="22440422"/>
    <w:rsid w:val="243F5FD5"/>
    <w:rsid w:val="262D6910"/>
    <w:rsid w:val="266C7FA4"/>
    <w:rsid w:val="283750E5"/>
    <w:rsid w:val="29066E28"/>
    <w:rsid w:val="29141267"/>
    <w:rsid w:val="29380335"/>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DA13A6"/>
    <w:rsid w:val="41774142"/>
    <w:rsid w:val="41891E1C"/>
    <w:rsid w:val="41C73A75"/>
    <w:rsid w:val="428A2972"/>
    <w:rsid w:val="42F058B7"/>
    <w:rsid w:val="436109F6"/>
    <w:rsid w:val="441A38D4"/>
    <w:rsid w:val="45D80326"/>
    <w:rsid w:val="47DA741A"/>
    <w:rsid w:val="48435260"/>
    <w:rsid w:val="48A709AC"/>
    <w:rsid w:val="48BC3923"/>
    <w:rsid w:val="49B85004"/>
    <w:rsid w:val="49DB7D10"/>
    <w:rsid w:val="4B7C13AE"/>
    <w:rsid w:val="4BC77339"/>
    <w:rsid w:val="4C9236C5"/>
    <w:rsid w:val="4CE162A9"/>
    <w:rsid w:val="4DA87E9E"/>
    <w:rsid w:val="4F9E4D95"/>
    <w:rsid w:val="4FB83950"/>
    <w:rsid w:val="4FCA3E96"/>
    <w:rsid w:val="50440E1A"/>
    <w:rsid w:val="505C172E"/>
    <w:rsid w:val="5115014E"/>
    <w:rsid w:val="52836B9A"/>
    <w:rsid w:val="52F46F0B"/>
    <w:rsid w:val="536E6371"/>
    <w:rsid w:val="53D136D9"/>
    <w:rsid w:val="53D8014D"/>
    <w:rsid w:val="54C80F95"/>
    <w:rsid w:val="55222B3C"/>
    <w:rsid w:val="55E064E0"/>
    <w:rsid w:val="56150672"/>
    <w:rsid w:val="56DF2A77"/>
    <w:rsid w:val="572C6D10"/>
    <w:rsid w:val="57870BC1"/>
    <w:rsid w:val="582809E7"/>
    <w:rsid w:val="584B0EB0"/>
    <w:rsid w:val="59EC7302"/>
    <w:rsid w:val="5AD22D98"/>
    <w:rsid w:val="5CD60621"/>
    <w:rsid w:val="5D547D52"/>
    <w:rsid w:val="5DC34279"/>
    <w:rsid w:val="5F0963CA"/>
    <w:rsid w:val="5F51214B"/>
    <w:rsid w:val="5F777D37"/>
    <w:rsid w:val="608816D1"/>
    <w:rsid w:val="60EF4E7F"/>
    <w:rsid w:val="619B1165"/>
    <w:rsid w:val="62247DCE"/>
    <w:rsid w:val="62827081"/>
    <w:rsid w:val="628F471C"/>
    <w:rsid w:val="62DD627F"/>
    <w:rsid w:val="638173E9"/>
    <w:rsid w:val="64FC4FEE"/>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olor w:val="000000"/>
      <w:sz w:val="30"/>
      <w:szCs w:val="28"/>
    </w:rPr>
  </w:style>
  <w:style w:type="paragraph" w:customStyle="1" w:styleId="12">
    <w:name w:val="实施方案正文"/>
    <w:basedOn w:val="1"/>
    <w:qFormat/>
    <w:uiPriority w:val="0"/>
    <w:pPr>
      <w:ind w:firstLine="566" w:firstLineChars="202"/>
    </w:pPr>
    <w:rPr>
      <w:rFonts w:ascii="Calibri" w:hAnsi="Calibri" w:eastAsia="宋体"/>
      <w:sz w:val="21"/>
      <w:szCs w:val="28"/>
    </w:rPr>
  </w:style>
  <w:style w:type="paragraph" w:customStyle="1" w:styleId="13">
    <w:name w:val="Default"/>
    <w:basedOn w:val="14"/>
    <w:next w:val="1"/>
    <w:qFormat/>
    <w:uiPriority w:val="0"/>
    <w:pPr>
      <w:widowControl w:val="0"/>
      <w:autoSpaceDE w:val="0"/>
      <w:autoSpaceDN w:val="0"/>
      <w:adjustRightInd w:val="0"/>
    </w:pPr>
    <w:rPr>
      <w:color w:val="000000"/>
      <w:sz w:val="24"/>
      <w:szCs w:val="24"/>
      <w:lang w:val="en-US" w:eastAsia="zh-CN" w:bidi="ar-SA"/>
    </w:rPr>
  </w:style>
  <w:style w:type="paragraph" w:customStyle="1" w:styleId="14">
    <w:name w:val="正文1"/>
    <w:qFormat/>
    <w:uiPriority w:val="0"/>
    <w:rPr>
      <w:rFonts w:ascii="Calibri" w:hAnsi="Calibri" w:eastAsia="宋体" w:cs="Times New Roman"/>
      <w:sz w:val="21"/>
      <w:szCs w:val="22"/>
      <w:lang w:val="en-US" w:eastAsia="zh-CN" w:bidi="ar-SA"/>
    </w:rPr>
  </w:style>
  <w:style w:type="character" w:customStyle="1" w:styleId="15">
    <w:name w:val="公文文号"/>
    <w:basedOn w:val="10"/>
    <w:qFormat/>
    <w:uiPriority w:val="0"/>
    <w:rPr>
      <w:rFonts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1003</Words>
  <Characters>1033</Characters>
  <Lines>1</Lines>
  <Paragraphs>1</Paragraphs>
  <TotalTime>3</TotalTime>
  <ScaleCrop>false</ScaleCrop>
  <LinksUpToDate>false</LinksUpToDate>
  <CharactersWithSpaces>1041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2024-08-21T08:24:34Z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