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44"/>
          <w:szCs w:val="44"/>
        </w:rPr>
      </w:pPr>
      <w:r>
        <w:rPr>
          <w:rFonts w:hint="eastAsia" w:ascii="方正小标宋简体" w:hAnsi="方正小标宋简体" w:eastAsia="方正小标宋简体" w:cs="方正小标宋简体"/>
          <w:sz w:val="44"/>
          <w:szCs w:val="44"/>
          <w:lang w:val="en-US" w:eastAsia="zh-CN"/>
        </w:rPr>
        <w:t>宜良县卫生健康局</w:t>
      </w:r>
      <w:r>
        <w:rPr>
          <w:rFonts w:ascii="方正小标宋简体" w:hAnsi="方正小标宋简体" w:eastAsia="方正小标宋简体" w:cs="方正小标宋简体"/>
          <w:sz w:val="44"/>
          <w:szCs w:val="44"/>
        </w:rPr>
        <w:t>免予行政处罚事项清单</w:t>
      </w:r>
    </w:p>
    <w:tbl>
      <w:tblPr>
        <w:tblStyle w:val="3"/>
        <w:tblW w:w="11349" w:type="dxa"/>
        <w:tblInd w:w="-1479"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5"/>
        <w:gridCol w:w="3165"/>
        <w:gridCol w:w="4545"/>
        <w:gridCol w:w="1290"/>
        <w:gridCol w:w="1254"/>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ascii="黑体" w:hAnsi="宋体" w:eastAsia="黑体" w:cs="黑体"/>
                <w:b/>
                <w:i w:val="0"/>
                <w:color w:val="525252"/>
                <w:sz w:val="28"/>
                <w:szCs w:val="28"/>
              </w:rPr>
              <w:t>序号</w:t>
            </w:r>
          </w:p>
        </w:tc>
        <w:tc>
          <w:tcPr>
            <w:tcW w:w="316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rPr>
              <w:t>违法行为</w:t>
            </w:r>
          </w:p>
        </w:tc>
        <w:tc>
          <w:tcPr>
            <w:tcW w:w="45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rPr>
              <w:t>法律依据</w:t>
            </w:r>
          </w:p>
        </w:tc>
        <w:tc>
          <w:tcPr>
            <w:tcW w:w="129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rPr>
              <w:t>适用情形</w:t>
            </w:r>
          </w:p>
        </w:tc>
        <w:tc>
          <w:tcPr>
            <w:tcW w:w="125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Style w:val="5"/>
                <w:rFonts w:hint="eastAsia" w:ascii="黑体" w:hAnsi="宋体" w:eastAsia="黑体" w:cs="黑体"/>
                <w:b/>
                <w:i w:val="0"/>
                <w:color w:val="525252"/>
                <w:sz w:val="24"/>
                <w:szCs w:val="24"/>
              </w:rPr>
              <w:t>实施主体</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8"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bookmarkStart w:id="0" w:name="_GoBack"/>
            <w:r>
              <w:rPr>
                <w:rFonts w:hint="eastAsia" w:ascii="仿宋_GB2312" w:hAnsi="仿宋_GB2312" w:eastAsia="仿宋_GB2312" w:cs="仿宋_GB2312"/>
                <w:color w:val="525252"/>
                <w:sz w:val="24"/>
                <w:szCs w:val="24"/>
              </w:rPr>
              <w:t>1</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逾期不校验《医疗机构执业许可证》仍从事诊疗活动的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《医疗机构管理条例》第四十五条　 违反本条例第二十二条规定，逾期不校验《医疗机构执业许可证》仍从事诊疗活动的，由县级以上人民政府卫生行政部门责令其限期补办校验手续；拒不校验的，吊销其《医疗机构执业许可证》。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《医疗机构管理条例实施细则》第七十八条 对不按期办理校验《医疗机构执业许可证》又不停止诊疗活动的，责令其限期补办校验手续；在限期内仍不办理校验的，吊销其《医疗机构执业许可证》。</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73"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2</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医疗机构发布医疗广告，未向其所在地的州（市）卫生行政部门申请办理《医疗广告审查证明》，发布的内容超出《医疗广告审查证明》核准的范围的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《云南省医疗机构管理条例》第五十条 医疗机构违反本条例第二十七条第一款规定的，由县级以上卫生行政部门责令限期改正；逾期不改正的，责令停业整顿；情节严重的，吊销其相关诊疗科目，直至吊销《医疗机构执业许可证》。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第二十七条 医疗机构发布医疗广告，应当向其所在地的州（市）卫生行政部门申请办理《医疗广告审查证明》，发布的内容不得超出《医疗广告审查证明》核准的范围。</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县级以上卫生行政部门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32"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3</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县级以上卫生行政部门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32"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4</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六）未按照要求向国家和省级医疗技术临床应用信息化管理平台报送相关信息的； （七）未将相关信息纳入院务公开范围向社会公开的；（八）未按要求保障医务人员接受医疗技术临床应用规范化培训权益的。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六）未按照要求向国家和省级医疗技术临床应用信息化管理平台报送相关信息的； （七）未将相关信息纳入院务公开范围向社会公开的；（八）未按要求保障医务人员接受医疗技术临床应用规范化培训权益的。</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县级以上地方卫生行政部门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32"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5</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县级以上人民政府卫生行政部门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27"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6</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经批准实施人工终止妊娠手术的机构未建立真实完整的终止妊娠药品购进记录的，或者未按照规定为终止妊娠药品使用者建立完整用药档案的，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《禁止非医学需要的胎儿性别鉴定选择性别人工终止妊娠的规定》第二十条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一万元以上三万元以下罚款；对医疗卫生机构的主要负责人、直接负责的主管人员和直接责任人员，依法进行处理。</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县级以上卫生计生行政部门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08" w:hRule="atLeast"/>
        </w:trPr>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7</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（一）未建立医疗技术临床应用管理专门组织或者未指定专（兼）职人员负责具体管理工作的；（二）未建立医疗技术临床应用管理相关规章制度的； （三）医疗技术临床应用管理混乱，存在医疗质量和医疗安全隐患的； （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 （三）医疗技术临床应用管理混乱，存在医疗质量和医疗安全隐患的； （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县级以上地方卫生行政部门</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09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8</w:t>
            </w:r>
          </w:p>
        </w:tc>
        <w:tc>
          <w:tcPr>
            <w:tcW w:w="31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tc>
        <w:tc>
          <w:tcPr>
            <w:tcW w:w="45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初次违反</w:t>
            </w:r>
          </w:p>
        </w:tc>
        <w:tc>
          <w:tcPr>
            <w:tcW w:w="12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r>
              <w:rPr>
                <w:rFonts w:hint="eastAsia" w:ascii="仿宋_GB2312" w:hAnsi="仿宋_GB2312" w:eastAsia="仿宋_GB2312" w:cs="仿宋_GB2312"/>
                <w:color w:val="525252"/>
                <w:sz w:val="24"/>
                <w:szCs w:val="24"/>
              </w:rPr>
              <w:t>县级以上地方卫生行政部门</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eastAsia" w:ascii="仿宋_GB2312" w:hAnsi="仿宋_GB2312" w:eastAsia="仿宋_GB2312" w:cs="仿宋_GB2312"/>
          <w:color w:val="525252"/>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B5600"/>
    <w:rsid w:val="5942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2024-08-13T08:13:00Z</dcterms:created>
  <dc:creator>DELL</dc:creator>
  <cp:lastModifiedBy>DELL</cp:lastModifiedBy>
  <dcterms:modified xsi:type="dcterms:W3CDTF">2024-08-13T08:34:29Z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